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Default Extension="png" ContentType="image/png"/>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header2.xml" ContentType="application/vnd.openxmlformats-officedocument.wordprocessingml.header+xml"/>
  <Override PartName="/word/footer24.xml" ContentType="application/vnd.openxmlformats-officedocument.wordprocessingml.footer+xml"/>
  <Override PartName="/word/header3.xml" ContentType="application/vnd.openxmlformats-officedocument.wordprocessingml.head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9"/>
          <w:szCs w:val="19"/>
        </w:rPr>
      </w:pPr>
    </w:p>
    <w:p>
      <w:pPr>
        <w:spacing w:line="932" w:lineRule="exact"/>
        <w:ind w:left="2143"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8"/>
          <w:sz w:val="20"/>
          <w:szCs w:val="20"/>
        </w:rPr>
        <w:drawing>
          <wp:inline distT="0" distB="0" distL="0" distR="0">
            <wp:extent cx="2707188" cy="592074"/>
            <wp:effectExtent l="0" t="0" r="0" b="0"/>
            <wp:docPr id="1" name="image2.jpeg" descr=""/>
            <wp:cNvGraphicFramePr>
              <a:graphicFrameLocks noChangeAspect="1"/>
            </wp:cNvGraphicFramePr>
            <a:graphic>
              <a:graphicData uri="http://schemas.openxmlformats.org/drawingml/2006/picture">
                <pic:pic>
                  <pic:nvPicPr>
                    <pic:cNvPr id="2" name="image2.jpeg"/>
                    <pic:cNvPicPr/>
                  </pic:nvPicPr>
                  <pic:blipFill>
                    <a:blip r:embed="rId6" cstate="print"/>
                    <a:stretch>
                      <a:fillRect/>
                    </a:stretch>
                  </pic:blipFill>
                  <pic:spPr>
                    <a:xfrm>
                      <a:off x="0" y="0"/>
                      <a:ext cx="2707188" cy="592074"/>
                    </a:xfrm>
                    <a:prstGeom prst="rect">
                      <a:avLst/>
                    </a:prstGeom>
                  </pic:spPr>
                </pic:pic>
              </a:graphicData>
            </a:graphic>
          </wp:inline>
        </w:drawing>
      </w:r>
      <w:r>
        <w:rPr>
          <w:rFonts w:ascii="Times New Roman" w:hAnsi="Times New Roman" w:cs="Times New Roman" w:eastAsia="Times New Roman" w:hint="default"/>
          <w:position w:val="-18"/>
          <w:sz w:val="20"/>
          <w:szCs w:val="20"/>
        </w:rPr>
      </w: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26"/>
          <w:szCs w:val="26"/>
        </w:rPr>
      </w:pPr>
    </w:p>
    <w:p>
      <w:pPr>
        <w:spacing w:line="619" w:lineRule="exact" w:before="0"/>
        <w:ind w:left="608" w:right="2296" w:firstLine="0"/>
        <w:jc w:val="center"/>
        <w:rPr>
          <w:rFonts w:ascii="黑体" w:hAnsi="黑体" w:cs="黑体" w:eastAsia="黑体" w:hint="default"/>
          <w:sz w:val="52"/>
          <w:szCs w:val="52"/>
        </w:rPr>
      </w:pPr>
      <w:r>
        <w:rPr>
          <w:rFonts w:ascii="黑体" w:hAnsi="黑体" w:cs="黑体" w:eastAsia="黑体" w:hint="default"/>
          <w:sz w:val="52"/>
          <w:szCs w:val="52"/>
        </w:rPr>
        <w:t>深圳市银之杰科技股份有限公司</w:t>
      </w:r>
    </w:p>
    <w:p>
      <w:pPr>
        <w:spacing w:before="194"/>
        <w:ind w:left="608" w:right="2281" w:firstLine="0"/>
        <w:jc w:val="center"/>
        <w:rPr>
          <w:rFonts w:ascii="Times New Roman" w:hAnsi="Times New Roman" w:cs="Times New Roman" w:eastAsia="Times New Roman" w:hint="default"/>
          <w:sz w:val="30"/>
          <w:szCs w:val="30"/>
        </w:rPr>
      </w:pPr>
      <w:r>
        <w:rPr>
          <w:rFonts w:ascii="Times New Roman"/>
          <w:b/>
          <w:sz w:val="30"/>
        </w:rPr>
        <w:t>SHENZHEN </w:t>
      </w:r>
      <w:r>
        <w:rPr>
          <w:rFonts w:ascii="Times New Roman"/>
          <w:b/>
          <w:spacing w:val="-3"/>
          <w:sz w:val="30"/>
        </w:rPr>
        <w:t>INFOGEM </w:t>
      </w:r>
      <w:r>
        <w:rPr>
          <w:rFonts w:ascii="Times New Roman"/>
          <w:b/>
          <w:sz w:val="30"/>
        </w:rPr>
        <w:t>TECHNOLOGIES CO.,</w:t>
      </w:r>
      <w:r>
        <w:rPr>
          <w:rFonts w:ascii="Times New Roman"/>
          <w:b/>
          <w:spacing w:val="18"/>
          <w:sz w:val="30"/>
        </w:rPr>
        <w:t> </w:t>
      </w:r>
      <w:r>
        <w:rPr>
          <w:rFonts w:ascii="Times New Roman"/>
          <w:b/>
          <w:spacing w:val="-9"/>
          <w:sz w:val="30"/>
        </w:rPr>
        <w:t>LTD.</w:t>
      </w:r>
      <w:r>
        <w:rPr>
          <w:rFonts w:ascii="Times New Roman"/>
          <w:spacing w:val="-9"/>
          <w:sz w:val="30"/>
        </w:rPr>
      </w:r>
    </w:p>
    <w:p>
      <w:pPr>
        <w:spacing w:line="240" w:lineRule="auto" w:before="0"/>
        <w:rPr>
          <w:rFonts w:ascii="Times New Roman" w:hAnsi="Times New Roman" w:cs="Times New Roman" w:eastAsia="Times New Roman" w:hint="default"/>
          <w:b/>
          <w:bCs/>
          <w:sz w:val="30"/>
          <w:szCs w:val="30"/>
        </w:rPr>
      </w:pPr>
    </w:p>
    <w:p>
      <w:pPr>
        <w:spacing w:line="240" w:lineRule="auto" w:before="0"/>
        <w:rPr>
          <w:rFonts w:ascii="Times New Roman" w:hAnsi="Times New Roman" w:cs="Times New Roman" w:eastAsia="Times New Roman" w:hint="default"/>
          <w:b/>
          <w:bCs/>
          <w:sz w:val="30"/>
          <w:szCs w:val="30"/>
        </w:rPr>
      </w:pPr>
    </w:p>
    <w:p>
      <w:pPr>
        <w:spacing w:line="240" w:lineRule="auto" w:before="0"/>
        <w:rPr>
          <w:rFonts w:ascii="Times New Roman" w:hAnsi="Times New Roman" w:cs="Times New Roman" w:eastAsia="Times New Roman" w:hint="default"/>
          <w:b/>
          <w:bCs/>
          <w:sz w:val="30"/>
          <w:szCs w:val="30"/>
        </w:rPr>
      </w:pPr>
    </w:p>
    <w:p>
      <w:pPr>
        <w:spacing w:line="240" w:lineRule="auto" w:before="0"/>
        <w:rPr>
          <w:rFonts w:ascii="Times New Roman" w:hAnsi="Times New Roman" w:cs="Times New Roman" w:eastAsia="Times New Roman" w:hint="default"/>
          <w:b/>
          <w:bCs/>
          <w:sz w:val="30"/>
          <w:szCs w:val="30"/>
        </w:rPr>
      </w:pPr>
    </w:p>
    <w:p>
      <w:pPr>
        <w:spacing w:line="240" w:lineRule="auto" w:before="0"/>
        <w:rPr>
          <w:rFonts w:ascii="Times New Roman" w:hAnsi="Times New Roman" w:cs="Times New Roman" w:eastAsia="Times New Roman" w:hint="default"/>
          <w:b/>
          <w:bCs/>
          <w:sz w:val="30"/>
          <w:szCs w:val="30"/>
        </w:rPr>
      </w:pPr>
    </w:p>
    <w:p>
      <w:pPr>
        <w:spacing w:line="240" w:lineRule="auto" w:before="0"/>
        <w:rPr>
          <w:rFonts w:ascii="Times New Roman" w:hAnsi="Times New Roman" w:cs="Times New Roman" w:eastAsia="Times New Roman" w:hint="default"/>
          <w:b/>
          <w:bCs/>
          <w:sz w:val="30"/>
          <w:szCs w:val="30"/>
        </w:rPr>
      </w:pPr>
    </w:p>
    <w:p>
      <w:pPr>
        <w:spacing w:line="240" w:lineRule="auto" w:before="0"/>
        <w:rPr>
          <w:rFonts w:ascii="Times New Roman" w:hAnsi="Times New Roman" w:cs="Times New Roman" w:eastAsia="Times New Roman" w:hint="default"/>
          <w:b/>
          <w:bCs/>
          <w:sz w:val="30"/>
          <w:szCs w:val="30"/>
        </w:rPr>
      </w:pPr>
    </w:p>
    <w:p>
      <w:pPr>
        <w:spacing w:before="202"/>
        <w:ind w:left="608" w:right="2292" w:firstLine="0"/>
        <w:jc w:val="center"/>
        <w:rPr>
          <w:rFonts w:ascii="黑体" w:hAnsi="黑体" w:cs="黑体" w:eastAsia="黑体" w:hint="default"/>
          <w:sz w:val="52"/>
          <w:szCs w:val="52"/>
        </w:rPr>
      </w:pPr>
      <w:r>
        <w:rPr>
          <w:rFonts w:ascii="黑体" w:hAnsi="黑体" w:cs="黑体" w:eastAsia="黑体" w:hint="default"/>
          <w:sz w:val="52"/>
          <w:szCs w:val="52"/>
        </w:rPr>
        <w:t>2019</w:t>
      </w:r>
      <w:r>
        <w:rPr>
          <w:rFonts w:ascii="黑体" w:hAnsi="黑体" w:cs="黑体" w:eastAsia="黑体" w:hint="default"/>
          <w:spacing w:val="-138"/>
          <w:sz w:val="52"/>
          <w:szCs w:val="52"/>
        </w:rPr>
        <w:t> </w:t>
      </w:r>
      <w:r>
        <w:rPr>
          <w:rFonts w:ascii="黑体" w:hAnsi="黑体" w:cs="黑体" w:eastAsia="黑体" w:hint="default"/>
          <w:sz w:val="52"/>
          <w:szCs w:val="52"/>
        </w:rPr>
        <w:t>年年度报告</w:t>
      </w:r>
    </w:p>
    <w:p>
      <w:pPr>
        <w:spacing w:line="240" w:lineRule="auto" w:before="0"/>
        <w:rPr>
          <w:rFonts w:ascii="黑体" w:hAnsi="黑体" w:cs="黑体" w:eastAsia="黑体" w:hint="default"/>
          <w:sz w:val="52"/>
          <w:szCs w:val="52"/>
        </w:rPr>
      </w:pPr>
    </w:p>
    <w:p>
      <w:pPr>
        <w:spacing w:line="240" w:lineRule="auto" w:before="0"/>
        <w:rPr>
          <w:rFonts w:ascii="黑体" w:hAnsi="黑体" w:cs="黑体" w:eastAsia="黑体" w:hint="default"/>
          <w:sz w:val="52"/>
          <w:szCs w:val="52"/>
        </w:rPr>
      </w:pPr>
    </w:p>
    <w:p>
      <w:pPr>
        <w:spacing w:line="240" w:lineRule="auto" w:before="0"/>
        <w:rPr>
          <w:rFonts w:ascii="黑体" w:hAnsi="黑体" w:cs="黑体" w:eastAsia="黑体" w:hint="default"/>
          <w:sz w:val="52"/>
          <w:szCs w:val="52"/>
        </w:rPr>
      </w:pPr>
    </w:p>
    <w:p>
      <w:pPr>
        <w:spacing w:line="240" w:lineRule="auto" w:before="0"/>
        <w:rPr>
          <w:rFonts w:ascii="黑体" w:hAnsi="黑体" w:cs="黑体" w:eastAsia="黑体" w:hint="default"/>
          <w:sz w:val="52"/>
          <w:szCs w:val="52"/>
        </w:rPr>
      </w:pPr>
    </w:p>
    <w:p>
      <w:pPr>
        <w:spacing w:line="240" w:lineRule="auto" w:before="0"/>
        <w:rPr>
          <w:rFonts w:ascii="黑体" w:hAnsi="黑体" w:cs="黑体" w:eastAsia="黑体" w:hint="default"/>
          <w:sz w:val="52"/>
          <w:szCs w:val="52"/>
        </w:rPr>
      </w:pPr>
    </w:p>
    <w:p>
      <w:pPr>
        <w:spacing w:line="240" w:lineRule="auto" w:before="0"/>
        <w:rPr>
          <w:rFonts w:ascii="黑体" w:hAnsi="黑体" w:cs="黑体" w:eastAsia="黑体" w:hint="default"/>
          <w:sz w:val="52"/>
          <w:szCs w:val="52"/>
        </w:rPr>
      </w:pPr>
    </w:p>
    <w:p>
      <w:pPr>
        <w:spacing w:before="406"/>
        <w:ind w:left="608" w:right="2281"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2020</w:t>
      </w:r>
      <w:r>
        <w:rPr>
          <w:rFonts w:ascii="Times New Roman" w:hAnsi="Times New Roman" w:cs="Times New Roman" w:eastAsia="Times New Roman" w:hint="default"/>
          <w:b/>
          <w:bCs/>
          <w:spacing w:val="-2"/>
          <w:sz w:val="32"/>
          <w:szCs w:val="32"/>
        </w:rPr>
        <w:t> </w:t>
      </w:r>
      <w:r>
        <w:rPr>
          <w:rFonts w:ascii="宋体" w:hAnsi="宋体" w:cs="宋体" w:eastAsia="宋体" w:hint="default"/>
          <w:b/>
          <w:bCs/>
          <w:sz w:val="32"/>
          <w:szCs w:val="32"/>
        </w:rPr>
        <w:t>年</w:t>
      </w:r>
      <w:r>
        <w:rPr>
          <w:rFonts w:ascii="宋体" w:hAnsi="宋体" w:cs="宋体" w:eastAsia="宋体" w:hint="default"/>
          <w:b/>
          <w:bCs/>
          <w:spacing w:val="-81"/>
          <w:sz w:val="32"/>
          <w:szCs w:val="32"/>
        </w:rPr>
        <w:t> </w:t>
      </w:r>
      <w:r>
        <w:rPr>
          <w:rFonts w:ascii="Times New Roman" w:hAnsi="Times New Roman" w:cs="Times New Roman" w:eastAsia="Times New Roman" w:hint="default"/>
          <w:b/>
          <w:bCs/>
          <w:sz w:val="32"/>
          <w:szCs w:val="32"/>
        </w:rPr>
        <w:t>04</w:t>
      </w:r>
      <w:r>
        <w:rPr>
          <w:rFonts w:ascii="Times New Roman" w:hAnsi="Times New Roman" w:cs="Times New Roman" w:eastAsia="Times New Roman" w:hint="default"/>
          <w:b/>
          <w:bCs/>
          <w:spacing w:val="-2"/>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footerReference w:type="default" r:id="rId5"/>
          <w:type w:val="continuous"/>
          <w:pgSz w:w="11910" w:h="16840"/>
          <w:pgMar w:footer="504" w:top="1580" w:bottom="700" w:left="168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9"/>
          <w:szCs w:val="19"/>
        </w:rPr>
      </w:pPr>
    </w:p>
    <w:p>
      <w:pPr>
        <w:pStyle w:val="Heading1"/>
        <w:spacing w:line="240" w:lineRule="auto"/>
        <w:ind w:left="2803" w:right="0"/>
        <w:jc w:val="left"/>
        <w:rPr>
          <w:b w:val="0"/>
          <w:bCs w:val="0"/>
        </w:rPr>
      </w:pPr>
      <w:bookmarkStart w:name="第一节 重要提示、目录和释义" w:id="1"/>
      <w:bookmarkEnd w:id="1"/>
      <w:r>
        <w:rPr>
          <w:b w:val="0"/>
          <w:bCs w:val="0"/>
        </w:rPr>
      </w:r>
      <w:bookmarkStart w:name="_bookmark0" w:id="2"/>
      <w:bookmarkEnd w:id="2"/>
      <w:r>
        <w:rPr>
          <w:b w:val="0"/>
          <w:bCs w:val="0"/>
        </w:rPr>
      </w:r>
      <w:r>
        <w:rPr/>
        <w:t>第一节</w:t>
      </w:r>
      <w:r>
        <w:rPr>
          <w:spacing w:val="1"/>
        </w:rPr>
        <w:t> </w:t>
      </w:r>
      <w:r>
        <w:rPr/>
        <w:t>重要提示、目录和释义</w:t>
      </w:r>
      <w:r>
        <w:rPr>
          <w:b w:val="0"/>
          <w:bCs w:val="0"/>
        </w:rPr>
      </w:r>
    </w:p>
    <w:p>
      <w:pPr>
        <w:spacing w:line="240" w:lineRule="auto" w:before="6"/>
        <w:rPr>
          <w:rFonts w:ascii="宋体" w:hAnsi="宋体" w:cs="宋体" w:eastAsia="宋体" w:hint="default"/>
          <w:b/>
          <w:bCs/>
          <w:sz w:val="46"/>
          <w:szCs w:val="46"/>
        </w:rPr>
      </w:pPr>
    </w:p>
    <w:p>
      <w:pPr>
        <w:pStyle w:val="Heading3"/>
        <w:spacing w:line="410" w:lineRule="auto"/>
        <w:ind w:right="1125" w:firstLine="422"/>
        <w:jc w:val="both"/>
        <w:rPr>
          <w:b w:val="0"/>
          <w:bCs w:val="0"/>
        </w:rPr>
      </w:pPr>
      <w:r>
        <w:rPr>
          <w:spacing w:val="-2"/>
        </w:rPr>
        <w:t>公司董事会、监事会及董事、监事、高级管理人员保证年度报告内容的真实、准确、完整，不存在虚</w:t>
      </w:r>
      <w:r>
        <w:rPr>
          <w:w w:val="100"/>
        </w:rPr>
        <w:t> </w:t>
      </w:r>
      <w:r>
        <w:rPr/>
        <w:t>假记载、误导性陈述或重大遗漏，并承担个别和连带的法律责任。</w:t>
      </w:r>
      <w:r>
        <w:rPr>
          <w:b w:val="0"/>
          <w:bCs w:val="0"/>
        </w:rPr>
      </w:r>
    </w:p>
    <w:p>
      <w:pPr>
        <w:pStyle w:val="Heading3"/>
        <w:spacing w:line="405" w:lineRule="auto" w:before="143"/>
        <w:ind w:right="1122" w:firstLine="422"/>
        <w:jc w:val="both"/>
        <w:rPr>
          <w:b w:val="0"/>
          <w:bCs w:val="0"/>
        </w:rPr>
      </w:pPr>
      <w:r>
        <w:rPr>
          <w:spacing w:val="-2"/>
        </w:rPr>
        <w:t>公司负责人陈向军、主管会计工作负责人刘奕及会计机构负责人</w:t>
      </w:r>
      <w:r>
        <w:rPr>
          <w:rFonts w:ascii="宋体" w:hAnsi="宋体" w:cs="宋体" w:eastAsia="宋体" w:hint="default"/>
          <w:spacing w:val="-2"/>
        </w:rPr>
        <w:t>(</w:t>
      </w:r>
      <w:r>
        <w:rPr>
          <w:spacing w:val="-2"/>
        </w:rPr>
        <w:t>会计主管人员</w:t>
      </w:r>
      <w:r>
        <w:rPr>
          <w:rFonts w:ascii="宋体" w:hAnsi="宋体" w:cs="宋体" w:eastAsia="宋体" w:hint="default"/>
          <w:spacing w:val="-2"/>
        </w:rPr>
        <w:t>)</w:t>
      </w:r>
      <w:r>
        <w:rPr>
          <w:spacing w:val="-2"/>
        </w:rPr>
        <w:t>张春雷声明：保证年</w:t>
      </w:r>
      <w:r>
        <w:rPr>
          <w:w w:val="100"/>
        </w:rPr>
        <w:t> </w:t>
      </w:r>
      <w:r>
        <w:rPr/>
        <w:t>度报告中财务报告的真实、准确、完整。</w:t>
      </w:r>
      <w:r>
        <w:rPr>
          <w:b w:val="0"/>
          <w:bCs w:val="0"/>
        </w:rPr>
      </w:r>
    </w:p>
    <w:p>
      <w:pPr>
        <w:pStyle w:val="Heading3"/>
        <w:spacing w:line="494" w:lineRule="auto" w:before="151"/>
        <w:ind w:left="575" w:right="0"/>
        <w:jc w:val="left"/>
        <w:rPr>
          <w:b w:val="0"/>
          <w:bCs w:val="0"/>
        </w:rPr>
      </w:pPr>
      <w:r>
        <w:rPr/>
        <w:t>所有董事均已出席了审议本报告的董事会会议。</w:t>
      </w:r>
      <w:r>
        <w:rPr>
          <w:spacing w:val="-103"/>
        </w:rPr>
        <w:t> </w:t>
      </w:r>
      <w:r>
        <w:rPr>
          <w:spacing w:val="-103"/>
        </w:rPr>
      </w:r>
      <w:r>
        <w:rPr>
          <w:spacing w:val="-2"/>
        </w:rPr>
        <w:t>本报告中如有涉及未来计划、业绩预测等方面的内容，均不构成公司对任何投资者及相关人士的实质</w:t>
      </w:r>
      <w:r>
        <w:rPr>
          <w:b w:val="0"/>
          <w:bCs w:val="0"/>
          <w:spacing w:val="-2"/>
        </w:rPr>
      </w:r>
    </w:p>
    <w:p>
      <w:pPr>
        <w:pStyle w:val="Heading3"/>
        <w:spacing w:line="248" w:lineRule="exact"/>
        <w:ind w:right="0"/>
        <w:jc w:val="left"/>
        <w:rPr>
          <w:b w:val="0"/>
          <w:bCs w:val="0"/>
        </w:rPr>
      </w:pPr>
      <w:r>
        <w:rPr/>
        <w:t>承诺，投资者及相关人士均应对此保持足够的风险认识，并且应当理解计划、预测与承诺之间的差异。</w:t>
      </w:r>
      <w:r>
        <w:rPr>
          <w:b w:val="0"/>
          <w:bCs w:val="0"/>
        </w:rPr>
      </w:r>
    </w:p>
    <w:p>
      <w:pPr>
        <w:spacing w:line="240" w:lineRule="auto" w:before="4"/>
        <w:rPr>
          <w:rFonts w:ascii="宋体" w:hAnsi="宋体" w:cs="宋体" w:eastAsia="宋体" w:hint="default"/>
          <w:b/>
          <w:bCs/>
          <w:sz w:val="22"/>
          <w:szCs w:val="22"/>
        </w:rPr>
      </w:pPr>
    </w:p>
    <w:p>
      <w:pPr>
        <w:pStyle w:val="Heading3"/>
        <w:spacing w:line="405" w:lineRule="auto"/>
        <w:ind w:right="1122" w:firstLine="422"/>
        <w:jc w:val="both"/>
        <w:rPr>
          <w:b w:val="0"/>
          <w:bCs w:val="0"/>
        </w:rPr>
      </w:pPr>
      <w:r>
        <w:rPr>
          <w:spacing w:val="-2"/>
        </w:rPr>
        <w:t>公司在本报告第四节“经营情况讨论与分析”之“九、公司未来发展的展望”部分，详细描述了公司</w:t>
      </w:r>
      <w:r>
        <w:rPr>
          <w:w w:val="100"/>
        </w:rPr>
        <w:t> </w:t>
      </w:r>
      <w:r>
        <w:rPr/>
        <w:t>经营中可能存在的风险及应对措施，并提请投资者特别注意下列风险因素：</w:t>
      </w:r>
      <w:r>
        <w:rPr>
          <w:b w:val="0"/>
          <w:bCs w:val="0"/>
        </w:rPr>
      </w:r>
    </w:p>
    <w:p>
      <w:pPr>
        <w:pStyle w:val="BodyText"/>
        <w:spacing w:line="240" w:lineRule="auto" w:before="177"/>
        <w:ind w:left="513" w:right="0"/>
        <w:jc w:val="left"/>
      </w:pPr>
      <w:r>
        <w:rPr>
          <w:rFonts w:ascii="宋体" w:hAnsi="宋体" w:cs="宋体" w:eastAsia="宋体" w:hint="default"/>
        </w:rPr>
        <w:t>1</w:t>
      </w:r>
      <w:r>
        <w:rPr/>
        <w:t>、短期盈利能力风险</w:t>
      </w:r>
    </w:p>
    <w:p>
      <w:pPr>
        <w:spacing w:line="240" w:lineRule="auto" w:before="4"/>
        <w:rPr>
          <w:rFonts w:ascii="宋体" w:hAnsi="宋体" w:cs="宋体" w:eastAsia="宋体" w:hint="default"/>
          <w:sz w:val="25"/>
          <w:szCs w:val="25"/>
        </w:rPr>
      </w:pPr>
    </w:p>
    <w:p>
      <w:pPr>
        <w:pStyle w:val="BodyText"/>
        <w:spacing w:line="477" w:lineRule="auto"/>
        <w:ind w:right="1122" w:firstLine="360"/>
        <w:jc w:val="both"/>
      </w:pPr>
      <w:r>
        <w:rPr>
          <w:spacing w:val="-4"/>
        </w:rPr>
        <w:t>公司主营业务包括金融信息化、移动信息服务和电子商务业务。为了巩固公司以金融科技服务为核心的业务基础，开拓</w:t>
      </w:r>
      <w:r>
        <w:rPr>
          <w:w w:val="101"/>
        </w:rPr>
        <w:t> </w:t>
      </w:r>
      <w:r>
        <w:rPr>
          <w:spacing w:val="-4"/>
        </w:rPr>
        <w:t>新的业务模式和服务领域，公司近年来在个人征信、互联网保险、证券、金融大数据等领域进行了新业务战略布局，打造了</w:t>
      </w:r>
      <w:r>
        <w:rPr>
          <w:spacing w:val="40"/>
        </w:rPr>
        <w:t> </w:t>
      </w:r>
      <w:r>
        <w:rPr>
          <w:spacing w:val="40"/>
        </w:rPr>
      </w:r>
      <w:r>
        <w:rPr>
          <w:spacing w:val="-4"/>
        </w:rPr>
        <w:t>以金融科技为基础的综合金融生态服务体系。公司实施以上战略布局，是公司为企业长远发展而采取的积极措施，并且在各</w:t>
      </w:r>
      <w:r>
        <w:rPr>
          <w:spacing w:val="43"/>
        </w:rPr>
        <w:t> </w:t>
      </w:r>
      <w:r>
        <w:rPr>
          <w:spacing w:val="43"/>
        </w:rPr>
      </w:r>
      <w:r>
        <w:rPr>
          <w:spacing w:val="-4"/>
        </w:rPr>
        <w:t>项战略投资实施之前，公司已对新兴业务的发展空间和项目可行性进行了充分的论证。但是由于部分新业务，如个人征信服</w:t>
      </w:r>
      <w:r>
        <w:rPr>
          <w:spacing w:val="43"/>
        </w:rPr>
        <w:t> </w:t>
      </w:r>
      <w:r>
        <w:rPr>
          <w:spacing w:val="43"/>
        </w:rPr>
      </w:r>
      <w:r>
        <w:rPr>
          <w:spacing w:val="-4"/>
        </w:rPr>
        <w:t>务、数据服务、证券业务等，在业务开展初期阶段需要比较高的投入，可能在一定时期内不具备盈利能力，因此可能致使公</w:t>
      </w:r>
      <w:r>
        <w:rPr>
          <w:spacing w:val="41"/>
        </w:rPr>
        <w:t> </w:t>
      </w:r>
      <w:r>
        <w:rPr>
          <w:spacing w:val="41"/>
        </w:rPr>
      </w:r>
      <w:r>
        <w:rPr>
          <w:spacing w:val="-3"/>
        </w:rPr>
        <w:t>司存在短期盈利能力下降的风险，一定时期内影响公司整体的盈利能力。</w:t>
      </w:r>
    </w:p>
    <w:p>
      <w:pPr>
        <w:pStyle w:val="BodyText"/>
        <w:spacing w:line="475" w:lineRule="auto" w:before="153"/>
        <w:ind w:right="1124" w:firstLine="360"/>
        <w:jc w:val="both"/>
      </w:pPr>
      <w:r>
        <w:rPr>
          <w:spacing w:val="-4"/>
        </w:rPr>
        <w:t>针对上述风险，公司一方面将从战略高度充分重视新兴业务的进展，全力推进新业务的健康发展，科学把控新兴业务投</w:t>
      </w:r>
      <w:r>
        <w:rPr>
          <w:w w:val="101"/>
        </w:rPr>
        <w:t> </w:t>
      </w:r>
      <w:r>
        <w:rPr>
          <w:spacing w:val="-3"/>
        </w:rPr>
        <w:t>资进度，降低投资风险；另一方面将努力推进成熟业务的业绩提升，保持公司整体盈利情况的合理性。</w:t>
      </w:r>
    </w:p>
    <w:p>
      <w:pPr>
        <w:pStyle w:val="BodyText"/>
        <w:spacing w:line="240" w:lineRule="auto" w:before="159"/>
        <w:ind w:left="513" w:right="0"/>
        <w:jc w:val="left"/>
      </w:pPr>
      <w:r>
        <w:rPr>
          <w:rFonts w:ascii="宋体" w:hAnsi="宋体" w:cs="宋体" w:eastAsia="宋体" w:hint="default"/>
        </w:rPr>
        <w:t>2</w:t>
      </w:r>
      <w:r>
        <w:rPr/>
        <w:t>、运营资金短缺风险</w:t>
      </w:r>
    </w:p>
    <w:p>
      <w:pPr>
        <w:spacing w:line="240" w:lineRule="auto" w:before="4"/>
        <w:rPr>
          <w:rFonts w:ascii="宋体" w:hAnsi="宋体" w:cs="宋体" w:eastAsia="宋体" w:hint="default"/>
          <w:sz w:val="25"/>
          <w:szCs w:val="25"/>
        </w:rPr>
      </w:pPr>
    </w:p>
    <w:p>
      <w:pPr>
        <w:pStyle w:val="BodyText"/>
        <w:spacing w:line="480" w:lineRule="auto"/>
        <w:ind w:right="1124" w:firstLine="360"/>
        <w:jc w:val="both"/>
      </w:pPr>
      <w:r>
        <w:rPr>
          <w:spacing w:val="-5"/>
        </w:rPr>
        <w:t>随着公司新业务板块持续拓展，经营规模不断扩大，公司对运营资金的需求日益扩大。如果不能及时解决资金需求，将</w:t>
      </w:r>
      <w:r>
        <w:rPr>
          <w:w w:val="101"/>
        </w:rPr>
        <w:t> </w:t>
      </w:r>
      <w:r>
        <w:rPr>
          <w:spacing w:val="-3"/>
        </w:rPr>
        <w:t>给公司的业务运营和后续发展带来风险。</w:t>
      </w:r>
    </w:p>
    <w:p>
      <w:pPr>
        <w:pStyle w:val="BodyText"/>
        <w:spacing w:line="477" w:lineRule="auto" w:before="151"/>
        <w:ind w:right="1122" w:firstLine="360"/>
        <w:jc w:val="both"/>
      </w:pPr>
      <w:r>
        <w:rPr>
          <w:spacing w:val="-4"/>
        </w:rPr>
        <w:t>针对上述风险，公司首先将加强公司应收账款的管理，进一步严控企业成本，加强自有资金和募集资金的有效利用，持</w:t>
      </w:r>
      <w:r>
        <w:rPr>
          <w:w w:val="101"/>
        </w:rPr>
        <w:t> </w:t>
      </w:r>
      <w:r>
        <w:rPr>
          <w:spacing w:val="-8"/>
          <w:w w:val="101"/>
        </w:rPr>
        <w:t>续改善公司现金流情况，确保日常运营资金充足；同时充分利用上市公司融资平台和其他融资渠道，适时筹措运营发展资金，</w:t>
      </w:r>
      <w:r>
        <w:rPr>
          <w:spacing w:val="-53"/>
          <w:w w:val="101"/>
        </w:rPr>
        <w:t> </w:t>
      </w:r>
      <w:r>
        <w:rPr>
          <w:spacing w:val="-53"/>
          <w:w w:val="101"/>
        </w:rPr>
      </w:r>
      <w:r>
        <w:rPr>
          <w:spacing w:val="-3"/>
        </w:rPr>
        <w:t>降低公司运营资金短缺的风险。</w:t>
      </w:r>
    </w:p>
    <w:p>
      <w:pPr>
        <w:spacing w:after="0" w:line="477" w:lineRule="auto"/>
        <w:jc w:val="both"/>
        <w:sectPr>
          <w:headerReference w:type="default" r:id="rId7"/>
          <w:footerReference w:type="default" r:id="rId8"/>
          <w:pgSz w:w="11910" w:h="16840"/>
          <w:pgMar w:header="871" w:footer="1186" w:top="1100" w:bottom="1380" w:left="980" w:right="0"/>
          <w:pgNumType w:start="2"/>
        </w:sectPr>
      </w:pPr>
    </w:p>
    <w:p>
      <w:pPr>
        <w:spacing w:line="240" w:lineRule="auto" w:before="1"/>
        <w:rPr>
          <w:rFonts w:ascii="宋体" w:hAnsi="宋体" w:cs="宋体" w:eastAsia="宋体" w:hint="default"/>
          <w:sz w:val="28"/>
          <w:szCs w:val="28"/>
        </w:rPr>
      </w:pPr>
    </w:p>
    <w:p>
      <w:pPr>
        <w:pStyle w:val="BodyText"/>
        <w:spacing w:line="240" w:lineRule="auto" w:before="46"/>
        <w:ind w:left="513" w:right="0"/>
        <w:jc w:val="left"/>
      </w:pPr>
      <w:r>
        <w:rPr>
          <w:rFonts w:ascii="宋体" w:hAnsi="宋体" w:cs="宋体" w:eastAsia="宋体" w:hint="default"/>
        </w:rPr>
        <w:t>3</w:t>
      </w:r>
      <w:r>
        <w:rPr/>
        <w:t>、经营管理风险</w:t>
      </w:r>
    </w:p>
    <w:p>
      <w:pPr>
        <w:spacing w:line="240" w:lineRule="auto" w:before="4"/>
        <w:rPr>
          <w:rFonts w:ascii="宋体" w:hAnsi="宋体" w:cs="宋体" w:eastAsia="宋体" w:hint="default"/>
          <w:sz w:val="25"/>
          <w:szCs w:val="25"/>
        </w:rPr>
      </w:pPr>
    </w:p>
    <w:p>
      <w:pPr>
        <w:pStyle w:val="BodyText"/>
        <w:spacing w:line="477" w:lineRule="auto"/>
        <w:ind w:right="1037" w:firstLine="360"/>
        <w:jc w:val="both"/>
      </w:pPr>
      <w:r>
        <w:rPr>
          <w:spacing w:val="-5"/>
        </w:rPr>
        <w:t>随着公司业务领域的持续拓展、经营规模的不断扩大，公司组织结构和管理体系日趋复杂，公司的经营决策、风险控制</w:t>
      </w:r>
      <w:r>
        <w:rPr>
          <w:w w:val="101"/>
        </w:rPr>
        <w:t> </w:t>
      </w:r>
      <w:r>
        <w:rPr>
          <w:spacing w:val="-4"/>
        </w:rPr>
        <w:t>的难度大为增加，对公司管理团队的人才储备、管理水平以及驾驭经营管理风险的能力提出了更高的要求。如果公司在经营</w:t>
      </w:r>
      <w:r>
        <w:rPr>
          <w:spacing w:val="43"/>
        </w:rPr>
        <w:t> </w:t>
      </w:r>
      <w:r>
        <w:rPr>
          <w:spacing w:val="43"/>
        </w:rPr>
      </w:r>
      <w:r>
        <w:rPr>
          <w:spacing w:val="-3"/>
        </w:rPr>
        <w:t>管理过程中不能解决人才、文化、管理能力、管理效率等方面的新的挑战，将对公司的有效运营和业务发展带来一定风险。</w:t>
      </w:r>
    </w:p>
    <w:p>
      <w:pPr>
        <w:pStyle w:val="BodyText"/>
        <w:spacing w:line="475" w:lineRule="auto" w:before="157"/>
        <w:ind w:right="1124" w:firstLine="360"/>
        <w:jc w:val="both"/>
      </w:pPr>
      <w:r>
        <w:rPr>
          <w:spacing w:val="-5"/>
        </w:rPr>
        <w:t>针对上述风险，公司持续引进、储备高素质人才，严格按照上市公司规范治理要求，不断优化、整合业务结构，加强内</w:t>
      </w:r>
      <w:r>
        <w:rPr>
          <w:w w:val="101"/>
        </w:rPr>
        <w:t> </w:t>
      </w:r>
      <w:r>
        <w:rPr>
          <w:spacing w:val="-3"/>
        </w:rPr>
        <w:t>控体系建设，提升管理水平，提高公司经营管理抗风险的能力。</w:t>
      </w:r>
    </w:p>
    <w:p>
      <w:pPr>
        <w:pStyle w:val="BodyText"/>
        <w:spacing w:line="240" w:lineRule="auto" w:before="154"/>
        <w:ind w:left="513" w:right="0"/>
        <w:jc w:val="left"/>
      </w:pPr>
      <w:r>
        <w:rPr>
          <w:rFonts w:ascii="宋体" w:hAnsi="宋体" w:cs="宋体" w:eastAsia="宋体" w:hint="default"/>
          <w:spacing w:val="-3"/>
        </w:rPr>
        <w:t>4</w:t>
      </w:r>
      <w:r>
        <w:rPr>
          <w:spacing w:val="-3"/>
        </w:rPr>
        <w:t>、非公开发行股票募集资金的相关风险</w:t>
      </w:r>
    </w:p>
    <w:p>
      <w:pPr>
        <w:spacing w:line="240" w:lineRule="auto" w:before="9"/>
        <w:rPr>
          <w:rFonts w:ascii="宋体" w:hAnsi="宋体" w:cs="宋体" w:eastAsia="宋体" w:hint="default"/>
          <w:sz w:val="25"/>
          <w:szCs w:val="25"/>
        </w:rPr>
      </w:pPr>
    </w:p>
    <w:p>
      <w:pPr>
        <w:pStyle w:val="BodyText"/>
        <w:spacing w:line="240" w:lineRule="auto"/>
        <w:ind w:left="513" w:right="0"/>
        <w:jc w:val="left"/>
      </w:pPr>
      <w:r>
        <w:rPr/>
        <w:t>经</w:t>
      </w:r>
      <w:r>
        <w:rPr>
          <w:spacing w:val="-34"/>
        </w:rPr>
        <w:t> </w:t>
      </w:r>
      <w:r>
        <w:rPr>
          <w:rFonts w:ascii="宋体" w:hAnsi="宋体" w:cs="宋体" w:eastAsia="宋体" w:hint="default"/>
        </w:rPr>
        <w:t>2020</w:t>
      </w:r>
      <w:r>
        <w:rPr>
          <w:rFonts w:ascii="宋体" w:hAnsi="宋体" w:cs="宋体" w:eastAsia="宋体" w:hint="default"/>
          <w:spacing w:val="-34"/>
        </w:rPr>
        <w:t> </w:t>
      </w:r>
      <w:r>
        <w:rPr/>
        <w:t>年</w:t>
      </w:r>
      <w:r>
        <w:rPr>
          <w:spacing w:val="-34"/>
        </w:rPr>
        <w:t> </w:t>
      </w:r>
      <w:r>
        <w:rPr>
          <w:rFonts w:ascii="宋体" w:hAnsi="宋体" w:cs="宋体" w:eastAsia="宋体" w:hint="default"/>
        </w:rPr>
        <w:t>4</w:t>
      </w:r>
      <w:r>
        <w:rPr>
          <w:rFonts w:ascii="宋体" w:hAnsi="宋体" w:cs="宋体" w:eastAsia="宋体" w:hint="default"/>
          <w:spacing w:val="-34"/>
        </w:rPr>
        <w:t> </w:t>
      </w:r>
      <w:r>
        <w:rPr/>
        <w:t>月</w:t>
      </w:r>
      <w:r>
        <w:rPr>
          <w:spacing w:val="-34"/>
        </w:rPr>
        <w:t> </w:t>
      </w:r>
      <w:r>
        <w:rPr>
          <w:rFonts w:ascii="宋体" w:hAnsi="宋体" w:cs="宋体" w:eastAsia="宋体" w:hint="default"/>
        </w:rPr>
        <w:t>8</w:t>
      </w:r>
      <w:r>
        <w:rPr>
          <w:rFonts w:ascii="宋体" w:hAnsi="宋体" w:cs="宋体" w:eastAsia="宋体" w:hint="default"/>
          <w:spacing w:val="-34"/>
        </w:rPr>
        <w:t> </w:t>
      </w:r>
      <w:r>
        <w:rPr>
          <w:spacing w:val="-10"/>
        </w:rPr>
        <w:t>日、</w:t>
      </w:r>
      <w:r>
        <w:rPr>
          <w:rFonts w:ascii="宋体" w:hAnsi="宋体" w:cs="宋体" w:eastAsia="宋体" w:hint="default"/>
          <w:spacing w:val="-10"/>
        </w:rPr>
        <w:t>4</w:t>
      </w:r>
      <w:r>
        <w:rPr>
          <w:rFonts w:ascii="宋体" w:hAnsi="宋体" w:cs="宋体" w:eastAsia="宋体" w:hint="default"/>
          <w:spacing w:val="-41"/>
        </w:rPr>
        <w:t> </w:t>
      </w:r>
      <w:r>
        <w:rPr/>
        <w:t>月</w:t>
      </w:r>
      <w:r>
        <w:rPr>
          <w:spacing w:val="-34"/>
        </w:rPr>
        <w:t> </w:t>
      </w:r>
      <w:r>
        <w:rPr>
          <w:rFonts w:ascii="宋体" w:hAnsi="宋体" w:cs="宋体" w:eastAsia="宋体" w:hint="default"/>
        </w:rPr>
        <w:t>24</w:t>
      </w:r>
      <w:r>
        <w:rPr>
          <w:rFonts w:ascii="宋体" w:hAnsi="宋体" w:cs="宋体" w:eastAsia="宋体" w:hint="default"/>
          <w:spacing w:val="-34"/>
        </w:rPr>
        <w:t> </w:t>
      </w:r>
      <w:r>
        <w:rPr>
          <w:spacing w:val="-4"/>
        </w:rPr>
        <w:t>日公司第四届董事会第二十一次会议、</w:t>
      </w:r>
      <w:r>
        <w:rPr>
          <w:rFonts w:ascii="宋体" w:hAnsi="宋体" w:cs="宋体" w:eastAsia="宋体" w:hint="default"/>
          <w:spacing w:val="-4"/>
        </w:rPr>
        <w:t>2020</w:t>
      </w:r>
      <w:r>
        <w:rPr>
          <w:rFonts w:ascii="宋体" w:hAnsi="宋体" w:cs="宋体" w:eastAsia="宋体" w:hint="default"/>
          <w:spacing w:val="-34"/>
        </w:rPr>
        <w:t> </w:t>
      </w:r>
      <w:r>
        <w:rPr>
          <w:spacing w:val="-4"/>
        </w:rPr>
        <w:t>年第一次临时股东大会审议通过，公司拟通过</w:t>
      </w:r>
    </w:p>
    <w:p>
      <w:pPr>
        <w:spacing w:line="240" w:lineRule="auto" w:before="8"/>
        <w:rPr>
          <w:rFonts w:ascii="宋体" w:hAnsi="宋体" w:cs="宋体" w:eastAsia="宋体" w:hint="default"/>
          <w:sz w:val="17"/>
          <w:szCs w:val="17"/>
        </w:rPr>
      </w:pPr>
    </w:p>
    <w:p>
      <w:pPr>
        <w:pStyle w:val="BodyText"/>
        <w:spacing w:line="477" w:lineRule="auto"/>
        <w:ind w:right="1122"/>
        <w:jc w:val="both"/>
      </w:pPr>
      <w:r>
        <w:rPr/>
        <w:t>非公开发行股票募集资金 </w:t>
      </w:r>
      <w:r>
        <w:rPr>
          <w:rFonts w:ascii="宋体" w:hAnsi="宋体" w:cs="宋体" w:eastAsia="宋体" w:hint="default"/>
        </w:rPr>
        <w:t>13.53 </w:t>
      </w:r>
      <w:r>
        <w:rPr>
          <w:spacing w:val="-5"/>
        </w:rPr>
        <w:t>亿元，用于银行数字化转型解决方案、银行智能设备产业化、研发中心、补充流动资金和归</w:t>
      </w:r>
      <w:r>
        <w:rPr>
          <w:spacing w:val="-66"/>
        </w:rPr>
        <w:t> </w:t>
      </w:r>
      <w:r>
        <w:rPr>
          <w:spacing w:val="-66"/>
        </w:rPr>
      </w:r>
      <w:r>
        <w:rPr>
          <w:spacing w:val="-4"/>
        </w:rPr>
        <w:t>还银行贷款等项目。本次非公开发行股票方案能否通过中国证监会的审核并发行成功尚存在不确定性，请广大投资者理性投</w:t>
      </w:r>
      <w:r>
        <w:rPr>
          <w:spacing w:val="44"/>
        </w:rPr>
        <w:t> </w:t>
      </w:r>
      <w:r>
        <w:rPr>
          <w:spacing w:val="44"/>
        </w:rPr>
      </w:r>
      <w:r>
        <w:rPr>
          <w:spacing w:val="-3"/>
        </w:rPr>
        <w:t>资，注意投资风险。</w:t>
      </w:r>
    </w:p>
    <w:p>
      <w:pPr>
        <w:pStyle w:val="BodyText"/>
        <w:spacing w:line="240" w:lineRule="auto" w:before="157"/>
        <w:ind w:left="513" w:right="0"/>
        <w:jc w:val="left"/>
      </w:pPr>
      <w:r>
        <w:rPr>
          <w:rFonts w:ascii="宋体" w:hAnsi="宋体" w:cs="宋体" w:eastAsia="宋体" w:hint="default"/>
          <w:spacing w:val="-3"/>
        </w:rPr>
        <w:t>5</w:t>
      </w:r>
      <w:r>
        <w:rPr>
          <w:spacing w:val="-3"/>
        </w:rPr>
        <w:t>、新型冠状病毒肺炎疫情风险</w:t>
      </w:r>
    </w:p>
    <w:p>
      <w:pPr>
        <w:spacing w:line="240" w:lineRule="auto" w:before="4"/>
        <w:rPr>
          <w:rFonts w:ascii="宋体" w:hAnsi="宋体" w:cs="宋体" w:eastAsia="宋体" w:hint="default"/>
          <w:sz w:val="25"/>
          <w:szCs w:val="25"/>
        </w:rPr>
      </w:pPr>
    </w:p>
    <w:p>
      <w:pPr>
        <w:pStyle w:val="BodyText"/>
        <w:spacing w:line="477" w:lineRule="auto"/>
        <w:ind w:right="1122" w:firstLine="360"/>
        <w:jc w:val="both"/>
      </w:pPr>
      <w:r>
        <w:rPr/>
        <w:t>自</w:t>
      </w:r>
      <w:r>
        <w:rPr>
          <w:spacing w:val="-27"/>
        </w:rPr>
        <w:t> </w:t>
      </w:r>
      <w:r>
        <w:rPr>
          <w:rFonts w:ascii="宋体" w:hAnsi="宋体" w:cs="宋体" w:eastAsia="宋体" w:hint="default"/>
        </w:rPr>
        <w:t>2020</w:t>
      </w:r>
      <w:r>
        <w:rPr>
          <w:rFonts w:ascii="宋体" w:hAnsi="宋体" w:cs="宋体" w:eastAsia="宋体" w:hint="default"/>
          <w:spacing w:val="-27"/>
        </w:rPr>
        <w:t> </w:t>
      </w:r>
      <w:r>
        <w:rPr/>
        <w:t>年</w:t>
      </w:r>
      <w:r>
        <w:rPr>
          <w:spacing w:val="-27"/>
        </w:rPr>
        <w:t> </w:t>
      </w:r>
      <w:r>
        <w:rPr>
          <w:rFonts w:ascii="宋体" w:hAnsi="宋体" w:cs="宋体" w:eastAsia="宋体" w:hint="default"/>
        </w:rPr>
        <w:t>1</w:t>
      </w:r>
      <w:r>
        <w:rPr>
          <w:rFonts w:ascii="宋体" w:hAnsi="宋体" w:cs="宋体" w:eastAsia="宋体" w:hint="default"/>
          <w:spacing w:val="-27"/>
        </w:rPr>
        <w:t> </w:t>
      </w:r>
      <w:r>
        <w:rPr>
          <w:spacing w:val="-5"/>
        </w:rPr>
        <w:t>月新型冠状病毒肺炎疫情爆发以来，随着疫情蔓延，全国范围内影响广泛。公司</w:t>
      </w:r>
      <w:r>
        <w:rPr>
          <w:spacing w:val="-26"/>
        </w:rPr>
        <w:t> </w:t>
      </w:r>
      <w:r>
        <w:rPr>
          <w:rFonts w:ascii="宋体" w:hAnsi="宋体" w:cs="宋体" w:eastAsia="宋体" w:hint="default"/>
        </w:rPr>
        <w:t>2020</w:t>
      </w:r>
      <w:r>
        <w:rPr>
          <w:rFonts w:ascii="宋体" w:hAnsi="宋体" w:cs="宋体" w:eastAsia="宋体" w:hint="default"/>
          <w:spacing w:val="-27"/>
        </w:rPr>
        <w:t> </w:t>
      </w:r>
      <w:r>
        <w:rPr>
          <w:spacing w:val="-3"/>
        </w:rPr>
        <w:t>年春节假期之后复工</w:t>
      </w:r>
      <w:r>
        <w:rPr>
          <w:w w:val="101"/>
        </w:rPr>
        <w:t> </w:t>
      </w:r>
      <w:r>
        <w:rPr>
          <w:spacing w:val="-4"/>
        </w:rPr>
        <w:t>时间延迟、客户项目延期交付、综合成本率有所提高，公司业绩在短期内将受到一定影响，但整体影响有限。公司将继续贯</w:t>
      </w:r>
      <w:r>
        <w:rPr>
          <w:spacing w:val="40"/>
        </w:rPr>
        <w:t> </w:t>
      </w:r>
      <w:r>
        <w:rPr>
          <w:spacing w:val="40"/>
        </w:rPr>
      </w:r>
      <w:r>
        <w:rPr>
          <w:spacing w:val="-3"/>
        </w:rPr>
        <w:t>彻落实疫情防控工作，采取积极措施做好生产经营和成本管控，最大限度降低疫情对公司的影响。</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20"/>
          <w:szCs w:val="20"/>
        </w:rPr>
      </w:pPr>
    </w:p>
    <w:p>
      <w:pPr>
        <w:pStyle w:val="BodyText"/>
        <w:spacing w:line="240" w:lineRule="auto"/>
        <w:ind w:left="513" w:right="0"/>
        <w:jc w:val="left"/>
      </w:pPr>
      <w:r>
        <w:rPr>
          <w:spacing w:val="-3"/>
        </w:rPr>
        <w:t>公司计划不派发现金红利，不送红股，不以公积金转增股本。</w:t>
      </w:r>
    </w:p>
    <w:p>
      <w:pPr>
        <w:spacing w:after="0" w:line="240" w:lineRule="auto"/>
        <w:jc w:val="left"/>
        <w:sectPr>
          <w:pgSz w:w="11910" w:h="16840"/>
          <w:pgMar w:header="871" w:footer="1186" w:top="1100" w:bottom="138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6"/>
          <w:szCs w:val="26"/>
        </w:rPr>
      </w:pPr>
    </w:p>
    <w:p>
      <w:pPr>
        <w:spacing w:line="460" w:lineRule="exact" w:before="0"/>
        <w:ind w:left="136" w:right="1110" w:firstLine="0"/>
        <w:jc w:val="center"/>
        <w:rPr>
          <w:rFonts w:ascii="宋体" w:hAnsi="宋体" w:cs="宋体" w:eastAsia="宋体" w:hint="default"/>
          <w:sz w:val="36"/>
          <w:szCs w:val="36"/>
        </w:rPr>
      </w:pPr>
      <w:r>
        <w:rPr>
          <w:rFonts w:ascii="宋体" w:hAnsi="宋体" w:cs="宋体" w:eastAsia="宋体" w:hint="default"/>
          <w:b/>
          <w:bCs/>
          <w:spacing w:val="4"/>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2"/>
        <w:rPr>
          <w:rFonts w:ascii="宋体" w:hAnsi="宋体" w:cs="宋体" w:eastAsia="宋体" w:hint="default"/>
          <w:b/>
          <w:bCs/>
          <w:sz w:val="42"/>
          <w:szCs w:val="42"/>
        </w:rPr>
      </w:pPr>
    </w:p>
    <w:sdt>
      <w:sdtPr>
        <w:docPartObj>
          <w:docPartGallery w:val="Table of Contents"/>
          <w:docPartUnique/>
        </w:docPartObj>
      </w:sdtPr>
      <w:sdtEndPr/>
      <w:sdtContent>
        <w:p>
          <w:pPr>
            <w:pStyle w:val="TOC1"/>
            <w:tabs>
              <w:tab w:pos="9785" w:val="right" w:leader="dot"/>
            </w:tabs>
            <w:spacing w:line="240" w:lineRule="auto" w:before="0"/>
            <w:ind w:right="0"/>
            <w:jc w:val="left"/>
            <w:rPr>
              <w:rFonts w:ascii="Times New Roman" w:hAnsi="Times New Roman" w:cs="Times New Roman" w:eastAsia="Times New Roman" w:hint="default"/>
              <w:b w:val="0"/>
              <w:bCs w:val="0"/>
            </w:rPr>
          </w:pPr>
          <w:r>
            <w:fldChar w:fldCharType="begin"/>
          </w:r>
          <w:r>
            <w:instrText>TOC \o "1-1" \h \z \u </w:instrText>
          </w:r>
          <w:r>
            <w:fldChar w:fldCharType="separate"/>
          </w:r>
          <w:hyperlink w:history="true" w:anchor="_bookmark0">
            <w:r>
              <w:rPr/>
              <w:t>第一节</w:t>
            </w:r>
            <w:r>
              <w:rPr>
                <w:spacing w:val="-1"/>
              </w:rPr>
              <w:t> </w:t>
            </w:r>
            <w:r>
              <w:rPr/>
              <w:t>重要提示、目录和释义</w:t>
            </w:r>
            <w:r>
              <w:rPr>
                <w:rFonts w:ascii="Times New Roman" w:hAnsi="Times New Roman" w:cs="Times New Roman" w:eastAsia="Times New Roman" w:hint="default"/>
              </w:rPr>
              <w:tab/>
              <w:t>2</w:t>
            </w:r>
            <w:r>
              <w:rPr>
                <w:rFonts w:ascii="Times New Roman" w:hAnsi="Times New Roman" w:cs="Times New Roman" w:eastAsia="Times New Roman" w:hint="default"/>
                <w:b w:val="0"/>
                <w:bCs w:val="0"/>
              </w:rPr>
            </w:r>
          </w:hyperlink>
        </w:p>
        <w:p>
          <w:pPr>
            <w:pStyle w:val="TOC1"/>
            <w:tabs>
              <w:tab w:pos="9785" w:val="right" w:leader="dot"/>
            </w:tabs>
            <w:spacing w:line="240" w:lineRule="auto"/>
            <w:ind w:right="0"/>
            <w:jc w:val="left"/>
            <w:rPr>
              <w:rFonts w:ascii="Times New Roman" w:hAnsi="Times New Roman" w:cs="Times New Roman" w:eastAsia="Times New Roman" w:hint="default"/>
              <w:b w:val="0"/>
              <w:bCs w:val="0"/>
            </w:rPr>
          </w:pPr>
          <w:hyperlink w:history="true" w:anchor="_bookmark1">
            <w:r>
              <w:rPr/>
              <w:t>第二节</w:t>
            </w:r>
            <w:r>
              <w:rPr>
                <w:spacing w:val="-1"/>
              </w:rPr>
              <w:t> </w:t>
            </w:r>
            <w:r>
              <w:rPr/>
              <w:t>公司简介和主要财务指标</w:t>
            </w:r>
            <w:r>
              <w:rPr>
                <w:rFonts w:ascii="Times New Roman" w:hAnsi="Times New Roman" w:cs="Times New Roman" w:eastAsia="Times New Roman" w:hint="default"/>
              </w:rPr>
              <w:tab/>
              <w:t>7</w:t>
            </w:r>
            <w:r>
              <w:rPr>
                <w:rFonts w:ascii="Times New Roman" w:hAnsi="Times New Roman" w:cs="Times New Roman" w:eastAsia="Times New Roman" w:hint="default"/>
                <w:b w:val="0"/>
                <w:bCs w:val="0"/>
              </w:rPr>
            </w:r>
          </w:hyperlink>
        </w:p>
        <w:p>
          <w:pPr>
            <w:pStyle w:val="TOC1"/>
            <w:tabs>
              <w:tab w:pos="9770" w:val="right" w:leader="dot"/>
            </w:tabs>
            <w:spacing w:line="240" w:lineRule="auto" w:before="158"/>
            <w:ind w:right="0"/>
            <w:jc w:val="left"/>
            <w:rPr>
              <w:rFonts w:ascii="Times New Roman" w:hAnsi="Times New Roman" w:cs="Times New Roman" w:eastAsia="Times New Roman" w:hint="default"/>
              <w:b w:val="0"/>
              <w:bCs w:val="0"/>
            </w:rPr>
          </w:pPr>
          <w:hyperlink w:history="true" w:anchor="_bookmark2">
            <w:r>
              <w:rPr/>
              <w:t>第三节</w:t>
            </w:r>
            <w:r>
              <w:rPr>
                <w:spacing w:val="-1"/>
              </w:rPr>
              <w:t> </w:t>
            </w:r>
            <w:r>
              <w:rPr/>
              <w:t>公司业务概要</w:t>
            </w:r>
            <w:r>
              <w:rPr>
                <w:rFonts w:ascii="Times New Roman" w:hAnsi="Times New Roman" w:cs="Times New Roman" w:eastAsia="Times New Roman" w:hint="default"/>
              </w:rPr>
              <w:tab/>
            </w:r>
            <w:r>
              <w:rPr>
                <w:rFonts w:ascii="Times New Roman" w:hAnsi="Times New Roman" w:cs="Times New Roman" w:eastAsia="Times New Roman" w:hint="default"/>
                <w:spacing w:val="-15"/>
              </w:rPr>
              <w:t>11</w:t>
            </w:r>
            <w:r>
              <w:rPr>
                <w:rFonts w:ascii="Times New Roman" w:hAnsi="Times New Roman" w:cs="Times New Roman" w:eastAsia="Times New Roman" w:hint="default"/>
                <w:b w:val="0"/>
                <w:bCs w:val="0"/>
              </w:rPr>
            </w:r>
          </w:hyperlink>
        </w:p>
        <w:p>
          <w:pPr>
            <w:pStyle w:val="TOC1"/>
            <w:tabs>
              <w:tab w:pos="9785" w:val="right" w:leader="dot"/>
            </w:tabs>
            <w:spacing w:line="240" w:lineRule="auto"/>
            <w:ind w:right="0"/>
            <w:jc w:val="left"/>
            <w:rPr>
              <w:rFonts w:ascii="Times New Roman" w:hAnsi="Times New Roman" w:cs="Times New Roman" w:eastAsia="Times New Roman" w:hint="default"/>
              <w:b w:val="0"/>
              <w:bCs w:val="0"/>
            </w:rPr>
          </w:pPr>
          <w:hyperlink w:history="true" w:anchor="_bookmark3">
            <w:r>
              <w:rPr/>
              <w:t>第四节</w:t>
            </w:r>
            <w:r>
              <w:rPr>
                <w:spacing w:val="-2"/>
              </w:rPr>
              <w:t> </w:t>
            </w:r>
            <w:r>
              <w:rPr/>
              <w:t>经营情况讨论与分析</w:t>
            </w:r>
            <w:r>
              <w:rPr>
                <w:rFonts w:ascii="Times New Roman" w:hAnsi="Times New Roman" w:cs="Times New Roman" w:eastAsia="Times New Roman" w:hint="default"/>
              </w:rPr>
              <w:tab/>
              <w:t>19</w:t>
            </w:r>
            <w:r>
              <w:rPr>
                <w:rFonts w:ascii="Times New Roman" w:hAnsi="Times New Roman" w:cs="Times New Roman" w:eastAsia="Times New Roman" w:hint="default"/>
                <w:b w:val="0"/>
                <w:bCs w:val="0"/>
              </w:rPr>
            </w:r>
          </w:hyperlink>
        </w:p>
        <w:p>
          <w:pPr>
            <w:pStyle w:val="TOC1"/>
            <w:tabs>
              <w:tab w:pos="9785" w:val="right" w:leader="dot"/>
            </w:tabs>
            <w:spacing w:line="240" w:lineRule="auto" w:before="157"/>
            <w:ind w:right="0"/>
            <w:jc w:val="left"/>
            <w:rPr>
              <w:rFonts w:ascii="Times New Roman" w:hAnsi="Times New Roman" w:cs="Times New Roman" w:eastAsia="Times New Roman" w:hint="default"/>
              <w:b w:val="0"/>
              <w:bCs w:val="0"/>
            </w:rPr>
          </w:pPr>
          <w:hyperlink w:history="true" w:anchor="_bookmark4">
            <w:r>
              <w:rPr/>
              <w:t>第五节</w:t>
            </w:r>
            <w:r>
              <w:rPr>
                <w:spacing w:val="-2"/>
              </w:rPr>
              <w:t> </w:t>
            </w:r>
            <w:r>
              <w:rPr/>
              <w:t>重要事项</w:t>
            </w:r>
            <w:r>
              <w:rPr>
                <w:rFonts w:ascii="Times New Roman" w:hAnsi="Times New Roman" w:cs="Times New Roman" w:eastAsia="Times New Roman" w:hint="default"/>
              </w:rPr>
              <w:tab/>
              <w:t>40</w:t>
            </w:r>
            <w:r>
              <w:rPr>
                <w:rFonts w:ascii="Times New Roman" w:hAnsi="Times New Roman" w:cs="Times New Roman" w:eastAsia="Times New Roman" w:hint="default"/>
                <w:b w:val="0"/>
                <w:bCs w:val="0"/>
              </w:rPr>
            </w:r>
          </w:hyperlink>
        </w:p>
        <w:p>
          <w:pPr>
            <w:pStyle w:val="TOC1"/>
            <w:tabs>
              <w:tab w:pos="9785" w:val="right" w:leader="dot"/>
            </w:tabs>
            <w:spacing w:line="240" w:lineRule="auto"/>
            <w:ind w:right="0"/>
            <w:jc w:val="left"/>
            <w:rPr>
              <w:rFonts w:ascii="Times New Roman" w:hAnsi="Times New Roman" w:cs="Times New Roman" w:eastAsia="Times New Roman" w:hint="default"/>
              <w:b w:val="0"/>
              <w:bCs w:val="0"/>
            </w:rPr>
          </w:pPr>
          <w:hyperlink w:history="true" w:anchor="_bookmark5">
            <w:r>
              <w:rPr/>
              <w:t>第六节</w:t>
            </w:r>
            <w:r>
              <w:rPr>
                <w:spacing w:val="-2"/>
              </w:rPr>
              <w:t> </w:t>
            </w:r>
            <w:r>
              <w:rPr/>
              <w:t>股份变动及股东情况</w:t>
            </w:r>
            <w:r>
              <w:rPr>
                <w:rFonts w:ascii="Times New Roman" w:hAnsi="Times New Roman" w:cs="Times New Roman" w:eastAsia="Times New Roman" w:hint="default"/>
              </w:rPr>
              <w:tab/>
              <w:t>57</w:t>
            </w:r>
            <w:r>
              <w:rPr>
                <w:rFonts w:ascii="Times New Roman" w:hAnsi="Times New Roman" w:cs="Times New Roman" w:eastAsia="Times New Roman" w:hint="default"/>
                <w:b w:val="0"/>
                <w:bCs w:val="0"/>
              </w:rPr>
            </w:r>
          </w:hyperlink>
        </w:p>
        <w:p>
          <w:pPr>
            <w:pStyle w:val="TOC1"/>
            <w:tabs>
              <w:tab w:pos="9785" w:val="right" w:leader="dot"/>
            </w:tabs>
            <w:spacing w:line="240" w:lineRule="auto" w:before="157"/>
            <w:ind w:right="0"/>
            <w:jc w:val="left"/>
            <w:rPr>
              <w:rFonts w:ascii="Times New Roman" w:hAnsi="Times New Roman" w:cs="Times New Roman" w:eastAsia="Times New Roman" w:hint="default"/>
              <w:b w:val="0"/>
              <w:bCs w:val="0"/>
            </w:rPr>
          </w:pPr>
          <w:hyperlink w:history="true" w:anchor="_bookmark6">
            <w:r>
              <w:rPr/>
              <w:t>第七节</w:t>
            </w:r>
            <w:r>
              <w:rPr>
                <w:spacing w:val="-2"/>
              </w:rPr>
              <w:t> </w:t>
            </w:r>
            <w:r>
              <w:rPr/>
              <w:t>优先股相关情况</w:t>
            </w:r>
            <w:r>
              <w:rPr>
                <w:rFonts w:ascii="Times New Roman" w:hAnsi="Times New Roman" w:cs="Times New Roman" w:eastAsia="Times New Roman" w:hint="default"/>
              </w:rPr>
              <w:tab/>
              <w:t>63</w:t>
            </w:r>
            <w:r>
              <w:rPr>
                <w:rFonts w:ascii="Times New Roman" w:hAnsi="Times New Roman" w:cs="Times New Roman" w:eastAsia="Times New Roman" w:hint="default"/>
                <w:b w:val="0"/>
                <w:bCs w:val="0"/>
              </w:rPr>
            </w:r>
          </w:hyperlink>
        </w:p>
        <w:p>
          <w:pPr>
            <w:pStyle w:val="TOC1"/>
            <w:tabs>
              <w:tab w:pos="9785" w:val="right" w:leader="dot"/>
            </w:tabs>
            <w:spacing w:line="240" w:lineRule="auto"/>
            <w:ind w:right="0"/>
            <w:jc w:val="left"/>
            <w:rPr>
              <w:rFonts w:ascii="Times New Roman" w:hAnsi="Times New Roman" w:cs="Times New Roman" w:eastAsia="Times New Roman" w:hint="default"/>
              <w:b w:val="0"/>
              <w:bCs w:val="0"/>
            </w:rPr>
          </w:pPr>
          <w:hyperlink w:history="true" w:anchor="_bookmark7">
            <w:r>
              <w:rPr/>
              <w:t>第八节</w:t>
            </w:r>
            <w:r>
              <w:rPr>
                <w:spacing w:val="-1"/>
              </w:rPr>
              <w:t> </w:t>
            </w:r>
            <w:r>
              <w:rPr/>
              <w:t>可转换公司债券相关情况</w:t>
            </w:r>
            <w:r>
              <w:rPr>
                <w:rFonts w:ascii="Times New Roman" w:hAnsi="Times New Roman" w:cs="Times New Roman" w:eastAsia="Times New Roman" w:hint="default"/>
              </w:rPr>
              <w:tab/>
              <w:t>64</w:t>
            </w:r>
            <w:r>
              <w:rPr>
                <w:rFonts w:ascii="Times New Roman" w:hAnsi="Times New Roman" w:cs="Times New Roman" w:eastAsia="Times New Roman" w:hint="default"/>
                <w:b w:val="0"/>
                <w:bCs w:val="0"/>
              </w:rPr>
            </w:r>
          </w:hyperlink>
        </w:p>
        <w:p>
          <w:pPr>
            <w:pStyle w:val="TOC1"/>
            <w:tabs>
              <w:tab w:pos="9785" w:val="right" w:leader="dot"/>
            </w:tabs>
            <w:spacing w:line="240" w:lineRule="auto" w:before="157"/>
            <w:ind w:right="0"/>
            <w:jc w:val="left"/>
            <w:rPr>
              <w:rFonts w:ascii="Times New Roman" w:hAnsi="Times New Roman" w:cs="Times New Roman" w:eastAsia="Times New Roman" w:hint="default"/>
              <w:b w:val="0"/>
              <w:bCs w:val="0"/>
            </w:rPr>
          </w:pPr>
          <w:hyperlink w:history="true" w:anchor="_bookmark8">
            <w:r>
              <w:rPr/>
              <w:t>第九节</w:t>
            </w:r>
            <w:r>
              <w:rPr>
                <w:spacing w:val="-2"/>
              </w:rPr>
              <w:t> </w:t>
            </w:r>
            <w:r>
              <w:rPr/>
              <w:t>董事、监事、高级管理人员和员工情况</w:t>
            </w:r>
            <w:r>
              <w:rPr>
                <w:rFonts w:ascii="Times New Roman" w:hAnsi="Times New Roman" w:cs="Times New Roman" w:eastAsia="Times New Roman" w:hint="default"/>
              </w:rPr>
              <w:tab/>
              <w:t>65</w:t>
            </w:r>
            <w:r>
              <w:rPr>
                <w:rFonts w:ascii="Times New Roman" w:hAnsi="Times New Roman" w:cs="Times New Roman" w:eastAsia="Times New Roman" w:hint="default"/>
                <w:b w:val="0"/>
                <w:bCs w:val="0"/>
              </w:rPr>
            </w:r>
          </w:hyperlink>
        </w:p>
        <w:p>
          <w:pPr>
            <w:pStyle w:val="TOC1"/>
            <w:tabs>
              <w:tab w:pos="9785" w:val="right" w:leader="dot"/>
            </w:tabs>
            <w:spacing w:line="240" w:lineRule="auto"/>
            <w:ind w:right="0"/>
            <w:jc w:val="left"/>
            <w:rPr>
              <w:rFonts w:ascii="Times New Roman" w:hAnsi="Times New Roman" w:cs="Times New Roman" w:eastAsia="Times New Roman" w:hint="default"/>
              <w:b w:val="0"/>
              <w:bCs w:val="0"/>
            </w:rPr>
          </w:pPr>
          <w:hyperlink w:history="true" w:anchor="_bookmark9">
            <w:r>
              <w:rPr/>
              <w:t>第十节</w:t>
            </w:r>
            <w:r>
              <w:rPr>
                <w:spacing w:val="-2"/>
              </w:rPr>
              <w:t> </w:t>
            </w:r>
            <w:r>
              <w:rPr/>
              <w:t>公司治理</w:t>
            </w:r>
            <w:r>
              <w:rPr>
                <w:rFonts w:ascii="Times New Roman" w:hAnsi="Times New Roman" w:cs="Times New Roman" w:eastAsia="Times New Roman" w:hint="default"/>
              </w:rPr>
              <w:tab/>
              <w:t>72</w:t>
            </w:r>
            <w:r>
              <w:rPr>
                <w:rFonts w:ascii="Times New Roman" w:hAnsi="Times New Roman" w:cs="Times New Roman" w:eastAsia="Times New Roman" w:hint="default"/>
                <w:b w:val="0"/>
                <w:bCs w:val="0"/>
              </w:rPr>
            </w:r>
          </w:hyperlink>
        </w:p>
        <w:p>
          <w:pPr>
            <w:pStyle w:val="TOC1"/>
            <w:tabs>
              <w:tab w:pos="9785" w:val="right" w:leader="dot"/>
            </w:tabs>
            <w:spacing w:line="240" w:lineRule="auto" w:before="157"/>
            <w:ind w:right="0"/>
            <w:jc w:val="left"/>
            <w:rPr>
              <w:rFonts w:ascii="Times New Roman" w:hAnsi="Times New Roman" w:cs="Times New Roman" w:eastAsia="Times New Roman" w:hint="default"/>
              <w:b w:val="0"/>
              <w:bCs w:val="0"/>
            </w:rPr>
          </w:pPr>
          <w:hyperlink w:history="true" w:anchor="_bookmark10">
            <w:r>
              <w:rPr/>
              <w:t>第十一节</w:t>
            </w:r>
            <w:r>
              <w:rPr>
                <w:spacing w:val="-2"/>
              </w:rPr>
              <w:t> </w:t>
            </w:r>
            <w:r>
              <w:rPr/>
              <w:t>公司债券相关情况</w:t>
            </w:r>
            <w:r>
              <w:rPr>
                <w:rFonts w:ascii="Times New Roman" w:hAnsi="Times New Roman" w:cs="Times New Roman" w:eastAsia="Times New Roman" w:hint="default"/>
              </w:rPr>
              <w:tab/>
              <w:t>80</w:t>
            </w:r>
            <w:r>
              <w:rPr>
                <w:rFonts w:ascii="Times New Roman" w:hAnsi="Times New Roman" w:cs="Times New Roman" w:eastAsia="Times New Roman" w:hint="default"/>
                <w:b w:val="0"/>
                <w:bCs w:val="0"/>
              </w:rPr>
            </w:r>
          </w:hyperlink>
        </w:p>
        <w:p>
          <w:pPr>
            <w:pStyle w:val="TOC1"/>
            <w:tabs>
              <w:tab w:pos="9785" w:val="right" w:leader="dot"/>
            </w:tabs>
            <w:spacing w:line="240" w:lineRule="auto"/>
            <w:ind w:right="0"/>
            <w:jc w:val="left"/>
            <w:rPr>
              <w:rFonts w:ascii="Times New Roman" w:hAnsi="Times New Roman" w:cs="Times New Roman" w:eastAsia="Times New Roman" w:hint="default"/>
              <w:b w:val="0"/>
              <w:bCs w:val="0"/>
            </w:rPr>
          </w:pPr>
          <w:hyperlink w:history="true" w:anchor="_bookmark11">
            <w:r>
              <w:rPr/>
              <w:t>第十二节</w:t>
            </w:r>
            <w:r>
              <w:rPr>
                <w:spacing w:val="-1"/>
              </w:rPr>
              <w:t> </w:t>
            </w:r>
            <w:r>
              <w:rPr/>
              <w:t>财务报告</w:t>
            </w:r>
            <w:r>
              <w:rPr>
                <w:rFonts w:ascii="Times New Roman" w:hAnsi="Times New Roman" w:cs="Times New Roman" w:eastAsia="Times New Roman" w:hint="default"/>
              </w:rPr>
              <w:tab/>
              <w:t>81</w:t>
            </w:r>
            <w:r>
              <w:rPr>
                <w:rFonts w:ascii="Times New Roman" w:hAnsi="Times New Roman" w:cs="Times New Roman" w:eastAsia="Times New Roman" w:hint="default"/>
                <w:b w:val="0"/>
                <w:bCs w:val="0"/>
              </w:rPr>
            </w:r>
          </w:hyperlink>
        </w:p>
        <w:p>
          <w:pPr>
            <w:pStyle w:val="TOC1"/>
            <w:tabs>
              <w:tab w:pos="9785" w:val="right" w:leader="dot"/>
            </w:tabs>
            <w:spacing w:line="240" w:lineRule="auto" w:before="157"/>
            <w:ind w:right="0"/>
            <w:jc w:val="left"/>
            <w:rPr>
              <w:rFonts w:ascii="Times New Roman" w:hAnsi="Times New Roman" w:cs="Times New Roman" w:eastAsia="Times New Roman" w:hint="default"/>
              <w:b w:val="0"/>
              <w:bCs w:val="0"/>
            </w:rPr>
          </w:pPr>
          <w:hyperlink w:history="true" w:anchor="_bookmark12">
            <w:r>
              <w:rPr/>
              <w:t>第十三节</w:t>
            </w:r>
            <w:r>
              <w:rPr>
                <w:spacing w:val="-2"/>
              </w:rPr>
              <w:t> </w:t>
            </w:r>
            <w:r>
              <w:rPr/>
              <w:t>备查文件目录</w:t>
            </w:r>
            <w:r>
              <w:rPr>
                <w:rFonts w:ascii="Times New Roman" w:hAnsi="Times New Roman" w:cs="Times New Roman" w:eastAsia="Times New Roman" w:hint="default"/>
              </w:rPr>
              <w:tab/>
            </w:r>
            <w:r>
              <w:rPr>
                <w:rFonts w:ascii="Times New Roman" w:hAnsi="Times New Roman" w:cs="Times New Roman" w:eastAsia="Times New Roman" w:hint="default"/>
                <w:spacing w:val="-5"/>
              </w:rPr>
              <w:t>211</w:t>
            </w:r>
            <w:r>
              <w:rPr>
                <w:rFonts w:ascii="Times New Roman" w:hAnsi="Times New Roman" w:cs="Times New Roman" w:eastAsia="Times New Roman" w:hint="default"/>
                <w:b w:val="0"/>
                <w:bCs w:val="0"/>
                <w:spacing w:val="-5"/>
              </w:rPr>
            </w:r>
          </w:hyperlink>
        </w:p>
        <w:p>
          <w:pPr/>
          <w:r>
            <w:fldChar w:fldCharType="end"/>
          </w:r>
        </w:p>
      </w:sdtContent>
    </w:sdt>
    <w:p>
      <w:pPr>
        <w:spacing w:after="0"/>
        <w:sectPr>
          <w:pgSz w:w="11910" w:h="16840"/>
          <w:pgMar w:header="871" w:footer="1186" w:top="1100" w:bottom="1380" w:left="980" w:right="0"/>
        </w:sectPr>
      </w:pPr>
    </w:p>
    <w:p>
      <w:pPr>
        <w:spacing w:before="898"/>
        <w:ind w:left="136" w:right="1110"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4"/>
          <w:szCs w:val="24"/>
        </w:rPr>
      </w:pPr>
    </w:p>
    <w:tbl>
      <w:tblPr>
        <w:tblW w:w="0" w:type="auto"/>
        <w:jc w:val="left"/>
        <w:tblInd w:w="148" w:type="dxa"/>
        <w:tblLayout w:type="fixed"/>
        <w:tblCellMar>
          <w:top w:w="0" w:type="dxa"/>
          <w:left w:w="0" w:type="dxa"/>
          <w:bottom w:w="0" w:type="dxa"/>
          <w:right w:w="0" w:type="dxa"/>
        </w:tblCellMar>
        <w:tblLook w:val="01E0"/>
      </w:tblPr>
      <w:tblGrid>
        <w:gridCol w:w="3537"/>
        <w:gridCol w:w="600"/>
        <w:gridCol w:w="5438"/>
      </w:tblGrid>
      <w:tr>
        <w:trPr>
          <w:trHeight w:val="403" w:hRule="exact"/>
        </w:trPr>
        <w:tc>
          <w:tcPr>
            <w:tcW w:w="3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5"/>
              <w:jc w:val="center"/>
              <w:rPr>
                <w:rFonts w:ascii="宋体" w:hAnsi="宋体" w:cs="宋体" w:eastAsia="宋体" w:hint="default"/>
                <w:sz w:val="18"/>
                <w:szCs w:val="18"/>
              </w:rPr>
            </w:pPr>
            <w:r>
              <w:rPr>
                <w:rFonts w:ascii="宋体" w:hAnsi="宋体" w:cs="宋体" w:eastAsia="宋体" w:hint="default"/>
                <w:sz w:val="18"/>
                <w:szCs w:val="18"/>
              </w:rPr>
              <w:t>释义项</w:t>
            </w:r>
          </w:p>
        </w:tc>
        <w:tc>
          <w:tcPr>
            <w:tcW w:w="6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6"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3" w:hRule="exact"/>
        </w:trPr>
        <w:tc>
          <w:tcPr>
            <w:tcW w:w="3537"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本公司、公司</w:t>
            </w:r>
          </w:p>
        </w:tc>
        <w:tc>
          <w:tcPr>
            <w:tcW w:w="6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深圳市银之杰科技股份有限公司</w:t>
            </w:r>
          </w:p>
        </w:tc>
      </w:tr>
      <w:tr>
        <w:trPr>
          <w:trHeight w:val="399" w:hRule="exact"/>
        </w:trPr>
        <w:tc>
          <w:tcPr>
            <w:tcW w:w="3537"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pacing w:val="-3"/>
                <w:sz w:val="18"/>
                <w:szCs w:val="18"/>
              </w:rPr>
              <w:t>银之杰智慧科技</w:t>
            </w:r>
          </w:p>
        </w:tc>
        <w:tc>
          <w:tcPr>
            <w:tcW w:w="6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pacing w:val="-3"/>
                <w:sz w:val="18"/>
                <w:szCs w:val="18"/>
              </w:rPr>
              <w:t>深圳银之杰智慧科技有限公司，本公司全资子公司</w:t>
            </w:r>
          </w:p>
        </w:tc>
      </w:tr>
      <w:tr>
        <w:trPr>
          <w:trHeight w:val="403" w:hRule="exact"/>
        </w:trPr>
        <w:tc>
          <w:tcPr>
            <w:tcW w:w="3537"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银之杰拓扑技术</w:t>
            </w:r>
          </w:p>
        </w:tc>
        <w:tc>
          <w:tcPr>
            <w:tcW w:w="6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深圳银之杰拓扑技术有限公司，本公司全资子公司</w:t>
            </w:r>
          </w:p>
        </w:tc>
      </w:tr>
      <w:tr>
        <w:trPr>
          <w:trHeight w:val="403" w:hRule="exact"/>
        </w:trPr>
        <w:tc>
          <w:tcPr>
            <w:tcW w:w="3537"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银之杰资产管理</w:t>
            </w:r>
          </w:p>
        </w:tc>
        <w:tc>
          <w:tcPr>
            <w:tcW w:w="6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深圳银之杰资产管理有限公司，本公司全资子公司</w:t>
            </w:r>
          </w:p>
        </w:tc>
      </w:tr>
      <w:tr>
        <w:trPr>
          <w:trHeight w:val="403" w:hRule="exact"/>
        </w:trPr>
        <w:tc>
          <w:tcPr>
            <w:tcW w:w="3537"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亿美软通</w:t>
            </w:r>
          </w:p>
        </w:tc>
        <w:tc>
          <w:tcPr>
            <w:tcW w:w="6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北京亿美软通科技有限公司，本公司全资子公司</w:t>
            </w:r>
          </w:p>
        </w:tc>
      </w:tr>
      <w:tr>
        <w:trPr>
          <w:trHeight w:val="399" w:hRule="exact"/>
        </w:trPr>
        <w:tc>
          <w:tcPr>
            <w:tcW w:w="3537"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安科创新</w:t>
            </w:r>
          </w:p>
        </w:tc>
        <w:tc>
          <w:tcPr>
            <w:tcW w:w="6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pacing w:val="-3"/>
                <w:sz w:val="18"/>
                <w:szCs w:val="18"/>
              </w:rPr>
              <w:t>安科创新（深圳）有限公司，本公司控股子公司</w:t>
            </w:r>
          </w:p>
        </w:tc>
      </w:tr>
      <w:tr>
        <w:trPr>
          <w:trHeight w:val="403" w:hRule="exact"/>
        </w:trPr>
        <w:tc>
          <w:tcPr>
            <w:tcW w:w="3537"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杰智融</w:t>
            </w:r>
          </w:p>
        </w:tc>
        <w:tc>
          <w:tcPr>
            <w:tcW w:w="6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北京杰智融软件有限公司，本公司控股子公司</w:t>
            </w:r>
          </w:p>
        </w:tc>
      </w:tr>
      <w:tr>
        <w:trPr>
          <w:trHeight w:val="403" w:hRule="exact"/>
        </w:trPr>
        <w:tc>
          <w:tcPr>
            <w:tcW w:w="3537"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华道征信</w:t>
            </w:r>
          </w:p>
        </w:tc>
        <w:tc>
          <w:tcPr>
            <w:tcW w:w="6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北京华道征信有限公司，本公司参股公司</w:t>
            </w:r>
          </w:p>
        </w:tc>
      </w:tr>
      <w:tr>
        <w:trPr>
          <w:trHeight w:val="403" w:hRule="exact"/>
        </w:trPr>
        <w:tc>
          <w:tcPr>
            <w:tcW w:w="3537"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百行征信</w:t>
            </w:r>
          </w:p>
        </w:tc>
        <w:tc>
          <w:tcPr>
            <w:tcW w:w="6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百行征信有限公司，华道征信参股公司</w:t>
            </w:r>
          </w:p>
        </w:tc>
      </w:tr>
      <w:tr>
        <w:trPr>
          <w:trHeight w:val="399" w:hRule="exact"/>
        </w:trPr>
        <w:tc>
          <w:tcPr>
            <w:tcW w:w="3537"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东亚前海证券</w:t>
            </w:r>
          </w:p>
        </w:tc>
        <w:tc>
          <w:tcPr>
            <w:tcW w:w="6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pacing w:val="-3"/>
                <w:sz w:val="18"/>
                <w:szCs w:val="18"/>
              </w:rPr>
              <w:t>东亚前海证券有限责任公司，本公司参股公司</w:t>
            </w:r>
          </w:p>
        </w:tc>
      </w:tr>
      <w:tr>
        <w:trPr>
          <w:trHeight w:val="403" w:hRule="exact"/>
        </w:trPr>
        <w:tc>
          <w:tcPr>
            <w:tcW w:w="3537"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易安保险</w:t>
            </w:r>
          </w:p>
        </w:tc>
        <w:tc>
          <w:tcPr>
            <w:tcW w:w="6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易安财产保险股份有限公司，本公司参股公司</w:t>
            </w:r>
          </w:p>
        </w:tc>
      </w:tr>
      <w:tr>
        <w:trPr>
          <w:trHeight w:val="403" w:hRule="exact"/>
        </w:trPr>
        <w:tc>
          <w:tcPr>
            <w:tcW w:w="3537"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上海保险交易所</w:t>
            </w:r>
          </w:p>
        </w:tc>
        <w:tc>
          <w:tcPr>
            <w:tcW w:w="6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上海保险交易所股份有限公司，本公司参股公司</w:t>
            </w:r>
          </w:p>
        </w:tc>
      </w:tr>
      <w:tr>
        <w:trPr>
          <w:trHeight w:val="403" w:hRule="exact"/>
        </w:trPr>
        <w:tc>
          <w:tcPr>
            <w:tcW w:w="3537"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元（万元）</w:t>
            </w:r>
          </w:p>
        </w:tc>
        <w:tc>
          <w:tcPr>
            <w:tcW w:w="6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人民币元（人民币万元）</w:t>
            </w:r>
          </w:p>
        </w:tc>
      </w:tr>
      <w:tr>
        <w:trPr>
          <w:trHeight w:val="158" w:hRule="exact"/>
        </w:trPr>
        <w:tc>
          <w:tcPr>
            <w:tcW w:w="3537" w:type="dxa"/>
            <w:vMerge w:val="restart"/>
            <w:tcBorders>
              <w:top w:val="single" w:sz="4" w:space="0" w:color="000000"/>
              <w:left w:val="single" w:sz="4" w:space="0" w:color="000000"/>
              <w:right w:val="single" w:sz="13" w:space="0" w:color="D2D2D2"/>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金融科技</w:t>
            </w:r>
          </w:p>
        </w:tc>
        <w:tc>
          <w:tcPr>
            <w:tcW w:w="600" w:type="dxa"/>
            <w:tcBorders>
              <w:top w:val="single" w:sz="4" w:space="0" w:color="000000"/>
              <w:left w:val="single" w:sz="4" w:space="0" w:color="000000"/>
              <w:bottom w:val="nil" w:sz="6" w:space="0" w:color="auto"/>
              <w:right w:val="single" w:sz="4" w:space="0" w:color="000000"/>
            </w:tcBorders>
            <w:shd w:val="clear" w:color="auto" w:fill="D2D2D2"/>
          </w:tcPr>
          <w:p>
            <w:pPr/>
          </w:p>
        </w:tc>
        <w:tc>
          <w:tcPr>
            <w:tcW w:w="5438" w:type="dxa"/>
            <w:vMerge w:val="restart"/>
            <w:tcBorders>
              <w:top w:val="single" w:sz="4" w:space="0" w:color="000000"/>
              <w:left w:val="single" w:sz="13" w:space="0" w:color="D2D2D2"/>
              <w:right w:val="single" w:sz="4" w:space="0" w:color="000000"/>
            </w:tcBorders>
          </w:tcPr>
          <w:p>
            <w:pPr>
              <w:pStyle w:val="TableParagraph"/>
              <w:spacing w:line="319" w:lineRule="auto" w:before="53"/>
              <w:ind w:left="23" w:right="18"/>
              <w:jc w:val="left"/>
              <w:rPr>
                <w:rFonts w:ascii="宋体" w:hAnsi="宋体" w:cs="宋体" w:eastAsia="宋体" w:hint="default"/>
                <w:sz w:val="18"/>
                <w:szCs w:val="18"/>
              </w:rPr>
            </w:pPr>
            <w:r>
              <w:rPr>
                <w:rFonts w:ascii="宋体" w:hAnsi="宋体" w:cs="宋体" w:eastAsia="宋体" w:hint="default"/>
                <w:spacing w:val="-4"/>
                <w:sz w:val="18"/>
                <w:szCs w:val="18"/>
              </w:rPr>
              <w:t>通过技术手段推动金融创新，使得金融服务更加便利化、智能化，能</w:t>
            </w:r>
            <w:r>
              <w:rPr>
                <w:rFonts w:ascii="宋体" w:hAnsi="宋体" w:cs="宋体" w:eastAsia="宋体" w:hint="default"/>
                <w:spacing w:val="-3"/>
                <w:sz w:val="18"/>
                <w:szCs w:val="18"/>
              </w:rPr>
              <w:t> </w:t>
            </w:r>
            <w:r>
              <w:rPr>
                <w:rFonts w:ascii="宋体" w:hAnsi="宋体" w:cs="宋体" w:eastAsia="宋体" w:hint="default"/>
                <w:spacing w:val="-3"/>
                <w:sz w:val="18"/>
                <w:szCs w:val="18"/>
              </w:rPr>
              <w:t>够有效降低交易成本、提高金融业服务效率的技术或者产业。</w:t>
            </w:r>
          </w:p>
        </w:tc>
      </w:tr>
      <w:tr>
        <w:trPr>
          <w:trHeight w:val="394" w:hRule="exact"/>
        </w:trPr>
        <w:tc>
          <w:tcPr>
            <w:tcW w:w="3537" w:type="dxa"/>
            <w:vMerge/>
            <w:tcBorders>
              <w:left w:val="single" w:sz="4" w:space="0" w:color="000000"/>
              <w:right w:val="single" w:sz="13" w:space="0" w:color="D2D2D2"/>
            </w:tcBorders>
          </w:tcPr>
          <w:p>
            <w:pPr/>
          </w:p>
        </w:tc>
        <w:tc>
          <w:tcPr>
            <w:tcW w:w="60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38" w:type="dxa"/>
            <w:vMerge/>
            <w:tcBorders>
              <w:left w:val="single" w:sz="13" w:space="0" w:color="D2D2D2"/>
              <w:right w:val="single" w:sz="4" w:space="0" w:color="000000"/>
            </w:tcBorders>
          </w:tcPr>
          <w:p>
            <w:pPr/>
          </w:p>
        </w:tc>
      </w:tr>
      <w:tr>
        <w:trPr>
          <w:trHeight w:val="158" w:hRule="exact"/>
        </w:trPr>
        <w:tc>
          <w:tcPr>
            <w:tcW w:w="3537" w:type="dxa"/>
            <w:vMerge/>
            <w:tcBorders>
              <w:left w:val="single" w:sz="4" w:space="0" w:color="000000"/>
              <w:bottom w:val="single" w:sz="4" w:space="0" w:color="000000"/>
              <w:right w:val="single" w:sz="13" w:space="0" w:color="D2D2D2"/>
            </w:tcBorders>
          </w:tcPr>
          <w:p>
            <w:pPr/>
          </w:p>
        </w:tc>
        <w:tc>
          <w:tcPr>
            <w:tcW w:w="600" w:type="dxa"/>
            <w:tcBorders>
              <w:top w:val="nil" w:sz="6" w:space="0" w:color="auto"/>
              <w:left w:val="single" w:sz="4" w:space="0" w:color="000000"/>
              <w:bottom w:val="single" w:sz="4" w:space="0" w:color="000000"/>
              <w:right w:val="single" w:sz="4" w:space="0" w:color="000000"/>
            </w:tcBorders>
            <w:shd w:val="clear" w:color="auto" w:fill="D2D2D2"/>
          </w:tcPr>
          <w:p>
            <w:pPr/>
          </w:p>
        </w:tc>
        <w:tc>
          <w:tcPr>
            <w:tcW w:w="5438" w:type="dxa"/>
            <w:vMerge/>
            <w:tcBorders>
              <w:left w:val="single" w:sz="13" w:space="0" w:color="D2D2D2"/>
              <w:bottom w:val="single" w:sz="4" w:space="0" w:color="000000"/>
              <w:right w:val="single" w:sz="4" w:space="0" w:color="000000"/>
            </w:tcBorders>
          </w:tcPr>
          <w:p>
            <w:pPr/>
          </w:p>
        </w:tc>
      </w:tr>
      <w:tr>
        <w:trPr>
          <w:trHeight w:val="317" w:hRule="exact"/>
        </w:trPr>
        <w:tc>
          <w:tcPr>
            <w:tcW w:w="3537" w:type="dxa"/>
            <w:vMerge w:val="restart"/>
            <w:tcBorders>
              <w:top w:val="single" w:sz="4" w:space="0" w:color="000000"/>
              <w:left w:val="single" w:sz="4" w:space="0" w:color="000000"/>
              <w:right w:val="single" w:sz="10" w:space="0" w:color="D2D2D2"/>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金融信息化</w:t>
            </w:r>
          </w:p>
        </w:tc>
        <w:tc>
          <w:tcPr>
            <w:tcW w:w="600" w:type="dxa"/>
            <w:tcBorders>
              <w:top w:val="single" w:sz="4" w:space="0" w:color="000000"/>
              <w:left w:val="single" w:sz="4" w:space="0" w:color="000000"/>
              <w:bottom w:val="nil" w:sz="6" w:space="0" w:color="auto"/>
              <w:right w:val="single" w:sz="4" w:space="0" w:color="000000"/>
            </w:tcBorders>
            <w:shd w:val="clear" w:color="auto" w:fill="D2D2D2"/>
          </w:tcPr>
          <w:p>
            <w:pPr/>
          </w:p>
        </w:tc>
        <w:tc>
          <w:tcPr>
            <w:tcW w:w="5438" w:type="dxa"/>
            <w:vMerge w:val="restart"/>
            <w:tcBorders>
              <w:top w:val="single" w:sz="4" w:space="0" w:color="000000"/>
              <w:left w:val="single" w:sz="10" w:space="0" w:color="D2D2D2"/>
              <w:right w:val="single" w:sz="4" w:space="0" w:color="000000"/>
            </w:tcBorders>
          </w:tcPr>
          <w:p>
            <w:pPr>
              <w:pStyle w:val="TableParagraph"/>
              <w:spacing w:line="319" w:lineRule="auto" w:before="53"/>
              <w:ind w:left="28" w:right="18"/>
              <w:jc w:val="both"/>
              <w:rPr>
                <w:rFonts w:ascii="宋体" w:hAnsi="宋体" w:cs="宋体" w:eastAsia="宋体" w:hint="default"/>
                <w:sz w:val="18"/>
                <w:szCs w:val="18"/>
              </w:rPr>
            </w:pPr>
            <w:r>
              <w:rPr>
                <w:rFonts w:ascii="宋体" w:hAnsi="宋体" w:cs="宋体" w:eastAsia="宋体" w:hint="default"/>
                <w:spacing w:val="-4"/>
                <w:sz w:val="18"/>
                <w:szCs w:val="18"/>
              </w:rPr>
              <w:t>金融行业利用信息技术，通过计算机软、硬件及服务，旨在提高业务</w:t>
            </w:r>
            <w:r>
              <w:rPr>
                <w:rFonts w:ascii="宋体" w:hAnsi="宋体" w:cs="宋体" w:eastAsia="宋体" w:hint="default"/>
                <w:spacing w:val="-3"/>
                <w:sz w:val="18"/>
                <w:szCs w:val="18"/>
              </w:rPr>
              <w:t> </w:t>
            </w:r>
            <w:r>
              <w:rPr>
                <w:rFonts w:ascii="宋体" w:hAnsi="宋体" w:cs="宋体" w:eastAsia="宋体" w:hint="default"/>
                <w:spacing w:val="-3"/>
                <w:sz w:val="18"/>
                <w:szCs w:val="18"/>
              </w:rPr>
            </w:r>
            <w:r>
              <w:rPr>
                <w:rFonts w:ascii="宋体" w:hAnsi="宋体" w:cs="宋体" w:eastAsia="宋体" w:hint="default"/>
                <w:spacing w:val="-4"/>
                <w:sz w:val="18"/>
                <w:szCs w:val="18"/>
              </w:rPr>
              <w:t>效率、安全性或实现业务和管理创新模式的系统工程。本报告中特指</w:t>
            </w:r>
            <w:r>
              <w:rPr>
                <w:rFonts w:ascii="宋体" w:hAnsi="宋体" w:cs="宋体" w:eastAsia="宋体" w:hint="default"/>
                <w:spacing w:val="-3"/>
                <w:sz w:val="18"/>
                <w:szCs w:val="18"/>
              </w:rPr>
              <w:t> </w:t>
            </w:r>
            <w:r>
              <w:rPr>
                <w:rFonts w:ascii="宋体" w:hAnsi="宋体" w:cs="宋体" w:eastAsia="宋体" w:hint="default"/>
                <w:spacing w:val="-3"/>
                <w:sz w:val="18"/>
                <w:szCs w:val="18"/>
              </w:rPr>
              <w:t>公司在该领域所从事的业务。</w:t>
            </w:r>
          </w:p>
        </w:tc>
      </w:tr>
      <w:tr>
        <w:trPr>
          <w:trHeight w:val="394" w:hRule="exact"/>
        </w:trPr>
        <w:tc>
          <w:tcPr>
            <w:tcW w:w="3537" w:type="dxa"/>
            <w:vMerge/>
            <w:tcBorders>
              <w:left w:val="single" w:sz="4" w:space="0" w:color="000000"/>
              <w:right w:val="single" w:sz="10" w:space="0" w:color="D2D2D2"/>
            </w:tcBorders>
          </w:tcPr>
          <w:p>
            <w:pPr/>
          </w:p>
        </w:tc>
        <w:tc>
          <w:tcPr>
            <w:tcW w:w="60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38" w:type="dxa"/>
            <w:vMerge/>
            <w:tcBorders>
              <w:left w:val="single" w:sz="10" w:space="0" w:color="D2D2D2"/>
              <w:right w:val="single" w:sz="4" w:space="0" w:color="000000"/>
            </w:tcBorders>
          </w:tcPr>
          <w:p>
            <w:pPr/>
          </w:p>
        </w:tc>
      </w:tr>
      <w:tr>
        <w:trPr>
          <w:trHeight w:val="317" w:hRule="exact"/>
        </w:trPr>
        <w:tc>
          <w:tcPr>
            <w:tcW w:w="3537" w:type="dxa"/>
            <w:vMerge/>
            <w:tcBorders>
              <w:left w:val="single" w:sz="4" w:space="0" w:color="000000"/>
              <w:bottom w:val="single" w:sz="4" w:space="0" w:color="000000"/>
              <w:right w:val="single" w:sz="10" w:space="0" w:color="D2D2D2"/>
            </w:tcBorders>
          </w:tcPr>
          <w:p>
            <w:pPr/>
          </w:p>
        </w:tc>
        <w:tc>
          <w:tcPr>
            <w:tcW w:w="600" w:type="dxa"/>
            <w:tcBorders>
              <w:top w:val="nil" w:sz="6" w:space="0" w:color="auto"/>
              <w:left w:val="single" w:sz="4" w:space="0" w:color="000000"/>
              <w:bottom w:val="single" w:sz="4" w:space="0" w:color="000000"/>
              <w:right w:val="single" w:sz="4" w:space="0" w:color="000000"/>
            </w:tcBorders>
            <w:shd w:val="clear" w:color="auto" w:fill="D2D2D2"/>
          </w:tcPr>
          <w:p>
            <w:pPr/>
          </w:p>
        </w:tc>
        <w:tc>
          <w:tcPr>
            <w:tcW w:w="5438" w:type="dxa"/>
            <w:vMerge/>
            <w:tcBorders>
              <w:left w:val="single" w:sz="10" w:space="0" w:color="D2D2D2"/>
              <w:bottom w:val="single" w:sz="4" w:space="0" w:color="000000"/>
              <w:right w:val="single" w:sz="4" w:space="0" w:color="000000"/>
            </w:tcBorders>
          </w:tcPr>
          <w:p>
            <w:pPr/>
          </w:p>
        </w:tc>
      </w:tr>
      <w:tr>
        <w:trPr>
          <w:trHeight w:val="317" w:hRule="exact"/>
        </w:trPr>
        <w:tc>
          <w:tcPr>
            <w:tcW w:w="3537" w:type="dxa"/>
            <w:vMerge w:val="restart"/>
            <w:tcBorders>
              <w:top w:val="single" w:sz="4" w:space="0" w:color="000000"/>
              <w:left w:val="single" w:sz="4" w:space="0" w:color="000000"/>
              <w:right w:val="single" w:sz="10" w:space="0" w:color="D2D2D2"/>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1"/>
              <w:ind w:left="24" w:right="0"/>
              <w:jc w:val="left"/>
              <w:rPr>
                <w:rFonts w:ascii="宋体" w:hAnsi="宋体" w:cs="宋体" w:eastAsia="宋体" w:hint="default"/>
                <w:sz w:val="18"/>
                <w:szCs w:val="18"/>
              </w:rPr>
            </w:pPr>
            <w:r>
              <w:rPr>
                <w:rFonts w:ascii="宋体" w:hAnsi="宋体" w:cs="宋体" w:eastAsia="宋体" w:hint="default"/>
                <w:sz w:val="18"/>
                <w:szCs w:val="18"/>
              </w:rPr>
              <w:t>数字金融解决方案</w:t>
            </w:r>
          </w:p>
        </w:tc>
        <w:tc>
          <w:tcPr>
            <w:tcW w:w="600" w:type="dxa"/>
            <w:tcBorders>
              <w:top w:val="single" w:sz="4" w:space="0" w:color="000000"/>
              <w:left w:val="single" w:sz="4" w:space="0" w:color="000000"/>
              <w:bottom w:val="nil" w:sz="6" w:space="0" w:color="auto"/>
              <w:right w:val="single" w:sz="4" w:space="0" w:color="000000"/>
            </w:tcBorders>
            <w:shd w:val="clear" w:color="auto" w:fill="D2D2D2"/>
          </w:tcPr>
          <w:p>
            <w:pPr/>
          </w:p>
        </w:tc>
        <w:tc>
          <w:tcPr>
            <w:tcW w:w="5438" w:type="dxa"/>
            <w:vMerge w:val="restart"/>
            <w:tcBorders>
              <w:top w:val="single" w:sz="4" w:space="0" w:color="000000"/>
              <w:left w:val="single" w:sz="10" w:space="0" w:color="D2D2D2"/>
              <w:right w:val="single" w:sz="4" w:space="0" w:color="000000"/>
            </w:tcBorders>
          </w:tcPr>
          <w:p>
            <w:pPr>
              <w:pStyle w:val="TableParagraph"/>
              <w:spacing w:line="321" w:lineRule="auto" w:before="53"/>
              <w:ind w:left="28" w:right="-14"/>
              <w:jc w:val="both"/>
              <w:rPr>
                <w:rFonts w:ascii="宋体" w:hAnsi="宋体" w:cs="宋体" w:eastAsia="宋体" w:hint="default"/>
                <w:sz w:val="18"/>
                <w:szCs w:val="18"/>
              </w:rPr>
            </w:pPr>
            <w:r>
              <w:rPr>
                <w:rFonts w:ascii="宋体" w:hAnsi="宋体" w:cs="宋体" w:eastAsia="宋体" w:hint="default"/>
                <w:spacing w:val="-3"/>
                <w:sz w:val="18"/>
                <w:szCs w:val="18"/>
              </w:rPr>
              <w:t>在金融机构以信息化、网络化、智能化为特征的数字化转型过程中，</w:t>
            </w:r>
            <w:r>
              <w:rPr>
                <w:rFonts w:ascii="宋体" w:hAnsi="宋体" w:cs="宋体" w:eastAsia="宋体" w:hint="default"/>
                <w:spacing w:val="2"/>
                <w:sz w:val="18"/>
                <w:szCs w:val="18"/>
              </w:rPr>
              <w:t> </w:t>
            </w:r>
            <w:r>
              <w:rPr>
                <w:rFonts w:ascii="宋体" w:hAnsi="宋体" w:cs="宋体" w:eastAsia="宋体" w:hint="default"/>
                <w:spacing w:val="2"/>
                <w:sz w:val="18"/>
                <w:szCs w:val="18"/>
              </w:rPr>
            </w:r>
            <w:r>
              <w:rPr>
                <w:rFonts w:ascii="宋体" w:hAnsi="宋体" w:cs="宋体" w:eastAsia="宋体" w:hint="default"/>
                <w:spacing w:val="-4"/>
                <w:sz w:val="18"/>
                <w:szCs w:val="18"/>
              </w:rPr>
              <w:t>针对客户需求所提供的技术咨询、软件开发、运维支持、运营外包等</w:t>
            </w:r>
            <w:r>
              <w:rPr>
                <w:rFonts w:ascii="宋体" w:hAnsi="宋体" w:cs="宋体" w:eastAsia="宋体" w:hint="default"/>
                <w:spacing w:val="-3"/>
                <w:sz w:val="18"/>
                <w:szCs w:val="18"/>
              </w:rPr>
              <w:t> </w:t>
            </w:r>
            <w:r>
              <w:rPr>
                <w:rFonts w:ascii="宋体" w:hAnsi="宋体" w:cs="宋体" w:eastAsia="宋体" w:hint="default"/>
                <w:spacing w:val="-3"/>
                <w:sz w:val="18"/>
                <w:szCs w:val="18"/>
              </w:rPr>
              <w:t>技术方案和服务。本报告中特指公司在该领域所从事的业务。</w:t>
            </w:r>
          </w:p>
        </w:tc>
      </w:tr>
      <w:tr>
        <w:trPr>
          <w:trHeight w:val="394" w:hRule="exact"/>
        </w:trPr>
        <w:tc>
          <w:tcPr>
            <w:tcW w:w="3537" w:type="dxa"/>
            <w:vMerge/>
            <w:tcBorders>
              <w:left w:val="single" w:sz="4" w:space="0" w:color="000000"/>
              <w:right w:val="single" w:sz="10" w:space="0" w:color="D2D2D2"/>
            </w:tcBorders>
          </w:tcPr>
          <w:p>
            <w:pPr/>
          </w:p>
        </w:tc>
        <w:tc>
          <w:tcPr>
            <w:tcW w:w="60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38" w:type="dxa"/>
            <w:vMerge/>
            <w:tcBorders>
              <w:left w:val="single" w:sz="10" w:space="0" w:color="D2D2D2"/>
              <w:right w:val="single" w:sz="4" w:space="0" w:color="000000"/>
            </w:tcBorders>
          </w:tcPr>
          <w:p>
            <w:pPr/>
          </w:p>
        </w:tc>
      </w:tr>
      <w:tr>
        <w:trPr>
          <w:trHeight w:val="317" w:hRule="exact"/>
        </w:trPr>
        <w:tc>
          <w:tcPr>
            <w:tcW w:w="3537" w:type="dxa"/>
            <w:vMerge/>
            <w:tcBorders>
              <w:left w:val="single" w:sz="4" w:space="0" w:color="000000"/>
              <w:bottom w:val="single" w:sz="4" w:space="0" w:color="000000"/>
              <w:right w:val="single" w:sz="10" w:space="0" w:color="D2D2D2"/>
            </w:tcBorders>
          </w:tcPr>
          <w:p>
            <w:pPr/>
          </w:p>
        </w:tc>
        <w:tc>
          <w:tcPr>
            <w:tcW w:w="600" w:type="dxa"/>
            <w:tcBorders>
              <w:top w:val="nil" w:sz="6" w:space="0" w:color="auto"/>
              <w:left w:val="single" w:sz="4" w:space="0" w:color="000000"/>
              <w:bottom w:val="single" w:sz="4" w:space="0" w:color="000000"/>
              <w:right w:val="single" w:sz="4" w:space="0" w:color="000000"/>
            </w:tcBorders>
            <w:shd w:val="clear" w:color="auto" w:fill="D2D2D2"/>
          </w:tcPr>
          <w:p>
            <w:pPr/>
          </w:p>
        </w:tc>
        <w:tc>
          <w:tcPr>
            <w:tcW w:w="5438" w:type="dxa"/>
            <w:vMerge/>
            <w:tcBorders>
              <w:left w:val="single" w:sz="10" w:space="0" w:color="D2D2D2"/>
              <w:bottom w:val="single" w:sz="4" w:space="0" w:color="000000"/>
              <w:right w:val="single" w:sz="4" w:space="0" w:color="000000"/>
            </w:tcBorders>
          </w:tcPr>
          <w:p>
            <w:pPr/>
          </w:p>
        </w:tc>
      </w:tr>
      <w:tr>
        <w:trPr>
          <w:trHeight w:val="317" w:hRule="exact"/>
        </w:trPr>
        <w:tc>
          <w:tcPr>
            <w:tcW w:w="3537" w:type="dxa"/>
            <w:vMerge w:val="restart"/>
            <w:tcBorders>
              <w:top w:val="single" w:sz="4" w:space="0" w:color="000000"/>
              <w:left w:val="single" w:sz="4" w:space="0" w:color="000000"/>
              <w:right w:val="single" w:sz="10" w:space="0" w:color="D2D2D2"/>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移动信息服务</w:t>
            </w:r>
          </w:p>
        </w:tc>
        <w:tc>
          <w:tcPr>
            <w:tcW w:w="600" w:type="dxa"/>
            <w:tcBorders>
              <w:top w:val="single" w:sz="4" w:space="0" w:color="000000"/>
              <w:left w:val="single" w:sz="4" w:space="0" w:color="000000"/>
              <w:bottom w:val="nil" w:sz="6" w:space="0" w:color="auto"/>
              <w:right w:val="single" w:sz="4" w:space="0" w:color="000000"/>
            </w:tcBorders>
            <w:shd w:val="clear" w:color="auto" w:fill="D2D2D2"/>
          </w:tcPr>
          <w:p>
            <w:pPr/>
          </w:p>
        </w:tc>
        <w:tc>
          <w:tcPr>
            <w:tcW w:w="5438" w:type="dxa"/>
            <w:vMerge w:val="restart"/>
            <w:tcBorders>
              <w:top w:val="single" w:sz="4" w:space="0" w:color="000000"/>
              <w:left w:val="single" w:sz="10" w:space="0" w:color="D2D2D2"/>
              <w:right w:val="single" w:sz="4" w:space="0" w:color="000000"/>
            </w:tcBorders>
          </w:tcPr>
          <w:p>
            <w:pPr>
              <w:pStyle w:val="TableParagraph"/>
              <w:spacing w:line="316" w:lineRule="auto" w:before="53"/>
              <w:ind w:left="28" w:right="-14"/>
              <w:jc w:val="both"/>
              <w:rPr>
                <w:rFonts w:ascii="宋体" w:hAnsi="宋体" w:cs="宋体" w:eastAsia="宋体" w:hint="default"/>
                <w:sz w:val="18"/>
                <w:szCs w:val="18"/>
              </w:rPr>
            </w:pPr>
            <w:r>
              <w:rPr>
                <w:rFonts w:ascii="宋体" w:hAnsi="宋体" w:cs="宋体" w:eastAsia="宋体" w:hint="default"/>
                <w:spacing w:val="-4"/>
                <w:sz w:val="18"/>
                <w:szCs w:val="18"/>
              </w:rPr>
              <w:t>通过手机等移动终端和无线通信、无线上网技术进行信息传递，开展</w:t>
            </w:r>
            <w:r>
              <w:rPr>
                <w:rFonts w:ascii="宋体" w:hAnsi="宋体" w:cs="宋体" w:eastAsia="宋体" w:hint="default"/>
                <w:spacing w:val="-3"/>
                <w:sz w:val="18"/>
                <w:szCs w:val="18"/>
              </w:rPr>
              <w:t> </w:t>
            </w:r>
            <w:r>
              <w:rPr>
                <w:rFonts w:ascii="宋体" w:hAnsi="宋体" w:cs="宋体" w:eastAsia="宋体" w:hint="default"/>
                <w:spacing w:val="-3"/>
                <w:sz w:val="18"/>
                <w:szCs w:val="18"/>
              </w:rPr>
              <w:t>业务管理、营销管理、商务运营以及数据增值服务的商务服务活动。</w:t>
            </w:r>
            <w:r>
              <w:rPr>
                <w:rFonts w:ascii="宋体" w:hAnsi="宋体" w:cs="宋体" w:eastAsia="宋体" w:hint="default"/>
                <w:spacing w:val="2"/>
                <w:sz w:val="18"/>
                <w:szCs w:val="18"/>
              </w:rPr>
              <w:t> </w:t>
            </w:r>
            <w:r>
              <w:rPr>
                <w:rFonts w:ascii="宋体" w:hAnsi="宋体" w:cs="宋体" w:eastAsia="宋体" w:hint="default"/>
                <w:spacing w:val="2"/>
                <w:sz w:val="18"/>
                <w:szCs w:val="18"/>
              </w:rPr>
            </w:r>
            <w:r>
              <w:rPr>
                <w:rFonts w:ascii="宋体" w:hAnsi="宋体" w:cs="宋体" w:eastAsia="宋体" w:hint="default"/>
                <w:spacing w:val="-3"/>
                <w:sz w:val="18"/>
                <w:szCs w:val="18"/>
              </w:rPr>
              <w:t>本报告中特指公司子公司亿美软通在该领域所从事的业务。</w:t>
            </w:r>
          </w:p>
        </w:tc>
      </w:tr>
      <w:tr>
        <w:trPr>
          <w:trHeight w:val="394" w:hRule="exact"/>
        </w:trPr>
        <w:tc>
          <w:tcPr>
            <w:tcW w:w="3537" w:type="dxa"/>
            <w:vMerge/>
            <w:tcBorders>
              <w:left w:val="single" w:sz="4" w:space="0" w:color="000000"/>
              <w:right w:val="single" w:sz="10" w:space="0" w:color="D2D2D2"/>
            </w:tcBorders>
          </w:tcPr>
          <w:p>
            <w:pPr/>
          </w:p>
        </w:tc>
        <w:tc>
          <w:tcPr>
            <w:tcW w:w="60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38" w:type="dxa"/>
            <w:vMerge/>
            <w:tcBorders>
              <w:left w:val="single" w:sz="10" w:space="0" w:color="D2D2D2"/>
              <w:right w:val="single" w:sz="4" w:space="0" w:color="000000"/>
            </w:tcBorders>
          </w:tcPr>
          <w:p>
            <w:pPr/>
          </w:p>
        </w:tc>
      </w:tr>
      <w:tr>
        <w:trPr>
          <w:trHeight w:val="317" w:hRule="exact"/>
        </w:trPr>
        <w:tc>
          <w:tcPr>
            <w:tcW w:w="3537" w:type="dxa"/>
            <w:vMerge/>
            <w:tcBorders>
              <w:left w:val="single" w:sz="4" w:space="0" w:color="000000"/>
              <w:bottom w:val="single" w:sz="4" w:space="0" w:color="000000"/>
              <w:right w:val="single" w:sz="10" w:space="0" w:color="D2D2D2"/>
            </w:tcBorders>
          </w:tcPr>
          <w:p>
            <w:pPr/>
          </w:p>
        </w:tc>
        <w:tc>
          <w:tcPr>
            <w:tcW w:w="600" w:type="dxa"/>
            <w:tcBorders>
              <w:top w:val="nil" w:sz="6" w:space="0" w:color="auto"/>
              <w:left w:val="single" w:sz="4" w:space="0" w:color="000000"/>
              <w:bottom w:val="single" w:sz="4" w:space="0" w:color="000000"/>
              <w:right w:val="single" w:sz="4" w:space="0" w:color="000000"/>
            </w:tcBorders>
            <w:shd w:val="clear" w:color="auto" w:fill="D2D2D2"/>
          </w:tcPr>
          <w:p>
            <w:pPr/>
          </w:p>
        </w:tc>
        <w:tc>
          <w:tcPr>
            <w:tcW w:w="5438" w:type="dxa"/>
            <w:vMerge/>
            <w:tcBorders>
              <w:left w:val="single" w:sz="10" w:space="0" w:color="D2D2D2"/>
              <w:bottom w:val="single" w:sz="4" w:space="0" w:color="000000"/>
              <w:right w:val="single" w:sz="4" w:space="0" w:color="000000"/>
            </w:tcBorders>
          </w:tcPr>
          <w:p>
            <w:pPr/>
          </w:p>
        </w:tc>
      </w:tr>
      <w:tr>
        <w:trPr>
          <w:trHeight w:val="317" w:hRule="exact"/>
        </w:trPr>
        <w:tc>
          <w:tcPr>
            <w:tcW w:w="3537" w:type="dxa"/>
            <w:vMerge w:val="restart"/>
            <w:tcBorders>
              <w:top w:val="single" w:sz="4" w:space="0" w:color="000000"/>
              <w:left w:val="single" w:sz="4" w:space="0" w:color="000000"/>
              <w:right w:val="single" w:sz="10" w:space="0" w:color="D2D2D2"/>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电子商务</w:t>
            </w:r>
          </w:p>
        </w:tc>
        <w:tc>
          <w:tcPr>
            <w:tcW w:w="600" w:type="dxa"/>
            <w:tcBorders>
              <w:top w:val="single" w:sz="4" w:space="0" w:color="000000"/>
              <w:left w:val="single" w:sz="4" w:space="0" w:color="000000"/>
              <w:bottom w:val="nil" w:sz="6" w:space="0" w:color="auto"/>
              <w:right w:val="single" w:sz="4" w:space="0" w:color="000000"/>
            </w:tcBorders>
            <w:shd w:val="clear" w:color="auto" w:fill="D2D2D2"/>
          </w:tcPr>
          <w:p>
            <w:pPr/>
          </w:p>
        </w:tc>
        <w:tc>
          <w:tcPr>
            <w:tcW w:w="5438" w:type="dxa"/>
            <w:vMerge w:val="restart"/>
            <w:tcBorders>
              <w:top w:val="single" w:sz="4" w:space="0" w:color="000000"/>
              <w:left w:val="single" w:sz="10" w:space="0" w:color="D2D2D2"/>
              <w:right w:val="single" w:sz="4" w:space="0" w:color="000000"/>
            </w:tcBorders>
          </w:tcPr>
          <w:p>
            <w:pPr>
              <w:pStyle w:val="TableParagraph"/>
              <w:spacing w:line="309" w:lineRule="auto" w:before="53"/>
              <w:ind w:left="28" w:right="17"/>
              <w:jc w:val="both"/>
              <w:rPr>
                <w:rFonts w:ascii="宋体" w:hAnsi="宋体" w:cs="宋体" w:eastAsia="宋体" w:hint="default"/>
                <w:sz w:val="18"/>
                <w:szCs w:val="18"/>
              </w:rPr>
            </w:pPr>
            <w:r>
              <w:rPr>
                <w:rFonts w:ascii="宋体" w:hAnsi="宋体" w:cs="宋体" w:eastAsia="宋体" w:hint="default"/>
                <w:spacing w:val="-6"/>
                <w:sz w:val="18"/>
                <w:szCs w:val="18"/>
              </w:rPr>
              <w:t>在互联网环境下，基于浏览器</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服务器应用方式，以网上交易和在线支</w:t>
            </w:r>
            <w:r>
              <w:rPr>
                <w:rFonts w:ascii="宋体" w:hAnsi="宋体" w:cs="宋体" w:eastAsia="宋体" w:hint="default"/>
                <w:spacing w:val="13"/>
                <w:sz w:val="18"/>
                <w:szCs w:val="18"/>
              </w:rPr>
              <w:t> </w:t>
            </w:r>
            <w:r>
              <w:rPr>
                <w:rFonts w:ascii="宋体" w:hAnsi="宋体" w:cs="宋体" w:eastAsia="宋体" w:hint="default"/>
                <w:spacing w:val="13"/>
                <w:sz w:val="18"/>
                <w:szCs w:val="18"/>
              </w:rPr>
            </w:r>
            <w:r>
              <w:rPr>
                <w:rFonts w:ascii="宋体" w:hAnsi="宋体" w:cs="宋体" w:eastAsia="宋体" w:hint="default"/>
                <w:spacing w:val="-4"/>
                <w:sz w:val="18"/>
                <w:szCs w:val="18"/>
              </w:rPr>
              <w:t>付为特征，实现商品交换的商业运营模式。本报告中特指公司子公司</w:t>
            </w:r>
            <w:r>
              <w:rPr>
                <w:rFonts w:ascii="宋体" w:hAnsi="宋体" w:cs="宋体" w:eastAsia="宋体" w:hint="default"/>
                <w:spacing w:val="-3"/>
                <w:sz w:val="18"/>
                <w:szCs w:val="18"/>
              </w:rPr>
              <w:t> </w:t>
            </w:r>
            <w:r>
              <w:rPr>
                <w:rFonts w:ascii="宋体" w:hAnsi="宋体" w:cs="宋体" w:eastAsia="宋体" w:hint="default"/>
                <w:spacing w:val="-3"/>
                <w:sz w:val="18"/>
                <w:szCs w:val="18"/>
              </w:rPr>
              <w:t>安科创新在该领域所从事的业务。</w:t>
            </w:r>
          </w:p>
        </w:tc>
      </w:tr>
      <w:tr>
        <w:trPr>
          <w:trHeight w:val="389" w:hRule="exact"/>
        </w:trPr>
        <w:tc>
          <w:tcPr>
            <w:tcW w:w="3537" w:type="dxa"/>
            <w:vMerge/>
            <w:tcBorders>
              <w:left w:val="single" w:sz="4" w:space="0" w:color="000000"/>
              <w:right w:val="single" w:sz="10" w:space="0" w:color="D2D2D2"/>
            </w:tcBorders>
          </w:tcPr>
          <w:p>
            <w:pPr/>
          </w:p>
        </w:tc>
        <w:tc>
          <w:tcPr>
            <w:tcW w:w="60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38" w:type="dxa"/>
            <w:vMerge/>
            <w:tcBorders>
              <w:left w:val="single" w:sz="10" w:space="0" w:color="D2D2D2"/>
              <w:right w:val="single" w:sz="4" w:space="0" w:color="000000"/>
            </w:tcBorders>
          </w:tcPr>
          <w:p>
            <w:pPr/>
          </w:p>
        </w:tc>
      </w:tr>
      <w:tr>
        <w:trPr>
          <w:trHeight w:val="317" w:hRule="exact"/>
        </w:trPr>
        <w:tc>
          <w:tcPr>
            <w:tcW w:w="3537" w:type="dxa"/>
            <w:vMerge/>
            <w:tcBorders>
              <w:left w:val="single" w:sz="4" w:space="0" w:color="000000"/>
              <w:bottom w:val="single" w:sz="4" w:space="0" w:color="000000"/>
              <w:right w:val="single" w:sz="10" w:space="0" w:color="D2D2D2"/>
            </w:tcBorders>
          </w:tcPr>
          <w:p>
            <w:pPr/>
          </w:p>
        </w:tc>
        <w:tc>
          <w:tcPr>
            <w:tcW w:w="600" w:type="dxa"/>
            <w:tcBorders>
              <w:top w:val="nil" w:sz="6" w:space="0" w:color="auto"/>
              <w:left w:val="single" w:sz="4" w:space="0" w:color="000000"/>
              <w:bottom w:val="single" w:sz="4" w:space="0" w:color="000000"/>
              <w:right w:val="single" w:sz="4" w:space="0" w:color="000000"/>
            </w:tcBorders>
            <w:shd w:val="clear" w:color="auto" w:fill="D2D2D2"/>
          </w:tcPr>
          <w:p>
            <w:pPr/>
          </w:p>
        </w:tc>
        <w:tc>
          <w:tcPr>
            <w:tcW w:w="5438" w:type="dxa"/>
            <w:vMerge/>
            <w:tcBorders>
              <w:left w:val="single" w:sz="10" w:space="0" w:color="D2D2D2"/>
              <w:bottom w:val="single" w:sz="4" w:space="0" w:color="000000"/>
              <w:right w:val="single" w:sz="4" w:space="0" w:color="000000"/>
            </w:tcBorders>
          </w:tcPr>
          <w:p>
            <w:pPr/>
          </w:p>
        </w:tc>
      </w:tr>
      <w:tr>
        <w:trPr>
          <w:trHeight w:val="317" w:hRule="exact"/>
        </w:trPr>
        <w:tc>
          <w:tcPr>
            <w:tcW w:w="3537" w:type="dxa"/>
            <w:vMerge w:val="restart"/>
            <w:tcBorders>
              <w:top w:val="single" w:sz="4" w:space="0" w:color="000000"/>
              <w:left w:val="single" w:sz="4" w:space="0" w:color="000000"/>
              <w:right w:val="single" w:sz="10" w:space="0" w:color="D2D2D2"/>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1"/>
              <w:ind w:left="24" w:right="0"/>
              <w:jc w:val="left"/>
              <w:rPr>
                <w:rFonts w:ascii="宋体" w:hAnsi="宋体" w:cs="宋体" w:eastAsia="宋体" w:hint="default"/>
                <w:sz w:val="18"/>
                <w:szCs w:val="18"/>
              </w:rPr>
            </w:pPr>
            <w:r>
              <w:rPr>
                <w:rFonts w:ascii="宋体" w:hAnsi="宋体" w:cs="宋体" w:eastAsia="宋体" w:hint="default"/>
                <w:sz w:val="18"/>
                <w:szCs w:val="18"/>
              </w:rPr>
              <w:t>征信</w:t>
            </w:r>
          </w:p>
        </w:tc>
        <w:tc>
          <w:tcPr>
            <w:tcW w:w="600" w:type="dxa"/>
            <w:tcBorders>
              <w:top w:val="single" w:sz="4" w:space="0" w:color="000000"/>
              <w:left w:val="single" w:sz="4" w:space="0" w:color="000000"/>
              <w:bottom w:val="nil" w:sz="6" w:space="0" w:color="auto"/>
              <w:right w:val="single" w:sz="4" w:space="0" w:color="000000"/>
            </w:tcBorders>
            <w:shd w:val="clear" w:color="auto" w:fill="D2D2D2"/>
          </w:tcPr>
          <w:p>
            <w:pPr/>
          </w:p>
        </w:tc>
        <w:tc>
          <w:tcPr>
            <w:tcW w:w="5438" w:type="dxa"/>
            <w:vMerge w:val="restart"/>
            <w:tcBorders>
              <w:top w:val="single" w:sz="4" w:space="0" w:color="000000"/>
              <w:left w:val="single" w:sz="10" w:space="0" w:color="D2D2D2"/>
              <w:right w:val="single" w:sz="4" w:space="0" w:color="000000"/>
            </w:tcBorders>
          </w:tcPr>
          <w:p>
            <w:pPr>
              <w:pStyle w:val="TableParagraph"/>
              <w:spacing w:line="321" w:lineRule="auto" w:before="53"/>
              <w:ind w:left="28" w:right="18"/>
              <w:jc w:val="both"/>
              <w:rPr>
                <w:rFonts w:ascii="宋体" w:hAnsi="宋体" w:cs="宋体" w:eastAsia="宋体" w:hint="default"/>
                <w:sz w:val="18"/>
                <w:szCs w:val="18"/>
              </w:rPr>
            </w:pPr>
            <w:r>
              <w:rPr>
                <w:rFonts w:ascii="宋体" w:hAnsi="宋体" w:cs="宋体" w:eastAsia="宋体" w:hint="default"/>
                <w:spacing w:val="-4"/>
                <w:sz w:val="18"/>
                <w:szCs w:val="18"/>
              </w:rPr>
              <w:t>通过专业化的、独立的第三方机构为个人或企业建立信用档案，依法</w:t>
            </w:r>
            <w:r>
              <w:rPr>
                <w:rFonts w:ascii="宋体" w:hAnsi="宋体" w:cs="宋体" w:eastAsia="宋体" w:hint="default"/>
                <w:spacing w:val="-3"/>
                <w:sz w:val="18"/>
                <w:szCs w:val="18"/>
              </w:rPr>
              <w:t> </w:t>
            </w:r>
            <w:r>
              <w:rPr>
                <w:rFonts w:ascii="宋体" w:hAnsi="宋体" w:cs="宋体" w:eastAsia="宋体" w:hint="default"/>
                <w:spacing w:val="-3"/>
                <w:sz w:val="18"/>
                <w:szCs w:val="18"/>
              </w:rPr>
            </w:r>
            <w:r>
              <w:rPr>
                <w:rFonts w:ascii="宋体" w:hAnsi="宋体" w:cs="宋体" w:eastAsia="宋体" w:hint="default"/>
                <w:spacing w:val="-4"/>
                <w:sz w:val="18"/>
                <w:szCs w:val="18"/>
              </w:rPr>
              <w:t>采集、整理、保存、加工其信用信息，并对使用者提供信用信息服务</w:t>
            </w:r>
            <w:r>
              <w:rPr>
                <w:rFonts w:ascii="宋体" w:hAnsi="宋体" w:cs="宋体" w:eastAsia="宋体" w:hint="default"/>
                <w:spacing w:val="-3"/>
                <w:sz w:val="18"/>
                <w:szCs w:val="18"/>
              </w:rPr>
              <w:t> </w:t>
            </w:r>
            <w:r>
              <w:rPr>
                <w:rFonts w:ascii="宋体" w:hAnsi="宋体" w:cs="宋体" w:eastAsia="宋体" w:hint="default"/>
                <w:spacing w:val="-3"/>
                <w:sz w:val="18"/>
                <w:szCs w:val="18"/>
              </w:rPr>
              <w:t>的活动。根据信用评价对象的不同，分为企业征信和个人征信。</w:t>
            </w:r>
          </w:p>
        </w:tc>
      </w:tr>
      <w:tr>
        <w:trPr>
          <w:trHeight w:val="394" w:hRule="exact"/>
        </w:trPr>
        <w:tc>
          <w:tcPr>
            <w:tcW w:w="3537" w:type="dxa"/>
            <w:vMerge/>
            <w:tcBorders>
              <w:left w:val="single" w:sz="4" w:space="0" w:color="000000"/>
              <w:right w:val="single" w:sz="10" w:space="0" w:color="D2D2D2"/>
            </w:tcBorders>
          </w:tcPr>
          <w:p>
            <w:pPr/>
          </w:p>
        </w:tc>
        <w:tc>
          <w:tcPr>
            <w:tcW w:w="60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38" w:type="dxa"/>
            <w:vMerge/>
            <w:tcBorders>
              <w:left w:val="single" w:sz="10" w:space="0" w:color="D2D2D2"/>
              <w:right w:val="single" w:sz="4" w:space="0" w:color="000000"/>
            </w:tcBorders>
          </w:tcPr>
          <w:p>
            <w:pPr/>
          </w:p>
        </w:tc>
      </w:tr>
      <w:tr>
        <w:trPr>
          <w:trHeight w:val="317" w:hRule="exact"/>
        </w:trPr>
        <w:tc>
          <w:tcPr>
            <w:tcW w:w="3537" w:type="dxa"/>
            <w:vMerge/>
            <w:tcBorders>
              <w:left w:val="single" w:sz="4" w:space="0" w:color="000000"/>
              <w:bottom w:val="single" w:sz="4" w:space="0" w:color="000000"/>
              <w:right w:val="single" w:sz="10" w:space="0" w:color="D2D2D2"/>
            </w:tcBorders>
          </w:tcPr>
          <w:p>
            <w:pPr/>
          </w:p>
        </w:tc>
        <w:tc>
          <w:tcPr>
            <w:tcW w:w="600" w:type="dxa"/>
            <w:tcBorders>
              <w:top w:val="nil" w:sz="6" w:space="0" w:color="auto"/>
              <w:left w:val="single" w:sz="4" w:space="0" w:color="000000"/>
              <w:bottom w:val="single" w:sz="4" w:space="0" w:color="000000"/>
              <w:right w:val="single" w:sz="4" w:space="0" w:color="000000"/>
            </w:tcBorders>
            <w:shd w:val="clear" w:color="auto" w:fill="D2D2D2"/>
          </w:tcPr>
          <w:p>
            <w:pPr/>
          </w:p>
        </w:tc>
        <w:tc>
          <w:tcPr>
            <w:tcW w:w="5438" w:type="dxa"/>
            <w:vMerge/>
            <w:tcBorders>
              <w:left w:val="single" w:sz="10" w:space="0" w:color="D2D2D2"/>
              <w:bottom w:val="single" w:sz="4" w:space="0" w:color="000000"/>
              <w:right w:val="single" w:sz="4" w:space="0" w:color="000000"/>
            </w:tcBorders>
          </w:tcPr>
          <w:p>
            <w:pPr/>
          </w:p>
        </w:tc>
      </w:tr>
      <w:tr>
        <w:trPr>
          <w:trHeight w:val="403" w:hRule="exact"/>
        </w:trPr>
        <w:tc>
          <w:tcPr>
            <w:tcW w:w="3537"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个人征信</w:t>
            </w:r>
          </w:p>
        </w:tc>
        <w:tc>
          <w:tcPr>
            <w:tcW w:w="6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3"/>
              <w:ind w:left="23" w:right="0"/>
              <w:jc w:val="left"/>
              <w:rPr>
                <w:rFonts w:ascii="宋体" w:hAnsi="宋体" w:cs="宋体" w:eastAsia="宋体" w:hint="default"/>
                <w:sz w:val="18"/>
                <w:szCs w:val="18"/>
              </w:rPr>
            </w:pPr>
            <w:r>
              <w:rPr>
                <w:rFonts w:ascii="宋体" w:hAnsi="宋体" w:cs="宋体" w:eastAsia="宋体" w:hint="default"/>
                <w:spacing w:val="-4"/>
                <w:sz w:val="18"/>
                <w:szCs w:val="18"/>
              </w:rPr>
              <w:t>依法设立的个人信用征信机构对个人信用信息进行采集和加工，并根</w:t>
            </w:r>
          </w:p>
        </w:tc>
      </w:tr>
    </w:tbl>
    <w:p>
      <w:pPr>
        <w:spacing w:after="0" w:line="240" w:lineRule="auto"/>
        <w:jc w:val="left"/>
        <w:rPr>
          <w:rFonts w:ascii="宋体" w:hAnsi="宋体" w:cs="宋体" w:eastAsia="宋体" w:hint="default"/>
          <w:sz w:val="18"/>
          <w:szCs w:val="18"/>
        </w:rPr>
        <w:sectPr>
          <w:pgSz w:w="11910" w:h="16840"/>
          <w:pgMar w:header="871" w:footer="1186" w:top="1100" w:bottom="1380" w:left="98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26"/>
          <w:szCs w:val="26"/>
        </w:rPr>
      </w:pPr>
    </w:p>
    <w:p>
      <w:pPr>
        <w:pStyle w:val="BodyText"/>
        <w:spacing w:line="240" w:lineRule="auto" w:before="46"/>
        <w:ind w:left="0" w:right="1128"/>
        <w:jc w:val="right"/>
      </w:pPr>
      <w:r>
        <w:rPr/>
        <w:pict>
          <v:shape style="position:absolute;margin-left:56.424pt;margin-top:-106.018272pt;width:479.5pt;height:331.1pt;mso-position-horizontal-relative:page;mso-position-vertical-relative:paragraph;z-index: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525"/>
                    <w:gridCol w:w="624"/>
                    <w:gridCol w:w="5426"/>
                  </w:tblGrid>
                  <w:tr>
                    <w:trPr>
                      <w:trHeight w:val="360" w:hRule="exact"/>
                    </w:trPr>
                    <w:tc>
                      <w:tcPr>
                        <w:tcW w:w="3525"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23" w:right="0"/>
                          <w:jc w:val="left"/>
                          <w:rPr>
                            <w:rFonts w:ascii="宋体" w:hAnsi="宋体" w:cs="宋体" w:eastAsia="宋体" w:hint="default"/>
                            <w:sz w:val="18"/>
                            <w:szCs w:val="18"/>
                          </w:rPr>
                        </w:pPr>
                        <w:r>
                          <w:rPr>
                            <w:rFonts w:ascii="宋体" w:hAnsi="宋体" w:cs="宋体" w:eastAsia="宋体" w:hint="default"/>
                            <w:spacing w:val="-3"/>
                            <w:sz w:val="18"/>
                            <w:szCs w:val="18"/>
                          </w:rPr>
                          <w:t>据用户要求提供个人信用信息查询和评估服务的活动。</w:t>
                        </w:r>
                      </w:p>
                    </w:tc>
                  </w:tr>
                  <w:tr>
                    <w:trPr>
                      <w:trHeight w:val="1028"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互联网保险</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3" w:right="18"/>
                          <w:jc w:val="both"/>
                          <w:rPr>
                            <w:rFonts w:ascii="宋体" w:hAnsi="宋体" w:cs="宋体" w:eastAsia="宋体" w:hint="default"/>
                            <w:sz w:val="18"/>
                            <w:szCs w:val="18"/>
                          </w:rPr>
                        </w:pPr>
                        <w:r>
                          <w:rPr>
                            <w:rFonts w:ascii="宋体" w:hAnsi="宋体" w:cs="宋体" w:eastAsia="宋体" w:hint="default"/>
                            <w:spacing w:val="-4"/>
                            <w:sz w:val="18"/>
                            <w:szCs w:val="18"/>
                          </w:rPr>
                          <w:t>实现保险信息咨询、产品设计、投保、交费、核保、承保、保单信息</w:t>
                        </w:r>
                        <w:r>
                          <w:rPr>
                            <w:rFonts w:ascii="宋体" w:hAnsi="宋体" w:cs="宋体" w:eastAsia="宋体" w:hint="default"/>
                            <w:spacing w:val="-3"/>
                            <w:sz w:val="18"/>
                            <w:szCs w:val="18"/>
                          </w:rPr>
                          <w:t> </w:t>
                        </w:r>
                        <w:r>
                          <w:rPr>
                            <w:rFonts w:ascii="宋体" w:hAnsi="宋体" w:cs="宋体" w:eastAsia="宋体" w:hint="default"/>
                            <w:spacing w:val="-3"/>
                            <w:sz w:val="18"/>
                            <w:szCs w:val="18"/>
                          </w:rPr>
                        </w:r>
                        <w:r>
                          <w:rPr>
                            <w:rFonts w:ascii="宋体" w:hAnsi="宋体" w:cs="宋体" w:eastAsia="宋体" w:hint="default"/>
                            <w:spacing w:val="-4"/>
                            <w:sz w:val="18"/>
                            <w:szCs w:val="18"/>
                          </w:rPr>
                          <w:t>查询、保全变更和理赔等保险全过程的网络化，以互联网和电子商务</w:t>
                        </w:r>
                        <w:r>
                          <w:rPr>
                            <w:rFonts w:ascii="宋体" w:hAnsi="宋体" w:cs="宋体" w:eastAsia="宋体" w:hint="default"/>
                            <w:spacing w:val="-3"/>
                            <w:sz w:val="18"/>
                            <w:szCs w:val="18"/>
                          </w:rPr>
                          <w:t> </w:t>
                        </w:r>
                        <w:r>
                          <w:rPr>
                            <w:rFonts w:ascii="宋体" w:hAnsi="宋体" w:cs="宋体" w:eastAsia="宋体" w:hint="default"/>
                            <w:spacing w:val="-3"/>
                            <w:sz w:val="18"/>
                            <w:szCs w:val="18"/>
                          </w:rPr>
                          <w:t>技术为工具来支持保险销售的经营管理活动的新型保险业态。</w:t>
                        </w:r>
                      </w:p>
                    </w:tc>
                  </w:tr>
                  <w:tr>
                    <w:trPr>
                      <w:trHeight w:val="715"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大数据</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3" w:right="18"/>
                          <w:jc w:val="left"/>
                          <w:rPr>
                            <w:rFonts w:ascii="宋体" w:hAnsi="宋体" w:cs="宋体" w:eastAsia="宋体" w:hint="default"/>
                            <w:sz w:val="18"/>
                            <w:szCs w:val="18"/>
                          </w:rPr>
                        </w:pPr>
                        <w:r>
                          <w:rPr>
                            <w:rFonts w:ascii="宋体" w:hAnsi="宋体" w:cs="宋体" w:eastAsia="宋体" w:hint="default"/>
                            <w:spacing w:val="-4"/>
                            <w:sz w:val="18"/>
                            <w:szCs w:val="18"/>
                          </w:rPr>
                          <w:t>达到足够量级的，经过新的处理模式能够具有更强的决策力、洞察发</w:t>
                        </w:r>
                        <w:r>
                          <w:rPr>
                            <w:rFonts w:ascii="宋体" w:hAnsi="宋体" w:cs="宋体" w:eastAsia="宋体" w:hint="default"/>
                            <w:spacing w:val="-3"/>
                            <w:sz w:val="18"/>
                            <w:szCs w:val="18"/>
                          </w:rPr>
                          <w:t> </w:t>
                        </w:r>
                        <w:r>
                          <w:rPr>
                            <w:rFonts w:ascii="宋体" w:hAnsi="宋体" w:cs="宋体" w:eastAsia="宋体" w:hint="default"/>
                            <w:spacing w:val="-3"/>
                            <w:sz w:val="18"/>
                            <w:szCs w:val="18"/>
                          </w:rPr>
                          <w:t>现力和流程优化能力，从而产生更广泛的市场价值的信息资产。</w:t>
                        </w:r>
                      </w:p>
                    </w:tc>
                  </w:tr>
                  <w:tr>
                    <w:trPr>
                      <w:trHeight w:val="716"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影像技术</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109"/>
                          <w:jc w:val="left"/>
                          <w:rPr>
                            <w:rFonts w:ascii="宋体" w:hAnsi="宋体" w:cs="宋体" w:eastAsia="宋体" w:hint="default"/>
                            <w:sz w:val="18"/>
                            <w:szCs w:val="18"/>
                          </w:rPr>
                        </w:pPr>
                        <w:r>
                          <w:rPr>
                            <w:rFonts w:ascii="宋体" w:hAnsi="宋体" w:cs="宋体" w:eastAsia="宋体" w:hint="default"/>
                            <w:spacing w:val="-7"/>
                            <w:sz w:val="18"/>
                            <w:szCs w:val="18"/>
                          </w:rPr>
                          <w:t>对通过摄像、扫描等方式获得的数字图像进行传输、图像处理、识别</w:t>
                        </w:r>
                        <w:r>
                          <w:rPr>
                            <w:rFonts w:ascii="宋体" w:hAnsi="宋体" w:cs="宋体" w:eastAsia="宋体" w:hint="default"/>
                            <w:spacing w:val="-5"/>
                            <w:sz w:val="18"/>
                            <w:szCs w:val="18"/>
                          </w:rPr>
                          <w:t> </w:t>
                        </w:r>
                        <w:r>
                          <w:rPr>
                            <w:rFonts w:ascii="宋体" w:hAnsi="宋体" w:cs="宋体" w:eastAsia="宋体" w:hint="default"/>
                            <w:spacing w:val="-5"/>
                            <w:sz w:val="18"/>
                            <w:szCs w:val="18"/>
                          </w:rPr>
                        </w:r>
                        <w:r>
                          <w:rPr>
                            <w:rFonts w:ascii="宋体" w:hAnsi="宋体" w:cs="宋体" w:eastAsia="宋体" w:hint="default"/>
                            <w:spacing w:val="-3"/>
                            <w:sz w:val="18"/>
                            <w:szCs w:val="18"/>
                          </w:rPr>
                          <w:t>存储、管理等一系列信息化应用的技术。</w:t>
                        </w:r>
                      </w:p>
                    </w:tc>
                  </w:tr>
                  <w:tr>
                    <w:trPr>
                      <w:trHeight w:val="710"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验印</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18"/>
                          <w:jc w:val="left"/>
                          <w:rPr>
                            <w:rFonts w:ascii="宋体" w:hAnsi="宋体" w:cs="宋体" w:eastAsia="宋体" w:hint="default"/>
                            <w:sz w:val="18"/>
                            <w:szCs w:val="18"/>
                          </w:rPr>
                        </w:pPr>
                        <w:r>
                          <w:rPr>
                            <w:rFonts w:ascii="宋体" w:hAnsi="宋体" w:cs="宋体" w:eastAsia="宋体" w:hint="default"/>
                            <w:spacing w:val="-4"/>
                            <w:sz w:val="18"/>
                            <w:szCs w:val="18"/>
                          </w:rPr>
                          <w:t>银行在受理诸如支票等涉及客户签章的业务时，核对客户签章与预留</w:t>
                        </w:r>
                        <w:r>
                          <w:rPr>
                            <w:rFonts w:ascii="宋体" w:hAnsi="宋体" w:cs="宋体" w:eastAsia="宋体" w:hint="default"/>
                            <w:spacing w:val="-2"/>
                            <w:sz w:val="18"/>
                            <w:szCs w:val="18"/>
                          </w:rPr>
                          <w:t> </w:t>
                        </w:r>
                        <w:r>
                          <w:rPr>
                            <w:rFonts w:ascii="宋体" w:hAnsi="宋体" w:cs="宋体" w:eastAsia="宋体" w:hint="default"/>
                            <w:spacing w:val="-2"/>
                            <w:sz w:val="18"/>
                            <w:szCs w:val="18"/>
                          </w:rPr>
                        </w:r>
                        <w:r>
                          <w:rPr>
                            <w:rFonts w:ascii="宋体" w:hAnsi="宋体" w:cs="宋体" w:eastAsia="宋体" w:hint="default"/>
                            <w:spacing w:val="-3"/>
                            <w:sz w:val="18"/>
                            <w:szCs w:val="18"/>
                          </w:rPr>
                          <w:t>银行的签章是否相符的业务操作程序。</w:t>
                        </w:r>
                      </w:p>
                    </w:tc>
                  </w:tr>
                  <w:tr>
                    <w:trPr>
                      <w:trHeight w:val="1340"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智能印控机</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3" w:right="17"/>
                          <w:jc w:val="both"/>
                          <w:rPr>
                            <w:rFonts w:ascii="宋体" w:hAnsi="宋体" w:cs="宋体" w:eastAsia="宋体" w:hint="default"/>
                            <w:sz w:val="18"/>
                            <w:szCs w:val="18"/>
                          </w:rPr>
                        </w:pPr>
                        <w:r>
                          <w:rPr>
                            <w:rFonts w:ascii="宋体" w:hAnsi="宋体" w:cs="宋体" w:eastAsia="宋体" w:hint="default"/>
                            <w:spacing w:val="-4"/>
                            <w:sz w:val="18"/>
                            <w:szCs w:val="18"/>
                          </w:rPr>
                          <w:t>以机电一体化盖章方式代替人工盖章，并运用电子图像对比处理技术</w:t>
                        </w:r>
                        <w:r>
                          <w:rPr>
                            <w:rFonts w:ascii="宋体" w:hAnsi="宋体" w:cs="宋体" w:eastAsia="宋体" w:hint="default"/>
                            <w:spacing w:val="-2"/>
                            <w:sz w:val="18"/>
                            <w:szCs w:val="18"/>
                          </w:rPr>
                          <w:t> </w:t>
                        </w:r>
                        <w:r>
                          <w:rPr>
                            <w:rFonts w:ascii="宋体" w:hAnsi="宋体" w:cs="宋体" w:eastAsia="宋体" w:hint="default"/>
                            <w:spacing w:val="-2"/>
                            <w:sz w:val="18"/>
                            <w:szCs w:val="18"/>
                          </w:rPr>
                        </w:r>
                        <w:r>
                          <w:rPr>
                            <w:rFonts w:ascii="宋体" w:hAnsi="宋体" w:cs="宋体" w:eastAsia="宋体" w:hint="default"/>
                            <w:spacing w:val="-4"/>
                            <w:sz w:val="18"/>
                            <w:szCs w:val="18"/>
                          </w:rPr>
                          <w:t>对盖章整个过程（凭证放置、找章、盖章、登记、检查）进行实时监</w:t>
                        </w:r>
                        <w:r>
                          <w:rPr>
                            <w:rFonts w:ascii="宋体" w:hAnsi="宋体" w:cs="宋体" w:eastAsia="宋体" w:hint="default"/>
                            <w:spacing w:val="-3"/>
                            <w:sz w:val="18"/>
                            <w:szCs w:val="18"/>
                          </w:rPr>
                          <w:t> </w:t>
                        </w:r>
                        <w:r>
                          <w:rPr>
                            <w:rFonts w:ascii="宋体" w:hAnsi="宋体" w:cs="宋体" w:eastAsia="宋体" w:hint="default"/>
                            <w:spacing w:val="-3"/>
                            <w:sz w:val="18"/>
                            <w:szCs w:val="18"/>
                          </w:rPr>
                        </w:r>
                        <w:r>
                          <w:rPr>
                            <w:rFonts w:ascii="宋体" w:hAnsi="宋体" w:cs="宋体" w:eastAsia="宋体" w:hint="default"/>
                            <w:spacing w:val="-4"/>
                            <w:sz w:val="18"/>
                            <w:szCs w:val="18"/>
                          </w:rPr>
                          <w:t>控的专用设备，是目前唯一运用电子技术服务于银行印章风险管控的</w:t>
                        </w:r>
                        <w:r>
                          <w:rPr>
                            <w:rFonts w:ascii="宋体" w:hAnsi="宋体" w:cs="宋体" w:eastAsia="宋体" w:hint="default"/>
                            <w:spacing w:val="-2"/>
                            <w:sz w:val="18"/>
                            <w:szCs w:val="18"/>
                          </w:rPr>
                          <w:t> </w:t>
                        </w:r>
                        <w:r>
                          <w:rPr>
                            <w:rFonts w:ascii="宋体" w:hAnsi="宋体" w:cs="宋体" w:eastAsia="宋体" w:hint="default"/>
                            <w:spacing w:val="-2"/>
                            <w:sz w:val="18"/>
                            <w:szCs w:val="18"/>
                          </w:rPr>
                        </w:r>
                        <w:r>
                          <w:rPr>
                            <w:rFonts w:ascii="宋体" w:hAnsi="宋体" w:cs="宋体" w:eastAsia="宋体" w:hint="default"/>
                            <w:sz w:val="18"/>
                            <w:szCs w:val="18"/>
                          </w:rPr>
                          <w:t>电子设备和系统。</w:t>
                        </w:r>
                      </w:p>
                    </w:tc>
                  </w:tr>
                  <w:tr>
                    <w:trPr>
                      <w:trHeight w:val="1027"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区块链</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3" w:right="-14"/>
                          <w:jc w:val="both"/>
                          <w:rPr>
                            <w:rFonts w:ascii="宋体" w:hAnsi="宋体" w:cs="宋体" w:eastAsia="宋体" w:hint="default"/>
                            <w:sz w:val="18"/>
                            <w:szCs w:val="18"/>
                          </w:rPr>
                        </w:pPr>
                        <w:r>
                          <w:rPr>
                            <w:rFonts w:ascii="宋体" w:hAnsi="宋体" w:cs="宋体" w:eastAsia="宋体" w:hint="default"/>
                            <w:spacing w:val="-4"/>
                            <w:sz w:val="18"/>
                            <w:szCs w:val="18"/>
                          </w:rPr>
                          <w:t>一种分布式数据存储、点对点传输、共识机制、加密算法等计算机技</w:t>
                        </w:r>
                        <w:r>
                          <w:rPr>
                            <w:rFonts w:ascii="宋体" w:hAnsi="宋体" w:cs="宋体" w:eastAsia="宋体" w:hint="default"/>
                            <w:spacing w:val="-3"/>
                            <w:sz w:val="18"/>
                            <w:szCs w:val="18"/>
                          </w:rPr>
                          <w:t> </w:t>
                        </w:r>
                        <w:r>
                          <w:rPr>
                            <w:rFonts w:ascii="宋体" w:hAnsi="宋体" w:cs="宋体" w:eastAsia="宋体" w:hint="default"/>
                            <w:spacing w:val="-3"/>
                            <w:sz w:val="18"/>
                            <w:szCs w:val="18"/>
                          </w:rPr>
                          <w:t>的新型应用模式，具有去中心化、不可篡改、全程留痕、可以追溯、</w:t>
                        </w:r>
                        <w:r>
                          <w:rPr>
                            <w:rFonts w:ascii="宋体" w:hAnsi="宋体" w:cs="宋体" w:eastAsia="宋体" w:hint="default"/>
                            <w:spacing w:val="2"/>
                            <w:sz w:val="18"/>
                            <w:szCs w:val="18"/>
                          </w:rPr>
                          <w:t> </w:t>
                        </w:r>
                        <w:r>
                          <w:rPr>
                            <w:rFonts w:ascii="宋体" w:hAnsi="宋体" w:cs="宋体" w:eastAsia="宋体" w:hint="default"/>
                            <w:spacing w:val="2"/>
                            <w:sz w:val="18"/>
                            <w:szCs w:val="18"/>
                          </w:rPr>
                        </w:r>
                        <w:r>
                          <w:rPr>
                            <w:rFonts w:ascii="宋体" w:hAnsi="宋体" w:cs="宋体" w:eastAsia="宋体" w:hint="default"/>
                            <w:spacing w:val="-3"/>
                            <w:sz w:val="18"/>
                            <w:szCs w:val="18"/>
                          </w:rPr>
                          <w:t>集体维护、公开透明等特点。</w:t>
                        </w:r>
                      </w:p>
                    </w:tc>
                  </w:tr>
                  <w:tr>
                    <w:trPr>
                      <w:trHeight w:val="716"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数字货币</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4"/>
                          <w:ind w:left="23" w:right="18"/>
                          <w:jc w:val="left"/>
                          <w:rPr>
                            <w:rFonts w:ascii="宋体" w:hAnsi="宋体" w:cs="宋体" w:eastAsia="宋体" w:hint="default"/>
                            <w:sz w:val="18"/>
                            <w:szCs w:val="18"/>
                          </w:rPr>
                        </w:pPr>
                        <w:r>
                          <w:rPr>
                            <w:rFonts w:ascii="宋体" w:hAnsi="宋体" w:cs="宋体" w:eastAsia="宋体" w:hint="default"/>
                            <w:spacing w:val="-4"/>
                            <w:sz w:val="18"/>
                            <w:szCs w:val="18"/>
                          </w:rPr>
                          <w:t>一种基于节点网络和数字加密算法的虚拟货币，可作为支付手段，可</w:t>
                        </w:r>
                        <w:r>
                          <w:rPr>
                            <w:rFonts w:ascii="宋体" w:hAnsi="宋体" w:cs="宋体" w:eastAsia="宋体" w:hint="default"/>
                            <w:spacing w:val="-3"/>
                            <w:sz w:val="18"/>
                            <w:szCs w:val="18"/>
                          </w:rPr>
                          <w:t> </w:t>
                        </w:r>
                        <w:r>
                          <w:rPr>
                            <w:rFonts w:ascii="宋体" w:hAnsi="宋体" w:cs="宋体" w:eastAsia="宋体" w:hint="default"/>
                            <w:spacing w:val="-3"/>
                            <w:sz w:val="18"/>
                            <w:szCs w:val="18"/>
                          </w:rPr>
                          <w:t>以电子形式转移、存储或交易。</w:t>
                        </w:r>
                      </w:p>
                    </w:tc>
                  </w:tr>
                </w:tbl>
                <w:p>
                  <w:pPr/>
                </w:p>
              </w:txbxContent>
            </v:textbox>
            <w10:wrap type="none"/>
          </v:shape>
        </w:pict>
      </w:r>
      <w:r>
        <w:rPr>
          <w:w w:val="101"/>
        </w:rPr>
        <w:t>、</w:t>
      </w:r>
      <w:r>
        <w:rPr/>
      </w:r>
    </w:p>
    <w:p>
      <w:pPr>
        <w:spacing w:after="0" w:line="240" w:lineRule="auto"/>
        <w:jc w:val="right"/>
        <w:sectPr>
          <w:pgSz w:w="11910" w:h="16840"/>
          <w:pgMar w:header="871" w:footer="1186" w:top="1100" w:bottom="138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6"/>
          <w:szCs w:val="16"/>
        </w:rPr>
      </w:pPr>
    </w:p>
    <w:p>
      <w:pPr>
        <w:pStyle w:val="Heading1"/>
        <w:spacing w:line="240" w:lineRule="auto"/>
        <w:ind w:left="2645" w:right="0"/>
        <w:jc w:val="left"/>
        <w:rPr>
          <w:b w:val="0"/>
          <w:bCs w:val="0"/>
        </w:rPr>
      </w:pPr>
      <w:bookmarkStart w:name="第二节 公司简介和主要财务指标" w:id="3"/>
      <w:bookmarkEnd w:id="3"/>
      <w:r>
        <w:rPr>
          <w:b w:val="0"/>
          <w:bCs w:val="0"/>
        </w:rPr>
      </w:r>
      <w:bookmarkStart w:name="_bookmark1" w:id="4"/>
      <w:bookmarkEnd w:id="4"/>
      <w:r>
        <w:rPr>
          <w:b w:val="0"/>
          <w:bCs w:val="0"/>
        </w:rPr>
      </w:r>
      <w:r>
        <w:rPr/>
        <w:t>第二节</w:t>
      </w:r>
      <w:r>
        <w:rPr>
          <w:spacing w:val="1"/>
        </w:rPr>
        <w:t> </w:t>
      </w:r>
      <w:r>
        <w:rPr/>
        <w:t>公司简介和主要财务指标</w:t>
      </w:r>
      <w:r>
        <w:rPr>
          <w:b w:val="0"/>
          <w:bCs w:val="0"/>
        </w:rPr>
      </w: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6"/>
          <w:szCs w:val="16"/>
        </w:rPr>
      </w:pPr>
    </w:p>
    <w:p>
      <w:pPr>
        <w:pStyle w:val="Heading2"/>
        <w:spacing w:line="240" w:lineRule="auto" w:before="26"/>
        <w:ind w:right="0"/>
        <w:jc w:val="left"/>
        <w:rPr>
          <w:b w:val="0"/>
          <w:bCs w:val="0"/>
        </w:rPr>
      </w:pPr>
      <w:r>
        <w:rPr/>
        <w:pict>
          <v:group style="position:absolute;margin-left:171.190002pt;margin-top:114.575615pt;width:362.8pt;height:20.65pt;mso-position-horizontal-relative:page;mso-position-vertical-relative:paragraph;z-index:-1026568" coordorigin="3424,2292" coordsize="7256,413">
            <v:group style="position:absolute;left:3436;top:2304;width:2;height:389" coordorigin="3436,2304" coordsize="2,389">
              <v:shape style="position:absolute;left:3436;top:2304;width:2;height:389" coordorigin="3436,2304" coordsize="0,389" path="m3436,2304l3436,2692e" filled="false" stroked="true" strokeweight="1.2pt" strokecolor="#ffffff">
                <v:path arrowok="t"/>
              </v:shape>
            </v:group>
            <v:group style="position:absolute;left:3448;top:2304;width:7232;height:389" coordorigin="3448,2304" coordsize="7232,389">
              <v:shape style="position:absolute;left:3448;top:2304;width:7232;height:389" coordorigin="3448,2304" coordsize="7232,389" path="m3448,2692l10679,2692,10679,2304,3448,2304,3448,2692xe" filled="true" fillcolor="#ffffff" stroked="false">
                <v:path arrowok="t"/>
                <v:fill type="solid"/>
              </v:shape>
            </v:group>
            <w10:wrap type="none"/>
          </v:group>
        </w:pict>
      </w:r>
      <w:bookmarkStart w:name="一、公司信息" w:id="5"/>
      <w:bookmarkEnd w:id="5"/>
      <w:r>
        <w:rPr>
          <w:b w:val="0"/>
          <w:bCs w:val="0"/>
        </w:rPr>
      </w:r>
      <w:r>
        <w:rPr/>
        <w:t>一、公司信息</w:t>
      </w:r>
      <w:r>
        <w:rPr>
          <w:b w:val="0"/>
          <w:bCs w:val="0"/>
        </w:rPr>
      </w:r>
    </w:p>
    <w:p>
      <w:pPr>
        <w:spacing w:line="240" w:lineRule="auto" w:before="5"/>
        <w:rPr>
          <w:rFonts w:ascii="宋体" w:hAnsi="宋体" w:cs="宋体" w:eastAsia="宋体" w:hint="default"/>
          <w:b/>
          <w:bCs/>
          <w:sz w:val="26"/>
          <w:szCs w:val="26"/>
        </w:rPr>
      </w:pPr>
    </w:p>
    <w:tbl>
      <w:tblPr>
        <w:tblW w:w="0" w:type="auto"/>
        <w:jc w:val="left"/>
        <w:tblInd w:w="148" w:type="dxa"/>
        <w:tblLayout w:type="fixed"/>
        <w:tblCellMar>
          <w:top w:w="0" w:type="dxa"/>
          <w:left w:w="0" w:type="dxa"/>
          <w:bottom w:w="0" w:type="dxa"/>
          <w:right w:w="0" w:type="dxa"/>
        </w:tblCellMar>
        <w:tblLook w:val="01E0"/>
      </w:tblPr>
      <w:tblGrid>
        <w:gridCol w:w="2286"/>
        <w:gridCol w:w="2965"/>
        <w:gridCol w:w="2144"/>
        <w:gridCol w:w="2180"/>
      </w:tblGrid>
      <w:tr>
        <w:trPr>
          <w:trHeight w:val="398" w:hRule="exact"/>
        </w:trPr>
        <w:tc>
          <w:tcPr>
            <w:tcW w:w="2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65"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银之杰</w:t>
            </w:r>
          </w:p>
        </w:tc>
        <w:tc>
          <w:tcPr>
            <w:tcW w:w="21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2"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300085</w:t>
            </w:r>
          </w:p>
        </w:tc>
      </w:tr>
      <w:tr>
        <w:trPr>
          <w:trHeight w:val="404" w:hRule="exact"/>
        </w:trPr>
        <w:tc>
          <w:tcPr>
            <w:tcW w:w="2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公司的中文名称</w:t>
            </w:r>
          </w:p>
        </w:tc>
        <w:tc>
          <w:tcPr>
            <w:tcW w:w="728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深圳市银之杰科技股份有限公司</w:t>
            </w:r>
          </w:p>
        </w:tc>
      </w:tr>
      <w:tr>
        <w:trPr>
          <w:trHeight w:val="403" w:hRule="exact"/>
        </w:trPr>
        <w:tc>
          <w:tcPr>
            <w:tcW w:w="2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公司的中文简称</w:t>
            </w:r>
          </w:p>
        </w:tc>
        <w:tc>
          <w:tcPr>
            <w:tcW w:w="728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银之杰</w:t>
            </w:r>
          </w:p>
        </w:tc>
      </w:tr>
      <w:tr>
        <w:trPr>
          <w:trHeight w:val="403" w:hRule="exact"/>
        </w:trPr>
        <w:tc>
          <w:tcPr>
            <w:tcW w:w="2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公司的外文名称（如有）</w:t>
            </w:r>
          </w:p>
        </w:tc>
        <w:tc>
          <w:tcPr>
            <w:tcW w:w="728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Shenzhen </w:t>
            </w:r>
            <w:r>
              <w:rPr>
                <w:rFonts w:ascii="Times New Roman"/>
                <w:spacing w:val="-3"/>
                <w:sz w:val="18"/>
              </w:rPr>
              <w:t>InfoGem Technologies Co., </w:t>
            </w:r>
            <w:r>
              <w:rPr>
                <w:rFonts w:ascii="Times New Roman"/>
                <w:spacing w:val="13"/>
                <w:sz w:val="18"/>
              </w:rPr>
              <w:t> </w:t>
            </w:r>
            <w:r>
              <w:rPr>
                <w:rFonts w:ascii="Times New Roman"/>
                <w:spacing w:val="-3"/>
                <w:sz w:val="18"/>
              </w:rPr>
              <w:t>Ltd.</w:t>
            </w:r>
          </w:p>
        </w:tc>
      </w:tr>
      <w:tr>
        <w:trPr>
          <w:trHeight w:val="398" w:hRule="exact"/>
        </w:trPr>
        <w:tc>
          <w:tcPr>
            <w:tcW w:w="2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34"/>
              <w:jc w:val="left"/>
              <w:rPr>
                <w:rFonts w:ascii="宋体" w:hAnsi="宋体" w:cs="宋体" w:eastAsia="宋体" w:hint="default"/>
                <w:sz w:val="18"/>
                <w:szCs w:val="18"/>
              </w:rPr>
            </w:pPr>
            <w:r>
              <w:rPr>
                <w:rFonts w:ascii="宋体" w:hAnsi="宋体" w:cs="宋体" w:eastAsia="宋体" w:hint="default"/>
                <w:spacing w:val="-7"/>
                <w:sz w:val="18"/>
                <w:szCs w:val="18"/>
              </w:rPr>
              <w:t>公司的外文名称缩写（如有）</w:t>
            </w:r>
            <w:r>
              <w:rPr>
                <w:rFonts w:ascii="宋体" w:hAnsi="宋体" w:cs="宋体" w:eastAsia="宋体" w:hint="default"/>
                <w:sz w:val="18"/>
                <w:szCs w:val="18"/>
              </w:rPr>
            </w:r>
          </w:p>
        </w:tc>
        <w:tc>
          <w:tcPr>
            <w:tcW w:w="728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InfoGem</w:t>
            </w:r>
          </w:p>
        </w:tc>
      </w:tr>
      <w:tr>
        <w:trPr>
          <w:trHeight w:val="403" w:hRule="exact"/>
        </w:trPr>
        <w:tc>
          <w:tcPr>
            <w:tcW w:w="2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8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陈向军</w:t>
            </w:r>
          </w:p>
        </w:tc>
      </w:tr>
      <w:tr>
        <w:trPr>
          <w:trHeight w:val="404" w:hRule="exact"/>
        </w:trPr>
        <w:tc>
          <w:tcPr>
            <w:tcW w:w="2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8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深圳市福田区天安数码城天祥大厦 </w:t>
            </w:r>
            <w:r>
              <w:rPr>
                <w:rFonts w:ascii="Times New Roman" w:hAnsi="Times New Roman" w:cs="Times New Roman" w:eastAsia="Times New Roman" w:hint="default"/>
                <w:spacing w:val="-4"/>
                <w:sz w:val="18"/>
                <w:szCs w:val="18"/>
              </w:rPr>
              <w:t>AB </w:t>
            </w:r>
            <w:r>
              <w:rPr>
                <w:rFonts w:ascii="宋体" w:hAnsi="宋体" w:cs="宋体" w:eastAsia="宋体" w:hint="default"/>
                <w:sz w:val="18"/>
                <w:szCs w:val="18"/>
              </w:rPr>
              <w:t>座</w:t>
            </w:r>
            <w:r>
              <w:rPr>
                <w:rFonts w:ascii="宋体" w:hAnsi="宋体" w:cs="宋体" w:eastAsia="宋体" w:hint="default"/>
                <w:spacing w:val="-72"/>
                <w:sz w:val="18"/>
                <w:szCs w:val="18"/>
              </w:rPr>
              <w:t> </w:t>
            </w:r>
            <w:r>
              <w:rPr>
                <w:rFonts w:ascii="Times New Roman" w:hAnsi="Times New Roman" w:cs="Times New Roman" w:eastAsia="Times New Roman" w:hint="default"/>
                <w:spacing w:val="-3"/>
                <w:sz w:val="18"/>
                <w:szCs w:val="18"/>
              </w:rPr>
              <w:t>10A-1</w:t>
            </w:r>
          </w:p>
        </w:tc>
      </w:tr>
      <w:tr>
        <w:trPr>
          <w:trHeight w:val="403" w:hRule="exact"/>
        </w:trPr>
        <w:tc>
          <w:tcPr>
            <w:tcW w:w="2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注册地址的邮政编码</w:t>
            </w:r>
          </w:p>
        </w:tc>
        <w:tc>
          <w:tcPr>
            <w:tcW w:w="728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518048</w:t>
            </w:r>
          </w:p>
        </w:tc>
      </w:tr>
      <w:tr>
        <w:trPr>
          <w:trHeight w:val="398" w:hRule="exact"/>
        </w:trPr>
        <w:tc>
          <w:tcPr>
            <w:tcW w:w="2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8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深圳市福田区天安数码城天祥大厦</w:t>
            </w:r>
            <w:r>
              <w:rPr>
                <w:rFonts w:ascii="宋体" w:hAnsi="宋体" w:cs="宋体" w:eastAsia="宋体" w:hint="default"/>
                <w:spacing w:val="-42"/>
                <w:sz w:val="18"/>
                <w:szCs w:val="18"/>
              </w:rPr>
              <w:t> </w:t>
            </w:r>
            <w:r>
              <w:rPr>
                <w:rFonts w:ascii="Times New Roman" w:hAnsi="Times New Roman" w:cs="Times New Roman" w:eastAsia="Times New Roman" w:hint="default"/>
                <w:spacing w:val="-4"/>
                <w:sz w:val="18"/>
                <w:szCs w:val="18"/>
              </w:rPr>
              <w:t>AB</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座</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10A</w:t>
            </w:r>
          </w:p>
        </w:tc>
      </w:tr>
      <w:tr>
        <w:trPr>
          <w:trHeight w:val="403" w:hRule="exact"/>
        </w:trPr>
        <w:tc>
          <w:tcPr>
            <w:tcW w:w="2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办公地址的邮政编码</w:t>
            </w:r>
          </w:p>
        </w:tc>
        <w:tc>
          <w:tcPr>
            <w:tcW w:w="728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518048</w:t>
            </w:r>
          </w:p>
        </w:tc>
      </w:tr>
      <w:tr>
        <w:trPr>
          <w:trHeight w:val="404" w:hRule="exact"/>
        </w:trPr>
        <w:tc>
          <w:tcPr>
            <w:tcW w:w="2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pacing w:val="-3"/>
                <w:sz w:val="18"/>
                <w:szCs w:val="18"/>
              </w:rPr>
              <w:t>公司国际互联网网址</w:t>
            </w:r>
          </w:p>
        </w:tc>
        <w:tc>
          <w:tcPr>
            <w:tcW w:w="728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hyperlink r:id="rId9">
              <w:r>
                <w:rPr>
                  <w:rFonts w:ascii="Times New Roman"/>
                  <w:spacing w:val="-3"/>
                  <w:sz w:val="18"/>
                </w:rPr>
                <w:t>www.yinzhijie.com</w:t>
              </w:r>
            </w:hyperlink>
          </w:p>
        </w:tc>
      </w:tr>
      <w:tr>
        <w:trPr>
          <w:trHeight w:val="403" w:hRule="exact"/>
        </w:trPr>
        <w:tc>
          <w:tcPr>
            <w:tcW w:w="2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8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hyperlink r:id="rId10">
              <w:r>
                <w:rPr>
                  <w:rFonts w:ascii="Times New Roman"/>
                  <w:sz w:val="18"/>
                </w:rPr>
                <w:t>invest@yinzhijie.com</w:t>
              </w:r>
            </w:hyperlink>
          </w:p>
        </w:tc>
      </w:tr>
    </w:tbl>
    <w:p>
      <w:pPr>
        <w:spacing w:line="240" w:lineRule="auto" w:before="9"/>
        <w:rPr>
          <w:rFonts w:ascii="宋体" w:hAnsi="宋体" w:cs="宋体" w:eastAsia="宋体" w:hint="default"/>
          <w:b/>
          <w:bCs/>
          <w:sz w:val="17"/>
          <w:szCs w:val="17"/>
        </w:rPr>
      </w:pPr>
    </w:p>
    <w:p>
      <w:pPr>
        <w:pStyle w:val="Heading2"/>
        <w:spacing w:line="240" w:lineRule="auto" w:before="26"/>
        <w:ind w:right="0"/>
        <w:jc w:val="left"/>
        <w:rPr>
          <w:b w:val="0"/>
          <w:bCs w:val="0"/>
        </w:rPr>
      </w:pPr>
      <w:bookmarkStart w:name="二、联系人和联系方式" w:id="6"/>
      <w:bookmarkEnd w:id="6"/>
      <w:r>
        <w:rPr>
          <w:b w:val="0"/>
          <w:bCs w:val="0"/>
        </w:rPr>
      </w:r>
      <w:r>
        <w:rPr/>
        <w:t>二、联系人和联系方式</w:t>
      </w:r>
      <w:r>
        <w:rPr>
          <w:b w:val="0"/>
          <w:bCs w:val="0"/>
        </w:rPr>
      </w:r>
    </w:p>
    <w:p>
      <w:pPr>
        <w:spacing w:line="240" w:lineRule="auto" w:before="0"/>
        <w:rPr>
          <w:rFonts w:ascii="宋体" w:hAnsi="宋体" w:cs="宋体" w:eastAsia="宋体" w:hint="default"/>
          <w:b/>
          <w:bCs/>
          <w:sz w:val="26"/>
          <w:szCs w:val="26"/>
        </w:rPr>
      </w:pPr>
    </w:p>
    <w:tbl>
      <w:tblPr>
        <w:tblW w:w="0" w:type="auto"/>
        <w:jc w:val="left"/>
        <w:tblInd w:w="160" w:type="dxa"/>
        <w:tblLayout w:type="fixed"/>
        <w:tblCellMar>
          <w:top w:w="0" w:type="dxa"/>
          <w:left w:w="0" w:type="dxa"/>
          <w:bottom w:w="0" w:type="dxa"/>
          <w:right w:w="0" w:type="dxa"/>
        </w:tblCellMar>
        <w:tblLook w:val="01E0"/>
      </w:tblPr>
      <w:tblGrid>
        <w:gridCol w:w="3176"/>
        <w:gridCol w:w="3193"/>
        <w:gridCol w:w="3193"/>
      </w:tblGrid>
      <w:tr>
        <w:trPr>
          <w:trHeight w:val="404" w:hRule="exact"/>
        </w:trPr>
        <w:tc>
          <w:tcPr>
            <w:tcW w:w="317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051"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398" w:hRule="exact"/>
        </w:trPr>
        <w:tc>
          <w:tcPr>
            <w:tcW w:w="3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1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3"/>
              <w:ind w:left="16" w:right="0"/>
              <w:jc w:val="left"/>
              <w:rPr>
                <w:rFonts w:ascii="宋体" w:hAnsi="宋体" w:cs="宋体" w:eastAsia="宋体" w:hint="default"/>
                <w:sz w:val="18"/>
                <w:szCs w:val="18"/>
              </w:rPr>
            </w:pPr>
            <w:r>
              <w:rPr>
                <w:rFonts w:ascii="宋体" w:hAnsi="宋体" w:cs="宋体" w:eastAsia="宋体" w:hint="default"/>
                <w:sz w:val="18"/>
                <w:szCs w:val="18"/>
              </w:rPr>
              <w:t>刘奕</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苏士敏</w:t>
            </w:r>
          </w:p>
        </w:tc>
      </w:tr>
      <w:tr>
        <w:trPr>
          <w:trHeight w:val="163" w:hRule="exact"/>
        </w:trPr>
        <w:tc>
          <w:tcPr>
            <w:tcW w:w="3176" w:type="dxa"/>
            <w:tcBorders>
              <w:top w:val="single" w:sz="4" w:space="0" w:color="000000"/>
              <w:left w:val="single" w:sz="4" w:space="0" w:color="000000"/>
              <w:bottom w:val="nil" w:sz="6" w:space="0" w:color="auto"/>
              <w:right w:val="single" w:sz="4" w:space="0" w:color="000000"/>
            </w:tcBorders>
            <w:shd w:val="clear" w:color="auto" w:fill="D2D2D2"/>
          </w:tcPr>
          <w:p>
            <w:pPr/>
          </w:p>
        </w:tc>
        <w:tc>
          <w:tcPr>
            <w:tcW w:w="3193" w:type="dxa"/>
            <w:vMerge w:val="restart"/>
            <w:tcBorders>
              <w:top w:val="single" w:sz="4" w:space="0" w:color="000000"/>
              <w:left w:val="single" w:sz="10" w:space="0" w:color="D2D2D2"/>
              <w:right w:val="single" w:sz="4" w:space="0" w:color="000000"/>
            </w:tcBorders>
          </w:tcPr>
          <w:p>
            <w:pPr>
              <w:pStyle w:val="TableParagraph"/>
              <w:spacing w:line="240" w:lineRule="auto" w:before="53"/>
              <w:ind w:left="16" w:right="0"/>
              <w:jc w:val="left"/>
              <w:rPr>
                <w:rFonts w:ascii="Times New Roman" w:hAnsi="Times New Roman" w:cs="Times New Roman" w:eastAsia="Times New Roman" w:hint="default"/>
                <w:sz w:val="18"/>
                <w:szCs w:val="18"/>
              </w:rPr>
            </w:pPr>
            <w:r>
              <w:rPr>
                <w:rFonts w:ascii="宋体" w:hAnsi="宋体" w:cs="宋体" w:eastAsia="宋体" w:hint="default"/>
                <w:spacing w:val="-2"/>
                <w:sz w:val="18"/>
                <w:szCs w:val="18"/>
              </w:rPr>
              <w:t>深圳市福田区天安数码城天祥大厦</w:t>
            </w:r>
            <w:r>
              <w:rPr>
                <w:rFonts w:ascii="宋体" w:hAnsi="宋体" w:cs="宋体" w:eastAsia="宋体" w:hint="default"/>
                <w:spacing w:val="-7"/>
                <w:sz w:val="18"/>
                <w:szCs w:val="18"/>
              </w:rPr>
              <w:t> </w:t>
            </w:r>
            <w:r>
              <w:rPr>
                <w:rFonts w:ascii="Times New Roman" w:hAnsi="Times New Roman" w:cs="Times New Roman" w:eastAsia="Times New Roman" w:hint="default"/>
                <w:spacing w:val="-7"/>
                <w:sz w:val="18"/>
                <w:szCs w:val="18"/>
              </w:rPr>
              <w:t>AB</w:t>
            </w:r>
            <w:r>
              <w:rPr>
                <w:rFonts w:ascii="Times New Roman" w:hAnsi="Times New Roman" w:cs="Times New Roman" w:eastAsia="Times New Roman" w:hint="default"/>
                <w:sz w:val="18"/>
                <w:szCs w:val="18"/>
              </w:rPr>
            </w:r>
          </w:p>
          <w:p>
            <w:pPr>
              <w:pStyle w:val="TableParagraph"/>
              <w:spacing w:line="240" w:lineRule="auto" w:before="67"/>
              <w:ind w:left="1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座</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10A</w:t>
            </w:r>
          </w:p>
        </w:tc>
        <w:tc>
          <w:tcPr>
            <w:tcW w:w="3193" w:type="dxa"/>
            <w:vMerge w:val="restart"/>
            <w:tcBorders>
              <w:top w:val="single" w:sz="4" w:space="0" w:color="000000"/>
              <w:left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宋体" w:hAnsi="宋体" w:cs="宋体" w:eastAsia="宋体" w:hint="default"/>
                <w:spacing w:val="-2"/>
                <w:sz w:val="18"/>
                <w:szCs w:val="18"/>
              </w:rPr>
              <w:t>深圳市福田区天安数码城天祥大厦</w:t>
            </w:r>
            <w:r>
              <w:rPr>
                <w:rFonts w:ascii="宋体" w:hAnsi="宋体" w:cs="宋体" w:eastAsia="宋体" w:hint="default"/>
                <w:spacing w:val="-8"/>
                <w:sz w:val="18"/>
                <w:szCs w:val="18"/>
              </w:rPr>
              <w:t> </w:t>
            </w:r>
            <w:r>
              <w:rPr>
                <w:rFonts w:ascii="Times New Roman" w:hAnsi="Times New Roman" w:cs="Times New Roman" w:eastAsia="Times New Roman" w:hint="default"/>
                <w:spacing w:val="-7"/>
                <w:sz w:val="18"/>
                <w:szCs w:val="18"/>
              </w:rPr>
              <w:t>AB</w:t>
            </w:r>
            <w:r>
              <w:rPr>
                <w:rFonts w:ascii="Times New Roman" w:hAnsi="Times New Roman" w:cs="Times New Roman" w:eastAsia="Times New Roman" w:hint="default"/>
                <w:sz w:val="18"/>
                <w:szCs w:val="18"/>
              </w:rPr>
            </w:r>
          </w:p>
          <w:p>
            <w:pPr>
              <w:pStyle w:val="TableParagraph"/>
              <w:spacing w:line="240" w:lineRule="auto" w:before="67"/>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座</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10A</w:t>
            </w:r>
          </w:p>
        </w:tc>
      </w:tr>
      <w:tr>
        <w:trPr>
          <w:trHeight w:val="394" w:hRule="exact"/>
        </w:trPr>
        <w:tc>
          <w:tcPr>
            <w:tcW w:w="317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193" w:type="dxa"/>
            <w:vMerge/>
            <w:tcBorders>
              <w:left w:val="single" w:sz="10" w:space="0" w:color="D2D2D2"/>
              <w:right w:val="single" w:sz="4" w:space="0" w:color="000000"/>
            </w:tcBorders>
          </w:tcPr>
          <w:p>
            <w:pPr/>
          </w:p>
        </w:tc>
        <w:tc>
          <w:tcPr>
            <w:tcW w:w="3193" w:type="dxa"/>
            <w:vMerge/>
            <w:tcBorders>
              <w:left w:val="single" w:sz="4" w:space="0" w:color="000000"/>
              <w:right w:val="single" w:sz="4" w:space="0" w:color="000000"/>
            </w:tcBorders>
          </w:tcPr>
          <w:p>
            <w:pPr/>
          </w:p>
        </w:tc>
      </w:tr>
      <w:tr>
        <w:trPr>
          <w:trHeight w:val="158" w:hRule="exact"/>
        </w:trPr>
        <w:tc>
          <w:tcPr>
            <w:tcW w:w="3176" w:type="dxa"/>
            <w:tcBorders>
              <w:top w:val="nil" w:sz="6" w:space="0" w:color="auto"/>
              <w:left w:val="single" w:sz="4" w:space="0" w:color="000000"/>
              <w:bottom w:val="single" w:sz="4" w:space="0" w:color="000000"/>
              <w:right w:val="single" w:sz="4" w:space="0" w:color="000000"/>
            </w:tcBorders>
            <w:shd w:val="clear" w:color="auto" w:fill="D2D2D2"/>
          </w:tcPr>
          <w:p>
            <w:pPr/>
          </w:p>
        </w:tc>
        <w:tc>
          <w:tcPr>
            <w:tcW w:w="3193" w:type="dxa"/>
            <w:vMerge/>
            <w:tcBorders>
              <w:left w:val="single" w:sz="10" w:space="0" w:color="D2D2D2"/>
              <w:bottom w:val="single" w:sz="4" w:space="0" w:color="000000"/>
              <w:right w:val="single" w:sz="4" w:space="0" w:color="000000"/>
            </w:tcBorders>
          </w:tcPr>
          <w:p>
            <w:pPr/>
          </w:p>
        </w:tc>
        <w:tc>
          <w:tcPr>
            <w:tcW w:w="3193" w:type="dxa"/>
            <w:vMerge/>
            <w:tcBorders>
              <w:left w:val="single" w:sz="4" w:space="0" w:color="000000"/>
              <w:bottom w:val="single" w:sz="4" w:space="0" w:color="000000"/>
              <w:right w:val="single" w:sz="4" w:space="0" w:color="000000"/>
            </w:tcBorders>
          </w:tcPr>
          <w:p>
            <w:pPr/>
          </w:p>
        </w:tc>
      </w:tr>
      <w:tr>
        <w:trPr>
          <w:trHeight w:val="404" w:hRule="exact"/>
        </w:trPr>
        <w:tc>
          <w:tcPr>
            <w:tcW w:w="3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1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left="16" w:right="0"/>
              <w:jc w:val="left"/>
              <w:rPr>
                <w:rFonts w:ascii="Times New Roman" w:hAnsi="Times New Roman" w:cs="Times New Roman" w:eastAsia="Times New Roman" w:hint="default"/>
                <w:sz w:val="18"/>
                <w:szCs w:val="18"/>
              </w:rPr>
            </w:pPr>
            <w:r>
              <w:rPr>
                <w:rFonts w:ascii="Times New Roman"/>
                <w:sz w:val="18"/>
              </w:rPr>
              <w:t>0755-83930085</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0755-83930085</w:t>
            </w:r>
          </w:p>
        </w:tc>
      </w:tr>
      <w:tr>
        <w:trPr>
          <w:trHeight w:val="403" w:hRule="exact"/>
        </w:trPr>
        <w:tc>
          <w:tcPr>
            <w:tcW w:w="3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1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left="16" w:right="0"/>
              <w:jc w:val="left"/>
              <w:rPr>
                <w:rFonts w:ascii="Times New Roman" w:hAnsi="Times New Roman" w:cs="Times New Roman" w:eastAsia="Times New Roman" w:hint="default"/>
                <w:sz w:val="18"/>
                <w:szCs w:val="18"/>
              </w:rPr>
            </w:pPr>
            <w:r>
              <w:rPr>
                <w:rFonts w:ascii="Times New Roman"/>
                <w:sz w:val="18"/>
              </w:rPr>
              <w:t>0755-83562955</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0755-83562955</w:t>
            </w:r>
          </w:p>
        </w:tc>
      </w:tr>
      <w:tr>
        <w:trPr>
          <w:trHeight w:val="398" w:hRule="exact"/>
        </w:trPr>
        <w:tc>
          <w:tcPr>
            <w:tcW w:w="3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1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left="16" w:right="0"/>
              <w:jc w:val="left"/>
              <w:rPr>
                <w:rFonts w:ascii="Times New Roman" w:hAnsi="Times New Roman" w:cs="Times New Roman" w:eastAsia="Times New Roman" w:hint="default"/>
                <w:sz w:val="18"/>
                <w:szCs w:val="18"/>
              </w:rPr>
            </w:pPr>
            <w:hyperlink r:id="rId11">
              <w:r>
                <w:rPr>
                  <w:rFonts w:ascii="Times New Roman"/>
                  <w:sz w:val="18"/>
                </w:rPr>
                <w:t>liuyi@yinzhijie.com</w:t>
              </w:r>
            </w:hyperlink>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hyperlink r:id="rId12">
              <w:r>
                <w:rPr>
                  <w:rFonts w:ascii="Times New Roman"/>
                  <w:sz w:val="18"/>
                </w:rPr>
                <w:t>sushimin@yinzhijie.com</w:t>
              </w:r>
            </w:hyperlink>
          </w:p>
        </w:tc>
      </w:tr>
    </w:tbl>
    <w:p>
      <w:pPr>
        <w:spacing w:line="240" w:lineRule="auto" w:before="9"/>
        <w:rPr>
          <w:rFonts w:ascii="宋体" w:hAnsi="宋体" w:cs="宋体" w:eastAsia="宋体" w:hint="default"/>
          <w:b/>
          <w:bCs/>
          <w:sz w:val="17"/>
          <w:szCs w:val="17"/>
        </w:rPr>
      </w:pPr>
    </w:p>
    <w:p>
      <w:pPr>
        <w:pStyle w:val="Heading2"/>
        <w:spacing w:line="240" w:lineRule="auto" w:before="26"/>
        <w:ind w:right="0"/>
        <w:jc w:val="left"/>
        <w:rPr>
          <w:b w:val="0"/>
          <w:bCs w:val="0"/>
        </w:rPr>
      </w:pPr>
      <w:bookmarkStart w:name="三、信息披露及备置地点" w:id="7"/>
      <w:bookmarkEnd w:id="7"/>
      <w:r>
        <w:rPr>
          <w:b w:val="0"/>
          <w:bCs w:val="0"/>
        </w:rPr>
      </w:r>
      <w:r>
        <w:rPr/>
        <w:t>三、信息披露及备置地点</w:t>
      </w:r>
      <w:r>
        <w:rPr>
          <w:b w:val="0"/>
          <w:bCs w:val="0"/>
        </w:rPr>
      </w:r>
    </w:p>
    <w:p>
      <w:pPr>
        <w:spacing w:line="240" w:lineRule="auto" w:before="6"/>
        <w:rPr>
          <w:rFonts w:ascii="宋体" w:hAnsi="宋体" w:cs="宋体" w:eastAsia="宋体" w:hint="default"/>
          <w:b/>
          <w:bCs/>
          <w:sz w:val="26"/>
          <w:szCs w:val="26"/>
        </w:rPr>
      </w:pPr>
    </w:p>
    <w:tbl>
      <w:tblPr>
        <w:tblW w:w="0" w:type="auto"/>
        <w:jc w:val="left"/>
        <w:tblInd w:w="148" w:type="dxa"/>
        <w:tblLayout w:type="fixed"/>
        <w:tblCellMar>
          <w:top w:w="0" w:type="dxa"/>
          <w:left w:w="0" w:type="dxa"/>
          <w:bottom w:w="0" w:type="dxa"/>
          <w:right w:w="0" w:type="dxa"/>
        </w:tblCellMar>
        <w:tblLook w:val="01E0"/>
      </w:tblPr>
      <w:tblGrid>
        <w:gridCol w:w="3983"/>
        <w:gridCol w:w="5587"/>
      </w:tblGrid>
      <w:tr>
        <w:trPr>
          <w:trHeight w:val="403" w:hRule="exact"/>
        </w:trPr>
        <w:tc>
          <w:tcPr>
            <w:tcW w:w="3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公司选定的信息披露媒体的名称</w:t>
            </w:r>
          </w:p>
        </w:tc>
        <w:tc>
          <w:tcPr>
            <w:tcW w:w="558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pacing w:val="-5"/>
                <w:w w:val="101"/>
                <w:sz w:val="18"/>
                <w:szCs w:val="18"/>
              </w:rPr>
              <w:t>证</w:t>
            </w:r>
            <w:r>
              <w:rPr>
                <w:rFonts w:ascii="宋体" w:hAnsi="宋体" w:cs="宋体" w:eastAsia="宋体" w:hint="default"/>
                <w:w w:val="101"/>
                <w:sz w:val="18"/>
                <w:szCs w:val="18"/>
              </w:rPr>
              <w:t>券</w:t>
            </w:r>
            <w:r>
              <w:rPr>
                <w:rFonts w:ascii="宋体" w:hAnsi="宋体" w:cs="宋体" w:eastAsia="宋体" w:hint="default"/>
                <w:spacing w:val="-5"/>
                <w:w w:val="101"/>
                <w:sz w:val="18"/>
                <w:szCs w:val="18"/>
              </w:rPr>
              <w:t>时</w:t>
            </w:r>
            <w:r>
              <w:rPr>
                <w:rFonts w:ascii="宋体" w:hAnsi="宋体" w:cs="宋体" w:eastAsia="宋体" w:hint="default"/>
                <w:w w:val="101"/>
                <w:sz w:val="18"/>
                <w:szCs w:val="18"/>
              </w:rPr>
              <w:t>报</w:t>
            </w:r>
            <w:r>
              <w:rPr>
                <w:rFonts w:ascii="宋体" w:hAnsi="宋体" w:cs="宋体" w:eastAsia="宋体" w:hint="default"/>
                <w:spacing w:val="-92"/>
                <w:w w:val="101"/>
                <w:sz w:val="18"/>
                <w:szCs w:val="18"/>
              </w:rPr>
              <w:t>》</w:t>
            </w:r>
            <w:r>
              <w:rPr>
                <w:rFonts w:ascii="宋体" w:hAnsi="宋体" w:cs="宋体" w:eastAsia="宋体" w:hint="default"/>
                <w:spacing w:val="-96"/>
                <w:w w:val="101"/>
                <w:sz w:val="18"/>
                <w:szCs w:val="18"/>
              </w:rPr>
              <w:t>、</w:t>
            </w:r>
            <w:r>
              <w:rPr>
                <w:rFonts w:ascii="宋体" w:hAnsi="宋体" w:cs="宋体" w:eastAsia="宋体" w:hint="default"/>
                <w:w w:val="101"/>
                <w:sz w:val="18"/>
                <w:szCs w:val="18"/>
              </w:rPr>
              <w:t>《</w:t>
            </w:r>
            <w:r>
              <w:rPr>
                <w:rFonts w:ascii="宋体" w:hAnsi="宋体" w:cs="宋体" w:eastAsia="宋体" w:hint="default"/>
                <w:spacing w:val="-5"/>
                <w:w w:val="101"/>
                <w:sz w:val="18"/>
                <w:szCs w:val="18"/>
              </w:rPr>
              <w:t>上</w:t>
            </w:r>
            <w:r>
              <w:rPr>
                <w:rFonts w:ascii="宋体" w:hAnsi="宋体" w:cs="宋体" w:eastAsia="宋体" w:hint="default"/>
                <w:w w:val="101"/>
                <w:sz w:val="18"/>
                <w:szCs w:val="18"/>
              </w:rPr>
              <w:t>海</w:t>
            </w:r>
            <w:r>
              <w:rPr>
                <w:rFonts w:ascii="宋体" w:hAnsi="宋体" w:cs="宋体" w:eastAsia="宋体" w:hint="default"/>
                <w:spacing w:val="-5"/>
                <w:w w:val="101"/>
                <w:sz w:val="18"/>
                <w:szCs w:val="18"/>
              </w:rPr>
              <w:t>证</w:t>
            </w:r>
            <w:r>
              <w:rPr>
                <w:rFonts w:ascii="宋体" w:hAnsi="宋体" w:cs="宋体" w:eastAsia="宋体" w:hint="default"/>
                <w:w w:val="101"/>
                <w:sz w:val="18"/>
                <w:szCs w:val="18"/>
              </w:rPr>
              <w:t>券</w:t>
            </w:r>
            <w:r>
              <w:rPr>
                <w:rFonts w:ascii="宋体" w:hAnsi="宋体" w:cs="宋体" w:eastAsia="宋体" w:hint="default"/>
                <w:spacing w:val="-5"/>
                <w:w w:val="101"/>
                <w:sz w:val="18"/>
                <w:szCs w:val="18"/>
              </w:rPr>
              <w:t>报</w:t>
            </w:r>
            <w:r>
              <w:rPr>
                <w:rFonts w:ascii="宋体" w:hAnsi="宋体" w:cs="宋体" w:eastAsia="宋体" w:hint="default"/>
                <w:w w:val="101"/>
                <w:sz w:val="18"/>
                <w:szCs w:val="18"/>
              </w:rPr>
              <w:t>》</w:t>
            </w:r>
            <w:r>
              <w:rPr>
                <w:rFonts w:ascii="宋体" w:hAnsi="宋体" w:cs="宋体" w:eastAsia="宋体" w:hint="default"/>
                <w:sz w:val="18"/>
                <w:szCs w:val="18"/>
              </w:rPr>
            </w:r>
          </w:p>
        </w:tc>
      </w:tr>
      <w:tr>
        <w:trPr>
          <w:trHeight w:val="398" w:hRule="exact"/>
        </w:trPr>
        <w:tc>
          <w:tcPr>
            <w:tcW w:w="3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登载年度报告的中国证监会指定网站的网址</w:t>
            </w:r>
          </w:p>
        </w:tc>
        <w:tc>
          <w:tcPr>
            <w:tcW w:w="558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巨潮资讯网（</w:t>
            </w:r>
            <w:hyperlink r:id="rId13">
              <w:r>
                <w:rPr>
                  <w:rFonts w:ascii="Times New Roman" w:hAnsi="Times New Roman" w:cs="Times New Roman" w:eastAsia="Times New Roman" w:hint="default"/>
                  <w:spacing w:val="-3"/>
                  <w:sz w:val="18"/>
                  <w:szCs w:val="18"/>
                </w:rPr>
                <w:t>www.cninfo.com.cn</w:t>
              </w:r>
            </w:hyperlink>
            <w:r>
              <w:rPr>
                <w:rFonts w:ascii="宋体" w:hAnsi="宋体" w:cs="宋体" w:eastAsia="宋体" w:hint="default"/>
                <w:spacing w:val="-3"/>
                <w:sz w:val="18"/>
                <w:szCs w:val="18"/>
              </w:rPr>
              <w:t>）</w:t>
            </w:r>
          </w:p>
        </w:tc>
      </w:tr>
      <w:tr>
        <w:trPr>
          <w:trHeight w:val="403" w:hRule="exact"/>
        </w:trPr>
        <w:tc>
          <w:tcPr>
            <w:tcW w:w="3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58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公司董事会办公室</w:t>
            </w:r>
          </w:p>
        </w:tc>
      </w:tr>
    </w:tbl>
    <w:p>
      <w:pPr>
        <w:spacing w:line="240" w:lineRule="auto" w:before="9"/>
        <w:rPr>
          <w:rFonts w:ascii="宋体" w:hAnsi="宋体" w:cs="宋体" w:eastAsia="宋体" w:hint="default"/>
          <w:b/>
          <w:bCs/>
          <w:sz w:val="17"/>
          <w:szCs w:val="17"/>
        </w:rPr>
      </w:pPr>
    </w:p>
    <w:p>
      <w:pPr>
        <w:pStyle w:val="Heading2"/>
        <w:spacing w:line="240" w:lineRule="auto" w:before="26"/>
        <w:ind w:right="0"/>
        <w:jc w:val="left"/>
        <w:rPr>
          <w:b w:val="0"/>
          <w:bCs w:val="0"/>
        </w:rPr>
      </w:pPr>
      <w:bookmarkStart w:name="四、其他有关资料" w:id="8"/>
      <w:bookmarkEnd w:id="8"/>
      <w:r>
        <w:rPr>
          <w:b w:val="0"/>
          <w:bCs w:val="0"/>
        </w:rPr>
      </w:r>
      <w:r>
        <w:rPr/>
        <w:t>四、其他有关资料</w:t>
      </w:r>
      <w:r>
        <w:rPr>
          <w:b w:val="0"/>
          <w:bCs w:val="0"/>
        </w:rPr>
      </w:r>
    </w:p>
    <w:p>
      <w:pPr>
        <w:spacing w:line="240" w:lineRule="auto" w:before="3"/>
        <w:rPr>
          <w:rFonts w:ascii="宋体" w:hAnsi="宋体" w:cs="宋体" w:eastAsia="宋体" w:hint="default"/>
          <w:b/>
          <w:bCs/>
          <w:sz w:val="27"/>
          <w:szCs w:val="27"/>
        </w:rPr>
      </w:pPr>
    </w:p>
    <w:p>
      <w:pPr>
        <w:pStyle w:val="BodyText"/>
        <w:spacing w:line="240" w:lineRule="auto"/>
        <w:ind w:right="0"/>
        <w:jc w:val="left"/>
      </w:pPr>
      <w:r>
        <w:rPr>
          <w:spacing w:val="-3"/>
        </w:rPr>
        <w:t>公司聘请的会计师事务所</w:t>
      </w:r>
    </w:p>
    <w:p>
      <w:pPr>
        <w:spacing w:after="0" w:line="240" w:lineRule="auto"/>
        <w:jc w:val="left"/>
        <w:sectPr>
          <w:pgSz w:w="11910" w:h="16840"/>
          <w:pgMar w:header="871" w:footer="1186" w:top="1100" w:bottom="1380" w:left="980" w:right="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2665"/>
        <w:gridCol w:w="6905"/>
      </w:tblGrid>
      <w:tr>
        <w:trPr>
          <w:trHeight w:val="403" w:hRule="exact"/>
        </w:trPr>
        <w:tc>
          <w:tcPr>
            <w:tcW w:w="2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中汇会计师事务所（特殊普通合伙）</w:t>
            </w:r>
          </w:p>
        </w:tc>
      </w:tr>
      <w:tr>
        <w:trPr>
          <w:trHeight w:val="398" w:hRule="exact"/>
        </w:trPr>
        <w:tc>
          <w:tcPr>
            <w:tcW w:w="2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杭州市江干区新业路</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号华联时代大厦</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幢</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601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室</w:t>
            </w:r>
          </w:p>
        </w:tc>
      </w:tr>
      <w:tr>
        <w:trPr>
          <w:trHeight w:val="404" w:hRule="exact"/>
        </w:trPr>
        <w:tc>
          <w:tcPr>
            <w:tcW w:w="2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3"/>
                <w:sz w:val="18"/>
                <w:szCs w:val="18"/>
              </w:rPr>
              <w:t>签字会计师姓名</w:t>
            </w:r>
          </w:p>
        </w:tc>
        <w:tc>
          <w:tcPr>
            <w:tcW w:w="6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pacing w:val="-3"/>
                <w:sz w:val="18"/>
                <w:szCs w:val="18"/>
              </w:rPr>
              <w:t>章归鸿、王甫荣</w:t>
            </w:r>
          </w:p>
        </w:tc>
      </w:tr>
    </w:tbl>
    <w:p>
      <w:pPr>
        <w:pStyle w:val="BodyText"/>
        <w:spacing w:line="240" w:lineRule="auto" w:before="53"/>
        <w:ind w:right="0"/>
        <w:jc w:val="left"/>
      </w:pPr>
      <w:r>
        <w:rPr>
          <w:spacing w:val="-3"/>
        </w:rPr>
        <w:t>公司聘请的报告期内履行持续督导职责的保荐机构</w:t>
      </w:r>
    </w:p>
    <w:p>
      <w:pPr>
        <w:pStyle w:val="BodyText"/>
        <w:spacing w:line="240" w:lineRule="auto" w:before="119"/>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7"/>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2391"/>
        <w:gridCol w:w="2396"/>
        <w:gridCol w:w="2391"/>
        <w:gridCol w:w="2391"/>
      </w:tblGrid>
      <w:tr>
        <w:trPr>
          <w:trHeight w:val="40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52" w:right="0"/>
              <w:jc w:val="left"/>
              <w:rPr>
                <w:rFonts w:ascii="宋体" w:hAnsi="宋体" w:cs="宋体" w:eastAsia="宋体" w:hint="default"/>
                <w:sz w:val="18"/>
                <w:szCs w:val="18"/>
              </w:rPr>
            </w:pPr>
            <w:r>
              <w:rPr>
                <w:rFonts w:ascii="宋体" w:hAnsi="宋体" w:cs="宋体" w:eastAsia="宋体" w:hint="default"/>
                <w:sz w:val="18"/>
                <w:szCs w:val="18"/>
              </w:rPr>
              <w:t>保荐机构名称</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70" w:right="0"/>
              <w:jc w:val="left"/>
              <w:rPr>
                <w:rFonts w:ascii="宋体" w:hAnsi="宋体" w:cs="宋体" w:eastAsia="宋体" w:hint="default"/>
                <w:sz w:val="18"/>
                <w:szCs w:val="18"/>
              </w:rPr>
            </w:pPr>
            <w:r>
              <w:rPr>
                <w:rFonts w:ascii="宋体" w:hAnsi="宋体" w:cs="宋体" w:eastAsia="宋体" w:hint="default"/>
                <w:sz w:val="18"/>
                <w:szCs w:val="18"/>
              </w:rPr>
              <w:t>保荐机构办公地址</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61" w:right="0"/>
              <w:jc w:val="left"/>
              <w:rPr>
                <w:rFonts w:ascii="宋体" w:hAnsi="宋体" w:cs="宋体" w:eastAsia="宋体" w:hint="default"/>
                <w:sz w:val="18"/>
                <w:szCs w:val="18"/>
              </w:rPr>
            </w:pPr>
            <w:r>
              <w:rPr>
                <w:rFonts w:ascii="宋体" w:hAnsi="宋体" w:cs="宋体" w:eastAsia="宋体" w:hint="default"/>
                <w:spacing w:val="-3"/>
                <w:sz w:val="18"/>
                <w:szCs w:val="18"/>
              </w:rPr>
              <w:t>保荐代表人姓名</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52" w:right="0"/>
              <w:jc w:val="left"/>
              <w:rPr>
                <w:rFonts w:ascii="宋体" w:hAnsi="宋体" w:cs="宋体" w:eastAsia="宋体" w:hint="default"/>
                <w:sz w:val="18"/>
                <w:szCs w:val="18"/>
              </w:rPr>
            </w:pPr>
            <w:r>
              <w:rPr>
                <w:rFonts w:ascii="宋体" w:hAnsi="宋体" w:cs="宋体" w:eastAsia="宋体" w:hint="default"/>
                <w:sz w:val="18"/>
                <w:szCs w:val="18"/>
              </w:rPr>
              <w:t>持续督导期间</w:t>
            </w:r>
          </w:p>
        </w:tc>
      </w:tr>
      <w:tr>
        <w:trPr>
          <w:trHeight w:val="716"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pacing w:val="-3"/>
                <w:sz w:val="18"/>
                <w:szCs w:val="18"/>
              </w:rPr>
              <w:t>长江证券承销保荐有限公司</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上海市浦东新区世纪大道</w:t>
            </w:r>
          </w:p>
          <w:p>
            <w:pPr>
              <w:pStyle w:val="TableParagraph"/>
              <w:spacing w:line="240" w:lineRule="auto" w:before="77"/>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1198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号世纪汇一座</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楼</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武利华、曹霞</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日至</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4</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1027"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华英证券有限责任公司</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无锡市滨湖区金融一街</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sz w:val="18"/>
                <w:szCs w:val="18"/>
              </w:rPr>
              <w:t>无锡金融中心</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03-05</w:t>
            </w:r>
            <w:r>
              <w:rPr>
                <w:rFonts w:ascii="Times New Roman" w:hAnsi="Times New Roman" w:cs="Times New Roman" w:eastAsia="Times New Roman" w:hint="default"/>
                <w:spacing w:val="1"/>
                <w:sz w:val="18"/>
                <w:szCs w:val="18"/>
              </w:rPr>
              <w:t> </w:t>
            </w:r>
            <w:r>
              <w:rPr>
                <w:rFonts w:ascii="宋体" w:hAnsi="宋体" w:cs="宋体" w:eastAsia="宋体" w:hint="default"/>
                <w:spacing w:val="-5"/>
                <w:sz w:val="18"/>
                <w:szCs w:val="18"/>
              </w:rPr>
              <w:t>单元</w:t>
            </w:r>
            <w:r>
              <w:rPr>
                <w:rFonts w:ascii="宋体" w:hAnsi="宋体" w:cs="宋体" w:eastAsia="宋体" w:hint="default"/>
                <w:sz w:val="18"/>
                <w:szCs w:val="18"/>
              </w:rPr>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王茜、李大山</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3"/>
              <w:ind w:left="24" w:right="98"/>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日至公司</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w w:val="101"/>
                <w:sz w:val="18"/>
                <w:szCs w:val="18"/>
              </w:rPr>
              <w:t> </w:t>
            </w:r>
            <w:r>
              <w:rPr>
                <w:rFonts w:ascii="宋体" w:hAnsi="宋体" w:cs="宋体" w:eastAsia="宋体" w:hint="default"/>
                <w:spacing w:val="-3"/>
                <w:sz w:val="18"/>
                <w:szCs w:val="18"/>
              </w:rPr>
              <w:t>年度非公开发行股票募集资</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pacing w:val="-3"/>
                <w:sz w:val="18"/>
                <w:szCs w:val="18"/>
              </w:rPr>
              <w:t>金使用完毕为止</w:t>
            </w:r>
          </w:p>
        </w:tc>
      </w:tr>
    </w:tbl>
    <w:p>
      <w:pPr>
        <w:pStyle w:val="BodyText"/>
        <w:spacing w:line="240" w:lineRule="auto" w:before="53"/>
        <w:ind w:right="0"/>
        <w:jc w:val="left"/>
      </w:pPr>
      <w:r>
        <w:rPr>
          <w:spacing w:val="-3"/>
        </w:rPr>
        <w:t>公司聘请的报告期内履行持续督导职责的财务顾问</w:t>
      </w:r>
    </w:p>
    <w:p>
      <w:pPr>
        <w:pStyle w:val="BodyText"/>
        <w:spacing w:line="240" w:lineRule="auto" w:before="115"/>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4"/>
        <w:rPr>
          <w:rFonts w:ascii="宋体" w:hAnsi="宋体" w:cs="宋体" w:eastAsia="宋体" w:hint="default"/>
          <w:sz w:val="23"/>
          <w:szCs w:val="23"/>
        </w:rPr>
      </w:pPr>
    </w:p>
    <w:p>
      <w:pPr>
        <w:pStyle w:val="Heading2"/>
        <w:spacing w:line="240" w:lineRule="auto"/>
        <w:ind w:right="0"/>
        <w:jc w:val="left"/>
        <w:rPr>
          <w:b w:val="0"/>
          <w:bCs w:val="0"/>
        </w:rPr>
      </w:pPr>
      <w:bookmarkStart w:name="五、主要会计数据和财务指标" w:id="9"/>
      <w:bookmarkEnd w:id="9"/>
      <w:r>
        <w:rPr>
          <w:b w:val="0"/>
          <w:bCs w:val="0"/>
        </w:rPr>
      </w:r>
      <w:r>
        <w:rPr/>
        <w:t>五、主要会计数据和财务指标</w:t>
      </w:r>
      <w:r>
        <w:rPr>
          <w:b w:val="0"/>
          <w:bCs w:val="0"/>
        </w:rPr>
      </w:r>
    </w:p>
    <w:p>
      <w:pPr>
        <w:spacing w:line="240" w:lineRule="auto" w:before="7"/>
        <w:rPr>
          <w:rFonts w:ascii="宋体" w:hAnsi="宋体" w:cs="宋体" w:eastAsia="宋体" w:hint="default"/>
          <w:b/>
          <w:bCs/>
          <w:sz w:val="27"/>
          <w:szCs w:val="27"/>
        </w:rPr>
      </w:pPr>
    </w:p>
    <w:p>
      <w:pPr>
        <w:pStyle w:val="BodyText"/>
        <w:spacing w:line="240" w:lineRule="auto"/>
        <w:ind w:right="0"/>
        <w:jc w:val="left"/>
      </w:pPr>
      <w:r>
        <w:rPr>
          <w:spacing w:val="-3"/>
        </w:rPr>
        <w:t>公司是否需追溯调整或重述以前年度会计数据</w:t>
      </w:r>
    </w:p>
    <w:p>
      <w:pPr>
        <w:pStyle w:val="BodyText"/>
        <w:spacing w:line="240" w:lineRule="auto" w:before="115"/>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7"/>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2598"/>
        <w:gridCol w:w="1750"/>
        <w:gridCol w:w="1738"/>
        <w:gridCol w:w="1738"/>
        <w:gridCol w:w="1738"/>
      </w:tblGrid>
      <w:tr>
        <w:trPr>
          <w:trHeight w:val="40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35" w:right="0"/>
              <w:jc w:val="left"/>
              <w:rPr>
                <w:rFonts w:ascii="宋体" w:hAnsi="宋体" w:cs="宋体" w:eastAsia="宋体" w:hint="default"/>
                <w:sz w:val="18"/>
                <w:szCs w:val="18"/>
              </w:rPr>
            </w:pPr>
            <w:r>
              <w:rPr>
                <w:rFonts w:ascii="宋体" w:hAnsi="宋体" w:cs="宋体" w:eastAsia="宋体" w:hint="default"/>
                <w:spacing w:val="-3"/>
                <w:sz w:val="18"/>
                <w:szCs w:val="18"/>
              </w:rPr>
              <w:t>本年比上年增减</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r>
      <w:tr>
        <w:trPr>
          <w:trHeight w:val="40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营业收入（元）</w:t>
            </w:r>
          </w:p>
        </w:tc>
        <w:tc>
          <w:tcPr>
            <w:tcW w:w="175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2"/>
                <w:sz w:val="18"/>
              </w:rPr>
              <w:t>1,181,006,553.61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1,299,251,173.43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2"/>
                <w:sz w:val="18"/>
              </w:rPr>
              <w:t>-9.10%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1,147,678,765.17</w:t>
            </w:r>
          </w:p>
        </w:tc>
      </w:tr>
      <w:tr>
        <w:trPr>
          <w:trHeight w:val="716"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归属于上市公司股东的净利润</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4,917,894.10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35,750,737.69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-86.24%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22,238,457.43</w:t>
            </w:r>
          </w:p>
        </w:tc>
      </w:tr>
      <w:tr>
        <w:trPr>
          <w:trHeight w:val="710"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 w:right="48"/>
              <w:jc w:val="left"/>
              <w:rPr>
                <w:rFonts w:ascii="宋体" w:hAnsi="宋体" w:cs="宋体" w:eastAsia="宋体" w:hint="default"/>
                <w:sz w:val="18"/>
                <w:szCs w:val="18"/>
              </w:rPr>
            </w:pPr>
            <w:r>
              <w:rPr>
                <w:rFonts w:ascii="宋体" w:hAnsi="宋体" w:cs="宋体" w:eastAsia="宋体" w:hint="default"/>
                <w:spacing w:val="-3"/>
                <w:sz w:val="18"/>
                <w:szCs w:val="18"/>
              </w:rPr>
              <w:t>归属于上市公司股东的扣除非经</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pacing w:val="-3"/>
                <w:sz w:val="18"/>
                <w:szCs w:val="18"/>
              </w:rPr>
              <w:t>常性损益的净利润（元）</w:t>
            </w:r>
          </w:p>
        </w:tc>
        <w:tc>
          <w:tcPr>
            <w:tcW w:w="175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-18,185,297.38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1,200,754.63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-1,614.49%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16,246,828.65</w:t>
            </w:r>
          </w:p>
        </w:tc>
      </w:tr>
      <w:tr>
        <w:trPr>
          <w:trHeight w:val="715"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经营活动产生的现金流量净额</w:t>
            </w:r>
          </w:p>
          <w:p>
            <w:pPr>
              <w:pStyle w:val="TableParagraph"/>
              <w:spacing w:line="240" w:lineRule="auto" w:before="81"/>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-53,425,673.79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97,185,860.43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-154.97%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-69,662,634.00</w:t>
            </w:r>
          </w:p>
        </w:tc>
      </w:tr>
      <w:tr>
        <w:trPr>
          <w:trHeight w:val="40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pacing w:val="-3"/>
                <w:sz w:val="18"/>
                <w:szCs w:val="18"/>
              </w:rPr>
              <w:t>基本每股收益（元</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股）</w:t>
            </w:r>
            <w:r>
              <w:rPr>
                <w:rFonts w:ascii="宋体" w:hAnsi="宋体" w:cs="宋体" w:eastAsia="宋体" w:hint="default"/>
                <w:sz w:val="18"/>
                <w:szCs w:val="18"/>
              </w:rPr>
            </w:r>
          </w:p>
        </w:tc>
        <w:tc>
          <w:tcPr>
            <w:tcW w:w="175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0.0070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0.0506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-86.17%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0.0321</w:t>
            </w:r>
          </w:p>
        </w:tc>
      </w:tr>
      <w:tr>
        <w:trPr>
          <w:trHeight w:val="40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稀释每股收益（元</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股）</w:t>
            </w:r>
            <w:r>
              <w:rPr>
                <w:rFonts w:ascii="宋体" w:hAnsi="宋体" w:cs="宋体" w:eastAsia="宋体" w:hint="default"/>
                <w:sz w:val="18"/>
                <w:szCs w:val="18"/>
              </w:rPr>
            </w:r>
          </w:p>
        </w:tc>
        <w:tc>
          <w:tcPr>
            <w:tcW w:w="175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0.0070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0.0506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-86.17%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0.0321</w:t>
            </w:r>
          </w:p>
        </w:tc>
      </w:tr>
      <w:tr>
        <w:trPr>
          <w:trHeight w:val="398"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75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0.36%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2.67%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Times New Roman" w:hAnsi="Times New Roman" w:cs="Times New Roman" w:eastAsia="Times New Roman" w:hint="default"/>
                <w:sz w:val="18"/>
                <w:szCs w:val="18"/>
              </w:rPr>
              <w:t>-2.31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百分点</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1.99%</w:t>
            </w:r>
          </w:p>
        </w:tc>
      </w:tr>
      <w:tr>
        <w:trPr>
          <w:trHeight w:val="40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9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7"/>
                <w:sz w:val="18"/>
                <w:szCs w:val="18"/>
              </w:rPr>
              <w:t> </w:t>
            </w:r>
            <w:r>
              <w:rPr>
                <w:rFonts w:ascii="宋体" w:hAnsi="宋体" w:cs="宋体" w:eastAsia="宋体" w:hint="default"/>
                <w:spacing w:val="-5"/>
                <w:sz w:val="18"/>
                <w:szCs w:val="18"/>
              </w:rPr>
              <w:t>年末</w:t>
            </w:r>
            <w:r>
              <w:rPr>
                <w:rFonts w:ascii="宋体" w:hAnsi="宋体" w:cs="宋体" w:eastAsia="宋体" w:hint="default"/>
                <w:sz w:val="18"/>
                <w:szCs w:val="18"/>
              </w:rPr>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7"/>
                <w:sz w:val="18"/>
                <w:szCs w:val="18"/>
              </w:rPr>
              <w:t> </w:t>
            </w:r>
            <w:r>
              <w:rPr>
                <w:rFonts w:ascii="宋体" w:hAnsi="宋体" w:cs="宋体" w:eastAsia="宋体" w:hint="default"/>
                <w:spacing w:val="-5"/>
                <w:sz w:val="18"/>
                <w:szCs w:val="18"/>
              </w:rPr>
              <w:t>年末</w:t>
            </w:r>
            <w:r>
              <w:rPr>
                <w:rFonts w:ascii="宋体" w:hAnsi="宋体" w:cs="宋体" w:eastAsia="宋体" w:hint="default"/>
                <w:sz w:val="18"/>
                <w:szCs w:val="18"/>
              </w:rPr>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51"/>
              <w:jc w:val="right"/>
              <w:rPr>
                <w:rFonts w:ascii="宋体" w:hAnsi="宋体" w:cs="宋体" w:eastAsia="宋体" w:hint="default"/>
                <w:sz w:val="18"/>
                <w:szCs w:val="18"/>
              </w:rPr>
            </w:pPr>
            <w:r>
              <w:rPr>
                <w:rFonts w:ascii="宋体" w:hAnsi="宋体" w:cs="宋体" w:eastAsia="宋体" w:hint="default"/>
                <w:spacing w:val="-3"/>
                <w:sz w:val="18"/>
                <w:szCs w:val="18"/>
              </w:rPr>
              <w:t>本年末比上年末增减</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7"/>
                <w:sz w:val="18"/>
                <w:szCs w:val="18"/>
              </w:rPr>
              <w:t> </w:t>
            </w:r>
            <w:r>
              <w:rPr>
                <w:rFonts w:ascii="宋体" w:hAnsi="宋体" w:cs="宋体" w:eastAsia="宋体" w:hint="default"/>
                <w:spacing w:val="-5"/>
                <w:sz w:val="18"/>
                <w:szCs w:val="18"/>
              </w:rPr>
              <w:t>年末</w:t>
            </w:r>
            <w:r>
              <w:rPr>
                <w:rFonts w:ascii="宋体" w:hAnsi="宋体" w:cs="宋体" w:eastAsia="宋体" w:hint="default"/>
                <w:sz w:val="18"/>
                <w:szCs w:val="18"/>
              </w:rPr>
            </w:r>
          </w:p>
        </w:tc>
      </w:tr>
      <w:tr>
        <w:trPr>
          <w:trHeight w:val="40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pacing w:val="-3"/>
                <w:sz w:val="18"/>
                <w:szCs w:val="18"/>
              </w:rPr>
              <w:t>资产总额（元）</w:t>
            </w:r>
          </w:p>
        </w:tc>
        <w:tc>
          <w:tcPr>
            <w:tcW w:w="175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2"/>
                <w:sz w:val="18"/>
              </w:rPr>
              <w:t>2,094,901,033.45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2,154,554,005.56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2"/>
                <w:sz w:val="18"/>
              </w:rPr>
              <w:t>-2.77%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2,218,493,975.70</w:t>
            </w:r>
          </w:p>
        </w:tc>
      </w:tr>
      <w:tr>
        <w:trPr>
          <w:trHeight w:val="715"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归属于上市公司股东的净资产</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2"/>
                <w:sz w:val="18"/>
              </w:rPr>
              <w:t>1,353,168,385.28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2"/>
                <w:sz w:val="18"/>
              </w:rPr>
              <w:t>1,351,266,299.89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0.14%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2"/>
                <w:sz w:val="18"/>
              </w:rPr>
              <w:t>1,323,116,353.10</w:t>
            </w:r>
          </w:p>
        </w:tc>
      </w:tr>
    </w:tbl>
    <w:p>
      <w:pPr>
        <w:spacing w:line="240" w:lineRule="auto" w:before="9"/>
        <w:rPr>
          <w:rFonts w:ascii="宋体" w:hAnsi="宋体" w:cs="宋体" w:eastAsia="宋体" w:hint="default"/>
          <w:sz w:val="17"/>
          <w:szCs w:val="17"/>
        </w:rPr>
      </w:pPr>
    </w:p>
    <w:p>
      <w:pPr>
        <w:pStyle w:val="Heading2"/>
        <w:spacing w:line="240" w:lineRule="auto" w:before="26"/>
        <w:ind w:right="0"/>
        <w:jc w:val="left"/>
        <w:rPr>
          <w:b w:val="0"/>
          <w:bCs w:val="0"/>
        </w:rPr>
      </w:pPr>
      <w:bookmarkStart w:name="六、分季度主要财务指标" w:id="10"/>
      <w:bookmarkEnd w:id="10"/>
      <w:r>
        <w:rPr>
          <w:b w:val="0"/>
          <w:bCs w:val="0"/>
        </w:rPr>
      </w:r>
      <w:r>
        <w:rPr/>
        <w:t>六、分季度主要财务指标</w:t>
      </w:r>
      <w:r>
        <w:rPr>
          <w:b w:val="0"/>
          <w:bCs w:val="0"/>
        </w:rPr>
      </w:r>
    </w:p>
    <w:p>
      <w:pPr>
        <w:spacing w:line="240" w:lineRule="auto" w:before="9"/>
        <w:rPr>
          <w:rFonts w:ascii="宋体" w:hAnsi="宋体" w:cs="宋体" w:eastAsia="宋体" w:hint="default"/>
          <w:b/>
          <w:bCs/>
          <w:sz w:val="23"/>
          <w:szCs w:val="23"/>
        </w:rPr>
      </w:pPr>
    </w:p>
    <w:p>
      <w:pPr>
        <w:pStyle w:val="BodyText"/>
        <w:spacing w:line="240" w:lineRule="auto" w:before="46"/>
        <w:ind w:left="0" w:right="1122"/>
        <w:jc w:val="right"/>
      </w:pPr>
      <w:r>
        <w:rPr>
          <w:spacing w:val="-2"/>
        </w:rPr>
        <w:t>单位：元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622"/>
        <w:gridCol w:w="1743"/>
        <w:gridCol w:w="1738"/>
        <w:gridCol w:w="1738"/>
        <w:gridCol w:w="1733"/>
      </w:tblGrid>
      <w:tr>
        <w:trPr>
          <w:trHeight w:val="403" w:hRule="exact"/>
        </w:trPr>
        <w:tc>
          <w:tcPr>
            <w:tcW w:w="262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03"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04"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04"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7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99" w:right="0"/>
              <w:jc w:val="left"/>
              <w:rPr>
                <w:rFonts w:ascii="宋体" w:hAnsi="宋体" w:cs="宋体" w:eastAsia="宋体" w:hint="default"/>
                <w:sz w:val="18"/>
                <w:szCs w:val="18"/>
              </w:rPr>
            </w:pPr>
            <w:r>
              <w:rPr>
                <w:rFonts w:ascii="宋体" w:hAnsi="宋体" w:cs="宋体" w:eastAsia="宋体" w:hint="default"/>
                <w:sz w:val="18"/>
                <w:szCs w:val="18"/>
              </w:rPr>
              <w:t>第四季度</w:t>
            </w:r>
          </w:p>
        </w:tc>
      </w:tr>
    </w:tbl>
    <w:p>
      <w:pPr>
        <w:spacing w:after="0" w:line="240" w:lineRule="auto"/>
        <w:jc w:val="left"/>
        <w:rPr>
          <w:rFonts w:ascii="宋体" w:hAnsi="宋体" w:cs="宋体" w:eastAsia="宋体" w:hint="default"/>
          <w:sz w:val="18"/>
          <w:szCs w:val="18"/>
        </w:rPr>
        <w:sectPr>
          <w:pgSz w:w="11910" w:h="16840"/>
          <w:pgMar w:header="871" w:footer="1186" w:top="1100" w:bottom="1380" w:left="980" w:right="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2622"/>
        <w:gridCol w:w="1743"/>
        <w:gridCol w:w="1738"/>
        <w:gridCol w:w="1738"/>
        <w:gridCol w:w="1733"/>
      </w:tblGrid>
      <w:tr>
        <w:trPr>
          <w:trHeight w:val="403" w:hRule="exact"/>
        </w:trPr>
        <w:tc>
          <w:tcPr>
            <w:tcW w:w="2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255,091,348.19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284,705,145.80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303,971,581.25</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337,238,478.37</w:t>
            </w:r>
          </w:p>
        </w:tc>
      </w:tr>
      <w:tr>
        <w:trPr>
          <w:trHeight w:val="398" w:hRule="exact"/>
        </w:trPr>
        <w:tc>
          <w:tcPr>
            <w:tcW w:w="2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归属于上市公司股东的净利润</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-26,021,350.11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3,398,300.46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23,773,977.75</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3,766,966.00</w:t>
            </w:r>
          </w:p>
        </w:tc>
      </w:tr>
      <w:tr>
        <w:trPr>
          <w:trHeight w:val="716" w:hRule="exact"/>
        </w:trPr>
        <w:tc>
          <w:tcPr>
            <w:tcW w:w="2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8"/>
              <w:ind w:left="24" w:right="60"/>
              <w:jc w:val="left"/>
              <w:rPr>
                <w:rFonts w:ascii="宋体" w:hAnsi="宋体" w:cs="宋体" w:eastAsia="宋体" w:hint="default"/>
                <w:sz w:val="18"/>
                <w:szCs w:val="18"/>
              </w:rPr>
            </w:pPr>
            <w:r>
              <w:rPr>
                <w:rFonts w:ascii="宋体" w:hAnsi="宋体" w:cs="宋体" w:eastAsia="宋体" w:hint="default"/>
                <w:spacing w:val="-3"/>
                <w:sz w:val="18"/>
                <w:szCs w:val="18"/>
              </w:rPr>
              <w:t>归属于上市公司股东的扣除非经</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z w:val="18"/>
                <w:szCs w:val="18"/>
              </w:rPr>
              <w:t>常性损益的净利润</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-26,855,078.55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-7,410,189.50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15,564,036.08</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515,934.59</w:t>
            </w:r>
          </w:p>
        </w:tc>
      </w:tr>
      <w:tr>
        <w:trPr>
          <w:trHeight w:val="403" w:hRule="exact"/>
        </w:trPr>
        <w:tc>
          <w:tcPr>
            <w:tcW w:w="2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经营活动产生的现金流量净额</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-91,367,209.62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-55,422,071.84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2,165,349.00</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91,198,258.67</w:t>
            </w:r>
          </w:p>
        </w:tc>
      </w:tr>
    </w:tbl>
    <w:p>
      <w:pPr>
        <w:pStyle w:val="BodyText"/>
        <w:spacing w:line="240" w:lineRule="auto" w:before="53"/>
        <w:ind w:right="0"/>
        <w:jc w:val="left"/>
      </w:pPr>
      <w:r>
        <w:rPr>
          <w:spacing w:val="-3"/>
        </w:rPr>
        <w:t>上述财务指标或其加总数是否与公司已披露季度报告、半年度报告相关财务指标存在重大差异</w:t>
      </w:r>
    </w:p>
    <w:p>
      <w:pPr>
        <w:pStyle w:val="BodyText"/>
        <w:spacing w:line="240" w:lineRule="auto" w:before="119"/>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12"/>
        <w:rPr>
          <w:rFonts w:ascii="宋体" w:hAnsi="宋体" w:cs="宋体" w:eastAsia="宋体" w:hint="default"/>
          <w:sz w:val="22"/>
          <w:szCs w:val="22"/>
        </w:rPr>
      </w:pPr>
    </w:p>
    <w:p>
      <w:pPr>
        <w:pStyle w:val="Heading2"/>
        <w:spacing w:line="240" w:lineRule="auto"/>
        <w:ind w:right="0"/>
        <w:jc w:val="left"/>
        <w:rPr>
          <w:b w:val="0"/>
          <w:bCs w:val="0"/>
        </w:rPr>
      </w:pPr>
      <w:bookmarkStart w:name="七、境内外会计准则下会计数据差异" w:id="11"/>
      <w:bookmarkEnd w:id="11"/>
      <w:r>
        <w:rPr>
          <w:b w:val="0"/>
          <w:bCs w:val="0"/>
        </w:rPr>
      </w:r>
      <w:r>
        <w:rPr/>
        <w:t>七、境内外会计准则下会计数据差异</w:t>
      </w:r>
      <w:r>
        <w:rPr>
          <w:b w:val="0"/>
          <w:bCs w:val="0"/>
        </w:rPr>
      </w:r>
    </w:p>
    <w:p>
      <w:pPr>
        <w:spacing w:line="240" w:lineRule="auto" w:before="3"/>
        <w:rPr>
          <w:rFonts w:ascii="宋体" w:hAnsi="宋体" w:cs="宋体" w:eastAsia="宋体" w:hint="default"/>
          <w:b/>
          <w:bCs/>
          <w:sz w:val="25"/>
          <w:szCs w:val="25"/>
        </w:rPr>
      </w:pPr>
    </w:p>
    <w:p>
      <w:pPr>
        <w:pStyle w:val="Heading3"/>
        <w:spacing w:line="240" w:lineRule="auto"/>
        <w:ind w:right="0"/>
        <w:jc w:val="left"/>
        <w:rPr>
          <w:b w:val="0"/>
          <w:bCs w:val="0"/>
        </w:rPr>
      </w:pPr>
      <w:bookmarkStart w:name="1、同时按照国际会计准则与按照中国会计准则披露的财务报告中净利润和净资产差异情况" w:id="12"/>
      <w:bookmarkEnd w:id="12"/>
      <w:r>
        <w:rPr>
          <w:b w:val="0"/>
          <w:bCs w:val="0"/>
        </w:rPr>
      </w:r>
      <w:r>
        <w:rPr>
          <w:rFonts w:ascii="Times New Roman" w:hAnsi="Times New Roman" w:cs="Times New Roman" w:eastAsia="Times New Roman" w:hint="default"/>
        </w:rPr>
        <w:t>1</w:t>
      </w:r>
      <w:r>
        <w:rPr/>
        <w:t>、同时按照国际会计准则与按照中国会计准则披露的财务报告中净利润和净资产差异情况</w:t>
      </w:r>
      <w:r>
        <w:rPr>
          <w:b w:val="0"/>
          <w:bCs w:val="0"/>
        </w:rPr>
      </w:r>
    </w:p>
    <w:p>
      <w:pPr>
        <w:spacing w:line="240" w:lineRule="auto" w:before="1"/>
        <w:rPr>
          <w:rFonts w:ascii="宋体" w:hAnsi="宋体" w:cs="宋体" w:eastAsia="宋体" w:hint="default"/>
          <w:b/>
          <w:bCs/>
          <w:sz w:val="27"/>
          <w:szCs w:val="27"/>
        </w:rPr>
      </w:pPr>
    </w:p>
    <w:p>
      <w:pPr>
        <w:pStyle w:val="BodyText"/>
        <w:spacing w:line="412" w:lineRule="auto"/>
        <w:ind w:left="513" w:right="2115" w:hanging="36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3"/>
        </w:rPr>
        <w:t>公司报告期不存在按照国际会计准则与按照中国会计准则披露的财务报告中净利润和净资产差异情况。</w:t>
      </w:r>
    </w:p>
    <w:p>
      <w:pPr>
        <w:spacing w:line="240" w:lineRule="auto" w:before="13"/>
        <w:rPr>
          <w:rFonts w:ascii="宋体" w:hAnsi="宋体" w:cs="宋体" w:eastAsia="宋体" w:hint="default"/>
          <w:sz w:val="22"/>
          <w:szCs w:val="22"/>
        </w:rPr>
      </w:pPr>
    </w:p>
    <w:p>
      <w:pPr>
        <w:pStyle w:val="Heading3"/>
        <w:spacing w:line="240" w:lineRule="auto"/>
        <w:ind w:right="0"/>
        <w:jc w:val="left"/>
        <w:rPr>
          <w:b w:val="0"/>
          <w:bCs w:val="0"/>
        </w:rPr>
      </w:pPr>
      <w:bookmarkStart w:name="2、同时按照境外会计准则与按照中国会计准则披露的财务报告中净利润和净资产差异情况" w:id="13"/>
      <w:bookmarkEnd w:id="13"/>
      <w:r>
        <w:rPr>
          <w:b w:val="0"/>
          <w:bCs w:val="0"/>
        </w:rPr>
      </w:r>
      <w:r>
        <w:rPr>
          <w:rFonts w:ascii="Times New Roman" w:hAnsi="Times New Roman" w:cs="Times New Roman" w:eastAsia="Times New Roman" w:hint="default"/>
        </w:rPr>
        <w:t>2</w:t>
      </w:r>
      <w:r>
        <w:rPr/>
        <w:t>、同时按照境外会计准则与按照中国会计准则披露的财务报告中净利润和净资产差异情况</w:t>
      </w:r>
      <w:r>
        <w:rPr>
          <w:b w:val="0"/>
          <w:bCs w:val="0"/>
        </w:rPr>
      </w:r>
    </w:p>
    <w:p>
      <w:pPr>
        <w:spacing w:line="240" w:lineRule="auto" w:before="9"/>
        <w:rPr>
          <w:rFonts w:ascii="宋体" w:hAnsi="宋体" w:cs="宋体" w:eastAsia="宋体" w:hint="default"/>
          <w:b/>
          <w:bCs/>
          <w:sz w:val="26"/>
          <w:szCs w:val="26"/>
        </w:rPr>
      </w:pPr>
    </w:p>
    <w:p>
      <w:pPr>
        <w:pStyle w:val="BodyText"/>
        <w:spacing w:line="412" w:lineRule="auto"/>
        <w:ind w:left="513" w:right="2115" w:hanging="36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3"/>
        </w:rPr>
        <w:t>公司报告期不存在按照境外会计准则与按照中国会计准则披露的财务报告中净利润和净资产差异情况。</w:t>
      </w:r>
    </w:p>
    <w:p>
      <w:pPr>
        <w:spacing w:line="240" w:lineRule="auto" w:before="9"/>
        <w:rPr>
          <w:rFonts w:ascii="宋体" w:hAnsi="宋体" w:cs="宋体" w:eastAsia="宋体" w:hint="default"/>
          <w:sz w:val="20"/>
          <w:szCs w:val="20"/>
        </w:rPr>
      </w:pPr>
    </w:p>
    <w:p>
      <w:pPr>
        <w:pStyle w:val="Heading2"/>
        <w:spacing w:line="240" w:lineRule="auto"/>
        <w:ind w:right="0"/>
        <w:jc w:val="left"/>
        <w:rPr>
          <w:b w:val="0"/>
          <w:bCs w:val="0"/>
        </w:rPr>
      </w:pPr>
      <w:bookmarkStart w:name="八、非经常性损益项目及金额" w:id="14"/>
      <w:bookmarkEnd w:id="14"/>
      <w:r>
        <w:rPr>
          <w:b w:val="0"/>
          <w:bCs w:val="0"/>
        </w:rPr>
      </w:r>
      <w:r>
        <w:rPr/>
        <w:t>八、非经常性损益项目及金额</w:t>
      </w:r>
      <w:r>
        <w:rPr>
          <w:b w:val="0"/>
          <w:bCs w:val="0"/>
        </w:rPr>
      </w:r>
    </w:p>
    <w:p>
      <w:pPr>
        <w:spacing w:line="240" w:lineRule="auto" w:before="9"/>
        <w:rPr>
          <w:rFonts w:ascii="宋体" w:hAnsi="宋体" w:cs="宋体" w:eastAsia="宋体" w:hint="default"/>
          <w:b/>
          <w:bCs/>
          <w:sz w:val="23"/>
          <w:szCs w:val="23"/>
        </w:rPr>
      </w:pPr>
    </w:p>
    <w:p>
      <w:pPr>
        <w:pStyle w:val="BodyText"/>
        <w:spacing w:line="240" w:lineRule="auto" w:before="46"/>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pStyle w:val="BodyText"/>
        <w:spacing w:line="240" w:lineRule="auto" w:before="101"/>
        <w:ind w:left="0" w:right="1122"/>
        <w:jc w:val="right"/>
      </w:pPr>
      <w:r>
        <w:rPr>
          <w:spacing w:val="-2"/>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275"/>
        <w:gridCol w:w="1530"/>
        <w:gridCol w:w="1522"/>
        <w:gridCol w:w="1522"/>
        <w:gridCol w:w="1709"/>
      </w:tblGrid>
      <w:tr>
        <w:trPr>
          <w:trHeight w:val="398" w:hRule="exact"/>
        </w:trPr>
        <w:tc>
          <w:tcPr>
            <w:tcW w:w="3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9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年金额</w:t>
            </w:r>
          </w:p>
        </w:tc>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5" w:hRule="exact"/>
        </w:trPr>
        <w:tc>
          <w:tcPr>
            <w:tcW w:w="3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11" w:right="5"/>
              <w:jc w:val="left"/>
              <w:rPr>
                <w:rFonts w:ascii="宋体" w:hAnsi="宋体" w:cs="宋体" w:eastAsia="宋体" w:hint="default"/>
                <w:sz w:val="18"/>
                <w:szCs w:val="18"/>
              </w:rPr>
            </w:pPr>
            <w:r>
              <w:rPr>
                <w:rFonts w:ascii="宋体" w:hAnsi="宋体" w:cs="宋体" w:eastAsia="宋体" w:hint="default"/>
                <w:spacing w:val="-3"/>
                <w:sz w:val="18"/>
                <w:szCs w:val="18"/>
              </w:rPr>
              <w:t>非流动资产处置损益（包括已计提资产减</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pacing w:val="-3"/>
                <w:sz w:val="18"/>
                <w:szCs w:val="18"/>
              </w:rPr>
              <w:t>值准备的冲销部分）</w:t>
            </w:r>
          </w:p>
        </w:tc>
        <w:tc>
          <w:tcPr>
            <w:tcW w:w="1530" w:type="dxa"/>
            <w:tcBorders>
              <w:top w:val="single" w:sz="4" w:space="0" w:color="000000"/>
              <w:left w:val="single" w:sz="14"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55,599.25</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35,462,882.06</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123,741.16</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r>
      <w:tr>
        <w:trPr>
          <w:trHeight w:val="1028" w:hRule="exact"/>
        </w:trPr>
        <w:tc>
          <w:tcPr>
            <w:tcW w:w="3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4"/>
              <w:ind w:left="11" w:right="5"/>
              <w:jc w:val="both"/>
              <w:rPr>
                <w:rFonts w:ascii="宋体" w:hAnsi="宋体" w:cs="宋体" w:eastAsia="宋体" w:hint="default"/>
                <w:sz w:val="18"/>
                <w:szCs w:val="18"/>
              </w:rPr>
            </w:pPr>
            <w:r>
              <w:rPr>
                <w:rFonts w:ascii="宋体" w:hAnsi="宋体" w:cs="宋体" w:eastAsia="宋体" w:hint="default"/>
                <w:spacing w:val="-3"/>
                <w:sz w:val="18"/>
                <w:szCs w:val="18"/>
              </w:rPr>
              <w:t>计入当期损益的政府补助（与企业业务密</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pacing w:val="-3"/>
                <w:sz w:val="18"/>
                <w:szCs w:val="18"/>
              </w:rPr>
              <w:t>切相关，按照国家统一标准定额或定量享</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pacing w:val="-3"/>
                <w:sz w:val="18"/>
                <w:szCs w:val="18"/>
              </w:rPr>
              <w:t>受的政府补助除外）</w:t>
            </w:r>
          </w:p>
        </w:tc>
        <w:tc>
          <w:tcPr>
            <w:tcW w:w="1530" w:type="dxa"/>
            <w:tcBorders>
              <w:top w:val="single" w:sz="4" w:space="0" w:color="000000"/>
              <w:left w:val="single" w:sz="14"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4,221,123.28</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6,398,779.75</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3,751,896.03</w:t>
            </w:r>
          </w:p>
        </w:tc>
        <w:tc>
          <w:tcPr>
            <w:tcW w:w="1709"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3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11" w:right="5"/>
              <w:jc w:val="both"/>
              <w:rPr>
                <w:rFonts w:ascii="宋体" w:hAnsi="宋体" w:cs="宋体" w:eastAsia="宋体" w:hint="default"/>
                <w:sz w:val="18"/>
                <w:szCs w:val="18"/>
              </w:rPr>
            </w:pPr>
            <w:r>
              <w:rPr>
                <w:rFonts w:ascii="宋体" w:hAnsi="宋体" w:cs="宋体" w:eastAsia="宋体" w:hint="default"/>
                <w:spacing w:val="-3"/>
                <w:sz w:val="18"/>
                <w:szCs w:val="18"/>
              </w:rPr>
              <w:t>企业取得子公司、联营企业及合营企业的</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pacing w:val="-3"/>
                <w:sz w:val="18"/>
                <w:szCs w:val="18"/>
              </w:rPr>
              <w:t>投资成本小于取得投资时应享有被投资单</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pacing w:val="-3"/>
                <w:sz w:val="18"/>
                <w:szCs w:val="18"/>
              </w:rPr>
              <w:t>位可辨认净资产公允价值产生的收益</w:t>
            </w:r>
          </w:p>
        </w:tc>
        <w:tc>
          <w:tcPr>
            <w:tcW w:w="1530" w:type="dxa"/>
            <w:tcBorders>
              <w:top w:val="single" w:sz="4" w:space="0" w:color="000000"/>
              <w:left w:val="single" w:sz="14"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17,463,315.54</w:t>
            </w:r>
          </w:p>
        </w:tc>
        <w:tc>
          <w:tcPr>
            <w:tcW w:w="1522"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3,587,507.98</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r>
      <w:tr>
        <w:trPr>
          <w:trHeight w:val="2271" w:hRule="exact"/>
        </w:trPr>
        <w:tc>
          <w:tcPr>
            <w:tcW w:w="3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 w:right="5"/>
              <w:jc w:val="both"/>
              <w:rPr>
                <w:rFonts w:ascii="宋体" w:hAnsi="宋体" w:cs="宋体" w:eastAsia="宋体" w:hint="default"/>
                <w:sz w:val="18"/>
                <w:szCs w:val="18"/>
              </w:rPr>
            </w:pPr>
            <w:r>
              <w:rPr>
                <w:rFonts w:ascii="宋体" w:hAnsi="宋体" w:cs="宋体" w:eastAsia="宋体" w:hint="default"/>
                <w:spacing w:val="-3"/>
                <w:sz w:val="18"/>
                <w:szCs w:val="18"/>
              </w:rPr>
              <w:t>除同公司正常经营业务相关的有效套期保</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pacing w:val="-3"/>
                <w:sz w:val="18"/>
                <w:szCs w:val="18"/>
              </w:rPr>
              <w:t>值业务外，持有交易性金融资产、衍生金</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pacing w:val="-3"/>
                <w:sz w:val="18"/>
                <w:szCs w:val="18"/>
              </w:rPr>
              <w:t>融资产、交易性金融负债、衍生金融负债</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pacing w:val="-3"/>
                <w:sz w:val="18"/>
                <w:szCs w:val="18"/>
              </w:rPr>
              <w:t>产生的公允价值变动损益，以及处置交易</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pacing w:val="-3"/>
                <w:sz w:val="18"/>
                <w:szCs w:val="18"/>
              </w:rPr>
              <w:t>性金融资产、衍生金融资产、交易性金融</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pacing w:val="-3"/>
                <w:sz w:val="18"/>
                <w:szCs w:val="18"/>
              </w:rPr>
              <w:t>负债、衍生金融负债和其他债权投资取得</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z w:val="18"/>
                <w:szCs w:val="18"/>
              </w:rPr>
              <w:t>的投资收益</w:t>
            </w:r>
          </w:p>
        </w:tc>
        <w:tc>
          <w:tcPr>
            <w:tcW w:w="1530" w:type="dxa"/>
            <w:tcBorders>
              <w:top w:val="single" w:sz="4" w:space="0" w:color="000000"/>
              <w:left w:val="single" w:sz="14"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1,179,540.39</w:t>
            </w:r>
          </w:p>
        </w:tc>
        <w:tc>
          <w:tcPr>
            <w:tcW w:w="1522"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r>
    </w:tbl>
    <w:p>
      <w:pPr>
        <w:spacing w:after="0" w:line="240" w:lineRule="auto"/>
        <w:jc w:val="left"/>
        <w:rPr>
          <w:rFonts w:ascii="Times New Roman" w:hAnsi="Times New Roman" w:cs="Times New Roman" w:eastAsia="Times New Roman" w:hint="default"/>
          <w:sz w:val="18"/>
          <w:szCs w:val="18"/>
        </w:rPr>
        <w:sectPr>
          <w:pgSz w:w="11910" w:h="16840"/>
          <w:pgMar w:header="871" w:footer="1186" w:top="1100" w:bottom="1380" w:left="980" w:right="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3299"/>
        <w:gridCol w:w="1517"/>
        <w:gridCol w:w="1522"/>
        <w:gridCol w:w="1522"/>
        <w:gridCol w:w="1709"/>
      </w:tblGrid>
      <w:tr>
        <w:trPr>
          <w:trHeight w:val="403" w:hRule="exact"/>
        </w:trPr>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除上述各项之外的其他营业外收入和支出</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-358,175.28</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161,902.13</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-379,091.63</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r>
      <w:tr>
        <w:trPr>
          <w:trHeight w:val="398" w:hRule="exact"/>
        </w:trPr>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其他符合非经常性损益定义的损益项目</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2,494,419.52</w:t>
            </w:r>
          </w:p>
        </w:tc>
        <w:tc>
          <w:tcPr>
            <w:tcW w:w="1522"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r>
      <w:tr>
        <w:trPr>
          <w:trHeight w:val="404" w:hRule="exact"/>
        </w:trPr>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2"/>
                <w:sz w:val="18"/>
              </w:rPr>
              <w:t>1,115,386.32</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6,314,825.19</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1,066,571.28</w:t>
            </w:r>
          </w:p>
        </w:tc>
        <w:tc>
          <w:tcPr>
            <w:tcW w:w="170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pacing w:val="-3"/>
                <w:sz w:val="18"/>
                <w:szCs w:val="18"/>
              </w:rPr>
              <w:t>少数股东权益影响额（税后）</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837,244.90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1,158,755.69</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25,853.48</w:t>
            </w:r>
          </w:p>
        </w:tc>
        <w:tc>
          <w:tcPr>
            <w:tcW w:w="170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23,103,191.48</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34,549,983.06</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5,991,628.78</w:t>
            </w:r>
          </w:p>
        </w:tc>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bl>
    <w:p>
      <w:pPr>
        <w:pStyle w:val="BodyText"/>
        <w:spacing w:line="240" w:lineRule="auto" w:before="53"/>
        <w:ind w:right="0"/>
        <w:jc w:val="left"/>
      </w:pPr>
      <w:r>
        <w:rPr>
          <w:w w:val="101"/>
        </w:rPr>
        <w:t>对</w:t>
      </w:r>
      <w:r>
        <w:rPr>
          <w:spacing w:val="-5"/>
          <w:w w:val="101"/>
        </w:rPr>
        <w:t>公</w:t>
      </w:r>
      <w:r>
        <w:rPr>
          <w:w w:val="101"/>
        </w:rPr>
        <w:t>司</w:t>
      </w:r>
      <w:r>
        <w:rPr>
          <w:spacing w:val="-5"/>
          <w:w w:val="101"/>
        </w:rPr>
        <w:t>根</w:t>
      </w:r>
      <w:r>
        <w:rPr>
          <w:spacing w:val="-68"/>
          <w:w w:val="101"/>
        </w:rPr>
        <w:t>据</w:t>
      </w:r>
      <w:r>
        <w:rPr>
          <w:w w:val="101"/>
        </w:rPr>
        <w:t>《</w:t>
      </w:r>
      <w:r>
        <w:rPr>
          <w:spacing w:val="-5"/>
          <w:w w:val="101"/>
        </w:rPr>
        <w:t>公</w:t>
      </w:r>
      <w:r>
        <w:rPr>
          <w:w w:val="101"/>
        </w:rPr>
        <w:t>开</w:t>
      </w:r>
      <w:r>
        <w:rPr>
          <w:spacing w:val="-5"/>
          <w:w w:val="101"/>
        </w:rPr>
        <w:t>发</w:t>
      </w:r>
      <w:r>
        <w:rPr>
          <w:w w:val="101"/>
        </w:rPr>
        <w:t>行</w:t>
      </w:r>
      <w:r>
        <w:rPr>
          <w:spacing w:val="-5"/>
          <w:w w:val="101"/>
        </w:rPr>
        <w:t>证</w:t>
      </w:r>
      <w:r>
        <w:rPr>
          <w:w w:val="101"/>
        </w:rPr>
        <w:t>券</w:t>
      </w:r>
      <w:r>
        <w:rPr>
          <w:spacing w:val="-5"/>
          <w:w w:val="101"/>
        </w:rPr>
        <w:t>的</w:t>
      </w:r>
      <w:r>
        <w:rPr>
          <w:w w:val="101"/>
        </w:rPr>
        <w:t>公</w:t>
      </w:r>
      <w:r>
        <w:rPr>
          <w:spacing w:val="-5"/>
          <w:w w:val="101"/>
        </w:rPr>
        <w:t>司</w:t>
      </w:r>
      <w:r>
        <w:rPr>
          <w:w w:val="101"/>
        </w:rPr>
        <w:t>信</w:t>
      </w:r>
      <w:r>
        <w:rPr>
          <w:spacing w:val="-5"/>
          <w:w w:val="101"/>
        </w:rPr>
        <w:t>息</w:t>
      </w:r>
      <w:r>
        <w:rPr>
          <w:w w:val="101"/>
        </w:rPr>
        <w:t>披</w:t>
      </w:r>
      <w:r>
        <w:rPr>
          <w:spacing w:val="-5"/>
          <w:w w:val="101"/>
        </w:rPr>
        <w:t>露</w:t>
      </w:r>
      <w:r>
        <w:rPr>
          <w:w w:val="101"/>
        </w:rPr>
        <w:t>解</w:t>
      </w:r>
      <w:r>
        <w:rPr>
          <w:spacing w:val="-5"/>
          <w:w w:val="101"/>
        </w:rPr>
        <w:t>释</w:t>
      </w:r>
      <w:r>
        <w:rPr>
          <w:w w:val="101"/>
        </w:rPr>
        <w:t>性</w:t>
      </w:r>
      <w:r>
        <w:rPr>
          <w:spacing w:val="-5"/>
          <w:w w:val="101"/>
        </w:rPr>
        <w:t>公</w:t>
      </w:r>
      <w:r>
        <w:rPr>
          <w:w w:val="101"/>
        </w:rPr>
        <w:t>告第</w:t>
      </w:r>
      <w:r>
        <w:rPr>
          <w:spacing w:val="-46"/>
        </w:rPr>
        <w:t> </w:t>
      </w:r>
      <w:r>
        <w:rPr>
          <w:rFonts w:ascii="Times New Roman" w:hAnsi="Times New Roman" w:cs="Times New Roman" w:eastAsia="Times New Roman" w:hint="default"/>
          <w:w w:val="101"/>
        </w:rPr>
        <w:t>1</w:t>
      </w:r>
      <w:r>
        <w:rPr>
          <w:rFonts w:ascii="Times New Roman" w:hAnsi="Times New Roman" w:cs="Times New Roman" w:eastAsia="Times New Roman" w:hint="default"/>
          <w:spacing w:val="-2"/>
        </w:rPr>
        <w:t> </w:t>
      </w:r>
      <w:r>
        <w:rPr>
          <w:spacing w:val="-5"/>
          <w:w w:val="101"/>
        </w:rPr>
        <w:t>号</w:t>
      </w:r>
      <w:r>
        <w:rPr>
          <w:rFonts w:ascii="Times New Roman" w:hAnsi="Times New Roman" w:cs="Times New Roman" w:eastAsia="Times New Roman" w:hint="default"/>
          <w:w w:val="101"/>
        </w:rPr>
        <w:t>—</w:t>
      </w:r>
      <w:r>
        <w:rPr>
          <w:rFonts w:ascii="Times New Roman" w:hAnsi="Times New Roman" w:cs="Times New Roman" w:eastAsia="Times New Roman" w:hint="default"/>
          <w:spacing w:val="-5"/>
          <w:w w:val="101"/>
        </w:rPr>
        <w:t>—</w:t>
      </w:r>
      <w:r>
        <w:rPr>
          <w:w w:val="101"/>
        </w:rPr>
        <w:t>非</w:t>
      </w:r>
      <w:r>
        <w:rPr>
          <w:spacing w:val="-5"/>
          <w:w w:val="101"/>
        </w:rPr>
        <w:t>经</w:t>
      </w:r>
      <w:r>
        <w:rPr>
          <w:w w:val="101"/>
        </w:rPr>
        <w:t>常</w:t>
      </w:r>
      <w:r>
        <w:rPr>
          <w:spacing w:val="-5"/>
          <w:w w:val="101"/>
        </w:rPr>
        <w:t>性</w:t>
      </w:r>
      <w:r>
        <w:rPr>
          <w:w w:val="101"/>
        </w:rPr>
        <w:t>损益</w:t>
      </w:r>
      <w:r>
        <w:rPr>
          <w:spacing w:val="-73"/>
          <w:w w:val="101"/>
        </w:rPr>
        <w:t>》</w:t>
      </w:r>
      <w:r>
        <w:rPr>
          <w:w w:val="101"/>
        </w:rPr>
        <w:t>定</w:t>
      </w:r>
      <w:r>
        <w:rPr>
          <w:spacing w:val="-5"/>
          <w:w w:val="101"/>
        </w:rPr>
        <w:t>义</w:t>
      </w:r>
      <w:r>
        <w:rPr>
          <w:w w:val="101"/>
        </w:rPr>
        <w:t>界</w:t>
      </w:r>
      <w:r>
        <w:rPr>
          <w:spacing w:val="-5"/>
          <w:w w:val="101"/>
        </w:rPr>
        <w:t>定</w:t>
      </w:r>
      <w:r>
        <w:rPr>
          <w:w w:val="101"/>
        </w:rPr>
        <w:t>的</w:t>
      </w:r>
      <w:r>
        <w:rPr>
          <w:spacing w:val="-5"/>
          <w:w w:val="101"/>
        </w:rPr>
        <w:t>非</w:t>
      </w:r>
      <w:r>
        <w:rPr>
          <w:w w:val="101"/>
        </w:rPr>
        <w:t>经</w:t>
      </w:r>
      <w:r>
        <w:rPr>
          <w:spacing w:val="-5"/>
          <w:w w:val="101"/>
        </w:rPr>
        <w:t>常</w:t>
      </w:r>
      <w:r>
        <w:rPr>
          <w:w w:val="101"/>
        </w:rPr>
        <w:t>性</w:t>
      </w:r>
      <w:r>
        <w:rPr>
          <w:spacing w:val="-5"/>
          <w:w w:val="101"/>
        </w:rPr>
        <w:t>损</w:t>
      </w:r>
      <w:r>
        <w:rPr>
          <w:w w:val="101"/>
        </w:rPr>
        <w:t>益</w:t>
      </w:r>
      <w:r>
        <w:rPr>
          <w:spacing w:val="-5"/>
          <w:w w:val="101"/>
        </w:rPr>
        <w:t>项</w:t>
      </w:r>
      <w:r>
        <w:rPr>
          <w:w w:val="101"/>
        </w:rPr>
        <w:t>目</w:t>
      </w:r>
      <w:r>
        <w:rPr>
          <w:spacing w:val="-68"/>
          <w:w w:val="101"/>
        </w:rPr>
        <w:t>，</w:t>
      </w:r>
      <w:r>
        <w:rPr>
          <w:spacing w:val="-5"/>
          <w:w w:val="101"/>
        </w:rPr>
        <w:t>以</w:t>
      </w:r>
      <w:r>
        <w:rPr>
          <w:w w:val="101"/>
        </w:rPr>
        <w:t>及</w:t>
      </w:r>
      <w:r>
        <w:rPr>
          <w:spacing w:val="-73"/>
          <w:w w:val="101"/>
        </w:rPr>
        <w:t>把</w:t>
      </w:r>
      <w:r>
        <w:rPr>
          <w:w w:val="101"/>
        </w:rPr>
        <w:t>《公</w:t>
      </w:r>
      <w:r>
        <w:rPr/>
      </w:r>
    </w:p>
    <w:p>
      <w:pPr>
        <w:pStyle w:val="BodyText"/>
        <w:spacing w:line="304" w:lineRule="auto" w:before="58"/>
        <w:ind w:right="1029"/>
        <w:jc w:val="left"/>
      </w:pPr>
      <w:r>
        <w:rPr>
          <w:spacing w:val="-3"/>
        </w:rPr>
        <w:t>开发行证券的公司信息披露解释性公告第 </w:t>
      </w:r>
      <w:r>
        <w:rPr>
          <w:rFonts w:ascii="Times New Roman" w:hAnsi="Times New Roman" w:cs="Times New Roman" w:eastAsia="Times New Roman" w:hint="default"/>
        </w:rPr>
        <w:t>1 </w:t>
      </w:r>
      <w:r>
        <w:rPr>
          <w:spacing w:val="-5"/>
        </w:rPr>
        <w:t>号</w:t>
      </w:r>
      <w:r>
        <w:rPr>
          <w:rFonts w:ascii="Times New Roman" w:hAnsi="Times New Roman" w:cs="Times New Roman" w:eastAsia="Times New Roman" w:hint="default"/>
          <w:spacing w:val="-5"/>
        </w:rPr>
        <w:t>——</w:t>
      </w:r>
      <w:r>
        <w:rPr>
          <w:spacing w:val="-5"/>
        </w:rPr>
        <w:t>非经常性损益》中列举的非经常性损益项目界定为经常性损益的项目，应</w:t>
      </w:r>
      <w:r>
        <w:rPr>
          <w:spacing w:val="-35"/>
        </w:rPr>
        <w:t> </w:t>
      </w:r>
      <w:r>
        <w:rPr>
          <w:spacing w:val="-35"/>
        </w:rPr>
      </w:r>
      <w:r>
        <w:rPr/>
        <w:t>说明原因</w:t>
      </w:r>
    </w:p>
    <w:p>
      <w:pPr>
        <w:pStyle w:val="BodyText"/>
        <w:spacing w:line="240" w:lineRule="auto" w:before="66"/>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13"/>
        <w:rPr>
          <w:rFonts w:ascii="宋体" w:hAnsi="宋体" w:cs="宋体" w:eastAsia="宋体" w:hint="default"/>
          <w:sz w:val="13"/>
          <w:szCs w:val="13"/>
        </w:rPr>
      </w:pPr>
    </w:p>
    <w:p>
      <w:pPr>
        <w:pStyle w:val="BodyText"/>
        <w:spacing w:line="448" w:lineRule="auto"/>
        <w:ind w:right="0" w:firstLine="360"/>
        <w:jc w:val="left"/>
      </w:pPr>
      <w:r>
        <w:rPr>
          <w:spacing w:val="-4"/>
        </w:rPr>
        <w:t>公司报告期不存在将根据《公开发行证券的公司信息披露解释性公告第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spacing w:val="-6"/>
        </w:rPr>
        <w:t>号</w:t>
      </w:r>
      <w:r>
        <w:rPr>
          <w:rFonts w:ascii="Times New Roman" w:hAnsi="Times New Roman" w:cs="Times New Roman" w:eastAsia="Times New Roman" w:hint="default"/>
          <w:spacing w:val="-6"/>
        </w:rPr>
        <w:t>——</w:t>
      </w:r>
      <w:r>
        <w:rPr>
          <w:spacing w:val="-6"/>
        </w:rPr>
        <w:t>非经常性损益》定义、列举的非经常性</w:t>
      </w:r>
      <w:r>
        <w:rPr>
          <w:w w:val="101"/>
        </w:rPr>
        <w:t> </w:t>
      </w:r>
      <w:r>
        <w:rPr>
          <w:spacing w:val="-3"/>
        </w:rPr>
        <w:t>损益项目界定为经常性损益的项目的情形。</w:t>
      </w:r>
    </w:p>
    <w:p>
      <w:pPr>
        <w:spacing w:after="0" w:line="448" w:lineRule="auto"/>
        <w:jc w:val="left"/>
        <w:sectPr>
          <w:pgSz w:w="11910" w:h="16840"/>
          <w:pgMar w:header="871" w:footer="1186" w:top="1100" w:bottom="138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6"/>
          <w:szCs w:val="16"/>
        </w:rPr>
      </w:pPr>
    </w:p>
    <w:p>
      <w:pPr>
        <w:pStyle w:val="Heading1"/>
        <w:spacing w:line="240" w:lineRule="auto"/>
        <w:ind w:left="3447" w:right="0"/>
        <w:jc w:val="left"/>
        <w:rPr>
          <w:b w:val="0"/>
          <w:bCs w:val="0"/>
        </w:rPr>
      </w:pPr>
      <w:bookmarkStart w:name="第三节 公司业务概要" w:id="15"/>
      <w:bookmarkEnd w:id="15"/>
      <w:r>
        <w:rPr>
          <w:b w:val="0"/>
          <w:bCs w:val="0"/>
        </w:rPr>
      </w:r>
      <w:bookmarkStart w:name="_bookmark2" w:id="16"/>
      <w:bookmarkEnd w:id="16"/>
      <w:r>
        <w:rPr>
          <w:b w:val="0"/>
          <w:bCs w:val="0"/>
        </w:rPr>
      </w:r>
      <w:r>
        <w:rPr/>
        <w:t>第三节 公司业务概要</w:t>
      </w:r>
      <w:r>
        <w:rPr>
          <w:b w:val="0"/>
          <w:bCs w:val="0"/>
        </w:rPr>
      </w:r>
    </w:p>
    <w:p>
      <w:pPr>
        <w:spacing w:line="240" w:lineRule="auto" w:before="4"/>
        <w:rPr>
          <w:rFonts w:ascii="宋体" w:hAnsi="宋体" w:cs="宋体" w:eastAsia="宋体" w:hint="default"/>
          <w:b/>
          <w:bCs/>
          <w:sz w:val="38"/>
          <w:szCs w:val="38"/>
        </w:rPr>
      </w:pPr>
    </w:p>
    <w:p>
      <w:pPr>
        <w:pStyle w:val="Heading2"/>
        <w:spacing w:line="240" w:lineRule="auto"/>
        <w:ind w:right="0"/>
        <w:jc w:val="both"/>
        <w:rPr>
          <w:b w:val="0"/>
          <w:bCs w:val="0"/>
        </w:rPr>
      </w:pPr>
      <w:bookmarkStart w:name="一、报告期内公司从事的主要业务" w:id="17"/>
      <w:bookmarkEnd w:id="17"/>
      <w:r>
        <w:rPr>
          <w:b w:val="0"/>
          <w:bCs w:val="0"/>
        </w:rPr>
      </w:r>
      <w:r>
        <w:rPr/>
        <w:t>一、报告期内公司从事的主要业务</w:t>
      </w:r>
      <w:r>
        <w:rPr>
          <w:b w:val="0"/>
          <w:bCs w:val="0"/>
        </w:rPr>
      </w:r>
    </w:p>
    <w:p>
      <w:pPr>
        <w:spacing w:line="240" w:lineRule="auto" w:before="6"/>
        <w:rPr>
          <w:rFonts w:ascii="宋体" w:hAnsi="宋体" w:cs="宋体" w:eastAsia="宋体" w:hint="default"/>
          <w:b/>
          <w:bCs/>
          <w:sz w:val="33"/>
          <w:szCs w:val="33"/>
        </w:rPr>
      </w:pPr>
    </w:p>
    <w:p>
      <w:pPr>
        <w:pStyle w:val="BodyText"/>
        <w:spacing w:line="477" w:lineRule="auto"/>
        <w:ind w:right="1029" w:firstLine="360"/>
        <w:jc w:val="left"/>
      </w:pPr>
      <w:r>
        <w:rPr>
          <w:spacing w:val="-3"/>
        </w:rPr>
        <w:t>公司是以金融科技服务为核心业务的国家高新技术企业。报告期内，公司的主营业务涉及金融信息化、移动信息服务、</w:t>
      </w:r>
      <w:r>
        <w:rPr>
          <w:w w:val="101"/>
        </w:rPr>
        <w:t> </w:t>
      </w:r>
      <w:r>
        <w:rPr>
          <w:spacing w:val="-4"/>
        </w:rPr>
        <w:t>电子商务三大领域。同时，按照公司战略发展规划，公司依托自身的技术、客户资源、行业服务经验等优势，积极推进在金</w:t>
      </w:r>
      <w:r>
        <w:rPr>
          <w:spacing w:val="40"/>
        </w:rPr>
        <w:t> </w:t>
      </w:r>
      <w:r>
        <w:rPr>
          <w:spacing w:val="40"/>
        </w:rPr>
      </w:r>
      <w:r>
        <w:rPr>
          <w:spacing w:val="-4"/>
        </w:rPr>
        <w:t>融科技领域的业务延伸发展。通过投资发展个人征信等金融基础服务业务，以及参与发起设立互联网保险、证券等金融服务</w:t>
      </w:r>
      <w:r>
        <w:rPr>
          <w:spacing w:val="44"/>
        </w:rPr>
        <w:t> </w:t>
      </w:r>
      <w:r>
        <w:rPr>
          <w:spacing w:val="44"/>
        </w:rPr>
      </w:r>
      <w:r>
        <w:rPr>
          <w:spacing w:val="-4"/>
        </w:rPr>
        <w:t>机构，构建以金融科技为基础的综合金融生态服务体系，为国内金融机构、互联网金融企业、个人消费者提供全面的创新金</w:t>
      </w:r>
      <w:r>
        <w:rPr>
          <w:spacing w:val="40"/>
        </w:rPr>
        <w:t> </w:t>
      </w:r>
      <w:r>
        <w:rPr>
          <w:spacing w:val="40"/>
        </w:rPr>
      </w:r>
      <w:r>
        <w:rPr/>
        <w:t>融科技服务。</w:t>
      </w:r>
    </w:p>
    <w:p>
      <w:pPr>
        <w:pStyle w:val="BodyText"/>
        <w:spacing w:line="240" w:lineRule="auto" w:before="52"/>
        <w:ind w:left="513" w:right="0"/>
        <w:jc w:val="left"/>
      </w:pPr>
      <w:r>
        <w:rPr>
          <w:spacing w:val="-3"/>
        </w:rPr>
        <w:t>一、金融信息化</w:t>
      </w:r>
    </w:p>
    <w:p>
      <w:pPr>
        <w:spacing w:line="240" w:lineRule="auto" w:before="12"/>
        <w:rPr>
          <w:rFonts w:ascii="宋体" w:hAnsi="宋体" w:cs="宋体" w:eastAsia="宋体" w:hint="default"/>
          <w:sz w:val="17"/>
          <w:szCs w:val="17"/>
        </w:rPr>
      </w:pPr>
    </w:p>
    <w:p>
      <w:pPr>
        <w:pStyle w:val="BodyText"/>
        <w:spacing w:line="475" w:lineRule="auto"/>
        <w:ind w:left="513" w:right="0"/>
        <w:jc w:val="left"/>
      </w:pPr>
      <w:r>
        <w:rPr/>
        <w:t>（一）主要业务和产品</w:t>
      </w:r>
      <w:r>
        <w:rPr>
          <w:spacing w:val="-86"/>
        </w:rPr>
        <w:t> </w:t>
      </w:r>
      <w:r>
        <w:rPr>
          <w:spacing w:val="-86"/>
        </w:rPr>
      </w:r>
      <w:r>
        <w:rPr>
          <w:spacing w:val="-5"/>
        </w:rPr>
        <w:t>在金融信息化业务领域，公司主要为银行等金融机构提供与支付结算、风险防控、业务流程再造、数字化转型、自助服</w:t>
      </w:r>
    </w:p>
    <w:p>
      <w:pPr>
        <w:pStyle w:val="BodyText"/>
        <w:spacing w:line="477" w:lineRule="auto" w:before="58"/>
        <w:ind w:right="1123"/>
        <w:jc w:val="both"/>
      </w:pPr>
      <w:r>
        <w:rPr>
          <w:spacing w:val="-4"/>
        </w:rPr>
        <w:t>务等业务相关的软件产品、软件开发、金融专用设备和技术服务。主要软件产品和服务包括电脑验印系统、票据影像化处理</w:t>
      </w:r>
      <w:r>
        <w:rPr>
          <w:spacing w:val="40"/>
        </w:rPr>
        <w:t> </w:t>
      </w:r>
      <w:r>
        <w:rPr>
          <w:spacing w:val="40"/>
        </w:rPr>
      </w:r>
      <w:r>
        <w:rPr>
          <w:spacing w:val="-4"/>
        </w:rPr>
        <w:t>软件、金融服务基础平台开发、数字金融应用开发、大数据开发服务、软件外包服务等；主要金融专用设备产品包括智能印</w:t>
      </w:r>
      <w:r>
        <w:rPr>
          <w:spacing w:val="40"/>
        </w:rPr>
        <w:t> </w:t>
      </w:r>
      <w:r>
        <w:rPr>
          <w:spacing w:val="40"/>
        </w:rPr>
      </w:r>
      <w:r>
        <w:rPr>
          <w:spacing w:val="-3"/>
        </w:rPr>
        <w:t>章控制机、高拍仪、智能现金尾箱等。</w:t>
      </w:r>
    </w:p>
    <w:p>
      <w:pPr>
        <w:pStyle w:val="BodyText"/>
        <w:spacing w:line="463" w:lineRule="auto" w:before="52"/>
        <w:ind w:right="1123" w:firstLine="360"/>
        <w:jc w:val="both"/>
      </w:pPr>
      <w:r>
        <w:rPr>
          <w:spacing w:val="-3"/>
        </w:rPr>
        <w:t>报告期内，公司相继中标中国工商银行行政印章用印机设备项目及中国建设银行印控机采购项目，对公司 </w:t>
      </w:r>
      <w:r>
        <w:rPr>
          <w:rFonts w:ascii="Times New Roman" w:hAnsi="Times New Roman" w:cs="Times New Roman" w:eastAsia="Times New Roman" w:hint="default"/>
        </w:rPr>
        <w:t>2019</w:t>
      </w:r>
      <w:r>
        <w:rPr>
          <w:rFonts w:ascii="Times New Roman" w:hAnsi="Times New Roman" w:cs="Times New Roman" w:eastAsia="Times New Roman" w:hint="default"/>
          <w:spacing w:val="21"/>
        </w:rPr>
        <w:t> </w:t>
      </w:r>
      <w:r>
        <w:rPr/>
        <w:t>年度经</w:t>
      </w:r>
      <w:r>
        <w:rPr>
          <w:w w:val="101"/>
        </w:rPr>
        <w:t> </w:t>
      </w:r>
      <w:r>
        <w:rPr>
          <w:spacing w:val="-4"/>
        </w:rPr>
        <w:t>营业绩产生积极影响。公司数字金融解决方案领域的产品和服务内容得到不断完善和丰富。报告期内公司主要业务和产品未</w:t>
      </w:r>
      <w:r>
        <w:rPr>
          <w:spacing w:val="44"/>
        </w:rPr>
        <w:t> </w:t>
      </w:r>
      <w:r>
        <w:rPr>
          <w:spacing w:val="44"/>
        </w:rPr>
      </w:r>
      <w:r>
        <w:rPr>
          <w:spacing w:val="-3"/>
        </w:rPr>
        <w:t>发生重大变化。</w:t>
      </w:r>
    </w:p>
    <w:p>
      <w:pPr>
        <w:pStyle w:val="BodyText"/>
        <w:spacing w:line="240" w:lineRule="auto" w:before="67"/>
        <w:ind w:left="513" w:right="0"/>
        <w:jc w:val="left"/>
      </w:pPr>
      <w:r>
        <w:rPr>
          <w:spacing w:val="-3"/>
        </w:rPr>
        <w:t>（二）经营模式</w:t>
      </w:r>
    </w:p>
    <w:p>
      <w:pPr>
        <w:spacing w:line="240" w:lineRule="auto" w:before="8"/>
        <w:rPr>
          <w:rFonts w:ascii="宋体" w:hAnsi="宋体" w:cs="宋体" w:eastAsia="宋体" w:hint="default"/>
          <w:sz w:val="17"/>
          <w:szCs w:val="17"/>
        </w:rPr>
      </w:pPr>
    </w:p>
    <w:p>
      <w:pPr>
        <w:pStyle w:val="BodyText"/>
        <w:spacing w:line="453" w:lineRule="auto"/>
        <w:ind w:left="513" w:right="0"/>
        <w:jc w:val="left"/>
      </w:pPr>
      <w:r>
        <w:rPr>
          <w:rFonts w:ascii="Times New Roman" w:hAnsi="Times New Roman" w:cs="Times New Roman" w:eastAsia="Times New Roman" w:hint="default"/>
        </w:rPr>
        <w:t>1</w:t>
      </w:r>
      <w:r>
        <w:rPr/>
        <w:t>、生产和开发模式</w:t>
      </w:r>
      <w:r>
        <w:rPr>
          <w:spacing w:val="-85"/>
        </w:rPr>
        <w:t> </w:t>
      </w:r>
      <w:r>
        <w:rPr>
          <w:spacing w:val="-85"/>
        </w:rPr>
      </w:r>
      <w:r>
        <w:rPr>
          <w:spacing w:val="-5"/>
        </w:rPr>
        <w:t>公司以银行、证券、保险等金融机构为主要目标客户，提供的软件和硬件产品均以自主知识产权的产品为主，同时为客</w:t>
      </w:r>
    </w:p>
    <w:p>
      <w:pPr>
        <w:pStyle w:val="BodyText"/>
        <w:spacing w:line="477" w:lineRule="auto" w:before="70"/>
        <w:ind w:right="0"/>
        <w:jc w:val="left"/>
      </w:pPr>
      <w:r>
        <w:rPr>
          <w:spacing w:val="-4"/>
        </w:rPr>
        <w:t>户提供定制软件开发、软件外包、运维支持等服务。公司的软件产品是根据客户共性需求自主开发的标准化软件版本；软件</w:t>
      </w:r>
      <w:r>
        <w:rPr>
          <w:spacing w:val="40"/>
        </w:rPr>
        <w:t> </w:t>
      </w:r>
      <w:r>
        <w:rPr>
          <w:spacing w:val="40"/>
        </w:rPr>
      </w:r>
      <w:r>
        <w:rPr>
          <w:spacing w:val="-3"/>
        </w:rPr>
        <w:t>开发是针对客户的特殊需求提供的定制化软件开发、软件外包开发服务。公司的金融专用设备以自主研发的方式形成产品，</w:t>
      </w:r>
      <w:r>
        <w:rPr>
          <w:spacing w:val="75"/>
        </w:rPr>
        <w:t> </w:t>
      </w:r>
      <w:r>
        <w:rPr>
          <w:spacing w:val="75"/>
        </w:rPr>
      </w:r>
      <w:r>
        <w:rPr>
          <w:spacing w:val="-3"/>
        </w:rPr>
        <w:t>通过自主加工和委外加工相结合的生产模式进行生产。</w:t>
      </w:r>
    </w:p>
    <w:p>
      <w:pPr>
        <w:pStyle w:val="BodyText"/>
        <w:spacing w:line="448" w:lineRule="auto" w:before="56"/>
        <w:ind w:left="513" w:right="1029"/>
        <w:jc w:val="left"/>
      </w:pPr>
      <w:r>
        <w:rPr>
          <w:rFonts w:ascii="Times New Roman" w:hAnsi="Times New Roman" w:cs="Times New Roman" w:eastAsia="Times New Roman" w:hint="default"/>
        </w:rPr>
        <w:t>2</w:t>
      </w:r>
      <w:r>
        <w:rPr/>
        <w:t>、销售模式</w:t>
      </w:r>
      <w:r>
        <w:rPr>
          <w:spacing w:val="-87"/>
        </w:rPr>
        <w:t> </w:t>
      </w:r>
      <w:r>
        <w:rPr>
          <w:spacing w:val="-87"/>
        </w:rPr>
      </w:r>
      <w:r>
        <w:rPr>
          <w:spacing w:val="-5"/>
        </w:rPr>
        <w:t>公司软件产品、软件开发服务、金融专用设备的客户主要是以银行为主的金融机构。对于国有大型商业银行，通常是总</w:t>
      </w:r>
    </w:p>
    <w:p>
      <w:pPr>
        <w:pStyle w:val="BodyText"/>
        <w:spacing w:line="463" w:lineRule="auto" w:before="78"/>
        <w:ind w:right="1123"/>
        <w:jc w:val="both"/>
      </w:pPr>
      <w:r>
        <w:rPr>
          <w:spacing w:val="-4"/>
        </w:rPr>
        <w:t>行或者省一级分行实施采购；对于股份制商业银行、城市商业银行、农村商业银行通常是上述银行的总行实施采购。销售模</w:t>
      </w:r>
      <w:r>
        <w:rPr>
          <w:spacing w:val="40"/>
        </w:rPr>
        <w:t> </w:t>
      </w:r>
      <w:r>
        <w:rPr>
          <w:spacing w:val="40"/>
        </w:rPr>
      </w:r>
      <w:r>
        <w:rPr>
          <w:spacing w:val="-5"/>
        </w:rPr>
        <w:t>式是：</w:t>
      </w:r>
      <w:r>
        <w:rPr>
          <w:rFonts w:ascii="Times New Roman" w:hAnsi="Times New Roman" w:cs="Times New Roman" w:eastAsia="Times New Roman" w:hint="default"/>
          <w:spacing w:val="-5"/>
        </w:rPr>
        <w:t>1</w:t>
      </w:r>
      <w:r>
        <w:rPr>
          <w:spacing w:val="-5"/>
        </w:rPr>
        <w:t>）公司主要通过参与客户的招标或者单一来源采购谈判进行销售，来实现客户对具体产品或服务的首次采购；</w:t>
      </w:r>
      <w:r>
        <w:rPr>
          <w:rFonts w:ascii="Times New Roman" w:hAnsi="Times New Roman" w:cs="Times New Roman" w:eastAsia="Times New Roman" w:hint="default"/>
          <w:spacing w:val="-5"/>
        </w:rPr>
        <w:t>2</w:t>
      </w:r>
      <w:r>
        <w:rPr>
          <w:spacing w:val="-5"/>
        </w:rPr>
        <w:t>）对</w:t>
      </w:r>
      <w:r>
        <w:rPr>
          <w:spacing w:val="1"/>
        </w:rPr>
        <w:t> </w:t>
      </w:r>
      <w:r>
        <w:rPr>
          <w:spacing w:val="-3"/>
        </w:rPr>
        <w:t>于在合同有效期内客户对已采购产品或服务的追加购买，一般通过与客户直接签订追加采购合同或订单完成销售。</w:t>
      </w:r>
    </w:p>
    <w:p>
      <w:pPr>
        <w:spacing w:after="0" w:line="463" w:lineRule="auto"/>
        <w:jc w:val="both"/>
        <w:sectPr>
          <w:pgSz w:w="11910" w:h="16840"/>
          <w:pgMar w:header="871" w:footer="1186" w:top="1100" w:bottom="1380" w:left="980" w:right="0"/>
        </w:sectPr>
      </w:pPr>
    </w:p>
    <w:p>
      <w:pPr>
        <w:spacing w:line="240" w:lineRule="auto" w:before="1"/>
        <w:rPr>
          <w:rFonts w:ascii="宋体" w:hAnsi="宋体" w:cs="宋体" w:eastAsia="宋体" w:hint="default"/>
          <w:sz w:val="28"/>
          <w:szCs w:val="28"/>
        </w:rPr>
      </w:pPr>
    </w:p>
    <w:p>
      <w:pPr>
        <w:pStyle w:val="BodyText"/>
        <w:spacing w:line="448" w:lineRule="auto" w:before="46"/>
        <w:ind w:left="513" w:right="1029"/>
        <w:jc w:val="left"/>
      </w:pPr>
      <w:r>
        <w:rPr>
          <w:rFonts w:ascii="Times New Roman" w:hAnsi="Times New Roman" w:cs="Times New Roman" w:eastAsia="Times New Roman" w:hint="default"/>
        </w:rPr>
        <w:t>3</w:t>
      </w:r>
      <w:r>
        <w:rPr/>
        <w:t>、盈利模式</w:t>
      </w:r>
      <w:r>
        <w:rPr>
          <w:spacing w:val="-87"/>
        </w:rPr>
        <w:t> </w:t>
      </w:r>
      <w:r>
        <w:rPr>
          <w:spacing w:val="-87"/>
        </w:rPr>
      </w:r>
      <w:r>
        <w:rPr>
          <w:spacing w:val="-4"/>
        </w:rPr>
        <w:t>对于软件产品，公司主要是在产品向客户完成供货、安装调试并验收合格后实现收入；对于金融专用设备，公司主要是</w:t>
      </w:r>
    </w:p>
    <w:p>
      <w:pPr>
        <w:pStyle w:val="BodyText"/>
        <w:spacing w:line="477" w:lineRule="auto" w:before="79"/>
        <w:ind w:right="1124"/>
        <w:jc w:val="both"/>
      </w:pPr>
      <w:r>
        <w:rPr>
          <w:spacing w:val="-4"/>
        </w:rPr>
        <w:t>在设备发货、客户签收后实现收入；对于软件开发项目，公司主要是在投入开发人力按照客户业务需求和进度计划完成开发</w:t>
      </w:r>
      <w:r>
        <w:rPr>
          <w:spacing w:val="38"/>
        </w:rPr>
        <w:t> </w:t>
      </w:r>
      <w:r>
        <w:rPr>
          <w:spacing w:val="38"/>
        </w:rPr>
      </w:r>
      <w:r>
        <w:rPr>
          <w:spacing w:val="-4"/>
        </w:rPr>
        <w:t>任务后，按完工进度或在项目全部完成、验收合格后一次性实现收入；对于软硬件产品的售后技术维护业务，公司在为客户</w:t>
      </w:r>
      <w:r>
        <w:rPr>
          <w:spacing w:val="40"/>
        </w:rPr>
        <w:t> </w:t>
      </w:r>
      <w:r>
        <w:rPr>
          <w:spacing w:val="40"/>
        </w:rPr>
      </w:r>
      <w:r>
        <w:rPr>
          <w:spacing w:val="-3"/>
        </w:rPr>
        <w:t>承担技术服务的期间内按月分期实现服务收入。</w:t>
      </w:r>
    </w:p>
    <w:p>
      <w:pPr>
        <w:pStyle w:val="BodyText"/>
        <w:spacing w:line="480" w:lineRule="auto" w:before="52"/>
        <w:ind w:right="1124" w:firstLine="360"/>
        <w:jc w:val="both"/>
      </w:pPr>
      <w:r>
        <w:rPr>
          <w:spacing w:val="-5"/>
        </w:rPr>
        <w:t>报告期内，公司坚持聚焦产品和客户，持续维护和银行、证券、保险等金融机构客户之间的良好合作关系，金融信息化</w:t>
      </w:r>
      <w:r>
        <w:rPr>
          <w:w w:val="101"/>
        </w:rPr>
        <w:t> </w:t>
      </w:r>
      <w:r>
        <w:rPr>
          <w:spacing w:val="-3"/>
        </w:rPr>
        <w:t>业务的经营模式未发生重大变化。</w:t>
      </w:r>
    </w:p>
    <w:p>
      <w:pPr>
        <w:pStyle w:val="BodyText"/>
        <w:spacing w:line="480" w:lineRule="auto" w:before="50"/>
        <w:ind w:left="513" w:right="0"/>
        <w:jc w:val="left"/>
      </w:pPr>
      <w:r>
        <w:rPr>
          <w:spacing w:val="-3"/>
        </w:rPr>
        <w:t>（三）主要业绩驱动因素</w:t>
      </w:r>
      <w:r>
        <w:rPr>
          <w:spacing w:val="-56"/>
        </w:rPr>
        <w:t> </w:t>
      </w:r>
      <w:r>
        <w:rPr>
          <w:spacing w:val="-56"/>
        </w:rPr>
      </w:r>
      <w:r>
        <w:rPr>
          <w:spacing w:val="-4"/>
        </w:rPr>
        <w:t>公司金融信息化业务的业绩驱动因素，从行业趋势来看，伴随着人工智能、区块链、云计算、大数据等新技术的迅速发</w:t>
      </w:r>
    </w:p>
    <w:p>
      <w:pPr>
        <w:pStyle w:val="BodyText"/>
        <w:spacing w:line="477" w:lineRule="auto" w:before="50"/>
        <w:ind w:right="1122"/>
        <w:jc w:val="both"/>
      </w:pPr>
      <w:r>
        <w:rPr>
          <w:spacing w:val="-4"/>
        </w:rPr>
        <w:t>展，基于金融科技的智能风控、智能营销、智能运营等正广泛应用于银行等金融机构，由此催生了更多核心系统的重构和升</w:t>
      </w:r>
      <w:r>
        <w:rPr>
          <w:spacing w:val="40"/>
        </w:rPr>
        <w:t> </w:t>
      </w:r>
      <w:r>
        <w:rPr>
          <w:spacing w:val="40"/>
        </w:rPr>
      </w:r>
      <w:r>
        <w:rPr>
          <w:spacing w:val="-4"/>
        </w:rPr>
        <w:t>级需求，银行的数字化转型成为大势所趋。从客户需求来看，中国银行业客户对信息化软、硬件产品长期以来一直保持稳定</w:t>
      </w:r>
      <w:r>
        <w:rPr>
          <w:spacing w:val="40"/>
        </w:rPr>
        <w:t> </w:t>
      </w:r>
      <w:r>
        <w:rPr>
          <w:spacing w:val="40"/>
        </w:rPr>
      </w:r>
      <w:r>
        <w:rPr>
          <w:spacing w:val="-4"/>
        </w:rPr>
        <w:t>的创新应用和升级换代业务需求，同时根据中国银保监会提出的政策方向，未来要增加金融供给，增加中小银行和险企的数</w:t>
      </w:r>
      <w:r>
        <w:rPr>
          <w:spacing w:val="43"/>
        </w:rPr>
        <w:t> </w:t>
      </w:r>
      <w:r>
        <w:rPr>
          <w:spacing w:val="43"/>
        </w:rPr>
      </w:r>
      <w:r>
        <w:rPr>
          <w:spacing w:val="-4"/>
        </w:rPr>
        <w:t>量和业务比重，将会催生更多的金融机构信息化系统的建设需求。从本公司的市场竞争优势来看，公司经过多年积累，凭借</w:t>
      </w:r>
      <w:r>
        <w:rPr>
          <w:spacing w:val="40"/>
        </w:rPr>
        <w:t> </w:t>
      </w:r>
      <w:r>
        <w:rPr>
          <w:spacing w:val="40"/>
        </w:rPr>
      </w:r>
      <w:r>
        <w:rPr>
          <w:spacing w:val="-4"/>
        </w:rPr>
        <w:t>广泛的客户资源、扎实的技术研发实力、良好的品牌影响力及丰富的业务经验等形成了独特的竞争优势，进一步夯实了公司</w:t>
      </w:r>
      <w:r>
        <w:rPr>
          <w:spacing w:val="44"/>
        </w:rPr>
        <w:t> </w:t>
      </w:r>
      <w:r>
        <w:rPr>
          <w:spacing w:val="44"/>
        </w:rPr>
      </w:r>
      <w:r>
        <w:rPr>
          <w:spacing w:val="-3"/>
        </w:rPr>
        <w:t>可持续健康发展的基础。</w:t>
      </w:r>
    </w:p>
    <w:p>
      <w:pPr>
        <w:pStyle w:val="BodyText"/>
        <w:spacing w:line="480" w:lineRule="auto" w:before="52"/>
        <w:ind w:left="513" w:right="0"/>
        <w:jc w:val="left"/>
      </w:pPr>
      <w:r>
        <w:rPr>
          <w:spacing w:val="-3"/>
        </w:rPr>
        <w:t>（四）行业特点及发展趋势</w:t>
      </w:r>
      <w:r>
        <w:rPr>
          <w:spacing w:val="-51"/>
        </w:rPr>
        <w:t> </w:t>
      </w:r>
      <w:r>
        <w:rPr>
          <w:spacing w:val="-51"/>
        </w:rPr>
      </w:r>
      <w:r>
        <w:rPr>
          <w:spacing w:val="-4"/>
        </w:rPr>
        <w:t>金融信息化行业总体上保持稳定增长的发展态势。随着市场竞争环境和客户需求的快速变化，传统银行面临业务模式单</w:t>
      </w:r>
    </w:p>
    <w:p>
      <w:pPr>
        <w:pStyle w:val="BodyText"/>
        <w:spacing w:line="477" w:lineRule="auto" w:before="50"/>
        <w:ind w:right="1122"/>
        <w:jc w:val="both"/>
      </w:pPr>
      <w:r>
        <w:rPr>
          <w:spacing w:val="-4"/>
        </w:rPr>
        <w:t>一、服务能力不足、客户体验差、获客困难等发展痛点，亟需依靠信息技术在业务系统架构、产品设计、风险管理、场景运</w:t>
      </w:r>
      <w:r>
        <w:rPr>
          <w:spacing w:val="40"/>
        </w:rPr>
        <w:t> </w:t>
      </w:r>
      <w:r>
        <w:rPr>
          <w:spacing w:val="40"/>
        </w:rPr>
      </w:r>
      <w:r>
        <w:rPr>
          <w:spacing w:val="-4"/>
        </w:rPr>
        <w:t>营等多个环节进行变革，降低运营成本提升经营效益。在新一轮科技革命和产业变革的背景下，金融科技蓬勃发展，人工智</w:t>
      </w:r>
      <w:r>
        <w:rPr>
          <w:spacing w:val="40"/>
        </w:rPr>
        <w:t> </w:t>
      </w:r>
      <w:r>
        <w:rPr>
          <w:spacing w:val="40"/>
        </w:rPr>
      </w:r>
      <w:r>
        <w:rPr>
          <w:spacing w:val="-4"/>
        </w:rPr>
        <w:t>能、大数据、云计算、物联网等信息技术与金融业务深度融合，为金融发展提供源源不断的创新活力。在此种情况下，越来</w:t>
      </w:r>
      <w:r>
        <w:rPr>
          <w:spacing w:val="42"/>
        </w:rPr>
        <w:t> </w:t>
      </w:r>
      <w:r>
        <w:rPr>
          <w:spacing w:val="42"/>
        </w:rPr>
      </w:r>
      <w:r>
        <w:rPr>
          <w:spacing w:val="-5"/>
          <w:w w:val="101"/>
        </w:rPr>
        <w:t>越多的银行开始系统性规划数字化转型并付诸实践，银行正在从一个“物理上的场所”变成一种永远在线的“服务”。金融</w:t>
      </w:r>
      <w:r>
        <w:rPr>
          <w:spacing w:val="-44"/>
          <w:w w:val="101"/>
        </w:rPr>
        <w:t> </w:t>
      </w:r>
      <w:r>
        <w:rPr>
          <w:spacing w:val="-44"/>
          <w:w w:val="101"/>
        </w:rPr>
      </w:r>
      <w:r>
        <w:rPr>
          <w:spacing w:val="-3"/>
        </w:rPr>
        <w:t>信息化行业，特别是银行信息化行业将迎来更多的增量市场。</w:t>
      </w:r>
    </w:p>
    <w:p>
      <w:pPr>
        <w:pStyle w:val="BodyText"/>
        <w:spacing w:line="463" w:lineRule="auto" w:before="56"/>
        <w:ind w:right="1123" w:firstLine="360"/>
        <w:jc w:val="both"/>
      </w:pPr>
      <w:r>
        <w:rPr>
          <w:rFonts w:ascii="Times New Roman" w:hAnsi="Times New Roman" w:cs="Times New Roman" w:eastAsia="Times New Roman" w:hint="default"/>
          <w:w w:val="101"/>
        </w:rPr>
        <w:t>2020</w:t>
      </w:r>
      <w:r>
        <w:rPr>
          <w:rFonts w:ascii="Times New Roman" w:hAnsi="Times New Roman" w:cs="Times New Roman" w:eastAsia="Times New Roman" w:hint="default"/>
          <w:spacing w:val="-2"/>
          <w:w w:val="101"/>
        </w:rPr>
        <w:t> </w:t>
      </w:r>
      <w:r>
        <w:rPr>
          <w:w w:val="101"/>
        </w:rPr>
        <w:t>年</w:t>
      </w:r>
      <w:r>
        <w:rPr>
          <w:spacing w:val="-47"/>
          <w:w w:val="101"/>
        </w:rPr>
        <w:t> </w:t>
      </w:r>
      <w:r>
        <w:rPr>
          <w:rFonts w:ascii="Times New Roman" w:hAnsi="Times New Roman" w:cs="Times New Roman" w:eastAsia="Times New Roman" w:hint="default"/>
          <w:w w:val="101"/>
        </w:rPr>
        <w:t>3</w:t>
      </w:r>
      <w:r>
        <w:rPr>
          <w:rFonts w:ascii="Times New Roman" w:hAnsi="Times New Roman" w:cs="Times New Roman" w:eastAsia="Times New Roman" w:hint="default"/>
          <w:spacing w:val="-2"/>
          <w:w w:val="101"/>
        </w:rPr>
        <w:t> </w:t>
      </w:r>
      <w:r>
        <w:rPr>
          <w:spacing w:val="-3"/>
          <w:w w:val="101"/>
        </w:rPr>
        <w:t>月，中央明确提出“加快</w:t>
      </w:r>
      <w:r>
        <w:rPr>
          <w:spacing w:val="-47"/>
          <w:w w:val="101"/>
        </w:rPr>
        <w:t> </w:t>
      </w:r>
      <w:r>
        <w:rPr>
          <w:rFonts w:ascii="Times New Roman" w:hAnsi="Times New Roman" w:cs="Times New Roman" w:eastAsia="Times New Roman" w:hint="default"/>
          <w:w w:val="101"/>
        </w:rPr>
        <w:t>5G</w:t>
      </w:r>
      <w:r>
        <w:rPr>
          <w:rFonts w:ascii="Times New Roman" w:hAnsi="Times New Roman" w:cs="Times New Roman" w:eastAsia="Times New Roman" w:hint="default"/>
          <w:spacing w:val="-4"/>
          <w:w w:val="101"/>
        </w:rPr>
        <w:t> </w:t>
      </w:r>
      <w:r>
        <w:rPr>
          <w:spacing w:val="-5"/>
          <w:w w:val="101"/>
        </w:rPr>
        <w:t>网络、数据中心等新型基础设施建设进度”，其中信息基础设施是新型基础设施</w:t>
      </w:r>
      <w:r>
        <w:rPr>
          <w:w w:val="101"/>
        </w:rPr>
        <w:t> </w:t>
      </w:r>
      <w:r>
        <w:rPr>
          <w:spacing w:val="-4"/>
        </w:rPr>
        <w:t>的主要内容之一，包括以人工智能、云计算、区块链等为代表的新技术基础设施，以及以数据中心、智能计算中心为代表的</w:t>
      </w:r>
      <w:r>
        <w:rPr>
          <w:spacing w:val="40"/>
        </w:rPr>
        <w:t> </w:t>
      </w:r>
      <w:r>
        <w:rPr>
          <w:spacing w:val="40"/>
        </w:rPr>
      </w:r>
      <w:r>
        <w:rPr>
          <w:spacing w:val="-3"/>
        </w:rPr>
        <w:t>算力基础设施等，为整个软件和信息技术服务行业带来更大的发展机遇。</w:t>
      </w:r>
    </w:p>
    <w:p>
      <w:pPr>
        <w:pStyle w:val="BodyText"/>
        <w:spacing w:line="240" w:lineRule="auto" w:before="62"/>
        <w:ind w:left="513" w:right="0"/>
        <w:jc w:val="left"/>
      </w:pPr>
      <w:r>
        <w:rPr/>
        <w:t>（五）公司的行业地位</w:t>
      </w:r>
    </w:p>
    <w:p>
      <w:pPr>
        <w:spacing w:line="240" w:lineRule="auto" w:before="12"/>
        <w:rPr>
          <w:rFonts w:ascii="宋体" w:hAnsi="宋体" w:cs="宋体" w:eastAsia="宋体" w:hint="default"/>
          <w:sz w:val="17"/>
          <w:szCs w:val="17"/>
        </w:rPr>
      </w:pPr>
    </w:p>
    <w:p>
      <w:pPr>
        <w:pStyle w:val="BodyText"/>
        <w:spacing w:line="463" w:lineRule="auto"/>
        <w:ind w:right="1124" w:firstLine="360"/>
        <w:jc w:val="both"/>
      </w:pPr>
      <w:r>
        <w:rPr>
          <w:spacing w:val="-5"/>
        </w:rPr>
        <w:t>公司金融信息化产品和服务在国内银行业已得到广泛应用，客户遍及国内 </w:t>
      </w:r>
      <w:r>
        <w:rPr>
          <w:rFonts w:ascii="Times New Roman" w:hAnsi="Times New Roman" w:cs="Times New Roman" w:eastAsia="Times New Roman" w:hint="default"/>
        </w:rPr>
        <w:t>31 </w:t>
      </w:r>
      <w:r>
        <w:rPr>
          <w:spacing w:val="-15"/>
        </w:rPr>
        <w:t>个省、市、自治区的 </w:t>
      </w:r>
      <w:r>
        <w:rPr>
          <w:rFonts w:ascii="Times New Roman" w:hAnsi="Times New Roman" w:cs="Times New Roman" w:eastAsia="Times New Roman" w:hint="default"/>
        </w:rPr>
        <w:t>360</w:t>
      </w:r>
      <w:r>
        <w:rPr>
          <w:rFonts w:ascii="Times New Roman" w:hAnsi="Times New Roman" w:cs="Times New Roman" w:eastAsia="Times New Roman" w:hint="default"/>
          <w:spacing w:val="9"/>
        </w:rPr>
        <w:t> </w:t>
      </w:r>
      <w:r>
        <w:rPr>
          <w:spacing w:val="-3"/>
        </w:rPr>
        <w:t>余家银行或分行，</w:t>
      </w:r>
      <w:r>
        <w:rPr>
          <w:w w:val="101"/>
        </w:rPr>
        <w:t> </w:t>
      </w:r>
      <w:r>
        <w:rPr>
          <w:spacing w:val="-4"/>
        </w:rPr>
        <w:t>涵盖政策性银行、大型国有商业银行、主要全国性股份制银行以及部分城市商业银行、农村商业银行和农村信用联社，覆盖</w:t>
      </w:r>
      <w:r>
        <w:rPr>
          <w:spacing w:val="40"/>
        </w:rPr>
        <w:t> </w:t>
      </w:r>
      <w:r>
        <w:rPr>
          <w:spacing w:val="40"/>
        </w:rPr>
      </w:r>
      <w:r>
        <w:rPr/>
        <w:t>超过 </w:t>
      </w:r>
      <w:r>
        <w:rPr>
          <w:rFonts w:ascii="Times New Roman" w:hAnsi="Times New Roman" w:cs="Times New Roman" w:eastAsia="Times New Roman" w:hint="default"/>
        </w:rPr>
        <w:t>10  </w:t>
      </w:r>
      <w:r>
        <w:rPr>
          <w:spacing w:val="-3"/>
        </w:rPr>
        <w:t>万个银行营业网点，约占全国银行业金融机构营业网点总数的</w:t>
      </w:r>
      <w:r>
        <w:rPr>
          <w:spacing w:val="6"/>
        </w:rPr>
        <w:t> </w:t>
      </w:r>
      <w:r>
        <w:rPr>
          <w:rFonts w:ascii="Times New Roman" w:hAnsi="Times New Roman" w:cs="Times New Roman" w:eastAsia="Times New Roman" w:hint="default"/>
          <w:spacing w:val="-3"/>
        </w:rPr>
        <w:t>45%</w:t>
      </w:r>
      <w:r>
        <w:rPr>
          <w:spacing w:val="-3"/>
        </w:rPr>
        <w:t>。客户基础、技术与服务能力、核心产品市场占</w:t>
      </w:r>
    </w:p>
    <w:p>
      <w:pPr>
        <w:pStyle w:val="BodyText"/>
        <w:spacing w:line="240" w:lineRule="auto" w:before="31"/>
        <w:ind w:right="0"/>
        <w:jc w:val="both"/>
      </w:pPr>
      <w:r>
        <w:rPr>
          <w:spacing w:val="-3"/>
        </w:rPr>
        <w:t>有率在国内同行业中居于领先地位。</w:t>
      </w:r>
    </w:p>
    <w:p>
      <w:pPr>
        <w:spacing w:after="0" w:line="240" w:lineRule="auto"/>
        <w:jc w:val="both"/>
        <w:sectPr>
          <w:pgSz w:w="11910" w:h="16840"/>
          <w:pgMar w:header="871" w:footer="1186" w:top="1100" w:bottom="1380" w:left="980" w:right="0"/>
        </w:sectPr>
      </w:pPr>
    </w:p>
    <w:p>
      <w:pPr>
        <w:spacing w:line="240" w:lineRule="auto" w:before="1"/>
        <w:rPr>
          <w:rFonts w:ascii="宋体" w:hAnsi="宋体" w:cs="宋体" w:eastAsia="宋体" w:hint="default"/>
          <w:sz w:val="28"/>
          <w:szCs w:val="28"/>
        </w:rPr>
      </w:pPr>
    </w:p>
    <w:p>
      <w:pPr>
        <w:pStyle w:val="BodyText"/>
        <w:spacing w:line="240" w:lineRule="auto" w:before="46"/>
        <w:ind w:left="513" w:right="0"/>
        <w:jc w:val="left"/>
      </w:pPr>
      <w:r>
        <w:rPr/>
        <w:t>二、移动信息服务</w:t>
      </w:r>
    </w:p>
    <w:p>
      <w:pPr>
        <w:spacing w:line="240" w:lineRule="auto" w:before="8"/>
        <w:rPr>
          <w:rFonts w:ascii="宋体" w:hAnsi="宋体" w:cs="宋体" w:eastAsia="宋体" w:hint="default"/>
          <w:sz w:val="17"/>
          <w:szCs w:val="17"/>
        </w:rPr>
      </w:pPr>
    </w:p>
    <w:p>
      <w:pPr>
        <w:pStyle w:val="BodyText"/>
        <w:spacing w:line="480" w:lineRule="auto"/>
        <w:ind w:left="513" w:right="0"/>
        <w:jc w:val="left"/>
      </w:pPr>
      <w:r>
        <w:rPr/>
        <w:t>（一）主要业务和产品</w:t>
      </w:r>
      <w:r>
        <w:rPr>
          <w:spacing w:val="-86"/>
        </w:rPr>
        <w:t> </w:t>
      </w:r>
      <w:r>
        <w:rPr>
          <w:spacing w:val="-86"/>
        </w:rPr>
      </w:r>
      <w:r>
        <w:rPr>
          <w:spacing w:val="-5"/>
          <w:w w:val="101"/>
        </w:rPr>
        <w:t>在移动信息服务领域，公司旗下全资子公司亿美软通为国内外企业提供移动信息平台与解决方案和移动营销服务解决方</w:t>
      </w:r>
      <w:r>
        <w:rPr>
          <w:spacing w:val="-5"/>
        </w:rPr>
      </w:r>
    </w:p>
    <w:p>
      <w:pPr>
        <w:pStyle w:val="BodyText"/>
        <w:spacing w:line="463" w:lineRule="auto" w:before="50"/>
        <w:ind w:right="1123"/>
        <w:jc w:val="both"/>
      </w:pPr>
      <w:r>
        <w:rPr>
          <w:spacing w:val="-8"/>
          <w:w w:val="101"/>
        </w:rPr>
        <w:t>案，并通过应用短彩信通信技术、智能语音技术、新媒体营销技术为企业提供移动营销、移动管理和移动客服等多维度服务。</w:t>
      </w:r>
      <w:r>
        <w:rPr>
          <w:spacing w:val="-49"/>
          <w:w w:val="101"/>
        </w:rPr>
        <w:t> </w:t>
      </w:r>
      <w:r>
        <w:rPr>
          <w:spacing w:val="-49"/>
          <w:w w:val="101"/>
        </w:rPr>
      </w:r>
      <w:r>
        <w:rPr>
          <w:spacing w:val="-14"/>
          <w:w w:val="101"/>
        </w:rPr>
        <w:t>其中，“亿美满意通——移动客户关系管理平台”、“亿美</w:t>
      </w:r>
      <w:r>
        <w:rPr>
          <w:spacing w:val="-27"/>
          <w:w w:val="101"/>
        </w:rPr>
        <w:t> </w:t>
      </w:r>
      <w:r>
        <w:rPr>
          <w:rFonts w:ascii="Times New Roman" w:hAnsi="Times New Roman" w:cs="Times New Roman" w:eastAsia="Times New Roman" w:hint="default"/>
          <w:spacing w:val="-15"/>
          <w:w w:val="101"/>
        </w:rPr>
        <w:t>SDK</w:t>
      </w:r>
      <w:r>
        <w:rPr>
          <w:spacing w:val="-15"/>
          <w:w w:val="101"/>
        </w:rPr>
        <w:t>——嵌入式短信平台”、“亿美智能语音平台”、“亿美富媒体云</w:t>
      </w:r>
      <w:r>
        <w:rPr>
          <w:spacing w:val="-79"/>
          <w:w w:val="101"/>
        </w:rPr>
        <w:t> </w:t>
      </w:r>
      <w:r>
        <w:rPr>
          <w:spacing w:val="-79"/>
          <w:w w:val="101"/>
        </w:rPr>
      </w:r>
      <w:r>
        <w:rPr>
          <w:spacing w:val="-3"/>
        </w:rPr>
        <w:t>通信平台”等系列产品被市场广泛认同并获得用户高度评价。</w:t>
      </w:r>
    </w:p>
    <w:p>
      <w:pPr>
        <w:pStyle w:val="BodyText"/>
        <w:spacing w:line="448" w:lineRule="auto" w:before="68"/>
        <w:ind w:right="0" w:firstLine="360"/>
        <w:jc w:val="left"/>
      </w:pPr>
      <w:r>
        <w:rPr>
          <w:spacing w:val="-9"/>
          <w:w w:val="101"/>
        </w:rPr>
        <w:t>报告期内，亿美软通顺利通过</w:t>
      </w:r>
      <w:r>
        <w:rPr>
          <w:spacing w:val="-60"/>
          <w:w w:val="101"/>
        </w:rPr>
        <w:t> </w:t>
      </w:r>
      <w:r>
        <w:rPr>
          <w:rFonts w:ascii="Times New Roman" w:hAnsi="Times New Roman" w:cs="Times New Roman" w:eastAsia="Times New Roman" w:hint="default"/>
          <w:spacing w:val="-2"/>
          <w:w w:val="101"/>
        </w:rPr>
        <w:t>ISO9001</w:t>
      </w:r>
      <w:r>
        <w:rPr>
          <w:rFonts w:ascii="Times New Roman" w:hAnsi="Times New Roman" w:cs="Times New Roman" w:eastAsia="Times New Roman" w:hint="default"/>
          <w:spacing w:val="-20"/>
          <w:w w:val="101"/>
        </w:rPr>
        <w:t> </w:t>
      </w:r>
      <w:r>
        <w:rPr>
          <w:w w:val="101"/>
        </w:rPr>
        <w:t>和</w:t>
      </w:r>
      <w:r>
        <w:rPr>
          <w:spacing w:val="-61"/>
          <w:w w:val="101"/>
        </w:rPr>
        <w:t> </w:t>
      </w:r>
      <w:r>
        <w:rPr>
          <w:rFonts w:ascii="Times New Roman" w:hAnsi="Times New Roman" w:cs="Times New Roman" w:eastAsia="Times New Roman" w:hint="default"/>
          <w:spacing w:val="-2"/>
          <w:w w:val="101"/>
        </w:rPr>
        <w:t>ISO27001</w:t>
      </w:r>
      <w:r>
        <w:rPr>
          <w:rFonts w:ascii="Times New Roman" w:hAnsi="Times New Roman" w:cs="Times New Roman" w:eastAsia="Times New Roman" w:hint="default"/>
          <w:spacing w:val="-16"/>
          <w:w w:val="101"/>
        </w:rPr>
        <w:t> </w:t>
      </w:r>
      <w:r>
        <w:rPr>
          <w:spacing w:val="-21"/>
          <w:w w:val="101"/>
        </w:rPr>
        <w:t>年审，并于</w:t>
      </w:r>
      <w:r>
        <w:rPr>
          <w:spacing w:val="-60"/>
          <w:w w:val="101"/>
        </w:rPr>
        <w:t> </w:t>
      </w:r>
      <w:r>
        <w:rPr>
          <w:rFonts w:ascii="Times New Roman" w:hAnsi="Times New Roman" w:cs="Times New Roman" w:eastAsia="Times New Roman" w:hint="default"/>
          <w:spacing w:val="-2"/>
          <w:w w:val="101"/>
        </w:rPr>
        <w:t>2019</w:t>
      </w:r>
      <w:r>
        <w:rPr>
          <w:rFonts w:ascii="Times New Roman" w:hAnsi="Times New Roman" w:cs="Times New Roman" w:eastAsia="Times New Roman" w:hint="default"/>
          <w:spacing w:val="-16"/>
          <w:w w:val="101"/>
        </w:rPr>
        <w:t> </w:t>
      </w:r>
      <w:r>
        <w:rPr>
          <w:w w:val="101"/>
        </w:rPr>
        <w:t>年</w:t>
      </w:r>
      <w:r>
        <w:rPr>
          <w:spacing w:val="-66"/>
          <w:w w:val="101"/>
        </w:rPr>
        <w:t> </w:t>
      </w:r>
      <w:r>
        <w:rPr>
          <w:rFonts w:ascii="Times New Roman" w:hAnsi="Times New Roman" w:cs="Times New Roman" w:eastAsia="Times New Roman" w:hint="default"/>
          <w:w w:val="101"/>
        </w:rPr>
        <w:t>6</w:t>
      </w:r>
      <w:r>
        <w:rPr>
          <w:rFonts w:ascii="Times New Roman" w:hAnsi="Times New Roman" w:cs="Times New Roman" w:eastAsia="Times New Roman" w:hint="default"/>
          <w:spacing w:val="-14"/>
          <w:w w:val="101"/>
        </w:rPr>
        <w:t> </w:t>
      </w:r>
      <w:r>
        <w:rPr>
          <w:spacing w:val="-3"/>
          <w:w w:val="101"/>
        </w:rPr>
        <w:t>月加入正式加入全球移动通信系统协会</w:t>
      </w:r>
      <w:r>
        <w:rPr>
          <w:spacing w:val="-60"/>
          <w:w w:val="101"/>
        </w:rPr>
        <w:t> </w:t>
      </w:r>
      <w:r>
        <w:rPr>
          <w:rFonts w:ascii="Times New Roman" w:hAnsi="Times New Roman" w:cs="Times New Roman" w:eastAsia="Times New Roman" w:hint="default"/>
          <w:spacing w:val="-3"/>
          <w:w w:val="101"/>
        </w:rPr>
        <w:t>GSMA</w:t>
      </w:r>
      <w:r>
        <w:rPr>
          <w:spacing w:val="-3"/>
          <w:w w:val="101"/>
        </w:rPr>
        <w:t>。</w:t>
      </w:r>
      <w:r>
        <w:rPr>
          <w:w w:val="101"/>
        </w:rPr>
        <w:t> </w:t>
      </w:r>
      <w:r>
        <w:rPr>
          <w:spacing w:val="-3"/>
        </w:rPr>
        <w:t>报告期内，亿美软通的主要业务和产品未发生重大变化。</w:t>
      </w:r>
    </w:p>
    <w:p>
      <w:pPr>
        <w:pStyle w:val="BodyText"/>
        <w:spacing w:line="240" w:lineRule="auto" w:before="78"/>
        <w:ind w:left="513" w:right="0"/>
        <w:jc w:val="left"/>
      </w:pPr>
      <w:r>
        <w:rPr>
          <w:spacing w:val="-3"/>
        </w:rPr>
        <w:t>（二）经营模式</w:t>
      </w:r>
    </w:p>
    <w:p>
      <w:pPr>
        <w:spacing w:line="240" w:lineRule="auto" w:before="8"/>
        <w:rPr>
          <w:rFonts w:ascii="宋体" w:hAnsi="宋体" w:cs="宋体" w:eastAsia="宋体" w:hint="default"/>
          <w:sz w:val="17"/>
          <w:szCs w:val="17"/>
        </w:rPr>
      </w:pPr>
    </w:p>
    <w:p>
      <w:pPr>
        <w:pStyle w:val="BodyText"/>
        <w:spacing w:line="453" w:lineRule="auto"/>
        <w:ind w:left="513" w:right="1029"/>
        <w:jc w:val="left"/>
      </w:pPr>
      <w:r>
        <w:rPr>
          <w:rFonts w:ascii="Times New Roman" w:hAnsi="Times New Roman" w:cs="Times New Roman" w:eastAsia="Times New Roman" w:hint="default"/>
        </w:rPr>
        <w:t>1</w:t>
      </w:r>
      <w:r>
        <w:rPr/>
        <w:t>、采购模式</w:t>
      </w:r>
      <w:r>
        <w:rPr>
          <w:spacing w:val="-87"/>
        </w:rPr>
        <w:t> </w:t>
      </w:r>
      <w:r>
        <w:rPr>
          <w:spacing w:val="-87"/>
        </w:rPr>
      </w:r>
      <w:r>
        <w:rPr>
          <w:spacing w:val="-4"/>
        </w:rPr>
        <w:t>亿美软通提供企业移动信息化服务的通道接入点主要为北京、上海、广东等移动通讯网络较为发达的地区。日常经营中</w:t>
      </w:r>
    </w:p>
    <w:p>
      <w:pPr>
        <w:pStyle w:val="BodyText"/>
        <w:spacing w:line="480" w:lineRule="auto" w:before="70"/>
        <w:ind w:right="1128"/>
        <w:jc w:val="both"/>
      </w:pPr>
      <w:r>
        <w:rPr>
          <w:spacing w:val="-5"/>
        </w:rPr>
        <w:t>亿美软通主要采购成本来自向运营商或其他短彩信渠道提供商采购短彩信等业务资源支付的成本，并根据各通道中短、彩信</w:t>
      </w:r>
      <w:r>
        <w:rPr>
          <w:spacing w:val="6"/>
        </w:rPr>
        <w:t> </w:t>
      </w:r>
      <w:r>
        <w:rPr>
          <w:spacing w:val="6"/>
        </w:rPr>
      </w:r>
      <w:r>
        <w:rPr>
          <w:spacing w:val="-3"/>
        </w:rPr>
        <w:t>业务的使用数量与资源提供方进行对账和结算。一般按月与资源提供方对账并进行结算。</w:t>
      </w:r>
    </w:p>
    <w:p>
      <w:pPr>
        <w:pStyle w:val="BodyText"/>
        <w:spacing w:line="453" w:lineRule="auto" w:before="50"/>
        <w:ind w:left="513" w:right="1029"/>
        <w:jc w:val="left"/>
      </w:pPr>
      <w:r>
        <w:rPr>
          <w:rFonts w:ascii="Times New Roman" w:hAnsi="Times New Roman" w:cs="Times New Roman" w:eastAsia="Times New Roman" w:hint="default"/>
        </w:rPr>
        <w:t>2</w:t>
      </w:r>
      <w:r>
        <w:rPr/>
        <w:t>、销售模式</w:t>
      </w:r>
      <w:r>
        <w:rPr>
          <w:spacing w:val="-87"/>
        </w:rPr>
        <w:t> </w:t>
      </w:r>
      <w:r>
        <w:rPr>
          <w:spacing w:val="-87"/>
        </w:rPr>
      </w:r>
      <w:r>
        <w:rPr>
          <w:spacing w:val="-5"/>
        </w:rPr>
        <w:t>亿美软通主要客户集中在电商、互联网、金融、消费品、教育、生活服务等行业，电商、互联网行业大型企业一般会选</w:t>
      </w:r>
    </w:p>
    <w:p>
      <w:pPr>
        <w:pStyle w:val="BodyText"/>
        <w:spacing w:line="480" w:lineRule="auto" w:before="70"/>
        <w:ind w:right="1037"/>
        <w:jc w:val="both"/>
      </w:pPr>
      <w:r>
        <w:rPr>
          <w:spacing w:val="-3"/>
        </w:rPr>
        <w:t>择多家移动通讯业务供应商，亿美软通始终致力于与行业领军企业保持良好的合作关系，成为其主要移动通讯业务提供商，</w:t>
      </w:r>
      <w:r>
        <w:rPr>
          <w:spacing w:val="75"/>
        </w:rPr>
        <w:t> </w:t>
      </w:r>
      <w:r>
        <w:rPr>
          <w:spacing w:val="75"/>
        </w:rPr>
      </w:r>
      <w:r>
        <w:rPr>
          <w:spacing w:val="-3"/>
        </w:rPr>
        <w:t>同时提供标准化产品为中小企业提供服务，以扩大销售规模，分散行业风险。</w:t>
      </w:r>
    </w:p>
    <w:p>
      <w:pPr>
        <w:pStyle w:val="BodyText"/>
        <w:spacing w:line="477" w:lineRule="auto" w:before="50"/>
        <w:ind w:right="1124" w:firstLine="360"/>
        <w:jc w:val="both"/>
      </w:pPr>
      <w:r>
        <w:rPr>
          <w:spacing w:val="-5"/>
        </w:rPr>
        <w:t>亿美软通与客户结算一般有以下两种方式：第一、亿美软通与根据客户业务合作协议中约定的移动信息化产品服务价格</w:t>
      </w:r>
      <w:r>
        <w:rPr>
          <w:w w:val="101"/>
        </w:rPr>
        <w:t> </w:t>
      </w:r>
      <w:r>
        <w:rPr>
          <w:spacing w:val="-4"/>
        </w:rPr>
        <w:t>和当月用量按月直接与客户进行对账，确认无误后由亿美软通向客户收取服务费用。第二、部分小型客户为预付费用户，先</w:t>
      </w:r>
      <w:r>
        <w:rPr>
          <w:spacing w:val="40"/>
        </w:rPr>
        <w:t> </w:t>
      </w:r>
      <w:r>
        <w:rPr>
          <w:spacing w:val="40"/>
        </w:rPr>
      </w:r>
      <w:r>
        <w:rPr>
          <w:spacing w:val="-3"/>
        </w:rPr>
        <w:t>行在亿美软通移动商务平台进行充值，再进行短彩信的发送，短彩信发送同时亿美软通即从预付费账户中进行扣费。</w:t>
      </w:r>
    </w:p>
    <w:p>
      <w:pPr>
        <w:pStyle w:val="BodyText"/>
        <w:spacing w:line="240" w:lineRule="auto" w:before="57"/>
        <w:ind w:left="513" w:right="0"/>
        <w:jc w:val="left"/>
      </w:pPr>
      <w:r>
        <w:rPr>
          <w:rFonts w:ascii="Times New Roman" w:hAnsi="Times New Roman" w:cs="Times New Roman" w:eastAsia="Times New Roman" w:hint="default"/>
        </w:rPr>
        <w:t>3</w:t>
      </w:r>
      <w:r>
        <w:rPr/>
        <w:t>、盈利模式</w:t>
      </w:r>
    </w:p>
    <w:p>
      <w:pPr>
        <w:spacing w:line="240" w:lineRule="auto" w:before="7"/>
        <w:rPr>
          <w:rFonts w:ascii="宋体" w:hAnsi="宋体" w:cs="宋体" w:eastAsia="宋体" w:hint="default"/>
          <w:sz w:val="16"/>
          <w:szCs w:val="16"/>
        </w:rPr>
      </w:pPr>
    </w:p>
    <w:p>
      <w:pPr>
        <w:pStyle w:val="BodyText"/>
        <w:spacing w:line="463" w:lineRule="auto"/>
        <w:ind w:right="0" w:firstLine="360"/>
        <w:jc w:val="left"/>
      </w:pPr>
      <w:r>
        <w:rPr>
          <w:spacing w:val="-3"/>
        </w:rPr>
        <w:t>亿美软通拥有跨地区增值电信业务经营许可证、电信与信息服务业务经营许可证（</w:t>
      </w:r>
      <w:r>
        <w:rPr>
          <w:rFonts w:ascii="Times New Roman" w:hAnsi="Times New Roman" w:cs="Times New Roman" w:eastAsia="Times New Roman" w:hint="default"/>
          <w:spacing w:val="-3"/>
        </w:rPr>
        <w:t>ICP</w:t>
      </w:r>
      <w:r>
        <w:rPr>
          <w:rFonts w:ascii="Times New Roman" w:hAnsi="Times New Roman" w:cs="Times New Roman" w:eastAsia="Times New Roman" w:hint="default"/>
          <w:spacing w:val="25"/>
        </w:rPr>
        <w:t> </w:t>
      </w:r>
      <w:r>
        <w:rPr/>
        <w:t>证书）等移动信息化服务资质，</w:t>
      </w:r>
      <w:r>
        <w:rPr>
          <w:w w:val="101"/>
        </w:rPr>
        <w:t> </w:t>
      </w:r>
      <w:r>
        <w:rPr>
          <w:spacing w:val="-4"/>
        </w:rPr>
        <w:t>与三大运营商都缔结了业务合作协议，具备完善移动信息化业务准入资格，盈利模式以短彩信业务销售为主。报告期内，亿</w:t>
      </w:r>
      <w:r>
        <w:rPr>
          <w:spacing w:val="40"/>
        </w:rPr>
        <w:t> </w:t>
      </w:r>
      <w:r>
        <w:rPr>
          <w:spacing w:val="40"/>
        </w:rPr>
      </w:r>
      <w:r>
        <w:rPr>
          <w:spacing w:val="-3"/>
        </w:rPr>
        <w:t>美软通移动信息服务业务的经营模式未发生重大变化。</w:t>
      </w:r>
    </w:p>
    <w:p>
      <w:pPr>
        <w:pStyle w:val="BodyText"/>
        <w:spacing w:line="475" w:lineRule="auto" w:before="68"/>
        <w:ind w:left="513" w:right="0"/>
        <w:jc w:val="left"/>
      </w:pPr>
      <w:r>
        <w:rPr>
          <w:spacing w:val="-3"/>
        </w:rPr>
        <w:t>（三）主要业绩驱动因素</w:t>
      </w:r>
      <w:r>
        <w:rPr>
          <w:spacing w:val="-56"/>
        </w:rPr>
        <w:t> </w:t>
      </w:r>
      <w:r>
        <w:rPr>
          <w:spacing w:val="-56"/>
        </w:rPr>
      </w:r>
      <w:r>
        <w:rPr>
          <w:spacing w:val="-5"/>
        </w:rPr>
        <w:t>移动信息服务的业绩驱动因素，从行业角度来看，随着企业移动互联网和电子商务的应用，短信凭借其时效性强、法律</w:t>
      </w:r>
    </w:p>
    <w:p>
      <w:pPr>
        <w:pStyle w:val="BodyText"/>
        <w:spacing w:line="477" w:lineRule="auto" w:before="58"/>
        <w:ind w:right="1122"/>
        <w:jc w:val="both"/>
      </w:pPr>
      <w:r>
        <w:rPr>
          <w:spacing w:val="-4"/>
        </w:rPr>
        <w:t>效力高、稳定性好、身份可确定等特点，相较微信等即时通讯工具具有不可替代性，短信仍然是企业移动信息服务的主流方</w:t>
      </w:r>
      <w:r>
        <w:rPr>
          <w:spacing w:val="40"/>
        </w:rPr>
        <w:t> </w:t>
      </w:r>
      <w:r>
        <w:rPr>
          <w:spacing w:val="40"/>
        </w:rPr>
      </w:r>
      <w:r>
        <w:rPr>
          <w:spacing w:val="-4"/>
        </w:rPr>
        <w:t>式之一，行业市场容量仍处在稳步增长的阶段；随着互联网经济的快速发展，企业短信目前已渗透到以电子商务、第三方支</w:t>
      </w:r>
      <w:r>
        <w:rPr>
          <w:spacing w:val="42"/>
        </w:rPr>
        <w:t> </w:t>
      </w:r>
      <w:r>
        <w:rPr>
          <w:spacing w:val="42"/>
        </w:rPr>
      </w:r>
      <w:r>
        <w:rPr>
          <w:spacing w:val="-4"/>
        </w:rPr>
        <w:t>付、物流快递等领域，未来企业短信的应用场景将会不断增加，对企业短信的需求将会持续增长。从公司子公司亿美软通的</w:t>
      </w:r>
    </w:p>
    <w:p>
      <w:pPr>
        <w:spacing w:after="0" w:line="477" w:lineRule="auto"/>
        <w:jc w:val="both"/>
        <w:sectPr>
          <w:footerReference w:type="default" r:id="rId14"/>
          <w:pgSz w:w="11910" w:h="16840"/>
          <w:pgMar w:footer="1479" w:header="871" w:top="1100" w:bottom="1660" w:left="980" w:right="0"/>
          <w:pgNumType w:start="13"/>
        </w:sectPr>
      </w:pPr>
    </w:p>
    <w:p>
      <w:pPr>
        <w:spacing w:line="240" w:lineRule="auto" w:before="1"/>
        <w:rPr>
          <w:rFonts w:ascii="宋体" w:hAnsi="宋体" w:cs="宋体" w:eastAsia="宋体" w:hint="default"/>
          <w:sz w:val="28"/>
          <w:szCs w:val="28"/>
        </w:rPr>
      </w:pPr>
    </w:p>
    <w:p>
      <w:pPr>
        <w:pStyle w:val="BodyText"/>
        <w:spacing w:line="475" w:lineRule="auto" w:before="46"/>
        <w:ind w:right="1124"/>
        <w:jc w:val="both"/>
      </w:pPr>
      <w:r>
        <w:rPr>
          <w:spacing w:val="-4"/>
        </w:rPr>
        <w:t>在行业竞争中具备核心竞争优势；同时，本公司在金融行业积累的银行客户基础，可以与亿美软通的移动信息业务产生业务</w:t>
      </w:r>
      <w:r>
        <w:rPr>
          <w:spacing w:val="43"/>
        </w:rPr>
        <w:t> </w:t>
      </w:r>
      <w:r>
        <w:rPr>
          <w:spacing w:val="43"/>
        </w:rPr>
      </w:r>
      <w:r>
        <w:rPr>
          <w:spacing w:val="-3"/>
        </w:rPr>
        <w:t>协同效应，帮助亿美软通提升市场份额和经营业绩。</w:t>
      </w:r>
    </w:p>
    <w:p>
      <w:pPr>
        <w:pStyle w:val="BodyText"/>
        <w:spacing w:line="240" w:lineRule="auto" w:before="59"/>
        <w:ind w:left="513" w:right="0"/>
        <w:jc w:val="left"/>
      </w:pPr>
      <w:r>
        <w:rPr>
          <w:spacing w:val="-3"/>
        </w:rPr>
        <w:t>（四）行业特点及发展趋势</w:t>
      </w:r>
    </w:p>
    <w:p>
      <w:pPr>
        <w:spacing w:line="240" w:lineRule="auto" w:before="8"/>
        <w:rPr>
          <w:rFonts w:ascii="宋体" w:hAnsi="宋体" w:cs="宋体" w:eastAsia="宋体" w:hint="default"/>
          <w:sz w:val="17"/>
          <w:szCs w:val="17"/>
        </w:rPr>
      </w:pPr>
    </w:p>
    <w:p>
      <w:pPr>
        <w:pStyle w:val="BodyText"/>
        <w:spacing w:line="458" w:lineRule="auto"/>
        <w:ind w:right="1123" w:firstLine="360"/>
        <w:jc w:val="both"/>
      </w:pPr>
      <w:r>
        <w:rPr/>
        <w:t>据《</w:t>
      </w:r>
      <w:r>
        <w:rPr>
          <w:rFonts w:ascii="Times New Roman" w:hAnsi="Times New Roman" w:cs="Times New Roman" w:eastAsia="Times New Roman" w:hint="default"/>
        </w:rPr>
        <w:t>2019</w:t>
      </w:r>
      <w:r>
        <w:rPr>
          <w:rFonts w:ascii="Times New Roman" w:hAnsi="Times New Roman" w:cs="Times New Roman" w:eastAsia="Times New Roman" w:hint="default"/>
          <w:spacing w:val="9"/>
        </w:rPr>
        <w:t> </w:t>
      </w:r>
      <w:r>
        <w:rPr>
          <w:spacing w:val="-3"/>
        </w:rPr>
        <w:t>年通信业统计公报》数据显示，随着网络登录和用户身份认证等安全相关服务不断渗透，移动短信业务量大</w:t>
      </w:r>
      <w:r>
        <w:rPr>
          <w:w w:val="101"/>
        </w:rPr>
        <w:t> </w:t>
      </w:r>
      <w:r>
        <w:rPr/>
        <w:t>幅提升。</w:t>
      </w:r>
      <w:r>
        <w:rPr>
          <w:rFonts w:ascii="Times New Roman" w:hAnsi="Times New Roman" w:cs="Times New Roman" w:eastAsia="Times New Roman" w:hint="default"/>
        </w:rPr>
        <w:t>2019</w:t>
      </w:r>
      <w:r>
        <w:rPr>
          <w:rFonts w:ascii="Times New Roman" w:hAnsi="Times New Roman" w:cs="Times New Roman" w:eastAsia="Times New Roman" w:hint="default"/>
          <w:spacing w:val="18"/>
        </w:rPr>
        <w:t> </w:t>
      </w:r>
      <w:r>
        <w:rPr>
          <w:spacing w:val="-3"/>
        </w:rPr>
        <w:t>年，全国移动短信业务量比上年增长</w:t>
      </w:r>
      <w:r>
        <w:rPr>
          <w:spacing w:val="-33"/>
        </w:rPr>
        <w:t> </w:t>
      </w:r>
      <w:r>
        <w:rPr>
          <w:rFonts w:ascii="Times New Roman" w:hAnsi="Times New Roman" w:cs="Times New Roman" w:eastAsia="Times New Roman" w:hint="default"/>
          <w:spacing w:val="-3"/>
        </w:rPr>
        <w:t>37.5%</w:t>
      </w:r>
      <w:r>
        <w:rPr>
          <w:spacing w:val="-3"/>
        </w:rPr>
        <w:t>，增速较上年提高</w:t>
      </w:r>
      <w:r>
        <w:rPr>
          <w:spacing w:val="-27"/>
        </w:rPr>
        <w:t> </w:t>
      </w:r>
      <w:r>
        <w:rPr>
          <w:rFonts w:ascii="Times New Roman" w:hAnsi="Times New Roman" w:cs="Times New Roman" w:eastAsia="Times New Roman" w:hint="default"/>
        </w:rPr>
        <w:t>23.5</w:t>
      </w:r>
      <w:r>
        <w:rPr>
          <w:rFonts w:ascii="Times New Roman" w:hAnsi="Times New Roman" w:cs="Times New Roman" w:eastAsia="Times New Roman" w:hint="default"/>
          <w:spacing w:val="18"/>
        </w:rPr>
        <w:t> </w:t>
      </w:r>
      <w:r>
        <w:rPr>
          <w:spacing w:val="-3"/>
        </w:rPr>
        <w:t>个百分点；移动短信业务收入完成</w:t>
      </w:r>
      <w:r>
        <w:rPr>
          <w:spacing w:val="-27"/>
        </w:rPr>
        <w:t> </w:t>
      </w:r>
      <w:r>
        <w:rPr>
          <w:rFonts w:ascii="Times New Roman" w:hAnsi="Times New Roman" w:cs="Times New Roman" w:eastAsia="Times New Roman" w:hint="default"/>
        </w:rPr>
        <w:t>392</w:t>
      </w:r>
      <w:r>
        <w:rPr>
          <w:rFonts w:ascii="Times New Roman" w:hAnsi="Times New Roman" w:cs="Times New Roman" w:eastAsia="Times New Roman" w:hint="default"/>
          <w:spacing w:val="10"/>
        </w:rPr>
        <w:t> </w:t>
      </w:r>
      <w:r>
        <w:rPr/>
        <w:t>亿</w:t>
      </w:r>
      <w:r>
        <w:rPr>
          <w:spacing w:val="-62"/>
        </w:rPr>
        <w:t> </w:t>
      </w:r>
      <w:r>
        <w:rPr>
          <w:spacing w:val="-4"/>
        </w:rPr>
        <w:t>元，与上年持平。随着信息技术和通信技术的快速发展，移动信息服务行业呈现出技术更新快、产品换代周期短等特点；此</w:t>
      </w:r>
      <w:r>
        <w:rPr>
          <w:spacing w:val="40"/>
        </w:rPr>
        <w:t> </w:t>
      </w:r>
      <w:r>
        <w:rPr>
          <w:spacing w:val="40"/>
        </w:rPr>
      </w:r>
      <w:r>
        <w:rPr/>
        <w:t>外，随着 </w:t>
      </w:r>
      <w:r>
        <w:rPr>
          <w:rFonts w:ascii="Times New Roman" w:hAnsi="Times New Roman" w:cs="Times New Roman" w:eastAsia="Times New Roman" w:hint="default"/>
          <w:spacing w:val="-3"/>
        </w:rPr>
        <w:t>5G</w:t>
      </w:r>
      <w:r>
        <w:rPr>
          <w:spacing w:val="-3"/>
        </w:rPr>
        <w:t>、大数据、移动互联网等技术的不断发展，移动信息服务行业的应用场景日益增多，对移动信息服务行业的技</w:t>
      </w:r>
      <w:r>
        <w:rPr>
          <w:spacing w:val="12"/>
        </w:rPr>
        <w:t> </w:t>
      </w:r>
      <w:r>
        <w:rPr>
          <w:spacing w:val="12"/>
        </w:rPr>
      </w:r>
      <w:r>
        <w:rPr>
          <w:spacing w:val="-3"/>
        </w:rPr>
        <w:t>术创新和产品服务升级提出更高要求，移动信息行业迎来新的发展商机，移动信息服务行业的需求也将进一步扩大。</w:t>
      </w:r>
    </w:p>
    <w:p>
      <w:pPr>
        <w:pStyle w:val="BodyText"/>
        <w:spacing w:line="240" w:lineRule="auto" w:before="71"/>
        <w:ind w:left="513" w:right="0"/>
        <w:jc w:val="left"/>
      </w:pPr>
      <w:r>
        <w:rPr/>
        <w:t>（五）公司的行业地位</w:t>
      </w:r>
    </w:p>
    <w:p>
      <w:pPr>
        <w:spacing w:line="240" w:lineRule="auto" w:before="8"/>
        <w:rPr>
          <w:rFonts w:ascii="宋体" w:hAnsi="宋体" w:cs="宋体" w:eastAsia="宋体" w:hint="default"/>
          <w:sz w:val="17"/>
          <w:szCs w:val="17"/>
        </w:rPr>
      </w:pPr>
    </w:p>
    <w:p>
      <w:pPr>
        <w:pStyle w:val="BodyText"/>
        <w:spacing w:line="240" w:lineRule="auto"/>
        <w:ind w:left="513" w:right="0"/>
        <w:jc w:val="left"/>
      </w:pPr>
      <w:r>
        <w:rPr>
          <w:spacing w:val="-3"/>
        </w:rPr>
        <w:t>亿美软通是国内领先的移动信息平台技术和应用方案提供商。自 </w:t>
      </w:r>
      <w:r>
        <w:rPr>
          <w:rFonts w:ascii="Times New Roman" w:hAnsi="Times New Roman" w:cs="Times New Roman" w:eastAsia="Times New Roman" w:hint="default"/>
        </w:rPr>
        <w:t>2001  </w:t>
      </w:r>
      <w:r>
        <w:rPr>
          <w:rFonts w:ascii="Times New Roman" w:hAnsi="Times New Roman" w:cs="Times New Roman" w:eastAsia="Times New Roman" w:hint="default"/>
          <w:spacing w:val="14"/>
        </w:rPr>
        <w:t> </w:t>
      </w:r>
      <w:r>
        <w:rPr>
          <w:spacing w:val="-3"/>
        </w:rPr>
        <w:t>年成立以来，亿美软通始终致力于为国内外企业</w:t>
      </w:r>
    </w:p>
    <w:p>
      <w:pPr>
        <w:spacing w:line="240" w:lineRule="auto" w:before="12"/>
        <w:rPr>
          <w:rFonts w:ascii="宋体" w:hAnsi="宋体" w:cs="宋体" w:eastAsia="宋体" w:hint="default"/>
          <w:sz w:val="16"/>
          <w:szCs w:val="16"/>
        </w:rPr>
      </w:pPr>
    </w:p>
    <w:p>
      <w:pPr>
        <w:pStyle w:val="BodyText"/>
        <w:spacing w:line="463" w:lineRule="auto"/>
        <w:ind w:right="1122"/>
        <w:jc w:val="both"/>
      </w:pPr>
      <w:r>
        <w:rPr>
          <w:spacing w:val="-8"/>
          <w:w w:val="101"/>
        </w:rPr>
        <w:t>提供移动个性客服、移动数据采集、移动高效管理等方面的各类移动商务产品和通讯服务，业务服务覆盖超过</w:t>
      </w:r>
      <w:r>
        <w:rPr>
          <w:spacing w:val="-44"/>
          <w:w w:val="101"/>
        </w:rPr>
        <w:t> </w:t>
      </w:r>
      <w:r>
        <w:rPr>
          <w:rFonts w:ascii="Times New Roman" w:hAnsi="Times New Roman" w:cs="Times New Roman" w:eastAsia="Times New Roman" w:hint="default"/>
          <w:w w:val="101"/>
        </w:rPr>
        <w:t>7</w:t>
      </w:r>
      <w:r>
        <w:rPr>
          <w:rFonts w:ascii="Times New Roman" w:hAnsi="Times New Roman" w:cs="Times New Roman" w:eastAsia="Times New Roman" w:hint="default"/>
          <w:spacing w:val="-1"/>
          <w:w w:val="101"/>
        </w:rPr>
        <w:t> </w:t>
      </w:r>
      <w:r>
        <w:rPr>
          <w:spacing w:val="-3"/>
          <w:w w:val="101"/>
        </w:rPr>
        <w:t>亿手机用户。</w:t>
      </w:r>
      <w:r>
        <w:rPr>
          <w:w w:val="101"/>
        </w:rPr>
        <w:t> </w:t>
      </w:r>
      <w:r>
        <w:rPr>
          <w:rFonts w:ascii="Times New Roman" w:hAnsi="Times New Roman" w:cs="Times New Roman" w:eastAsia="Times New Roman" w:hint="default"/>
        </w:rPr>
        <w:t>2017 </w:t>
      </w:r>
      <w:r>
        <w:rPr>
          <w:spacing w:val="-4"/>
        </w:rPr>
        <w:t>年，在信息通信行业企业信用等级评价中，亿美软通成为行业内首家获得最高级别双 </w:t>
      </w:r>
      <w:r>
        <w:rPr>
          <w:rFonts w:ascii="Times New Roman" w:hAnsi="Times New Roman" w:cs="Times New Roman" w:eastAsia="Times New Roman" w:hint="default"/>
          <w:spacing w:val="-3"/>
        </w:rPr>
        <w:t>AAA </w:t>
      </w:r>
      <w:r>
        <w:rPr>
          <w:spacing w:val="-4"/>
        </w:rPr>
        <w:t>认证殊荣的企业，表明亿美</w:t>
      </w:r>
      <w:r>
        <w:rPr>
          <w:spacing w:val="-82"/>
        </w:rPr>
        <w:t> </w:t>
      </w:r>
      <w:r>
        <w:rPr>
          <w:spacing w:val="-82"/>
        </w:rPr>
      </w:r>
      <w:r>
        <w:rPr>
          <w:spacing w:val="-4"/>
        </w:rPr>
        <w:t>软通在企业诚信建设和信用管理水平已达到行业领先水平。目前，亿美软通已拥有包括阿里巴巴、支付宝、中信银行、浦发</w:t>
      </w:r>
      <w:r>
        <w:rPr>
          <w:spacing w:val="40"/>
        </w:rPr>
        <w:t> </w:t>
      </w:r>
      <w:r>
        <w:rPr>
          <w:spacing w:val="40"/>
        </w:rPr>
      </w:r>
      <w:r>
        <w:rPr>
          <w:spacing w:val="-8"/>
        </w:rPr>
        <w:t>银行、万达集团、嘉实基金、大众点评、美团、当当网、优衣库、华为、顺丰集团、肯德基、必胜客等众多国内外知名客户。</w:t>
      </w:r>
      <w:r>
        <w:rPr>
          <w:spacing w:val="-2"/>
        </w:rPr>
        <w:t> </w:t>
      </w:r>
      <w:r>
        <w:rPr>
          <w:spacing w:val="-2"/>
        </w:rPr>
      </w:r>
      <w:r>
        <w:rPr>
          <w:spacing w:val="-4"/>
        </w:rPr>
        <w:t>亿美软通已在全国建立七大直营分公司，销售和服务网络覆盖 </w:t>
      </w:r>
      <w:r>
        <w:rPr>
          <w:rFonts w:ascii="Times New Roman" w:hAnsi="Times New Roman" w:cs="Times New Roman" w:eastAsia="Times New Roman" w:hint="default"/>
        </w:rPr>
        <w:t>31 </w:t>
      </w:r>
      <w:r>
        <w:rPr>
          <w:spacing w:val="-7"/>
        </w:rPr>
        <w:t>个省、市、自治区，产品覆盖全国 </w:t>
      </w:r>
      <w:r>
        <w:rPr>
          <w:rFonts w:ascii="Times New Roman" w:hAnsi="Times New Roman" w:cs="Times New Roman" w:eastAsia="Times New Roman" w:hint="default"/>
        </w:rPr>
        <w:t>200 </w:t>
      </w:r>
      <w:r>
        <w:rPr/>
        <w:t>个城市的 </w:t>
      </w:r>
      <w:r>
        <w:rPr>
          <w:rFonts w:ascii="Times New Roman" w:hAnsi="Times New Roman" w:cs="Times New Roman" w:eastAsia="Times New Roman" w:hint="default"/>
        </w:rPr>
        <w:t>30 </w:t>
      </w:r>
      <w:r>
        <w:rPr/>
        <w:t>余个行</w:t>
      </w:r>
    </w:p>
    <w:p>
      <w:pPr>
        <w:pStyle w:val="BodyText"/>
        <w:spacing w:line="453" w:lineRule="auto" w:before="31"/>
        <w:ind w:right="1133"/>
        <w:jc w:val="both"/>
      </w:pPr>
      <w:r>
        <w:rPr/>
        <w:t>业的超过 </w:t>
      </w:r>
      <w:r>
        <w:rPr>
          <w:rFonts w:ascii="Times New Roman" w:hAnsi="Times New Roman" w:cs="Times New Roman" w:eastAsia="Times New Roman" w:hint="default"/>
        </w:rPr>
        <w:t>50 </w:t>
      </w:r>
      <w:r>
        <w:rPr>
          <w:spacing w:val="-3"/>
        </w:rPr>
        <w:t>万家企业客户，成为目前中国移动信息服务领域产品线齐全、营销覆盖广泛、服务与技术经验丰富的领先的移</w:t>
      </w:r>
      <w:r>
        <w:rPr>
          <w:spacing w:val="-38"/>
        </w:rPr>
        <w:t> </w:t>
      </w:r>
      <w:r>
        <w:rPr>
          <w:spacing w:val="-38"/>
        </w:rPr>
      </w:r>
      <w:r>
        <w:rPr>
          <w:spacing w:val="-3"/>
        </w:rPr>
        <w:t>动信息服务商。</w:t>
      </w:r>
    </w:p>
    <w:p>
      <w:pPr>
        <w:pStyle w:val="BodyText"/>
        <w:spacing w:line="240" w:lineRule="auto" w:before="70"/>
        <w:ind w:left="513" w:right="0"/>
        <w:jc w:val="left"/>
      </w:pPr>
      <w:r>
        <w:rPr/>
        <w:t>三、电子商务</w:t>
      </w:r>
    </w:p>
    <w:p>
      <w:pPr>
        <w:spacing w:line="240" w:lineRule="auto" w:before="12"/>
        <w:rPr>
          <w:rFonts w:ascii="宋体" w:hAnsi="宋体" w:cs="宋体" w:eastAsia="宋体" w:hint="default"/>
          <w:sz w:val="17"/>
          <w:szCs w:val="17"/>
        </w:rPr>
      </w:pPr>
    </w:p>
    <w:p>
      <w:pPr>
        <w:pStyle w:val="BodyText"/>
        <w:spacing w:line="475" w:lineRule="auto"/>
        <w:ind w:left="513" w:right="0"/>
        <w:jc w:val="left"/>
      </w:pPr>
      <w:r>
        <w:rPr/>
        <w:t>（一）主要业务和产品</w:t>
      </w:r>
      <w:r>
        <w:rPr>
          <w:spacing w:val="-86"/>
        </w:rPr>
        <w:t> </w:t>
      </w:r>
      <w:r>
        <w:rPr>
          <w:spacing w:val="-86"/>
        </w:rPr>
      </w:r>
      <w:r>
        <w:rPr>
          <w:spacing w:val="-4"/>
        </w:rPr>
        <w:t>在电子商务领域，公司旗下控股子公司安科创新提供跨境电子商务服务，主营产品包括家居安防及智能家居产品等，通</w:t>
      </w:r>
    </w:p>
    <w:p>
      <w:pPr>
        <w:pStyle w:val="BodyText"/>
        <w:spacing w:line="451" w:lineRule="auto" w:before="59"/>
        <w:ind w:right="1029"/>
        <w:jc w:val="left"/>
      </w:pPr>
      <w:r>
        <w:rPr/>
        <w:t>过线上第三方平台，如</w:t>
      </w:r>
      <w:r>
        <w:rPr>
          <w:spacing w:val="-44"/>
        </w:rPr>
        <w:t> </w:t>
      </w:r>
      <w:r>
        <w:rPr>
          <w:rFonts w:ascii="Times New Roman" w:hAnsi="Times New Roman" w:cs="Times New Roman" w:eastAsia="Times New Roman" w:hint="default"/>
          <w:spacing w:val="-3"/>
        </w:rPr>
        <w:t>Amazon</w:t>
      </w:r>
      <w:r>
        <w:rPr>
          <w:spacing w:val="-3"/>
        </w:rPr>
        <w:t>、</w:t>
      </w:r>
      <w:r>
        <w:rPr>
          <w:rFonts w:ascii="Times New Roman" w:hAnsi="Times New Roman" w:cs="Times New Roman" w:eastAsia="Times New Roman" w:hint="default"/>
          <w:spacing w:val="-3"/>
        </w:rPr>
        <w:t>Ebay</w:t>
      </w:r>
      <w:r>
        <w:rPr>
          <w:spacing w:val="-3"/>
        </w:rPr>
        <w:t>、</w:t>
      </w:r>
      <w:r>
        <w:rPr>
          <w:rFonts w:ascii="Times New Roman" w:hAnsi="Times New Roman" w:cs="Times New Roman" w:eastAsia="Times New Roman" w:hint="default"/>
          <w:spacing w:val="-3"/>
        </w:rPr>
        <w:t>AliExpress</w:t>
      </w:r>
      <w:r>
        <w:rPr>
          <w:spacing w:val="-3"/>
        </w:rPr>
        <w:t>、</w:t>
      </w:r>
      <w:r>
        <w:rPr>
          <w:rFonts w:ascii="Times New Roman" w:hAnsi="Times New Roman" w:cs="Times New Roman" w:eastAsia="Times New Roman" w:hint="default"/>
          <w:spacing w:val="-3"/>
        </w:rPr>
        <w:t>Walmart</w:t>
      </w:r>
      <w:r>
        <w:rPr>
          <w:rFonts w:ascii="Times New Roman" w:hAnsi="Times New Roman" w:cs="Times New Roman" w:eastAsia="Times New Roman" w:hint="default"/>
          <w:spacing w:val="-1"/>
        </w:rPr>
        <w:t> </w:t>
      </w:r>
      <w:r>
        <w:rPr/>
        <w:t>等，和自营平台</w:t>
      </w:r>
      <w:r>
        <w:rPr>
          <w:spacing w:val="-44"/>
        </w:rPr>
        <w:t> </w:t>
      </w:r>
      <w:r>
        <w:rPr>
          <w:rFonts w:ascii="Times New Roman" w:hAnsi="Times New Roman" w:cs="Times New Roman" w:eastAsia="Times New Roman" w:hint="default"/>
        </w:rPr>
        <w:t>Annkestore.com</w:t>
      </w:r>
      <w:r>
        <w:rPr/>
        <w:t>、</w:t>
      </w:r>
      <w:r>
        <w:rPr>
          <w:rFonts w:ascii="Times New Roman" w:hAnsi="Times New Roman" w:cs="Times New Roman" w:eastAsia="Times New Roman" w:hint="default"/>
        </w:rPr>
        <w:t>Sanncestore.com </w:t>
      </w:r>
      <w:r>
        <w:rPr/>
        <w:t>及</w:t>
      </w:r>
      <w:r>
        <w:rPr>
          <w:spacing w:val="-43"/>
        </w:rPr>
        <w:t> </w:t>
      </w:r>
      <w:r>
        <w:rPr>
          <w:rFonts w:ascii="Times New Roman" w:hAnsi="Times New Roman" w:cs="Times New Roman" w:eastAsia="Times New Roman" w:hint="default"/>
          <w:spacing w:val="-3"/>
        </w:rPr>
        <w:t>Annkesecurity.com</w:t>
      </w:r>
      <w:r>
        <w:rPr>
          <w:spacing w:val="-3"/>
        </w:rPr>
        <w:t>，以 </w:t>
      </w:r>
      <w:r>
        <w:rPr>
          <w:rFonts w:ascii="Times New Roman" w:hAnsi="Times New Roman" w:cs="Times New Roman" w:eastAsia="Times New Roman" w:hint="default"/>
        </w:rPr>
        <w:t>B2C </w:t>
      </w:r>
      <w:r>
        <w:rPr>
          <w:spacing w:val="-3"/>
        </w:rPr>
        <w:t>的业务模式向家庭、企业、商铺等客户提供自营品牌的产品销售。主要自营品牌包括家居安防</w:t>
      </w:r>
      <w:r>
        <w:rPr>
          <w:spacing w:val="-17"/>
        </w:rPr>
        <w:t> </w:t>
      </w:r>
      <w:r>
        <w:rPr>
          <w:spacing w:val="-17"/>
        </w:rPr>
      </w:r>
      <w:r>
        <w:rPr/>
        <w:t>产品领域的 </w:t>
      </w:r>
      <w:r>
        <w:rPr>
          <w:rFonts w:ascii="Times New Roman" w:hAnsi="Times New Roman" w:cs="Times New Roman" w:eastAsia="Times New Roman" w:hint="default"/>
          <w:spacing w:val="-4"/>
        </w:rPr>
        <w:t>ANNKE</w:t>
      </w:r>
      <w:r>
        <w:rPr>
          <w:spacing w:val="-4"/>
        </w:rPr>
        <w:t>、</w:t>
      </w:r>
      <w:r>
        <w:rPr>
          <w:rFonts w:ascii="Times New Roman" w:hAnsi="Times New Roman" w:cs="Times New Roman" w:eastAsia="Times New Roman" w:hint="default"/>
          <w:spacing w:val="-4"/>
        </w:rPr>
        <w:t>VACOS</w:t>
      </w:r>
      <w:r>
        <w:rPr>
          <w:spacing w:val="-4"/>
        </w:rPr>
        <w:t>，以及智能家居产品领域的</w:t>
      </w:r>
      <w:r>
        <w:rPr>
          <w:spacing w:val="-5"/>
        </w:rPr>
        <w:t> </w:t>
      </w:r>
      <w:r>
        <w:rPr>
          <w:rFonts w:ascii="Times New Roman" w:hAnsi="Times New Roman" w:cs="Times New Roman" w:eastAsia="Times New Roman" w:hint="default"/>
          <w:spacing w:val="-3"/>
        </w:rPr>
        <w:t>EASEHOLD</w:t>
      </w:r>
      <w:r>
        <w:rPr>
          <w:spacing w:val="-3"/>
        </w:rPr>
        <w:t>。</w:t>
      </w:r>
    </w:p>
    <w:p>
      <w:pPr>
        <w:pStyle w:val="BodyText"/>
        <w:spacing w:line="240" w:lineRule="auto" w:before="41"/>
        <w:ind w:left="513" w:right="0"/>
        <w:jc w:val="left"/>
      </w:pPr>
      <w:r>
        <w:rPr>
          <w:spacing w:val="-3"/>
        </w:rPr>
        <w:t>报告期内，安科创新的主营业务未发生重大变化。</w:t>
      </w:r>
    </w:p>
    <w:p>
      <w:pPr>
        <w:spacing w:line="240" w:lineRule="auto" w:before="13"/>
        <w:rPr>
          <w:rFonts w:ascii="宋体" w:hAnsi="宋体" w:cs="宋体" w:eastAsia="宋体" w:hint="default"/>
          <w:sz w:val="17"/>
          <w:szCs w:val="17"/>
        </w:rPr>
      </w:pPr>
    </w:p>
    <w:p>
      <w:pPr>
        <w:pStyle w:val="BodyText"/>
        <w:spacing w:line="475" w:lineRule="auto"/>
        <w:ind w:left="513" w:right="1029"/>
        <w:jc w:val="left"/>
      </w:pPr>
      <w:r>
        <w:rPr>
          <w:spacing w:val="-3"/>
        </w:rPr>
        <w:t>（二）经营模式</w:t>
      </w:r>
      <w:r>
        <w:rPr>
          <w:spacing w:val="-68"/>
        </w:rPr>
        <w:t> </w:t>
      </w:r>
      <w:r>
        <w:rPr>
          <w:spacing w:val="-68"/>
        </w:rPr>
      </w:r>
      <w:r>
        <w:rPr>
          <w:spacing w:val="-5"/>
        </w:rPr>
        <w:t>安科创新是以自营品牌的产品创新为经营理念的跨境电子商务公司。安科创新拥有专业的产品研发团队，依托丰富的市</w:t>
      </w:r>
    </w:p>
    <w:p>
      <w:pPr>
        <w:pStyle w:val="BodyText"/>
        <w:spacing w:line="451" w:lineRule="auto" w:before="58"/>
        <w:ind w:right="1123"/>
        <w:jc w:val="both"/>
      </w:pPr>
      <w:r>
        <w:rPr>
          <w:spacing w:val="-6"/>
        </w:rPr>
        <w:t>场经验，精准定位客户需求，进而研发适合海内外用户需求的家居安防以及日用 </w:t>
      </w:r>
      <w:r>
        <w:rPr>
          <w:rFonts w:ascii="Times New Roman" w:hAnsi="Times New Roman" w:cs="Times New Roman" w:eastAsia="Times New Roman" w:hint="default"/>
        </w:rPr>
        <w:t>3C </w:t>
      </w:r>
      <w:r>
        <w:rPr>
          <w:spacing w:val="-8"/>
        </w:rPr>
        <w:t>电子产品等，并建立 </w:t>
      </w:r>
      <w:r>
        <w:rPr>
          <w:rFonts w:ascii="Times New Roman" w:hAnsi="Times New Roman" w:cs="Times New Roman" w:eastAsia="Times New Roman" w:hint="default"/>
          <w:spacing w:val="-9"/>
        </w:rPr>
        <w:t>ANNKE</w:t>
      </w:r>
      <w:r>
        <w:rPr>
          <w:spacing w:val="-9"/>
        </w:rPr>
        <w:t>、</w:t>
      </w:r>
      <w:r>
        <w:rPr>
          <w:rFonts w:ascii="Times New Roman" w:hAnsi="Times New Roman" w:cs="Times New Roman" w:eastAsia="Times New Roman" w:hint="default"/>
          <w:spacing w:val="-9"/>
        </w:rPr>
        <w:t>VACOS</w:t>
      </w:r>
      <w:r>
        <w:rPr>
          <w:spacing w:val="-9"/>
        </w:rPr>
        <w:t>、</w:t>
      </w:r>
      <w:r>
        <w:rPr>
          <w:spacing w:val="-59"/>
        </w:rPr>
        <w:t> </w:t>
      </w:r>
      <w:r>
        <w:rPr>
          <w:rFonts w:ascii="Times New Roman" w:hAnsi="Times New Roman" w:cs="Times New Roman" w:eastAsia="Times New Roman" w:hint="default"/>
          <w:spacing w:val="-3"/>
        </w:rPr>
        <w:t>EASEHOLD </w:t>
      </w:r>
      <w:r>
        <w:rPr>
          <w:spacing w:val="-3"/>
        </w:rPr>
        <w:t>等自主品牌，通过外协厂商的方式完成产品生产，利用第三方线上平台和自营平台打开销售渠道，提高用户的</w:t>
      </w:r>
      <w:r>
        <w:rPr>
          <w:spacing w:val="-50"/>
        </w:rPr>
        <w:t> </w:t>
      </w:r>
      <w:r>
        <w:rPr>
          <w:spacing w:val="-50"/>
        </w:rPr>
      </w:r>
      <w:r>
        <w:rPr>
          <w:spacing w:val="-4"/>
        </w:rPr>
        <w:t>认知度，逐步建立品牌影响力，进而进军线下商场超市、线下代理等渠道，形成线上线下结合的经营模式。公司销售区域包</w:t>
      </w:r>
    </w:p>
    <w:p>
      <w:pPr>
        <w:spacing w:after="0" w:line="451" w:lineRule="auto"/>
        <w:jc w:val="both"/>
        <w:sectPr>
          <w:footerReference w:type="default" r:id="rId15"/>
          <w:pgSz w:w="11910" w:h="16840"/>
          <w:pgMar w:footer="1479" w:header="871" w:top="1100" w:bottom="1660" w:left="980" w:right="0"/>
          <w:pgNumType w:start="14"/>
        </w:sectPr>
      </w:pPr>
    </w:p>
    <w:p>
      <w:pPr>
        <w:spacing w:line="240" w:lineRule="auto" w:before="1"/>
        <w:rPr>
          <w:rFonts w:ascii="宋体" w:hAnsi="宋体" w:cs="宋体" w:eastAsia="宋体" w:hint="default"/>
          <w:sz w:val="28"/>
          <w:szCs w:val="28"/>
        </w:rPr>
      </w:pPr>
    </w:p>
    <w:p>
      <w:pPr>
        <w:pStyle w:val="BodyText"/>
        <w:spacing w:line="475" w:lineRule="auto" w:before="46"/>
        <w:ind w:left="513" w:right="0"/>
        <w:jc w:val="left"/>
      </w:pPr>
      <w:r>
        <w:rPr>
          <w:spacing w:val="-3"/>
        </w:rPr>
        <w:t>（三）主要业绩驱动因素</w:t>
      </w:r>
      <w:r>
        <w:rPr>
          <w:spacing w:val="-56"/>
        </w:rPr>
        <w:t> </w:t>
      </w:r>
      <w:r>
        <w:rPr>
          <w:spacing w:val="-56"/>
        </w:rPr>
      </w:r>
      <w:r>
        <w:rPr>
          <w:spacing w:val="-4"/>
        </w:rPr>
        <w:t>安科创新属于跨境出口电子商务行业。从行业角度来看，近年来，随着我国进出口贸易规模的扩大和国内跨境采购需求</w:t>
      </w:r>
    </w:p>
    <w:p>
      <w:pPr>
        <w:pStyle w:val="BodyText"/>
        <w:spacing w:line="475" w:lineRule="auto" w:before="59"/>
        <w:ind w:right="1123"/>
        <w:jc w:val="both"/>
      </w:pPr>
      <w:r>
        <w:rPr>
          <w:spacing w:val="-4"/>
        </w:rPr>
        <w:t>的增长，跨境电子商务市场规模也迅速扩大；在“新消费”观念和消费升级潮流的冲击下，随着平台物流水平和供应链打造</w:t>
      </w:r>
      <w:r>
        <w:rPr>
          <w:spacing w:val="40"/>
        </w:rPr>
        <w:t> </w:t>
      </w:r>
      <w:r>
        <w:rPr>
          <w:spacing w:val="40"/>
        </w:rPr>
      </w:r>
      <w:r>
        <w:rPr>
          <w:spacing w:val="-4"/>
        </w:rPr>
        <w:t>逐渐完善，未来跨境电商的市场有望得到进一步扩大。从安科创新自身的经营情况看，经过近几年的发展，安科创新凭借产</w:t>
      </w:r>
      <w:r>
        <w:rPr>
          <w:spacing w:val="40"/>
        </w:rPr>
        <w:t> </w:t>
      </w:r>
      <w:r>
        <w:rPr>
          <w:spacing w:val="40"/>
        </w:rPr>
      </w:r>
      <w:r>
        <w:rPr>
          <w:spacing w:val="-4"/>
        </w:rPr>
        <w:t>品的持续创新和丰富的市场经验，已经在家居安防等产品领域树立了良好的口碑，品牌形象与价值不断提升，并逐步开拓海</w:t>
      </w:r>
      <w:r>
        <w:rPr>
          <w:spacing w:val="43"/>
        </w:rPr>
        <w:t> </w:t>
      </w:r>
      <w:r>
        <w:rPr>
          <w:spacing w:val="43"/>
        </w:rPr>
      </w:r>
      <w:r>
        <w:rPr>
          <w:spacing w:val="-3"/>
        </w:rPr>
        <w:t>外线下渠道，形成比较稳定的销售流量。</w:t>
      </w:r>
    </w:p>
    <w:p>
      <w:pPr>
        <w:pStyle w:val="BodyText"/>
        <w:spacing w:line="240" w:lineRule="auto" w:before="59"/>
        <w:ind w:left="513" w:right="0"/>
        <w:jc w:val="left"/>
      </w:pPr>
      <w:r>
        <w:rPr>
          <w:spacing w:val="-3"/>
        </w:rPr>
        <w:t>（四）行业特点及发展趋势</w:t>
      </w:r>
    </w:p>
    <w:p>
      <w:pPr>
        <w:spacing w:line="240" w:lineRule="auto" w:before="8"/>
        <w:rPr>
          <w:rFonts w:ascii="宋体" w:hAnsi="宋体" w:cs="宋体" w:eastAsia="宋体" w:hint="default"/>
          <w:sz w:val="17"/>
          <w:szCs w:val="17"/>
        </w:rPr>
      </w:pPr>
    </w:p>
    <w:p>
      <w:pPr>
        <w:pStyle w:val="BodyText"/>
        <w:spacing w:line="451" w:lineRule="auto"/>
        <w:ind w:right="1160" w:firstLine="360"/>
        <w:jc w:val="both"/>
      </w:pPr>
      <w:r>
        <w:rPr>
          <w:spacing w:val="-3"/>
        </w:rPr>
        <w:t>近年来，跨境电商规模快速扩大，倒逼国内产业升级，释放了市场消费潜力。</w:t>
      </w:r>
      <w:r>
        <w:rPr>
          <w:rFonts w:ascii="Times New Roman" w:hAnsi="Times New Roman" w:cs="Times New Roman" w:eastAsia="Times New Roman" w:hint="default"/>
          <w:spacing w:val="-3"/>
        </w:rPr>
        <w:t>2019</w:t>
      </w:r>
      <w:r>
        <w:rPr>
          <w:rFonts w:ascii="Times New Roman" w:hAnsi="Times New Roman" w:cs="Times New Roman" w:eastAsia="Times New Roman" w:hint="default"/>
          <w:spacing w:val="34"/>
        </w:rPr>
        <w:t> </w:t>
      </w:r>
      <w:r>
        <w:rPr>
          <w:spacing w:val="-3"/>
        </w:rPr>
        <w:t>年我国跨境电商的出口业务继续保</w:t>
      </w:r>
      <w:r>
        <w:rPr>
          <w:w w:val="101"/>
        </w:rPr>
        <w:t> </w:t>
      </w:r>
      <w:r>
        <w:rPr>
          <w:spacing w:val="-3"/>
        </w:rPr>
        <w:t>持稳定增长的发展态势，据中国海关总署数据显示，</w:t>
      </w:r>
      <w:r>
        <w:rPr>
          <w:rFonts w:ascii="Times New Roman" w:hAnsi="Times New Roman" w:cs="Times New Roman" w:eastAsia="Times New Roman" w:hint="default"/>
          <w:spacing w:val="-3"/>
        </w:rPr>
        <w:t>2019</w:t>
      </w:r>
      <w:r>
        <w:rPr>
          <w:rFonts w:ascii="Times New Roman" w:hAnsi="Times New Roman" w:cs="Times New Roman" w:eastAsia="Times New Roman" w:hint="default"/>
          <w:spacing w:val="11"/>
        </w:rPr>
        <w:t> </w:t>
      </w:r>
      <w:r>
        <w:rPr/>
        <w:t>年我国进出口总值为</w:t>
      </w:r>
      <w:r>
        <w:rPr>
          <w:spacing w:val="-26"/>
        </w:rPr>
        <w:t> </w:t>
      </w:r>
      <w:r>
        <w:rPr>
          <w:rFonts w:ascii="Times New Roman" w:hAnsi="Times New Roman" w:cs="Times New Roman" w:eastAsia="Times New Roman" w:hint="default"/>
        </w:rPr>
        <w:t>31.54</w:t>
      </w:r>
      <w:r>
        <w:rPr>
          <w:rFonts w:ascii="Times New Roman" w:hAnsi="Times New Roman" w:cs="Times New Roman" w:eastAsia="Times New Roman" w:hint="default"/>
          <w:spacing w:val="19"/>
        </w:rPr>
        <w:t> </w:t>
      </w:r>
      <w:r>
        <w:rPr/>
        <w:t>万亿元，同比增长</w:t>
      </w:r>
      <w:r>
        <w:rPr>
          <w:spacing w:val="-26"/>
        </w:rPr>
        <w:t> </w:t>
      </w:r>
      <w:r>
        <w:rPr>
          <w:rFonts w:ascii="Times New Roman" w:hAnsi="Times New Roman" w:cs="Times New Roman" w:eastAsia="Times New Roman" w:hint="default"/>
        </w:rPr>
        <w:t>3.4%</w:t>
      </w:r>
      <w:r>
        <w:rPr/>
        <w:t>。其中，</w:t>
      </w:r>
      <w:r>
        <w:rPr>
          <w:rFonts w:ascii="Times New Roman" w:hAnsi="Times New Roman" w:cs="Times New Roman" w:eastAsia="Times New Roman" w:hint="default"/>
        </w:rPr>
        <w:t>2019</w:t>
      </w:r>
      <w:r>
        <w:rPr>
          <w:rFonts w:ascii="Times New Roman" w:hAnsi="Times New Roman" w:cs="Times New Roman" w:eastAsia="Times New Roman" w:hint="default"/>
          <w:spacing w:val="-36"/>
        </w:rPr>
        <w:t> </w:t>
      </w:r>
      <w:r>
        <w:rPr>
          <w:rFonts w:ascii="Times New Roman" w:hAnsi="Times New Roman" w:cs="Times New Roman" w:eastAsia="Times New Roman" w:hint="default"/>
          <w:spacing w:val="-36"/>
        </w:rPr>
      </w:r>
      <w:r>
        <w:rPr/>
        <w:t>年我国出口总值为 </w:t>
      </w:r>
      <w:r>
        <w:rPr>
          <w:rFonts w:ascii="Times New Roman" w:hAnsi="Times New Roman" w:cs="Times New Roman" w:eastAsia="Times New Roman" w:hint="default"/>
        </w:rPr>
        <w:t>17.23 </w:t>
      </w:r>
      <w:r>
        <w:rPr>
          <w:spacing w:val="-3"/>
        </w:rPr>
        <w:t>万亿元，同比增长 </w:t>
      </w:r>
      <w:r>
        <w:rPr>
          <w:rFonts w:ascii="Times New Roman" w:hAnsi="Times New Roman" w:cs="Times New Roman" w:eastAsia="Times New Roman" w:hint="default"/>
          <w:spacing w:val="-3"/>
        </w:rPr>
        <w:t>5.0%</w:t>
      </w:r>
      <w:r>
        <w:rPr>
          <w:spacing w:val="-3"/>
        </w:rPr>
        <w:t>。安科创新始终坚持自有品牌跨境出口电商的发展思路开展经营，以用户</w:t>
      </w:r>
      <w:r>
        <w:rPr>
          <w:spacing w:val="-51"/>
        </w:rPr>
        <w:t> </w:t>
      </w:r>
      <w:r>
        <w:rPr>
          <w:spacing w:val="-51"/>
        </w:rPr>
      </w:r>
      <w:r>
        <w:rPr>
          <w:spacing w:val="-3"/>
        </w:rPr>
        <w:t>体验为导向，通过产品的持续创新来满足客户日益丰富、多样化的产品需求，未来发展空间广阔。</w:t>
      </w:r>
    </w:p>
    <w:p>
      <w:pPr>
        <w:pStyle w:val="BodyText"/>
        <w:spacing w:line="480" w:lineRule="auto" w:before="71"/>
        <w:ind w:left="513" w:right="0"/>
        <w:jc w:val="left"/>
      </w:pPr>
      <w:r>
        <w:rPr/>
        <w:t>（五）公司的行业地位</w:t>
      </w:r>
      <w:r>
        <w:rPr>
          <w:spacing w:val="-86"/>
        </w:rPr>
        <w:t> </w:t>
      </w:r>
      <w:r>
        <w:rPr>
          <w:spacing w:val="-86"/>
        </w:rPr>
      </w:r>
      <w:r>
        <w:rPr>
          <w:spacing w:val="-4"/>
        </w:rPr>
        <w:t>近年来，凭借更有效率及性价比的商业模式，我国跨境电商已实现较快的规模增长，跨境出口电商的数量也逐年快速增</w:t>
      </w:r>
    </w:p>
    <w:p>
      <w:pPr>
        <w:pStyle w:val="BodyText"/>
        <w:spacing w:line="460" w:lineRule="auto" w:before="50"/>
        <w:ind w:right="1123"/>
        <w:jc w:val="both"/>
      </w:pPr>
      <w:r>
        <w:rPr>
          <w:spacing w:val="-5"/>
        </w:rPr>
        <w:t>加。安科创新发展时间较短，业务规模在行业中不具有显著优势。但在具体产品品类，如家居安防产品市场上，安科创新在</w:t>
      </w:r>
      <w:r>
        <w:rPr>
          <w:spacing w:val="5"/>
        </w:rPr>
        <w:t> </w:t>
      </w:r>
      <w:r>
        <w:rPr>
          <w:spacing w:val="5"/>
        </w:rPr>
      </w:r>
      <w:r>
        <w:rPr>
          <w:rFonts w:ascii="Times New Roman" w:hAnsi="Times New Roman" w:cs="Times New Roman" w:eastAsia="Times New Roman" w:hint="default"/>
          <w:spacing w:val="-3"/>
        </w:rPr>
        <w:t>Amazon</w:t>
      </w:r>
      <w:r>
        <w:rPr>
          <w:spacing w:val="-3"/>
        </w:rPr>
        <w:t>、</w:t>
      </w:r>
      <w:r>
        <w:rPr>
          <w:rFonts w:ascii="Times New Roman" w:hAnsi="Times New Roman" w:cs="Times New Roman" w:eastAsia="Times New Roman" w:hint="default"/>
          <w:spacing w:val="-3"/>
        </w:rPr>
        <w:t>Ebay </w:t>
      </w:r>
      <w:r>
        <w:rPr>
          <w:spacing w:val="-3"/>
        </w:rPr>
        <w:t>等多家国际第三方电商平台上均处于名列前茅的位置。借助在产品解决方案方面的优势，安科创新的产品服</w:t>
      </w:r>
      <w:r>
        <w:rPr>
          <w:spacing w:val="-28"/>
        </w:rPr>
        <w:t> </w:t>
      </w:r>
      <w:r>
        <w:rPr>
          <w:spacing w:val="-28"/>
        </w:rPr>
      </w:r>
      <w:r>
        <w:rPr>
          <w:spacing w:val="-3"/>
        </w:rPr>
        <w:t>务区域已覆盖美国、英国、德国、法国、澳大利亚、西班牙和俄罗斯等 </w:t>
      </w:r>
      <w:r>
        <w:rPr>
          <w:rFonts w:ascii="Times New Roman" w:hAnsi="Times New Roman" w:cs="Times New Roman" w:eastAsia="Times New Roman" w:hint="default"/>
        </w:rPr>
        <w:t>60 </w:t>
      </w:r>
      <w:r>
        <w:rPr>
          <w:spacing w:val="-3"/>
        </w:rPr>
        <w:t>多个国家和地区，是北美、澳洲及欧洲等地区家</w:t>
      </w:r>
      <w:r>
        <w:rPr>
          <w:spacing w:val="-22"/>
        </w:rPr>
        <w:t> </w:t>
      </w:r>
      <w:r>
        <w:rPr>
          <w:spacing w:val="-22"/>
        </w:rPr>
      </w:r>
      <w:r>
        <w:rPr>
          <w:spacing w:val="-3"/>
        </w:rPr>
        <w:t>居安防在线市场的领先品牌。</w:t>
      </w:r>
    </w:p>
    <w:p>
      <w:pPr>
        <w:pStyle w:val="BodyText"/>
        <w:spacing w:line="240" w:lineRule="auto" w:before="65"/>
        <w:ind w:left="513" w:right="0"/>
        <w:jc w:val="left"/>
      </w:pPr>
      <w:r>
        <w:rPr/>
        <w:t>四、公司其他业务情况</w:t>
      </w:r>
    </w:p>
    <w:p>
      <w:pPr>
        <w:spacing w:line="240" w:lineRule="auto" w:before="12"/>
        <w:rPr>
          <w:rFonts w:ascii="宋体" w:hAnsi="宋体" w:cs="宋体" w:eastAsia="宋体" w:hint="default"/>
          <w:sz w:val="17"/>
          <w:szCs w:val="17"/>
        </w:rPr>
      </w:pPr>
    </w:p>
    <w:p>
      <w:pPr>
        <w:pStyle w:val="BodyText"/>
        <w:spacing w:line="240" w:lineRule="auto"/>
        <w:ind w:left="513" w:right="0"/>
        <w:jc w:val="left"/>
      </w:pPr>
      <w:r>
        <w:rPr>
          <w:spacing w:val="-3"/>
        </w:rPr>
        <w:t>（一）个人征信业务</w:t>
      </w:r>
    </w:p>
    <w:p>
      <w:pPr>
        <w:spacing w:line="240" w:lineRule="auto" w:before="8"/>
        <w:rPr>
          <w:rFonts w:ascii="宋体" w:hAnsi="宋体" w:cs="宋体" w:eastAsia="宋体" w:hint="default"/>
          <w:sz w:val="17"/>
          <w:szCs w:val="17"/>
        </w:rPr>
      </w:pPr>
    </w:p>
    <w:p>
      <w:pPr>
        <w:pStyle w:val="BodyText"/>
        <w:spacing w:line="451" w:lineRule="auto"/>
        <w:ind w:right="1127" w:firstLine="360"/>
        <w:jc w:val="both"/>
      </w:pPr>
      <w:r>
        <w:rPr>
          <w:rFonts w:ascii="Times New Roman" w:hAnsi="Times New Roman" w:cs="Times New Roman" w:eastAsia="Times New Roman" w:hint="default"/>
        </w:rPr>
        <w:t>2013</w:t>
      </w:r>
      <w:r>
        <w:rPr>
          <w:rFonts w:ascii="Times New Roman" w:hAnsi="Times New Roman" w:cs="Times New Roman" w:eastAsia="Times New Roman" w:hint="default"/>
          <w:spacing w:val="14"/>
        </w:rPr>
        <w:t> </w:t>
      </w:r>
      <w:r>
        <w:rPr/>
        <w:t>年</w:t>
      </w:r>
      <w:r>
        <w:rPr>
          <w:spacing w:val="-31"/>
        </w:rPr>
        <w:t> </w:t>
      </w:r>
      <w:r>
        <w:rPr>
          <w:rFonts w:ascii="Times New Roman" w:hAnsi="Times New Roman" w:cs="Times New Roman" w:eastAsia="Times New Roman" w:hint="default"/>
        </w:rPr>
        <w:t>3</w:t>
      </w:r>
      <w:r>
        <w:rPr>
          <w:rFonts w:ascii="Times New Roman" w:hAnsi="Times New Roman" w:cs="Times New Roman" w:eastAsia="Times New Roman" w:hint="default"/>
          <w:spacing w:val="14"/>
        </w:rPr>
        <w:t> </w:t>
      </w:r>
      <w:r>
        <w:rPr/>
        <w:t>月</w:t>
      </w:r>
      <w:r>
        <w:rPr>
          <w:spacing w:val="-31"/>
        </w:rPr>
        <w:t> </w:t>
      </w:r>
      <w:r>
        <w:rPr>
          <w:rFonts w:ascii="Times New Roman" w:hAnsi="Times New Roman" w:cs="Times New Roman" w:eastAsia="Times New Roman" w:hint="default"/>
        </w:rPr>
        <w:t>15</w:t>
      </w:r>
      <w:r>
        <w:rPr>
          <w:rFonts w:ascii="Times New Roman" w:hAnsi="Times New Roman" w:cs="Times New Roman" w:eastAsia="Times New Roman" w:hint="default"/>
          <w:spacing w:val="14"/>
        </w:rPr>
        <w:t> </w:t>
      </w:r>
      <w:r>
        <w:rPr>
          <w:spacing w:val="-3"/>
        </w:rPr>
        <w:t>日《征信业管理条例》正式实施，标志着我国个人征信行业进入了市场化发展的新时代。同年</w:t>
      </w:r>
      <w:r>
        <w:rPr>
          <w:spacing w:val="-35"/>
        </w:rPr>
        <w:t> </w:t>
      </w:r>
      <w:r>
        <w:rPr>
          <w:rFonts w:ascii="Times New Roman" w:hAnsi="Times New Roman" w:cs="Times New Roman" w:eastAsia="Times New Roman" w:hint="default"/>
        </w:rPr>
        <w:t>12</w:t>
      </w:r>
      <w:r>
        <w:rPr>
          <w:rFonts w:ascii="Times New Roman" w:hAnsi="Times New Roman" w:cs="Times New Roman" w:eastAsia="Times New Roman" w:hint="default"/>
          <w:spacing w:val="14"/>
        </w:rPr>
        <w:t> </w:t>
      </w:r>
      <w:r>
        <w:rPr/>
        <w:t>月，</w:t>
      </w:r>
      <w:r>
        <w:rPr>
          <w:w w:val="101"/>
        </w:rPr>
        <w:t> </w:t>
      </w:r>
      <w:r>
        <w:rPr/>
        <w:t>公司作为第一大股东投资设立了华道征信。</w:t>
      </w:r>
      <w:r>
        <w:rPr>
          <w:rFonts w:ascii="Times New Roman" w:hAnsi="Times New Roman" w:cs="Times New Roman" w:eastAsia="Times New Roman" w:hint="default"/>
        </w:rPr>
        <w:t>2015 </w:t>
      </w:r>
      <w:r>
        <w:rPr/>
        <w:t>年 </w:t>
      </w:r>
      <w:r>
        <w:rPr>
          <w:rFonts w:ascii="Times New Roman" w:hAnsi="Times New Roman" w:cs="Times New Roman" w:eastAsia="Times New Roman" w:hint="default"/>
        </w:rPr>
        <w:t>1 </w:t>
      </w:r>
      <w:r>
        <w:rPr>
          <w:spacing w:val="-3"/>
        </w:rPr>
        <w:t>月，华道征信经中国人民银行批准开展个人征信业务准备工作。</w:t>
      </w:r>
      <w:r>
        <w:rPr>
          <w:rFonts w:ascii="Times New Roman" w:hAnsi="Times New Roman" w:cs="Times New Roman" w:eastAsia="Times New Roman" w:hint="default"/>
          <w:spacing w:val="-3"/>
        </w:rPr>
        <w:t>2017</w:t>
      </w:r>
      <w:r>
        <w:rPr>
          <w:rFonts w:ascii="Times New Roman" w:hAnsi="Times New Roman" w:cs="Times New Roman" w:eastAsia="Times New Roman" w:hint="default"/>
          <w:spacing w:val="8"/>
        </w:rPr>
        <w:t> </w:t>
      </w:r>
      <w:r>
        <w:rPr>
          <w:rFonts w:ascii="Times New Roman" w:hAnsi="Times New Roman" w:cs="Times New Roman" w:eastAsia="Times New Roman" w:hint="default"/>
          <w:spacing w:val="8"/>
        </w:rPr>
      </w:r>
      <w:r>
        <w:rPr>
          <w:spacing w:val="-3"/>
        </w:rPr>
        <w:t>年，华道征信与其他发起人共同发起设立百行征信有限公司。</w:t>
      </w:r>
      <w:r>
        <w:rPr>
          <w:rFonts w:ascii="Times New Roman" w:hAnsi="Times New Roman" w:cs="Times New Roman" w:eastAsia="Times New Roman" w:hint="default"/>
          <w:spacing w:val="-3"/>
        </w:rPr>
        <w:t>2018  </w:t>
      </w:r>
      <w:r>
        <w:rPr/>
        <w:t>年 </w:t>
      </w:r>
      <w:r>
        <w:rPr>
          <w:rFonts w:ascii="Times New Roman" w:hAnsi="Times New Roman" w:cs="Times New Roman" w:eastAsia="Times New Roman" w:hint="default"/>
        </w:rPr>
        <w:t>2 </w:t>
      </w:r>
      <w:r>
        <w:rPr/>
        <w:t>月 </w:t>
      </w:r>
      <w:r>
        <w:rPr>
          <w:rFonts w:ascii="Times New Roman" w:hAnsi="Times New Roman" w:cs="Times New Roman" w:eastAsia="Times New Roman" w:hint="default"/>
        </w:rPr>
        <w:t>22</w:t>
      </w:r>
      <w:r>
        <w:rPr>
          <w:rFonts w:ascii="Times New Roman" w:hAnsi="Times New Roman" w:cs="Times New Roman" w:eastAsia="Times New Roman" w:hint="default"/>
          <w:spacing w:val="1"/>
        </w:rPr>
        <w:t> </w:t>
      </w:r>
      <w:r>
        <w:rPr>
          <w:spacing w:val="-4"/>
        </w:rPr>
        <w:t>日，百行征信已经中国人民银行“银征信许准</w:t>
      </w:r>
    </w:p>
    <w:p>
      <w:pPr>
        <w:pStyle w:val="BodyText"/>
        <w:spacing w:line="240" w:lineRule="auto" w:before="46"/>
        <w:ind w:right="0"/>
        <w:jc w:val="both"/>
        <w:rPr>
          <w:rFonts w:ascii="Times New Roman" w:hAnsi="Times New Roman" w:cs="Times New Roman" w:eastAsia="Times New Roman" w:hint="default"/>
        </w:rPr>
      </w:pPr>
      <w:r>
        <w:rPr/>
        <w:t>予字</w:t>
      </w:r>
      <w:r>
        <w:rPr>
          <w:rFonts w:ascii="Times New Roman" w:hAnsi="Times New Roman" w:cs="Times New Roman" w:eastAsia="Times New Roman" w:hint="default"/>
        </w:rPr>
        <w:t>[2018]</w:t>
      </w:r>
      <w:r>
        <w:rPr/>
        <w:t>第 </w:t>
      </w:r>
      <w:r>
        <w:rPr>
          <w:rFonts w:ascii="Times New Roman" w:hAnsi="Times New Roman" w:cs="Times New Roman" w:eastAsia="Times New Roman" w:hint="default"/>
        </w:rPr>
        <w:t>1 </w:t>
      </w:r>
      <w:r>
        <w:rPr>
          <w:rFonts w:ascii="Times New Roman" w:hAnsi="Times New Roman" w:cs="Times New Roman" w:eastAsia="Times New Roman" w:hint="default"/>
          <w:spacing w:val="35"/>
        </w:rPr>
        <w:t> </w:t>
      </w:r>
      <w:r>
        <w:rPr>
          <w:spacing w:val="-3"/>
        </w:rPr>
        <w:t>号”批准获得个人征信机构设立许可，是目前国内唯一经中国人民银行批准开展个人业务的征信公司。</w:t>
      </w:r>
      <w:r>
        <w:rPr>
          <w:rFonts w:ascii="Times New Roman" w:hAnsi="Times New Roman" w:cs="Times New Roman" w:eastAsia="Times New Roman" w:hint="default"/>
          <w:spacing w:val="-3"/>
        </w:rPr>
        <w:t>2018</w:t>
      </w:r>
    </w:p>
    <w:p>
      <w:pPr>
        <w:spacing w:line="240" w:lineRule="auto" w:before="9"/>
        <w:rPr>
          <w:rFonts w:ascii="Times New Roman" w:hAnsi="Times New Roman" w:cs="Times New Roman" w:eastAsia="Times New Roman" w:hint="default"/>
          <w:sz w:val="18"/>
          <w:szCs w:val="18"/>
        </w:rPr>
      </w:pPr>
    </w:p>
    <w:p>
      <w:pPr>
        <w:pStyle w:val="BodyText"/>
        <w:spacing w:line="463" w:lineRule="auto"/>
        <w:ind w:right="1124"/>
        <w:jc w:val="both"/>
      </w:pPr>
      <w:r>
        <w:rPr/>
        <w:t>年 </w:t>
      </w:r>
      <w:r>
        <w:rPr>
          <w:rFonts w:ascii="Times New Roman" w:hAnsi="Times New Roman" w:cs="Times New Roman" w:eastAsia="Times New Roman" w:hint="default"/>
        </w:rPr>
        <w:t>5 </w:t>
      </w:r>
      <w:r>
        <w:rPr/>
        <w:t>月 </w:t>
      </w:r>
      <w:r>
        <w:rPr>
          <w:rFonts w:ascii="Times New Roman" w:hAnsi="Times New Roman" w:cs="Times New Roman" w:eastAsia="Times New Roman" w:hint="default"/>
        </w:rPr>
        <w:t>23 </w:t>
      </w:r>
      <w:r>
        <w:rPr>
          <w:spacing w:val="-3"/>
        </w:rPr>
        <w:t>日，百行征信在深圳正式挂牌成立。百行征信的获批筹建是我国个人征信业务领域里程碑式的重要进展，是推进</w:t>
      </w:r>
      <w:r>
        <w:rPr>
          <w:spacing w:val="-35"/>
        </w:rPr>
        <w:t> </w:t>
      </w:r>
      <w:r>
        <w:rPr>
          <w:spacing w:val="-35"/>
        </w:rPr>
      </w:r>
      <w:r>
        <w:rPr>
          <w:spacing w:val="-4"/>
        </w:rPr>
        <w:t>社会信用体系建设、建立健全社会征信体系的重要举措，标志着我国个人征信行业将迎来历史性的发展机遇。华道征信作为</w:t>
      </w:r>
      <w:r>
        <w:rPr>
          <w:spacing w:val="43"/>
        </w:rPr>
        <w:t> </w:t>
      </w:r>
      <w:r>
        <w:rPr>
          <w:spacing w:val="43"/>
        </w:rPr>
      </w:r>
      <w:r>
        <w:rPr>
          <w:spacing w:val="-3"/>
        </w:rPr>
        <w:t>股东和董事单位，与百行征信共建共赢，积极支持、配合百行征信各项工作的开展。</w:t>
      </w:r>
    </w:p>
    <w:p>
      <w:pPr>
        <w:pStyle w:val="BodyText"/>
        <w:spacing w:line="240" w:lineRule="auto" w:before="67"/>
        <w:ind w:left="513" w:right="0"/>
        <w:jc w:val="left"/>
      </w:pPr>
      <w:r>
        <w:rPr>
          <w:spacing w:val="-3"/>
        </w:rPr>
        <w:t>（二）证券业务</w:t>
      </w:r>
    </w:p>
    <w:p>
      <w:pPr>
        <w:spacing w:line="240" w:lineRule="auto" w:before="8"/>
        <w:rPr>
          <w:rFonts w:ascii="宋体" w:hAnsi="宋体" w:cs="宋体" w:eastAsia="宋体" w:hint="default"/>
          <w:sz w:val="17"/>
          <w:szCs w:val="17"/>
        </w:rPr>
      </w:pPr>
    </w:p>
    <w:p>
      <w:pPr>
        <w:pStyle w:val="BodyText"/>
        <w:spacing w:line="240" w:lineRule="auto"/>
        <w:ind w:left="513" w:right="0"/>
        <w:jc w:val="left"/>
        <w:rPr>
          <w:rFonts w:ascii="Times New Roman" w:hAnsi="Times New Roman" w:cs="Times New Roman" w:eastAsia="Times New Roman" w:hint="default"/>
        </w:rPr>
      </w:pPr>
      <w:r>
        <w:rPr>
          <w:rFonts w:ascii="Times New Roman" w:hAnsi="Times New Roman" w:cs="Times New Roman" w:eastAsia="Times New Roman" w:hint="default"/>
          <w:w w:val="101"/>
        </w:rPr>
        <w:t>2016</w:t>
      </w:r>
      <w:r>
        <w:rPr>
          <w:rFonts w:ascii="Times New Roman" w:hAnsi="Times New Roman" w:cs="Times New Roman" w:eastAsia="Times New Roman" w:hint="default"/>
          <w:spacing w:val="-2"/>
        </w:rPr>
        <w:t> </w:t>
      </w:r>
      <w:r>
        <w:rPr>
          <w:w w:val="101"/>
        </w:rPr>
        <w:t>年</w:t>
      </w:r>
      <w:r>
        <w:rPr>
          <w:spacing w:val="-47"/>
        </w:rPr>
        <w:t> </w:t>
      </w:r>
      <w:r>
        <w:rPr>
          <w:rFonts w:ascii="Times New Roman" w:hAnsi="Times New Roman" w:cs="Times New Roman" w:eastAsia="Times New Roman" w:hint="default"/>
          <w:w w:val="101"/>
        </w:rPr>
        <w:t>4</w:t>
      </w:r>
      <w:r>
        <w:rPr>
          <w:rFonts w:ascii="Times New Roman" w:hAnsi="Times New Roman" w:cs="Times New Roman" w:eastAsia="Times New Roman" w:hint="default"/>
          <w:spacing w:val="-2"/>
        </w:rPr>
        <w:t> </w:t>
      </w:r>
      <w:r>
        <w:rPr>
          <w:spacing w:val="-5"/>
          <w:w w:val="101"/>
        </w:rPr>
        <w:t>月</w:t>
      </w:r>
      <w:r>
        <w:rPr>
          <w:spacing w:val="-87"/>
          <w:w w:val="101"/>
        </w:rPr>
        <w:t>，</w:t>
      </w:r>
      <w:r>
        <w:rPr>
          <w:spacing w:val="-5"/>
          <w:w w:val="101"/>
        </w:rPr>
        <w:t>公</w:t>
      </w:r>
      <w:r>
        <w:rPr>
          <w:w w:val="101"/>
        </w:rPr>
        <w:t>司</w:t>
      </w:r>
      <w:r>
        <w:rPr>
          <w:spacing w:val="-5"/>
          <w:w w:val="101"/>
        </w:rPr>
        <w:t>与</w:t>
      </w:r>
      <w:r>
        <w:rPr>
          <w:w w:val="101"/>
        </w:rPr>
        <w:t>东</w:t>
      </w:r>
      <w:r>
        <w:rPr>
          <w:spacing w:val="-5"/>
          <w:w w:val="101"/>
        </w:rPr>
        <w:t>亚</w:t>
      </w:r>
      <w:r>
        <w:rPr>
          <w:w w:val="101"/>
        </w:rPr>
        <w:t>银</w:t>
      </w:r>
      <w:r>
        <w:rPr>
          <w:spacing w:val="-5"/>
          <w:w w:val="101"/>
        </w:rPr>
        <w:t>行</w:t>
      </w:r>
      <w:r>
        <w:rPr>
          <w:w w:val="101"/>
        </w:rPr>
        <w:t>及</w:t>
      </w:r>
      <w:r>
        <w:rPr>
          <w:spacing w:val="-5"/>
          <w:w w:val="101"/>
        </w:rPr>
        <w:t>其</w:t>
      </w:r>
      <w:r>
        <w:rPr>
          <w:w w:val="101"/>
        </w:rPr>
        <w:t>他</w:t>
      </w:r>
      <w:r>
        <w:rPr>
          <w:spacing w:val="-5"/>
          <w:w w:val="101"/>
        </w:rPr>
        <w:t>出</w:t>
      </w:r>
      <w:r>
        <w:rPr>
          <w:w w:val="101"/>
        </w:rPr>
        <w:t>资</w:t>
      </w:r>
      <w:r>
        <w:rPr>
          <w:spacing w:val="-5"/>
          <w:w w:val="101"/>
        </w:rPr>
        <w:t>人</w:t>
      </w:r>
      <w:r>
        <w:rPr>
          <w:w w:val="101"/>
        </w:rPr>
        <w:t>共</w:t>
      </w:r>
      <w:r>
        <w:rPr>
          <w:spacing w:val="-5"/>
          <w:w w:val="101"/>
        </w:rPr>
        <w:t>同</w:t>
      </w:r>
      <w:r>
        <w:rPr>
          <w:w w:val="101"/>
        </w:rPr>
        <w:t>发</w:t>
      </w:r>
      <w:r>
        <w:rPr>
          <w:spacing w:val="-5"/>
          <w:w w:val="101"/>
        </w:rPr>
        <w:t>起</w:t>
      </w:r>
      <w:r>
        <w:rPr>
          <w:w w:val="101"/>
        </w:rPr>
        <w:t>设</w:t>
      </w:r>
      <w:r>
        <w:rPr>
          <w:spacing w:val="-5"/>
          <w:w w:val="101"/>
        </w:rPr>
        <w:t>立</w:t>
      </w:r>
      <w:r>
        <w:rPr>
          <w:w w:val="101"/>
        </w:rPr>
        <w:t>东</w:t>
      </w:r>
      <w:r>
        <w:rPr>
          <w:spacing w:val="-5"/>
          <w:w w:val="101"/>
        </w:rPr>
        <w:t>亚</w:t>
      </w:r>
      <w:r>
        <w:rPr>
          <w:w w:val="101"/>
        </w:rPr>
        <w:t>前</w:t>
      </w:r>
      <w:r>
        <w:rPr>
          <w:spacing w:val="-5"/>
          <w:w w:val="101"/>
        </w:rPr>
        <w:t>海</w:t>
      </w:r>
      <w:r>
        <w:rPr>
          <w:w w:val="101"/>
        </w:rPr>
        <w:t>证</w:t>
      </w:r>
      <w:r>
        <w:rPr>
          <w:spacing w:val="-5"/>
          <w:w w:val="101"/>
        </w:rPr>
        <w:t>券</w:t>
      </w:r>
      <w:r>
        <w:rPr>
          <w:w w:val="101"/>
        </w:rPr>
        <w:t>有</w:t>
      </w:r>
      <w:r>
        <w:rPr>
          <w:spacing w:val="-5"/>
          <w:w w:val="101"/>
        </w:rPr>
        <w:t>限</w:t>
      </w:r>
      <w:r>
        <w:rPr>
          <w:w w:val="101"/>
        </w:rPr>
        <w:t>责</w:t>
      </w:r>
      <w:r>
        <w:rPr>
          <w:spacing w:val="-5"/>
          <w:w w:val="101"/>
        </w:rPr>
        <w:t>任</w:t>
      </w:r>
      <w:r>
        <w:rPr>
          <w:w w:val="101"/>
        </w:rPr>
        <w:t>公司</w:t>
      </w:r>
      <w:r>
        <w:rPr>
          <w:spacing w:val="-92"/>
          <w:w w:val="101"/>
        </w:rPr>
        <w:t>，</w:t>
      </w:r>
      <w:r>
        <w:rPr>
          <w:w w:val="101"/>
        </w:rPr>
        <w:t>公</w:t>
      </w:r>
      <w:r>
        <w:rPr>
          <w:spacing w:val="-5"/>
          <w:w w:val="101"/>
        </w:rPr>
        <w:t>司使</w:t>
      </w:r>
      <w:r>
        <w:rPr>
          <w:w w:val="101"/>
        </w:rPr>
        <w:t>用</w:t>
      </w:r>
      <w:r>
        <w:rPr>
          <w:spacing w:val="-5"/>
          <w:w w:val="101"/>
        </w:rPr>
        <w:t>自</w:t>
      </w:r>
      <w:r>
        <w:rPr>
          <w:w w:val="101"/>
        </w:rPr>
        <w:t>有</w:t>
      </w:r>
      <w:r>
        <w:rPr>
          <w:spacing w:val="-5"/>
          <w:w w:val="101"/>
        </w:rPr>
        <w:t>资</w:t>
      </w:r>
      <w:r>
        <w:rPr>
          <w:w w:val="101"/>
        </w:rPr>
        <w:t>金出资</w:t>
      </w:r>
      <w:r>
        <w:rPr>
          <w:spacing w:val="-46"/>
        </w:rPr>
        <w:t> </w:t>
      </w:r>
      <w:r>
        <w:rPr>
          <w:rFonts w:ascii="Times New Roman" w:hAnsi="Times New Roman" w:cs="Times New Roman" w:eastAsia="Times New Roman" w:hint="default"/>
          <w:spacing w:val="-5"/>
          <w:w w:val="101"/>
        </w:rPr>
        <w:t>3</w:t>
      </w:r>
      <w:r>
        <w:rPr>
          <w:rFonts w:ascii="Times New Roman" w:hAnsi="Times New Roman" w:cs="Times New Roman" w:eastAsia="Times New Roman" w:hint="default"/>
          <w:w w:val="101"/>
        </w:rPr>
        <w:t>9</w:t>
      </w:r>
      <w:r>
        <w:rPr>
          <w:rFonts w:ascii="Times New Roman" w:hAnsi="Times New Roman" w:cs="Times New Roman" w:eastAsia="Times New Roman" w:hint="default"/>
          <w:spacing w:val="-3"/>
          <w:w w:val="101"/>
        </w:rPr>
        <w:t>,</w:t>
      </w:r>
      <w:r>
        <w:rPr>
          <w:rFonts w:ascii="Times New Roman" w:hAnsi="Times New Roman" w:cs="Times New Roman" w:eastAsia="Times New Roman" w:hint="default"/>
          <w:w w:val="101"/>
        </w:rPr>
        <w:t>15</w:t>
      </w:r>
      <w:r>
        <w:rPr>
          <w:rFonts w:ascii="Times New Roman" w:hAnsi="Times New Roman" w:cs="Times New Roman" w:eastAsia="Times New Roman" w:hint="default"/>
          <w:spacing w:val="-5"/>
          <w:w w:val="101"/>
        </w:rPr>
        <w:t>0</w:t>
      </w:r>
      <w:r>
        <w:rPr>
          <w:rFonts w:ascii="Times New Roman" w:hAnsi="Times New Roman" w:cs="Times New Roman" w:eastAsia="Times New Roman" w:hint="default"/>
          <w:spacing w:val="2"/>
          <w:w w:val="101"/>
        </w:rPr>
        <w:t>.</w:t>
      </w:r>
      <w:r>
        <w:rPr>
          <w:rFonts w:ascii="Times New Roman" w:hAnsi="Times New Roman" w:cs="Times New Roman" w:eastAsia="Times New Roman" w:hint="default"/>
          <w:w w:val="101"/>
        </w:rPr>
        <w:t>00</w:t>
      </w:r>
      <w:r>
        <w:rPr>
          <w:rFonts w:ascii="Times New Roman" w:hAnsi="Times New Roman" w:cs="Times New Roman" w:eastAsia="Times New Roman" w:hint="default"/>
        </w:rPr>
      </w:r>
    </w:p>
    <w:p>
      <w:pPr>
        <w:spacing w:line="240" w:lineRule="auto" w:before="3"/>
        <w:rPr>
          <w:rFonts w:ascii="Times New Roman" w:hAnsi="Times New Roman" w:cs="Times New Roman" w:eastAsia="Times New Roman" w:hint="default"/>
          <w:sz w:val="19"/>
          <w:szCs w:val="19"/>
        </w:rPr>
      </w:pPr>
    </w:p>
    <w:p>
      <w:pPr>
        <w:pStyle w:val="BodyText"/>
        <w:spacing w:line="240" w:lineRule="auto"/>
        <w:ind w:right="0"/>
        <w:jc w:val="both"/>
      </w:pPr>
      <w:r>
        <w:rPr>
          <w:spacing w:val="-3"/>
        </w:rPr>
        <w:t>万元，出资后占东亚前海证券注册资本的</w:t>
      </w:r>
      <w:r>
        <w:rPr>
          <w:spacing w:val="-35"/>
        </w:rPr>
        <w:t> </w:t>
      </w:r>
      <w:r>
        <w:rPr>
          <w:rFonts w:ascii="Times New Roman" w:hAnsi="Times New Roman" w:cs="Times New Roman" w:eastAsia="Times New Roman" w:hint="default"/>
        </w:rPr>
        <w:t>26.10%</w:t>
      </w:r>
      <w:r>
        <w:rPr/>
        <w:t>。</w:t>
      </w:r>
      <w:r>
        <w:rPr>
          <w:rFonts w:ascii="Times New Roman" w:hAnsi="Times New Roman" w:cs="Times New Roman" w:eastAsia="Times New Roman" w:hint="default"/>
        </w:rPr>
        <w:t>2017</w:t>
      </w:r>
      <w:r>
        <w:rPr>
          <w:rFonts w:ascii="Times New Roman" w:hAnsi="Times New Roman" w:cs="Times New Roman" w:eastAsia="Times New Roman" w:hint="default"/>
          <w:spacing w:val="9"/>
        </w:rPr>
        <w:t> </w:t>
      </w:r>
      <w:r>
        <w:rPr/>
        <w:t>年</w:t>
      </w:r>
      <w:r>
        <w:rPr>
          <w:spacing w:val="-36"/>
        </w:rPr>
        <w:t> </w:t>
      </w:r>
      <w:r>
        <w:rPr>
          <w:rFonts w:ascii="Times New Roman" w:hAnsi="Times New Roman" w:cs="Times New Roman" w:eastAsia="Times New Roman" w:hint="default"/>
        </w:rPr>
        <w:t>6</w:t>
      </w:r>
      <w:r>
        <w:rPr>
          <w:rFonts w:ascii="Times New Roman" w:hAnsi="Times New Roman" w:cs="Times New Roman" w:eastAsia="Times New Roman" w:hint="default"/>
          <w:spacing w:val="2"/>
        </w:rPr>
        <w:t> </w:t>
      </w:r>
      <w:r>
        <w:rPr/>
        <w:t>月，经中国证监会批准东亚前海证券获批筹建。</w:t>
      </w:r>
      <w:r>
        <w:rPr>
          <w:rFonts w:ascii="Times New Roman" w:hAnsi="Times New Roman" w:cs="Times New Roman" w:eastAsia="Times New Roman" w:hint="default"/>
        </w:rPr>
        <w:t>2017</w:t>
      </w:r>
      <w:r>
        <w:rPr>
          <w:rFonts w:ascii="Times New Roman" w:hAnsi="Times New Roman" w:cs="Times New Roman" w:eastAsia="Times New Roman" w:hint="default"/>
          <w:spacing w:val="9"/>
        </w:rPr>
        <w:t> </w:t>
      </w:r>
      <w:r>
        <w:rPr/>
        <w:t>年</w:t>
      </w:r>
      <w:r>
        <w:rPr>
          <w:spacing w:val="-43"/>
        </w:rPr>
        <w:t> </w:t>
      </w:r>
      <w:r>
        <w:rPr>
          <w:rFonts w:ascii="Times New Roman" w:hAnsi="Times New Roman" w:cs="Times New Roman" w:eastAsia="Times New Roman" w:hint="default"/>
        </w:rPr>
        <w:t>12</w:t>
      </w:r>
      <w:r>
        <w:rPr>
          <w:rFonts w:ascii="Times New Roman" w:hAnsi="Times New Roman" w:cs="Times New Roman" w:eastAsia="Times New Roman" w:hint="default"/>
          <w:spacing w:val="9"/>
        </w:rPr>
        <w:t> </w:t>
      </w:r>
      <w:r>
        <w:rPr/>
        <w:t>月</w:t>
      </w:r>
    </w:p>
    <w:p>
      <w:pPr>
        <w:spacing w:line="240" w:lineRule="auto" w:before="7"/>
        <w:rPr>
          <w:rFonts w:ascii="宋体" w:hAnsi="宋体" w:cs="宋体" w:eastAsia="宋体" w:hint="default"/>
          <w:sz w:val="16"/>
          <w:szCs w:val="16"/>
        </w:rPr>
      </w:pPr>
    </w:p>
    <w:p>
      <w:pPr>
        <w:pStyle w:val="BodyText"/>
        <w:spacing w:line="240" w:lineRule="auto"/>
        <w:ind w:right="0"/>
        <w:jc w:val="both"/>
      </w:pPr>
      <w:r>
        <w:rPr>
          <w:rFonts w:ascii="Times New Roman" w:hAnsi="Times New Roman" w:cs="Times New Roman" w:eastAsia="Times New Roman" w:hint="default"/>
          <w:w w:val="101"/>
        </w:rPr>
        <w:t>4</w:t>
      </w:r>
      <w:r>
        <w:rPr>
          <w:rFonts w:ascii="Times New Roman" w:hAnsi="Times New Roman" w:cs="Times New Roman" w:eastAsia="Times New Roman" w:hint="default"/>
          <w:spacing w:val="-2"/>
        </w:rPr>
        <w:t> </w:t>
      </w:r>
      <w:r>
        <w:rPr>
          <w:w w:val="101"/>
        </w:rPr>
        <w:t>日</w:t>
      </w:r>
      <w:r>
        <w:rPr>
          <w:spacing w:val="-34"/>
          <w:w w:val="101"/>
        </w:rPr>
        <w:t>，</w:t>
      </w:r>
      <w:r>
        <w:rPr>
          <w:spacing w:val="-5"/>
          <w:w w:val="101"/>
        </w:rPr>
        <w:t>东</w:t>
      </w:r>
      <w:r>
        <w:rPr>
          <w:w w:val="101"/>
        </w:rPr>
        <w:t>亚</w:t>
      </w:r>
      <w:r>
        <w:rPr>
          <w:spacing w:val="-5"/>
          <w:w w:val="101"/>
        </w:rPr>
        <w:t>前</w:t>
      </w:r>
      <w:r>
        <w:rPr>
          <w:w w:val="101"/>
        </w:rPr>
        <w:t>海</w:t>
      </w:r>
      <w:r>
        <w:rPr>
          <w:spacing w:val="-5"/>
          <w:w w:val="101"/>
        </w:rPr>
        <w:t>证</w:t>
      </w:r>
      <w:r>
        <w:rPr>
          <w:w w:val="101"/>
        </w:rPr>
        <w:t>券</w:t>
      </w:r>
      <w:r>
        <w:rPr>
          <w:spacing w:val="-5"/>
          <w:w w:val="101"/>
        </w:rPr>
        <w:t>获</w:t>
      </w:r>
      <w:r>
        <w:rPr>
          <w:w w:val="101"/>
        </w:rPr>
        <w:t>得</w:t>
      </w:r>
      <w:r>
        <w:rPr>
          <w:spacing w:val="-5"/>
          <w:w w:val="101"/>
        </w:rPr>
        <w:t>中</w:t>
      </w:r>
      <w:r>
        <w:rPr>
          <w:w w:val="101"/>
        </w:rPr>
        <w:t>国</w:t>
      </w:r>
      <w:r>
        <w:rPr>
          <w:spacing w:val="-5"/>
          <w:w w:val="101"/>
        </w:rPr>
        <w:t>证</w:t>
      </w:r>
      <w:r>
        <w:rPr>
          <w:w w:val="101"/>
        </w:rPr>
        <w:t>监</w:t>
      </w:r>
      <w:r>
        <w:rPr>
          <w:spacing w:val="-5"/>
          <w:w w:val="101"/>
        </w:rPr>
        <w:t>会</w:t>
      </w:r>
      <w:r>
        <w:rPr>
          <w:w w:val="101"/>
        </w:rPr>
        <w:t>颁</w:t>
      </w:r>
      <w:r>
        <w:rPr>
          <w:spacing w:val="-5"/>
          <w:w w:val="101"/>
        </w:rPr>
        <w:t>发</w:t>
      </w:r>
      <w:r>
        <w:rPr>
          <w:spacing w:val="-34"/>
          <w:w w:val="101"/>
        </w:rPr>
        <w:t>的</w:t>
      </w:r>
      <w:r>
        <w:rPr>
          <w:w w:val="101"/>
        </w:rPr>
        <w:t>《</w:t>
      </w:r>
      <w:r>
        <w:rPr>
          <w:spacing w:val="-5"/>
          <w:w w:val="101"/>
        </w:rPr>
        <w:t>经</w:t>
      </w:r>
      <w:r>
        <w:rPr>
          <w:w w:val="101"/>
        </w:rPr>
        <w:t>营</w:t>
      </w:r>
      <w:r>
        <w:rPr>
          <w:spacing w:val="-5"/>
          <w:w w:val="101"/>
        </w:rPr>
        <w:t>证</w:t>
      </w:r>
      <w:r>
        <w:rPr>
          <w:w w:val="101"/>
        </w:rPr>
        <w:t>券</w:t>
      </w:r>
      <w:r>
        <w:rPr>
          <w:spacing w:val="-5"/>
          <w:w w:val="101"/>
        </w:rPr>
        <w:t>期</w:t>
      </w:r>
      <w:r>
        <w:rPr>
          <w:w w:val="101"/>
        </w:rPr>
        <w:t>货</w:t>
      </w:r>
      <w:r>
        <w:rPr>
          <w:spacing w:val="-5"/>
          <w:w w:val="101"/>
        </w:rPr>
        <w:t>业</w:t>
      </w:r>
      <w:r>
        <w:rPr>
          <w:w w:val="101"/>
        </w:rPr>
        <w:t>务</w:t>
      </w:r>
      <w:r>
        <w:rPr>
          <w:spacing w:val="-5"/>
          <w:w w:val="101"/>
        </w:rPr>
        <w:t>许</w:t>
      </w:r>
      <w:r>
        <w:rPr>
          <w:w w:val="101"/>
        </w:rPr>
        <w:t>可证</w:t>
      </w:r>
      <w:r>
        <w:rPr>
          <w:spacing w:val="-92"/>
          <w:w w:val="101"/>
        </w:rPr>
        <w:t>》</w:t>
      </w:r>
      <w:r>
        <w:rPr>
          <w:spacing w:val="-39"/>
          <w:w w:val="101"/>
        </w:rPr>
        <w:t>，</w:t>
      </w:r>
      <w:r>
        <w:rPr>
          <w:w w:val="101"/>
        </w:rPr>
        <w:t>正</w:t>
      </w:r>
      <w:r>
        <w:rPr>
          <w:spacing w:val="-5"/>
          <w:w w:val="101"/>
        </w:rPr>
        <w:t>式</w:t>
      </w:r>
      <w:r>
        <w:rPr>
          <w:w w:val="101"/>
        </w:rPr>
        <w:t>对</w:t>
      </w:r>
      <w:r>
        <w:rPr>
          <w:spacing w:val="-5"/>
          <w:w w:val="101"/>
        </w:rPr>
        <w:t>外</w:t>
      </w:r>
      <w:r>
        <w:rPr>
          <w:w w:val="101"/>
        </w:rPr>
        <w:t>开</w:t>
      </w:r>
      <w:r>
        <w:rPr>
          <w:spacing w:val="-5"/>
          <w:w w:val="101"/>
        </w:rPr>
        <w:t>展</w:t>
      </w:r>
      <w:r>
        <w:rPr>
          <w:w w:val="101"/>
        </w:rPr>
        <w:t>业</w:t>
      </w:r>
      <w:r>
        <w:rPr>
          <w:spacing w:val="-5"/>
          <w:w w:val="101"/>
        </w:rPr>
        <w:t>务</w:t>
      </w:r>
      <w:r>
        <w:rPr>
          <w:spacing w:val="-34"/>
          <w:w w:val="101"/>
        </w:rPr>
        <w:t>，</w:t>
      </w:r>
      <w:r>
        <w:rPr>
          <w:spacing w:val="-5"/>
          <w:w w:val="101"/>
        </w:rPr>
        <w:t>业</w:t>
      </w:r>
      <w:r>
        <w:rPr>
          <w:w w:val="101"/>
        </w:rPr>
        <w:t>务</w:t>
      </w:r>
      <w:r>
        <w:rPr>
          <w:spacing w:val="-5"/>
          <w:w w:val="101"/>
        </w:rPr>
        <w:t>经</w:t>
      </w:r>
      <w:r>
        <w:rPr>
          <w:w w:val="101"/>
        </w:rPr>
        <w:t>营</w:t>
      </w:r>
      <w:r>
        <w:rPr>
          <w:spacing w:val="-5"/>
          <w:w w:val="101"/>
        </w:rPr>
        <w:t>范</w:t>
      </w:r>
      <w:r>
        <w:rPr>
          <w:w w:val="101"/>
        </w:rPr>
        <w:t>围</w:t>
      </w:r>
      <w:r>
        <w:rPr>
          <w:spacing w:val="-5"/>
          <w:w w:val="101"/>
        </w:rPr>
        <w:t>包</w:t>
      </w:r>
      <w:r>
        <w:rPr>
          <w:w w:val="101"/>
        </w:rPr>
        <w:t>括</w:t>
      </w:r>
      <w:r>
        <w:rPr>
          <w:spacing w:val="-5"/>
          <w:w w:val="101"/>
        </w:rPr>
        <w:t>证</w:t>
      </w:r>
      <w:r>
        <w:rPr>
          <w:w w:val="101"/>
        </w:rPr>
        <w:t>券</w:t>
      </w:r>
      <w:r>
        <w:rPr>
          <w:spacing w:val="-5"/>
          <w:w w:val="101"/>
        </w:rPr>
        <w:t>经</w:t>
      </w:r>
      <w:r>
        <w:rPr>
          <w:w w:val="101"/>
        </w:rPr>
        <w:t>纪、</w:t>
      </w:r>
      <w:r>
        <w:rPr/>
      </w:r>
    </w:p>
    <w:p>
      <w:pPr>
        <w:spacing w:after="0" w:line="240" w:lineRule="auto"/>
        <w:jc w:val="both"/>
        <w:sectPr>
          <w:footerReference w:type="default" r:id="rId16"/>
          <w:pgSz w:w="11910" w:h="16840"/>
          <w:pgMar w:footer="1186" w:header="871" w:top="1100" w:bottom="1380" w:left="980" w:right="0"/>
          <w:pgNumType w:start="15"/>
        </w:sectPr>
      </w:pPr>
    </w:p>
    <w:p>
      <w:pPr>
        <w:spacing w:line="240" w:lineRule="auto" w:before="1"/>
        <w:rPr>
          <w:rFonts w:ascii="宋体" w:hAnsi="宋体" w:cs="宋体" w:eastAsia="宋体" w:hint="default"/>
          <w:sz w:val="28"/>
          <w:szCs w:val="28"/>
        </w:rPr>
      </w:pPr>
    </w:p>
    <w:p>
      <w:pPr>
        <w:pStyle w:val="BodyText"/>
        <w:spacing w:line="475" w:lineRule="auto" w:before="46"/>
        <w:ind w:right="0"/>
        <w:jc w:val="left"/>
      </w:pPr>
      <w:r>
        <w:rPr>
          <w:spacing w:val="-4"/>
        </w:rPr>
        <w:t>证券承销与保荐、证券自营与证券资产管理。公司充分利用已有的技术和业务资源，助力东亚前海证券发展成为科技驱动的</w:t>
      </w:r>
      <w:r>
        <w:rPr>
          <w:spacing w:val="43"/>
        </w:rPr>
        <w:t> </w:t>
      </w:r>
      <w:r>
        <w:rPr>
          <w:spacing w:val="43"/>
        </w:rPr>
      </w:r>
      <w:r>
        <w:rPr>
          <w:spacing w:val="-3"/>
        </w:rPr>
        <w:t>新型券商，推动东亚前海证券业务快速发展。</w:t>
      </w:r>
    </w:p>
    <w:p>
      <w:pPr>
        <w:pStyle w:val="BodyText"/>
        <w:spacing w:line="240" w:lineRule="auto" w:before="59"/>
        <w:ind w:left="136" w:right="8226"/>
        <w:jc w:val="center"/>
      </w:pPr>
      <w:r>
        <w:rPr/>
        <w:t>（三）互联网保险业务</w:t>
      </w:r>
    </w:p>
    <w:p>
      <w:pPr>
        <w:spacing w:line="240" w:lineRule="auto" w:before="8"/>
        <w:rPr>
          <w:rFonts w:ascii="宋体" w:hAnsi="宋体" w:cs="宋体" w:eastAsia="宋体" w:hint="default"/>
          <w:sz w:val="17"/>
          <w:szCs w:val="17"/>
        </w:rPr>
      </w:pPr>
    </w:p>
    <w:p>
      <w:pPr>
        <w:pStyle w:val="BodyText"/>
        <w:spacing w:line="458" w:lineRule="auto"/>
        <w:ind w:right="1123" w:firstLine="360"/>
        <w:jc w:val="both"/>
      </w:pPr>
      <w:r>
        <w:rPr>
          <w:spacing w:val="-3"/>
        </w:rPr>
        <w:t>易安保险是本公司和光汇石油等 </w:t>
      </w:r>
      <w:r>
        <w:rPr>
          <w:rFonts w:ascii="Times New Roman" w:hAnsi="Times New Roman" w:cs="Times New Roman" w:eastAsia="Times New Roman" w:hint="default"/>
        </w:rPr>
        <w:t>7 </w:t>
      </w:r>
      <w:r>
        <w:rPr>
          <w:spacing w:val="-3"/>
        </w:rPr>
        <w:t>家公司共同发起设立的财产保险公司，注册资本人民币 </w:t>
      </w:r>
      <w:r>
        <w:rPr>
          <w:rFonts w:ascii="Times New Roman" w:hAnsi="Times New Roman" w:cs="Times New Roman" w:eastAsia="Times New Roman" w:hint="default"/>
        </w:rPr>
        <w:t>10 </w:t>
      </w:r>
      <w:r>
        <w:rPr>
          <w:spacing w:val="-3"/>
        </w:rPr>
        <w:t>亿元。本公司出资 </w:t>
      </w:r>
      <w:r>
        <w:rPr>
          <w:rFonts w:ascii="Times New Roman" w:hAnsi="Times New Roman" w:cs="Times New Roman" w:eastAsia="Times New Roman" w:hint="default"/>
        </w:rPr>
        <w:t>1.5</w:t>
      </w:r>
      <w:r>
        <w:rPr>
          <w:rFonts w:ascii="Times New Roman" w:hAnsi="Times New Roman" w:cs="Times New Roman" w:eastAsia="Times New Roman" w:hint="default"/>
          <w:spacing w:val="-27"/>
        </w:rPr>
        <w:t> </w:t>
      </w:r>
      <w:r>
        <w:rPr/>
        <w:t>亿</w:t>
      </w:r>
      <w:r>
        <w:rPr>
          <w:w w:val="101"/>
        </w:rPr>
        <w:t> </w:t>
      </w:r>
      <w:r>
        <w:rPr>
          <w:spacing w:val="-6"/>
        </w:rPr>
        <w:t>元，持股权比例 </w:t>
      </w:r>
      <w:r>
        <w:rPr>
          <w:rFonts w:ascii="Times New Roman" w:hAnsi="Times New Roman" w:cs="Times New Roman" w:eastAsia="Times New Roman" w:hint="default"/>
          <w:spacing w:val="-6"/>
        </w:rPr>
        <w:t>15%</w:t>
      </w:r>
      <w:r>
        <w:rPr>
          <w:spacing w:val="-6"/>
        </w:rPr>
        <w:t>。</w:t>
      </w:r>
      <w:r>
        <w:rPr>
          <w:rFonts w:ascii="Times New Roman" w:hAnsi="Times New Roman" w:cs="Times New Roman" w:eastAsia="Times New Roman" w:hint="default"/>
          <w:spacing w:val="-6"/>
        </w:rPr>
        <w:t>2016 </w:t>
      </w:r>
      <w:r>
        <w:rPr/>
        <w:t>年 </w:t>
      </w:r>
      <w:r>
        <w:rPr>
          <w:rFonts w:ascii="Times New Roman" w:hAnsi="Times New Roman" w:cs="Times New Roman" w:eastAsia="Times New Roman" w:hint="default"/>
        </w:rPr>
        <w:t>2 </w:t>
      </w:r>
      <w:r>
        <w:rPr>
          <w:spacing w:val="-5"/>
        </w:rPr>
        <w:t>月，易安保险经中国保监会批准正式开业运营，是目前国内四家经中国保监会批准开展“与</w:t>
      </w:r>
      <w:r>
        <w:rPr>
          <w:spacing w:val="-61"/>
        </w:rPr>
        <w:t> </w:t>
      </w:r>
      <w:r>
        <w:rPr>
          <w:spacing w:val="-61"/>
        </w:rPr>
      </w:r>
      <w:r>
        <w:rPr>
          <w:spacing w:val="-8"/>
          <w:w w:val="101"/>
        </w:rPr>
        <w:t>互联网交易直接相关的”保险业务（“互联网保险”）的财产保险公司之一。易安保险的营业范围包括与互联网交易直接相关</w:t>
      </w:r>
      <w:r>
        <w:rPr>
          <w:spacing w:val="-51"/>
          <w:w w:val="101"/>
        </w:rPr>
        <w:t> </w:t>
      </w:r>
      <w:r>
        <w:rPr>
          <w:spacing w:val="-51"/>
          <w:w w:val="101"/>
        </w:rPr>
      </w:r>
      <w:r>
        <w:rPr>
          <w:spacing w:val="-3"/>
        </w:rPr>
        <w:t>的企业</w:t>
      </w:r>
      <w:r>
        <w:rPr>
          <w:rFonts w:ascii="Times New Roman" w:hAnsi="Times New Roman" w:cs="Times New Roman" w:eastAsia="Times New Roman" w:hint="default"/>
          <w:spacing w:val="-3"/>
        </w:rPr>
        <w:t>/</w:t>
      </w:r>
      <w:r>
        <w:rPr>
          <w:spacing w:val="-3"/>
        </w:rPr>
        <w:t>家庭财产保险、货运保险、责任保险、信用保证保险、短期健康</w:t>
      </w:r>
      <w:r>
        <w:rPr>
          <w:rFonts w:ascii="Times New Roman" w:hAnsi="Times New Roman" w:cs="Times New Roman" w:eastAsia="Times New Roman" w:hint="default"/>
          <w:spacing w:val="-3"/>
        </w:rPr>
        <w:t>/</w:t>
      </w:r>
      <w:r>
        <w:rPr>
          <w:spacing w:val="-3"/>
        </w:rPr>
        <w:t>意外伤害保险；上述业务的再保险分出和再保险分</w:t>
      </w:r>
      <w:r>
        <w:rPr>
          <w:spacing w:val="67"/>
        </w:rPr>
        <w:t> </w:t>
      </w:r>
      <w:r>
        <w:rPr>
          <w:spacing w:val="67"/>
        </w:rPr>
      </w:r>
      <w:r>
        <w:rPr>
          <w:spacing w:val="-5"/>
          <w:w w:val="101"/>
        </w:rPr>
        <w:t>入业务（仅限临时分保分入）；国家法律、法规允许的保险资金运用业务；经中国保险监督管理委员会批准的其他业务。</w:t>
      </w:r>
      <w:r>
        <w:rPr>
          <w:spacing w:val="-5"/>
        </w:rPr>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23"/>
          <w:szCs w:val="23"/>
        </w:rPr>
      </w:pPr>
    </w:p>
    <w:p>
      <w:pPr>
        <w:pStyle w:val="BodyText"/>
        <w:spacing w:line="477" w:lineRule="auto"/>
        <w:ind w:right="1124" w:firstLine="360"/>
        <w:jc w:val="both"/>
      </w:pPr>
      <w:r>
        <w:rPr>
          <w:spacing w:val="-4"/>
        </w:rPr>
        <w:t>本公司通过以上业务开展，以及对金融基础服务和金融机构的战略投资，已经逐步在金融科技服务领域形成了比较完整</w:t>
      </w:r>
      <w:r>
        <w:rPr>
          <w:w w:val="101"/>
        </w:rPr>
        <w:t> </w:t>
      </w:r>
      <w:r>
        <w:rPr>
          <w:spacing w:val="-4"/>
        </w:rPr>
        <w:t>的业务布局，构建了以技术、客户资源、牌照为基石，通过整合资源、协同创新向客户提供软硬件产品、技术开发、系统运</w:t>
      </w:r>
      <w:r>
        <w:rPr>
          <w:spacing w:val="40"/>
        </w:rPr>
        <w:t> </w:t>
      </w:r>
      <w:r>
        <w:rPr>
          <w:spacing w:val="40"/>
        </w:rPr>
      </w:r>
      <w:r>
        <w:rPr>
          <w:spacing w:val="-3"/>
        </w:rPr>
        <w:t>维、数据分析等综合服务的业务格局，为公司以金融科技为核心的业务发展开创了广阔的发展空间。</w:t>
      </w:r>
    </w:p>
    <w:p>
      <w:pPr>
        <w:spacing w:line="240" w:lineRule="auto" w:before="13"/>
        <w:rPr>
          <w:rFonts w:ascii="宋体" w:hAnsi="宋体" w:cs="宋体" w:eastAsia="宋体" w:hint="default"/>
          <w:sz w:val="16"/>
          <w:szCs w:val="16"/>
        </w:rPr>
      </w:pPr>
    </w:p>
    <w:p>
      <w:pPr>
        <w:pStyle w:val="Heading2"/>
        <w:spacing w:line="240" w:lineRule="auto"/>
        <w:ind w:right="0"/>
        <w:jc w:val="left"/>
        <w:rPr>
          <w:b w:val="0"/>
          <w:bCs w:val="0"/>
        </w:rPr>
      </w:pPr>
      <w:bookmarkStart w:name="二、主要资产重大变化情况" w:id="18"/>
      <w:bookmarkEnd w:id="18"/>
      <w:r>
        <w:rPr>
          <w:b w:val="0"/>
          <w:bCs w:val="0"/>
        </w:rPr>
      </w:r>
      <w:r>
        <w:rPr/>
        <w:t>二、主要资产重大变化情况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left"/>
        <w:rPr>
          <w:b w:val="0"/>
          <w:bCs w:val="0"/>
        </w:rPr>
      </w:pPr>
      <w:bookmarkStart w:name="1、主要资产重大变化情况" w:id="19"/>
      <w:bookmarkEnd w:id="19"/>
      <w:r>
        <w:rPr>
          <w:b w:val="0"/>
          <w:bCs w:val="0"/>
        </w:rPr>
      </w:r>
      <w:r>
        <w:rPr>
          <w:rFonts w:ascii="Times New Roman" w:hAnsi="Times New Roman" w:cs="Times New Roman" w:eastAsia="Times New Roman" w:hint="default"/>
        </w:rPr>
        <w:t>1</w:t>
      </w:r>
      <w:r>
        <w:rPr/>
        <w:t>、主要资产重大变化情况</w:t>
      </w:r>
      <w:r>
        <w:rPr>
          <w:b w:val="0"/>
          <w:bCs w:val="0"/>
        </w:rPr>
      </w:r>
    </w:p>
    <w:p>
      <w:pPr>
        <w:spacing w:line="240" w:lineRule="auto" w:before="11"/>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3054"/>
        <w:gridCol w:w="6516"/>
      </w:tblGrid>
      <w:tr>
        <w:trPr>
          <w:trHeight w:val="187" w:hRule="exact"/>
        </w:trPr>
        <w:tc>
          <w:tcPr>
            <w:tcW w:w="3054" w:type="dxa"/>
            <w:tcBorders>
              <w:top w:val="single" w:sz="4" w:space="0" w:color="000000"/>
              <w:left w:val="single" w:sz="4" w:space="0" w:color="000000"/>
              <w:bottom w:val="nil" w:sz="6" w:space="0" w:color="auto"/>
              <w:right w:val="single" w:sz="4" w:space="0" w:color="000000"/>
            </w:tcBorders>
            <w:shd w:val="clear" w:color="auto" w:fill="D2D2D2"/>
          </w:tcPr>
          <w:p>
            <w:pPr/>
          </w:p>
        </w:tc>
        <w:tc>
          <w:tcPr>
            <w:tcW w:w="6516"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89" w:hRule="exact"/>
        </w:trPr>
        <w:tc>
          <w:tcPr>
            <w:tcW w:w="305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主要资产</w:t>
            </w:r>
          </w:p>
        </w:tc>
        <w:tc>
          <w:tcPr>
            <w:tcW w:w="65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重大变化说明</w:t>
            </w:r>
          </w:p>
        </w:tc>
      </w:tr>
      <w:tr>
        <w:trPr>
          <w:trHeight w:val="188" w:hRule="exact"/>
        </w:trPr>
        <w:tc>
          <w:tcPr>
            <w:tcW w:w="3054" w:type="dxa"/>
            <w:tcBorders>
              <w:top w:val="nil" w:sz="6" w:space="0" w:color="auto"/>
              <w:left w:val="single" w:sz="4" w:space="0" w:color="000000"/>
              <w:bottom w:val="single" w:sz="4" w:space="0" w:color="000000"/>
              <w:right w:val="single" w:sz="4" w:space="0" w:color="000000"/>
            </w:tcBorders>
            <w:shd w:val="clear" w:color="auto" w:fill="D2D2D2"/>
          </w:tcPr>
          <w:p>
            <w:pPr/>
          </w:p>
        </w:tc>
        <w:tc>
          <w:tcPr>
            <w:tcW w:w="6516"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17" w:hRule="exact"/>
        </w:trPr>
        <w:tc>
          <w:tcPr>
            <w:tcW w:w="3054" w:type="dxa"/>
            <w:tcBorders>
              <w:top w:val="single" w:sz="4" w:space="0" w:color="000000"/>
              <w:left w:val="single" w:sz="4" w:space="0" w:color="000000"/>
              <w:bottom w:val="nil" w:sz="6" w:space="0" w:color="auto"/>
              <w:right w:val="single" w:sz="4" w:space="0" w:color="000000"/>
            </w:tcBorders>
            <w:shd w:val="clear" w:color="auto" w:fill="D2D2D2"/>
          </w:tcPr>
          <w:p>
            <w:pPr/>
          </w:p>
        </w:tc>
        <w:tc>
          <w:tcPr>
            <w:tcW w:w="6516" w:type="dxa"/>
            <w:vMerge w:val="restart"/>
            <w:tcBorders>
              <w:top w:val="single" w:sz="4" w:space="0" w:color="000000"/>
              <w:left w:val="single" w:sz="10" w:space="0" w:color="D2D2D2"/>
              <w:right w:val="single" w:sz="4" w:space="0" w:color="000000"/>
            </w:tcBorders>
          </w:tcPr>
          <w:p>
            <w:pPr>
              <w:pStyle w:val="TableParagraph"/>
              <w:spacing w:line="312" w:lineRule="auto" w:before="53"/>
              <w:ind w:left="16" w:right="18"/>
              <w:jc w:val="both"/>
              <w:rPr>
                <w:rFonts w:ascii="宋体" w:hAnsi="宋体" w:cs="宋体" w:eastAsia="宋体" w:hint="default"/>
                <w:sz w:val="18"/>
                <w:szCs w:val="18"/>
              </w:rPr>
            </w:pPr>
            <w:r>
              <w:rPr>
                <w:rFonts w:ascii="宋体" w:hAnsi="宋体" w:cs="宋体" w:eastAsia="宋体" w:hint="default"/>
                <w:sz w:val="18"/>
                <w:szCs w:val="18"/>
              </w:rPr>
              <w:t>期末余额较年初余额减少</w:t>
            </w:r>
            <w:r>
              <w:rPr>
                <w:rFonts w:ascii="宋体" w:hAnsi="宋体" w:cs="宋体" w:eastAsia="宋体" w:hint="default"/>
                <w:spacing w:val="-35"/>
                <w:sz w:val="18"/>
                <w:szCs w:val="18"/>
              </w:rPr>
              <w:t> </w:t>
            </w:r>
            <w:r>
              <w:rPr>
                <w:rFonts w:ascii="Times New Roman" w:hAnsi="Times New Roman" w:cs="Times New Roman" w:eastAsia="Times New Roman" w:hint="default"/>
                <w:sz w:val="18"/>
                <w:szCs w:val="18"/>
              </w:rPr>
              <w:t>55,810,267.06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元，下降</w:t>
            </w:r>
            <w:r>
              <w:rPr>
                <w:rFonts w:ascii="宋体" w:hAnsi="宋体" w:cs="宋体" w:eastAsia="宋体" w:hint="default"/>
                <w:spacing w:val="-35"/>
                <w:sz w:val="18"/>
                <w:szCs w:val="18"/>
              </w:rPr>
              <w:t> </w:t>
            </w:r>
            <w:r>
              <w:rPr>
                <w:rFonts w:ascii="Times New Roman" w:hAnsi="Times New Roman" w:cs="Times New Roman" w:eastAsia="Times New Roman" w:hint="default"/>
                <w:spacing w:val="-3"/>
                <w:sz w:val="18"/>
                <w:szCs w:val="18"/>
              </w:rPr>
              <w:t>10.39%</w:t>
            </w:r>
            <w:r>
              <w:rPr>
                <w:rFonts w:ascii="宋体" w:hAnsi="宋体" w:cs="宋体" w:eastAsia="宋体" w:hint="default"/>
                <w:spacing w:val="-3"/>
                <w:sz w:val="18"/>
                <w:szCs w:val="18"/>
              </w:rPr>
              <w:t>，主要原因系报告期内公</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4"/>
                <w:sz w:val="18"/>
                <w:szCs w:val="18"/>
              </w:rPr>
              <w:t>司对外投资的票联金服、智帆金科因持股比例稀释由长期股权投资权益法核算调整</w:t>
            </w:r>
            <w:r>
              <w:rPr>
                <w:rFonts w:ascii="宋体" w:hAnsi="宋体" w:cs="宋体" w:eastAsia="宋体" w:hint="default"/>
                <w:spacing w:val="30"/>
                <w:sz w:val="18"/>
                <w:szCs w:val="18"/>
              </w:rPr>
              <w:t> </w:t>
            </w:r>
            <w:r>
              <w:rPr>
                <w:rFonts w:ascii="宋体" w:hAnsi="宋体" w:cs="宋体" w:eastAsia="宋体" w:hint="default"/>
                <w:spacing w:val="30"/>
                <w:sz w:val="18"/>
                <w:szCs w:val="18"/>
              </w:rPr>
            </w:r>
            <w:r>
              <w:rPr>
                <w:rFonts w:ascii="宋体" w:hAnsi="宋体" w:cs="宋体" w:eastAsia="宋体" w:hint="default"/>
                <w:spacing w:val="-3"/>
                <w:sz w:val="18"/>
                <w:szCs w:val="18"/>
              </w:rPr>
              <w:t>为以金融工具核算所致。</w:t>
            </w:r>
          </w:p>
        </w:tc>
      </w:tr>
      <w:tr>
        <w:trPr>
          <w:trHeight w:val="394" w:hRule="exact"/>
        </w:trPr>
        <w:tc>
          <w:tcPr>
            <w:tcW w:w="305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股权资产</w:t>
            </w:r>
          </w:p>
        </w:tc>
        <w:tc>
          <w:tcPr>
            <w:tcW w:w="6516" w:type="dxa"/>
            <w:vMerge/>
            <w:tcBorders>
              <w:left w:val="single" w:sz="10" w:space="0" w:color="D2D2D2"/>
              <w:right w:val="single" w:sz="4" w:space="0" w:color="000000"/>
            </w:tcBorders>
          </w:tcPr>
          <w:p>
            <w:pPr/>
          </w:p>
        </w:tc>
      </w:tr>
      <w:tr>
        <w:trPr>
          <w:trHeight w:val="317" w:hRule="exact"/>
        </w:trPr>
        <w:tc>
          <w:tcPr>
            <w:tcW w:w="3054" w:type="dxa"/>
            <w:tcBorders>
              <w:top w:val="nil" w:sz="6" w:space="0" w:color="auto"/>
              <w:left w:val="single" w:sz="4" w:space="0" w:color="000000"/>
              <w:bottom w:val="single" w:sz="4" w:space="0" w:color="000000"/>
              <w:right w:val="single" w:sz="4" w:space="0" w:color="000000"/>
            </w:tcBorders>
            <w:shd w:val="clear" w:color="auto" w:fill="D2D2D2"/>
          </w:tcPr>
          <w:p>
            <w:pPr/>
          </w:p>
        </w:tc>
        <w:tc>
          <w:tcPr>
            <w:tcW w:w="6516" w:type="dxa"/>
            <w:vMerge/>
            <w:tcBorders>
              <w:left w:val="single" w:sz="10" w:space="0" w:color="D2D2D2"/>
              <w:bottom w:val="single" w:sz="4" w:space="0" w:color="000000"/>
              <w:right w:val="single" w:sz="4" w:space="0" w:color="000000"/>
            </w:tcBorders>
          </w:tcPr>
          <w:p>
            <w:pPr/>
          </w:p>
        </w:tc>
      </w:tr>
      <w:tr>
        <w:trPr>
          <w:trHeight w:val="163" w:hRule="exact"/>
        </w:trPr>
        <w:tc>
          <w:tcPr>
            <w:tcW w:w="3054" w:type="dxa"/>
            <w:tcBorders>
              <w:top w:val="single" w:sz="4" w:space="0" w:color="000000"/>
              <w:left w:val="single" w:sz="4" w:space="0" w:color="000000"/>
              <w:bottom w:val="nil" w:sz="6" w:space="0" w:color="auto"/>
              <w:right w:val="single" w:sz="4" w:space="0" w:color="000000"/>
            </w:tcBorders>
            <w:shd w:val="clear" w:color="auto" w:fill="D2D2D2"/>
          </w:tcPr>
          <w:p>
            <w:pPr/>
          </w:p>
        </w:tc>
        <w:tc>
          <w:tcPr>
            <w:tcW w:w="6516" w:type="dxa"/>
            <w:vMerge w:val="restart"/>
            <w:tcBorders>
              <w:top w:val="single" w:sz="4" w:space="0" w:color="000000"/>
              <w:left w:val="single" w:sz="10" w:space="0" w:color="D2D2D2"/>
              <w:right w:val="single" w:sz="4" w:space="0" w:color="000000"/>
            </w:tcBorders>
          </w:tcPr>
          <w:p>
            <w:pPr>
              <w:pStyle w:val="TableParagraph"/>
              <w:spacing w:line="300" w:lineRule="auto" w:before="53"/>
              <w:ind w:left="16" w:right="17"/>
              <w:jc w:val="left"/>
              <w:rPr>
                <w:rFonts w:ascii="宋体" w:hAnsi="宋体" w:cs="宋体" w:eastAsia="宋体" w:hint="default"/>
                <w:sz w:val="18"/>
                <w:szCs w:val="18"/>
              </w:rPr>
            </w:pPr>
            <w:r>
              <w:rPr>
                <w:rFonts w:ascii="宋体" w:hAnsi="宋体" w:cs="宋体" w:eastAsia="宋体" w:hint="default"/>
                <w:sz w:val="18"/>
                <w:szCs w:val="18"/>
              </w:rPr>
              <w:t>期末余额较年初余额增加</w:t>
            </w:r>
            <w:r>
              <w:rPr>
                <w:rFonts w:ascii="宋体" w:hAnsi="宋体" w:cs="宋体" w:eastAsia="宋体" w:hint="default"/>
                <w:spacing w:val="-30"/>
                <w:sz w:val="18"/>
                <w:szCs w:val="18"/>
              </w:rPr>
              <w:t> </w:t>
            </w:r>
            <w:r>
              <w:rPr>
                <w:rFonts w:ascii="Times New Roman" w:hAnsi="Times New Roman" w:cs="Times New Roman" w:eastAsia="Times New Roman" w:hint="default"/>
                <w:sz w:val="18"/>
                <w:szCs w:val="18"/>
              </w:rPr>
              <w:t>3,744,051.03</w:t>
            </w:r>
            <w:r>
              <w:rPr>
                <w:rFonts w:ascii="Times New Roman" w:hAnsi="Times New Roman" w:cs="Times New Roman" w:eastAsia="Times New Roman" w:hint="default"/>
                <w:spacing w:val="15"/>
                <w:sz w:val="18"/>
                <w:szCs w:val="18"/>
              </w:rPr>
              <w:t> </w:t>
            </w:r>
            <w:r>
              <w:rPr>
                <w:rFonts w:ascii="宋体" w:hAnsi="宋体" w:cs="宋体" w:eastAsia="宋体" w:hint="default"/>
                <w:spacing w:val="-7"/>
                <w:sz w:val="18"/>
                <w:szCs w:val="18"/>
              </w:rPr>
              <w:t>元，增长</w:t>
            </w:r>
            <w:r>
              <w:rPr>
                <w:rFonts w:ascii="宋体" w:hAnsi="宋体" w:cs="宋体" w:eastAsia="宋体" w:hint="default"/>
                <w:spacing w:val="-30"/>
                <w:sz w:val="18"/>
                <w:szCs w:val="18"/>
              </w:rPr>
              <w:t> </w:t>
            </w:r>
            <w:r>
              <w:rPr>
                <w:rFonts w:ascii="Times New Roman" w:hAnsi="Times New Roman" w:cs="Times New Roman" w:eastAsia="Times New Roman" w:hint="default"/>
                <w:spacing w:val="-4"/>
                <w:sz w:val="18"/>
                <w:szCs w:val="18"/>
              </w:rPr>
              <w:t>27.59%</w:t>
            </w:r>
            <w:r>
              <w:rPr>
                <w:rFonts w:ascii="宋体" w:hAnsi="宋体" w:cs="宋体" w:eastAsia="宋体" w:hint="default"/>
                <w:spacing w:val="-4"/>
                <w:sz w:val="18"/>
                <w:szCs w:val="18"/>
              </w:rPr>
              <w:t>，主要原因系公司购置的人</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3"/>
                <w:sz w:val="18"/>
                <w:szCs w:val="18"/>
              </w:rPr>
              <w:t>才安居房本期转入固定资产核算所致。</w:t>
            </w:r>
          </w:p>
        </w:tc>
      </w:tr>
      <w:tr>
        <w:trPr>
          <w:trHeight w:val="389" w:hRule="exact"/>
        </w:trPr>
        <w:tc>
          <w:tcPr>
            <w:tcW w:w="305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6516" w:type="dxa"/>
            <w:vMerge/>
            <w:tcBorders>
              <w:left w:val="single" w:sz="10" w:space="0" w:color="D2D2D2"/>
              <w:right w:val="single" w:sz="4" w:space="0" w:color="000000"/>
            </w:tcBorders>
          </w:tcPr>
          <w:p>
            <w:pPr/>
          </w:p>
        </w:tc>
      </w:tr>
      <w:tr>
        <w:trPr>
          <w:trHeight w:val="164" w:hRule="exact"/>
        </w:trPr>
        <w:tc>
          <w:tcPr>
            <w:tcW w:w="3054" w:type="dxa"/>
            <w:tcBorders>
              <w:top w:val="nil" w:sz="6" w:space="0" w:color="auto"/>
              <w:left w:val="single" w:sz="4" w:space="0" w:color="000000"/>
              <w:bottom w:val="single" w:sz="4" w:space="0" w:color="000000"/>
              <w:right w:val="single" w:sz="4" w:space="0" w:color="000000"/>
            </w:tcBorders>
            <w:shd w:val="clear" w:color="auto" w:fill="D2D2D2"/>
          </w:tcPr>
          <w:p>
            <w:pPr/>
          </w:p>
        </w:tc>
        <w:tc>
          <w:tcPr>
            <w:tcW w:w="6516" w:type="dxa"/>
            <w:vMerge/>
            <w:tcBorders>
              <w:left w:val="single" w:sz="10" w:space="0" w:color="D2D2D2"/>
              <w:bottom w:val="single" w:sz="4" w:space="0" w:color="000000"/>
              <w:right w:val="single" w:sz="4" w:space="0" w:color="000000"/>
            </w:tcBorders>
          </w:tcPr>
          <w:p>
            <w:pPr/>
          </w:p>
        </w:tc>
      </w:tr>
      <w:tr>
        <w:trPr>
          <w:trHeight w:val="398" w:hRule="exact"/>
        </w:trPr>
        <w:tc>
          <w:tcPr>
            <w:tcW w:w="3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6516" w:type="dxa"/>
            <w:tcBorders>
              <w:top w:val="single" w:sz="4" w:space="0" w:color="000000"/>
              <w:left w:val="single" w:sz="13" w:space="0" w:color="D2D2D2"/>
              <w:bottom w:val="single" w:sz="4" w:space="0" w:color="000000"/>
              <w:right w:val="single" w:sz="4" w:space="0" w:color="000000"/>
            </w:tcBorders>
          </w:tcPr>
          <w:p>
            <w:pPr/>
          </w:p>
        </w:tc>
      </w:tr>
      <w:tr>
        <w:trPr>
          <w:trHeight w:val="403" w:hRule="exact"/>
        </w:trPr>
        <w:tc>
          <w:tcPr>
            <w:tcW w:w="3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6516" w:type="dxa"/>
            <w:tcBorders>
              <w:top w:val="single" w:sz="4" w:space="0" w:color="000000"/>
              <w:left w:val="single" w:sz="13" w:space="0" w:color="D2D2D2"/>
              <w:bottom w:val="single" w:sz="4" w:space="0" w:color="000000"/>
              <w:right w:val="single" w:sz="4" w:space="0" w:color="000000"/>
            </w:tcBorders>
          </w:tcPr>
          <w:p>
            <w:pPr/>
          </w:p>
        </w:tc>
      </w:tr>
      <w:tr>
        <w:trPr>
          <w:trHeight w:val="1028" w:hRule="exact"/>
        </w:trPr>
        <w:tc>
          <w:tcPr>
            <w:tcW w:w="305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6516"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3"/>
              <w:ind w:left="23" w:right="13"/>
              <w:jc w:val="both"/>
              <w:rPr>
                <w:rFonts w:ascii="宋体" w:hAnsi="宋体" w:cs="宋体" w:eastAsia="宋体" w:hint="default"/>
                <w:sz w:val="18"/>
                <w:szCs w:val="18"/>
              </w:rPr>
            </w:pPr>
            <w:r>
              <w:rPr>
                <w:rFonts w:ascii="宋体" w:hAnsi="宋体" w:cs="宋体" w:eastAsia="宋体" w:hint="default"/>
                <w:sz w:val="18"/>
                <w:szCs w:val="18"/>
              </w:rPr>
              <w:t>期末余额较年初余额减少</w:t>
            </w:r>
            <w:r>
              <w:rPr>
                <w:rFonts w:ascii="宋体" w:hAnsi="宋体" w:cs="宋体" w:eastAsia="宋体" w:hint="default"/>
                <w:spacing w:val="-31"/>
                <w:sz w:val="18"/>
                <w:szCs w:val="18"/>
              </w:rPr>
              <w:t> </w:t>
            </w:r>
            <w:r>
              <w:rPr>
                <w:rFonts w:ascii="Times New Roman" w:hAnsi="Times New Roman" w:cs="Times New Roman" w:eastAsia="Times New Roman" w:hint="default"/>
                <w:sz w:val="18"/>
                <w:szCs w:val="18"/>
              </w:rPr>
              <w:t>107,922,480.22</w:t>
            </w:r>
            <w:r>
              <w:rPr>
                <w:rFonts w:ascii="Times New Roman" w:hAnsi="Times New Roman" w:cs="Times New Roman" w:eastAsia="Times New Roman" w:hint="default"/>
                <w:spacing w:val="14"/>
                <w:sz w:val="18"/>
                <w:szCs w:val="18"/>
              </w:rPr>
              <w:t> </w:t>
            </w:r>
            <w:r>
              <w:rPr>
                <w:rFonts w:ascii="宋体" w:hAnsi="宋体" w:cs="宋体" w:eastAsia="宋体" w:hint="default"/>
                <w:spacing w:val="-7"/>
                <w:sz w:val="18"/>
                <w:szCs w:val="18"/>
              </w:rPr>
              <w:t>元，下降</w:t>
            </w:r>
            <w:r>
              <w:rPr>
                <w:rFonts w:ascii="宋体" w:hAnsi="宋体" w:cs="宋体" w:eastAsia="宋体" w:hint="default"/>
                <w:spacing w:val="-31"/>
                <w:sz w:val="18"/>
                <w:szCs w:val="18"/>
              </w:rPr>
              <w:t> </w:t>
            </w:r>
            <w:r>
              <w:rPr>
                <w:rFonts w:ascii="Times New Roman" w:hAnsi="Times New Roman" w:cs="Times New Roman" w:eastAsia="Times New Roman" w:hint="default"/>
                <w:spacing w:val="-4"/>
                <w:sz w:val="18"/>
                <w:szCs w:val="18"/>
              </w:rPr>
              <w:t>27.66%</w:t>
            </w:r>
            <w:r>
              <w:rPr>
                <w:rFonts w:ascii="宋体" w:hAnsi="宋体" w:cs="宋体" w:eastAsia="宋体" w:hint="default"/>
                <w:spacing w:val="-4"/>
                <w:sz w:val="18"/>
                <w:szCs w:val="18"/>
              </w:rPr>
              <w:t>，主要原因系报告期内公</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3"/>
                <w:sz w:val="18"/>
                <w:szCs w:val="18"/>
              </w:rPr>
              <w:t>司兑付上年度开具的银行承兑汇票、偿还银行借款、股利分配、及销售收入下降引</w:t>
            </w:r>
            <w:r>
              <w:rPr>
                <w:rFonts w:ascii="宋体" w:hAnsi="宋体" w:cs="宋体" w:eastAsia="宋体" w:hint="default"/>
                <w:spacing w:val="-1"/>
                <w:sz w:val="18"/>
                <w:szCs w:val="18"/>
              </w:rPr>
              <w:t> </w:t>
            </w:r>
            <w:r>
              <w:rPr>
                <w:rFonts w:ascii="宋体" w:hAnsi="宋体" w:cs="宋体" w:eastAsia="宋体" w:hint="default"/>
                <w:spacing w:val="-1"/>
                <w:sz w:val="18"/>
                <w:szCs w:val="18"/>
              </w:rPr>
            </w:r>
            <w:r>
              <w:rPr>
                <w:rFonts w:ascii="宋体" w:hAnsi="宋体" w:cs="宋体" w:eastAsia="宋体" w:hint="default"/>
                <w:sz w:val="18"/>
                <w:szCs w:val="18"/>
              </w:rPr>
              <w:t>起回款减少所致。</w:t>
            </w:r>
          </w:p>
        </w:tc>
      </w:tr>
      <w:tr>
        <w:trPr>
          <w:trHeight w:val="1027" w:hRule="exact"/>
        </w:trPr>
        <w:tc>
          <w:tcPr>
            <w:tcW w:w="305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6516"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3"/>
              <w:ind w:left="23" w:right="70"/>
              <w:jc w:val="left"/>
              <w:rPr>
                <w:rFonts w:ascii="宋体" w:hAnsi="宋体" w:cs="宋体" w:eastAsia="宋体" w:hint="default"/>
                <w:sz w:val="18"/>
                <w:szCs w:val="18"/>
              </w:rPr>
            </w:pPr>
            <w:r>
              <w:rPr>
                <w:rFonts w:ascii="宋体" w:hAnsi="宋体" w:cs="宋体" w:eastAsia="宋体" w:hint="default"/>
                <w:sz w:val="18"/>
                <w:szCs w:val="18"/>
              </w:rPr>
              <w:t>期末余额较年初余额增加</w:t>
            </w:r>
            <w:r>
              <w:rPr>
                <w:rFonts w:ascii="宋体" w:hAnsi="宋体" w:cs="宋体" w:eastAsia="宋体" w:hint="default"/>
                <w:spacing w:val="-30"/>
                <w:sz w:val="18"/>
                <w:szCs w:val="18"/>
              </w:rPr>
              <w:t> </w:t>
            </w:r>
            <w:r>
              <w:rPr>
                <w:rFonts w:ascii="Times New Roman" w:hAnsi="Times New Roman" w:cs="Times New Roman" w:eastAsia="Times New Roman" w:hint="default"/>
                <w:sz w:val="18"/>
                <w:szCs w:val="18"/>
              </w:rPr>
              <w:t>70,051,393.38</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元，增长</w:t>
            </w:r>
            <w:r>
              <w:rPr>
                <w:rFonts w:ascii="宋体" w:hAnsi="宋体" w:cs="宋体" w:eastAsia="宋体" w:hint="default"/>
                <w:spacing w:val="-30"/>
                <w:sz w:val="18"/>
                <w:szCs w:val="18"/>
              </w:rPr>
              <w:t> </w:t>
            </w:r>
            <w:r>
              <w:rPr>
                <w:rFonts w:ascii="Times New Roman" w:hAnsi="Times New Roman" w:cs="Times New Roman" w:eastAsia="Times New Roman" w:hint="default"/>
                <w:spacing w:val="-3"/>
                <w:sz w:val="18"/>
                <w:szCs w:val="18"/>
              </w:rPr>
              <w:t>57.74%</w:t>
            </w:r>
            <w:r>
              <w:rPr>
                <w:rFonts w:ascii="宋体" w:hAnsi="宋体" w:cs="宋体" w:eastAsia="宋体" w:hint="default"/>
                <w:spacing w:val="-3"/>
                <w:sz w:val="18"/>
                <w:szCs w:val="18"/>
              </w:rPr>
              <w:t>，主要原因系报告期内公</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3"/>
                <w:sz w:val="18"/>
                <w:szCs w:val="18"/>
              </w:rPr>
              <w:t>司金融信息化业务支付的货款和公司子公司亿美软通预付特定电信运营商的通讯</w:t>
            </w:r>
            <w:r>
              <w:rPr>
                <w:rFonts w:ascii="宋体" w:hAnsi="宋体" w:cs="宋体" w:eastAsia="宋体" w:hint="default"/>
                <w:spacing w:val="13"/>
                <w:sz w:val="18"/>
                <w:szCs w:val="18"/>
              </w:rPr>
              <w:t> </w:t>
            </w:r>
            <w:r>
              <w:rPr>
                <w:rFonts w:ascii="宋体" w:hAnsi="宋体" w:cs="宋体" w:eastAsia="宋体" w:hint="default"/>
                <w:spacing w:val="13"/>
                <w:sz w:val="18"/>
                <w:szCs w:val="18"/>
              </w:rPr>
            </w:r>
            <w:r>
              <w:rPr>
                <w:rFonts w:ascii="宋体" w:hAnsi="宋体" w:cs="宋体" w:eastAsia="宋体" w:hint="default"/>
                <w:spacing w:val="-3"/>
                <w:sz w:val="18"/>
                <w:szCs w:val="18"/>
              </w:rPr>
              <w:t>服务运营成本增加所致。</w:t>
            </w:r>
          </w:p>
        </w:tc>
      </w:tr>
      <w:tr>
        <w:trPr>
          <w:trHeight w:val="1023" w:hRule="exact"/>
        </w:trPr>
        <w:tc>
          <w:tcPr>
            <w:tcW w:w="305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1"/>
              <w:ind w:left="24"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6516"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3"/>
              <w:ind w:left="23" w:right="18"/>
              <w:jc w:val="both"/>
              <w:rPr>
                <w:rFonts w:ascii="宋体" w:hAnsi="宋体" w:cs="宋体" w:eastAsia="宋体" w:hint="default"/>
                <w:sz w:val="18"/>
                <w:szCs w:val="18"/>
              </w:rPr>
            </w:pPr>
            <w:r>
              <w:rPr>
                <w:rFonts w:ascii="宋体" w:hAnsi="宋体" w:cs="宋体" w:eastAsia="宋体" w:hint="default"/>
                <w:sz w:val="18"/>
                <w:szCs w:val="18"/>
              </w:rPr>
              <w:t>期末余额较年初余额减少</w:t>
            </w:r>
            <w:r>
              <w:rPr>
                <w:rFonts w:ascii="宋体" w:hAnsi="宋体" w:cs="宋体" w:eastAsia="宋体" w:hint="default"/>
                <w:spacing w:val="-34"/>
                <w:sz w:val="18"/>
                <w:szCs w:val="18"/>
              </w:rPr>
              <w:t> </w:t>
            </w:r>
            <w:r>
              <w:rPr>
                <w:rFonts w:ascii="Times New Roman" w:hAnsi="Times New Roman" w:cs="Times New Roman" w:eastAsia="Times New Roman" w:hint="default"/>
                <w:sz w:val="18"/>
                <w:szCs w:val="18"/>
              </w:rPr>
              <w:t>26,662,125.89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元，下降</w:t>
            </w:r>
            <w:r>
              <w:rPr>
                <w:rFonts w:ascii="宋体" w:hAnsi="宋体" w:cs="宋体" w:eastAsia="宋体" w:hint="default"/>
                <w:spacing w:val="-34"/>
                <w:sz w:val="18"/>
                <w:szCs w:val="18"/>
              </w:rPr>
              <w:t> </w:t>
            </w:r>
            <w:r>
              <w:rPr>
                <w:rFonts w:ascii="Times New Roman" w:hAnsi="Times New Roman" w:cs="Times New Roman" w:eastAsia="Times New Roman" w:hint="default"/>
                <w:spacing w:val="-3"/>
                <w:sz w:val="18"/>
                <w:szCs w:val="18"/>
              </w:rPr>
              <w:t>20.91%</w:t>
            </w:r>
            <w:r>
              <w:rPr>
                <w:rFonts w:ascii="宋体" w:hAnsi="宋体" w:cs="宋体" w:eastAsia="宋体" w:hint="default"/>
                <w:spacing w:val="-3"/>
                <w:sz w:val="18"/>
                <w:szCs w:val="18"/>
              </w:rPr>
              <w:t>，主要原因系上年度公司</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pacing w:val="-4"/>
                <w:sz w:val="18"/>
                <w:szCs w:val="18"/>
              </w:rPr>
              <w:t>金融信息化业务为招商银行、中国平安银行储备的存货于报告期内对外实现销售以</w:t>
            </w:r>
            <w:r>
              <w:rPr>
                <w:rFonts w:ascii="宋体" w:hAnsi="宋体" w:cs="宋体" w:eastAsia="宋体" w:hint="default"/>
                <w:spacing w:val="30"/>
                <w:sz w:val="18"/>
                <w:szCs w:val="18"/>
              </w:rPr>
              <w:t> </w:t>
            </w:r>
            <w:r>
              <w:rPr>
                <w:rFonts w:ascii="宋体" w:hAnsi="宋体" w:cs="宋体" w:eastAsia="宋体" w:hint="default"/>
                <w:spacing w:val="30"/>
                <w:sz w:val="18"/>
                <w:szCs w:val="18"/>
              </w:rPr>
            </w:r>
            <w:r>
              <w:rPr>
                <w:rFonts w:ascii="宋体" w:hAnsi="宋体" w:cs="宋体" w:eastAsia="宋体" w:hint="default"/>
                <w:spacing w:val="-3"/>
                <w:sz w:val="18"/>
                <w:szCs w:val="18"/>
              </w:rPr>
              <w:t>及报告期内公司子公司安科创新加强存货管理，清理库存所致。</w:t>
            </w:r>
          </w:p>
        </w:tc>
      </w:tr>
      <w:tr>
        <w:trPr>
          <w:trHeight w:val="403" w:hRule="exact"/>
        </w:trPr>
        <w:tc>
          <w:tcPr>
            <w:tcW w:w="305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6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4" w:right="0"/>
              <w:jc w:val="center"/>
              <w:rPr>
                <w:rFonts w:ascii="宋体" w:hAnsi="宋体" w:cs="宋体" w:eastAsia="宋体" w:hint="default"/>
                <w:sz w:val="18"/>
                <w:szCs w:val="18"/>
              </w:rPr>
            </w:pPr>
            <w:r>
              <w:rPr>
                <w:rFonts w:ascii="宋体" w:hAnsi="宋体" w:cs="宋体" w:eastAsia="宋体" w:hint="default"/>
                <w:sz w:val="18"/>
                <w:szCs w:val="18"/>
              </w:rPr>
              <w:t>期末余额较年初余额增加 </w:t>
            </w:r>
            <w:r>
              <w:rPr>
                <w:rFonts w:ascii="Times New Roman" w:hAnsi="Times New Roman" w:cs="Times New Roman" w:eastAsia="Times New Roman" w:hint="default"/>
                <w:sz w:val="18"/>
                <w:szCs w:val="18"/>
              </w:rPr>
              <w:t>42,250,014.54 </w:t>
            </w:r>
            <w:r>
              <w:rPr>
                <w:rFonts w:ascii="宋体" w:hAnsi="宋体" w:cs="宋体" w:eastAsia="宋体" w:hint="default"/>
                <w:spacing w:val="-5"/>
                <w:sz w:val="18"/>
                <w:szCs w:val="18"/>
              </w:rPr>
              <w:t>元，增长</w:t>
            </w:r>
            <w:r>
              <w:rPr>
                <w:rFonts w:ascii="宋体" w:hAnsi="宋体" w:cs="宋体" w:eastAsia="宋体" w:hint="default"/>
                <w:spacing w:val="-39"/>
                <w:sz w:val="18"/>
                <w:szCs w:val="18"/>
              </w:rPr>
              <w:t> </w:t>
            </w:r>
            <w:r>
              <w:rPr>
                <w:rFonts w:ascii="Times New Roman" w:hAnsi="Times New Roman" w:cs="Times New Roman" w:eastAsia="Times New Roman" w:hint="default"/>
                <w:spacing w:val="-4"/>
                <w:sz w:val="18"/>
                <w:szCs w:val="18"/>
              </w:rPr>
              <w:t>140.83%</w:t>
            </w:r>
            <w:r>
              <w:rPr>
                <w:rFonts w:ascii="宋体" w:hAnsi="宋体" w:cs="宋体" w:eastAsia="宋体" w:hint="default"/>
                <w:spacing w:val="-4"/>
                <w:sz w:val="18"/>
                <w:szCs w:val="18"/>
              </w:rPr>
              <w:t>，主要原因系报告期内公</w:t>
            </w:r>
          </w:p>
        </w:tc>
      </w:tr>
    </w:tbl>
    <w:p>
      <w:pPr>
        <w:spacing w:after="0" w:line="240" w:lineRule="auto"/>
        <w:jc w:val="center"/>
        <w:rPr>
          <w:rFonts w:ascii="宋体" w:hAnsi="宋体" w:cs="宋体" w:eastAsia="宋体" w:hint="default"/>
          <w:sz w:val="18"/>
          <w:szCs w:val="18"/>
        </w:rPr>
        <w:sectPr>
          <w:pgSz w:w="11910" w:h="16840"/>
          <w:pgMar w:header="871" w:footer="1186" w:top="1100" w:bottom="1380" w:left="980" w:right="0"/>
        </w:sectPr>
      </w:pPr>
    </w:p>
    <w:p>
      <w:pPr>
        <w:spacing w:line="240" w:lineRule="auto" w:before="8"/>
        <w:rPr>
          <w:rFonts w:ascii="宋体" w:hAnsi="宋体" w:cs="宋体" w:eastAsia="宋体" w:hint="default"/>
          <w:b/>
          <w:bCs/>
          <w:sz w:val="24"/>
          <w:szCs w:val="24"/>
        </w:rPr>
      </w:pPr>
    </w:p>
    <w:tbl>
      <w:tblPr>
        <w:tblW w:w="0" w:type="auto"/>
        <w:jc w:val="left"/>
        <w:tblInd w:w="148" w:type="dxa"/>
        <w:tblLayout w:type="fixed"/>
        <w:tblCellMar>
          <w:top w:w="0" w:type="dxa"/>
          <w:left w:w="0" w:type="dxa"/>
          <w:bottom w:w="0" w:type="dxa"/>
          <w:right w:w="0" w:type="dxa"/>
        </w:tblCellMar>
        <w:tblLook w:val="01E0"/>
      </w:tblPr>
      <w:tblGrid>
        <w:gridCol w:w="3054"/>
        <w:gridCol w:w="6516"/>
      </w:tblGrid>
      <w:tr>
        <w:trPr>
          <w:trHeight w:val="672" w:hRule="exact"/>
        </w:trPr>
        <w:tc>
          <w:tcPr>
            <w:tcW w:w="3054" w:type="dxa"/>
            <w:tcBorders>
              <w:top w:val="single" w:sz="4" w:space="0" w:color="000000"/>
              <w:left w:val="single" w:sz="4" w:space="0" w:color="000000"/>
              <w:bottom w:val="single" w:sz="4" w:space="0" w:color="000000"/>
              <w:right w:val="single" w:sz="4" w:space="0" w:color="000000"/>
            </w:tcBorders>
            <w:shd w:val="clear" w:color="auto" w:fill="D9D9D9"/>
          </w:tcPr>
          <w:p>
            <w:pPr/>
          </w:p>
        </w:tc>
        <w:tc>
          <w:tcPr>
            <w:tcW w:w="6516"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10"/>
              <w:ind w:left="23" w:right="18"/>
              <w:jc w:val="left"/>
              <w:rPr>
                <w:rFonts w:ascii="宋体" w:hAnsi="宋体" w:cs="宋体" w:eastAsia="宋体" w:hint="default"/>
                <w:sz w:val="18"/>
                <w:szCs w:val="18"/>
              </w:rPr>
            </w:pPr>
            <w:r>
              <w:rPr>
                <w:rFonts w:ascii="宋体" w:hAnsi="宋体" w:cs="宋体" w:eastAsia="宋体" w:hint="default"/>
                <w:spacing w:val="-4"/>
                <w:sz w:val="18"/>
                <w:szCs w:val="18"/>
              </w:rPr>
              <w:t>司对外投资的票联金服、智帆金科因持股比例被动稀释而由长期股权投资权益法核</w:t>
            </w:r>
            <w:r>
              <w:rPr>
                <w:rFonts w:ascii="宋体" w:hAnsi="宋体" w:cs="宋体" w:eastAsia="宋体" w:hint="default"/>
                <w:spacing w:val="30"/>
                <w:sz w:val="18"/>
                <w:szCs w:val="18"/>
              </w:rPr>
              <w:t> </w:t>
            </w:r>
            <w:r>
              <w:rPr>
                <w:rFonts w:ascii="宋体" w:hAnsi="宋体" w:cs="宋体" w:eastAsia="宋体" w:hint="default"/>
                <w:spacing w:val="30"/>
                <w:sz w:val="18"/>
                <w:szCs w:val="18"/>
              </w:rPr>
            </w:r>
            <w:r>
              <w:rPr>
                <w:rFonts w:ascii="宋体" w:hAnsi="宋体" w:cs="宋体" w:eastAsia="宋体" w:hint="default"/>
                <w:spacing w:val="-3"/>
                <w:sz w:val="18"/>
                <w:szCs w:val="18"/>
              </w:rPr>
              <w:t>算调整为以金融工具核算所致。</w:t>
            </w:r>
          </w:p>
        </w:tc>
      </w:tr>
      <w:tr>
        <w:trPr>
          <w:trHeight w:val="716" w:hRule="exact"/>
        </w:trPr>
        <w:tc>
          <w:tcPr>
            <w:tcW w:w="305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6516"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53"/>
              <w:ind w:left="23" w:right="17"/>
              <w:jc w:val="left"/>
              <w:rPr>
                <w:rFonts w:ascii="宋体" w:hAnsi="宋体" w:cs="宋体" w:eastAsia="宋体" w:hint="default"/>
                <w:sz w:val="18"/>
                <w:szCs w:val="18"/>
              </w:rPr>
            </w:pPr>
            <w:r>
              <w:rPr>
                <w:rFonts w:ascii="宋体" w:hAnsi="宋体" w:cs="宋体" w:eastAsia="宋体" w:hint="default"/>
                <w:sz w:val="18"/>
                <w:szCs w:val="18"/>
              </w:rPr>
              <w:t>期末余额较年初余额增加</w:t>
            </w:r>
            <w:r>
              <w:rPr>
                <w:rFonts w:ascii="宋体" w:hAnsi="宋体" w:cs="宋体" w:eastAsia="宋体" w:hint="default"/>
                <w:spacing w:val="-29"/>
                <w:sz w:val="18"/>
                <w:szCs w:val="18"/>
              </w:rPr>
              <w:t> </w:t>
            </w:r>
            <w:r>
              <w:rPr>
                <w:rFonts w:ascii="Times New Roman" w:hAnsi="Times New Roman" w:cs="Times New Roman" w:eastAsia="Times New Roman" w:hint="default"/>
                <w:sz w:val="18"/>
                <w:szCs w:val="18"/>
              </w:rPr>
              <w:t>5,707,405.88</w:t>
            </w:r>
            <w:r>
              <w:rPr>
                <w:rFonts w:ascii="Times New Roman" w:hAnsi="Times New Roman" w:cs="Times New Roman" w:eastAsia="Times New Roman" w:hint="default"/>
                <w:spacing w:val="16"/>
                <w:sz w:val="18"/>
                <w:szCs w:val="18"/>
              </w:rPr>
              <w:t> </w:t>
            </w:r>
            <w:r>
              <w:rPr>
                <w:rFonts w:ascii="宋体" w:hAnsi="宋体" w:cs="宋体" w:eastAsia="宋体" w:hint="default"/>
                <w:spacing w:val="-7"/>
                <w:sz w:val="18"/>
                <w:szCs w:val="18"/>
              </w:rPr>
              <w:t>元，增长</w:t>
            </w:r>
            <w:r>
              <w:rPr>
                <w:rFonts w:ascii="宋体" w:hAnsi="宋体" w:cs="宋体" w:eastAsia="宋体" w:hint="default"/>
                <w:spacing w:val="-29"/>
                <w:sz w:val="18"/>
                <w:szCs w:val="18"/>
              </w:rPr>
              <w:t> </w:t>
            </w:r>
            <w:r>
              <w:rPr>
                <w:rFonts w:ascii="Times New Roman" w:hAnsi="Times New Roman" w:cs="Times New Roman" w:eastAsia="Times New Roman" w:hint="default"/>
                <w:spacing w:val="-4"/>
                <w:sz w:val="18"/>
                <w:szCs w:val="18"/>
              </w:rPr>
              <w:t>80.93%</w:t>
            </w:r>
            <w:r>
              <w:rPr>
                <w:rFonts w:ascii="宋体" w:hAnsi="宋体" w:cs="宋体" w:eastAsia="宋体" w:hint="default"/>
                <w:spacing w:val="-4"/>
                <w:sz w:val="18"/>
                <w:szCs w:val="18"/>
              </w:rPr>
              <w:t>，主要原因系报告期内公司</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3"/>
                <w:sz w:val="18"/>
                <w:szCs w:val="18"/>
              </w:rPr>
              <w:t>自主研发产品持续投入增加，及本期研发项目结束资本化金额低于前期所致。</w:t>
            </w:r>
          </w:p>
        </w:tc>
      </w:tr>
      <w:tr>
        <w:trPr>
          <w:trHeight w:val="715" w:hRule="exact"/>
        </w:trPr>
        <w:tc>
          <w:tcPr>
            <w:tcW w:w="305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pacing w:val="-3"/>
                <w:sz w:val="18"/>
                <w:szCs w:val="18"/>
              </w:rPr>
              <w:t>递延所得税资产</w:t>
            </w:r>
          </w:p>
        </w:tc>
        <w:tc>
          <w:tcPr>
            <w:tcW w:w="6516"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53"/>
              <w:ind w:left="23" w:right="69"/>
              <w:jc w:val="left"/>
              <w:rPr>
                <w:rFonts w:ascii="宋体" w:hAnsi="宋体" w:cs="宋体" w:eastAsia="宋体" w:hint="default"/>
                <w:sz w:val="18"/>
                <w:szCs w:val="18"/>
              </w:rPr>
            </w:pPr>
            <w:r>
              <w:rPr>
                <w:rFonts w:ascii="宋体" w:hAnsi="宋体" w:cs="宋体" w:eastAsia="宋体" w:hint="default"/>
                <w:sz w:val="18"/>
                <w:szCs w:val="18"/>
              </w:rPr>
              <w:t>期末余额较年初余额增加</w:t>
            </w:r>
            <w:r>
              <w:rPr>
                <w:rFonts w:ascii="宋体" w:hAnsi="宋体" w:cs="宋体" w:eastAsia="宋体" w:hint="default"/>
                <w:spacing w:val="-30"/>
                <w:sz w:val="18"/>
                <w:szCs w:val="18"/>
              </w:rPr>
              <w:t> </w:t>
            </w:r>
            <w:r>
              <w:rPr>
                <w:rFonts w:ascii="Times New Roman" w:hAnsi="Times New Roman" w:cs="Times New Roman" w:eastAsia="Times New Roman" w:hint="default"/>
                <w:sz w:val="18"/>
                <w:szCs w:val="18"/>
              </w:rPr>
              <w:t>13,565,084.88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元，增长</w:t>
            </w:r>
            <w:r>
              <w:rPr>
                <w:rFonts w:ascii="宋体" w:hAnsi="宋体" w:cs="宋体" w:eastAsia="宋体" w:hint="default"/>
                <w:spacing w:val="-30"/>
                <w:sz w:val="18"/>
                <w:szCs w:val="18"/>
              </w:rPr>
              <w:t> </w:t>
            </w:r>
            <w:r>
              <w:rPr>
                <w:rFonts w:ascii="Times New Roman" w:hAnsi="Times New Roman" w:cs="Times New Roman" w:eastAsia="Times New Roman" w:hint="default"/>
                <w:spacing w:val="-3"/>
                <w:sz w:val="18"/>
                <w:szCs w:val="18"/>
              </w:rPr>
              <w:t>43.14%</w:t>
            </w:r>
            <w:r>
              <w:rPr>
                <w:rFonts w:ascii="宋体" w:hAnsi="宋体" w:cs="宋体" w:eastAsia="宋体" w:hint="default"/>
                <w:spacing w:val="-3"/>
                <w:sz w:val="18"/>
                <w:szCs w:val="18"/>
              </w:rPr>
              <w:t>，主要原因系可抵扣亏损</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3"/>
                <w:sz w:val="18"/>
                <w:szCs w:val="18"/>
              </w:rPr>
              <w:t>及坏账暂时性差异变动所致。</w:t>
            </w:r>
          </w:p>
        </w:tc>
      </w:tr>
      <w:tr>
        <w:trPr>
          <w:trHeight w:val="1028" w:hRule="exact"/>
        </w:trPr>
        <w:tc>
          <w:tcPr>
            <w:tcW w:w="305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pacing w:val="-3"/>
                <w:sz w:val="18"/>
                <w:szCs w:val="18"/>
              </w:rPr>
              <w:t>其他非流动资产</w:t>
            </w:r>
          </w:p>
        </w:tc>
        <w:tc>
          <w:tcPr>
            <w:tcW w:w="6516"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3"/>
              <w:ind w:left="23" w:right="31"/>
              <w:jc w:val="left"/>
              <w:rPr>
                <w:rFonts w:ascii="宋体" w:hAnsi="宋体" w:cs="宋体" w:eastAsia="宋体" w:hint="default"/>
                <w:sz w:val="18"/>
                <w:szCs w:val="18"/>
              </w:rPr>
            </w:pPr>
            <w:r>
              <w:rPr>
                <w:rFonts w:ascii="宋体" w:hAnsi="宋体" w:cs="宋体" w:eastAsia="宋体" w:hint="default"/>
                <w:sz w:val="18"/>
                <w:szCs w:val="18"/>
              </w:rPr>
              <w:t>期末余额较年初余额减少</w:t>
            </w:r>
            <w:r>
              <w:rPr>
                <w:rFonts w:ascii="宋体" w:hAnsi="宋体" w:cs="宋体" w:eastAsia="宋体" w:hint="default"/>
                <w:spacing w:val="-36"/>
                <w:sz w:val="18"/>
                <w:szCs w:val="18"/>
              </w:rPr>
              <w:t> </w:t>
            </w:r>
            <w:r>
              <w:rPr>
                <w:rFonts w:ascii="Times New Roman" w:hAnsi="Times New Roman" w:cs="Times New Roman" w:eastAsia="Times New Roman" w:hint="default"/>
                <w:sz w:val="18"/>
                <w:szCs w:val="18"/>
              </w:rPr>
              <w:t>11,527,148</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元，下降</w:t>
            </w:r>
            <w:r>
              <w:rPr>
                <w:rFonts w:ascii="宋体" w:hAnsi="宋体" w:cs="宋体" w:eastAsia="宋体" w:hint="default"/>
                <w:spacing w:val="-30"/>
                <w:sz w:val="18"/>
                <w:szCs w:val="18"/>
              </w:rPr>
              <w:t> </w:t>
            </w:r>
            <w:r>
              <w:rPr>
                <w:rFonts w:ascii="Times New Roman" w:hAnsi="Times New Roman" w:cs="Times New Roman" w:eastAsia="Times New Roman" w:hint="default"/>
                <w:spacing w:val="-3"/>
                <w:sz w:val="18"/>
                <w:szCs w:val="18"/>
              </w:rPr>
              <w:t>100.00%</w:t>
            </w:r>
            <w:r>
              <w:rPr>
                <w:rFonts w:ascii="宋体" w:hAnsi="宋体" w:cs="宋体" w:eastAsia="宋体" w:hint="default"/>
                <w:spacing w:val="-3"/>
                <w:sz w:val="18"/>
                <w:szCs w:val="18"/>
              </w:rPr>
              <w:t>，主要原因系报告期内公司</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3"/>
                <w:sz w:val="18"/>
                <w:szCs w:val="18"/>
              </w:rPr>
              <w:t>前期支付的收购诚意金期限届满重新归类核算以及公司购置的人才安居房转入固</w:t>
            </w:r>
            <w:r>
              <w:rPr>
                <w:rFonts w:ascii="宋体" w:hAnsi="宋体" w:cs="宋体" w:eastAsia="宋体" w:hint="default"/>
                <w:spacing w:val="13"/>
                <w:sz w:val="18"/>
                <w:szCs w:val="18"/>
              </w:rPr>
              <w:t> </w:t>
            </w:r>
            <w:r>
              <w:rPr>
                <w:rFonts w:ascii="宋体" w:hAnsi="宋体" w:cs="宋体" w:eastAsia="宋体" w:hint="default"/>
                <w:spacing w:val="13"/>
                <w:sz w:val="18"/>
                <w:szCs w:val="18"/>
              </w:rPr>
            </w:r>
            <w:r>
              <w:rPr>
                <w:rFonts w:ascii="宋体" w:hAnsi="宋体" w:cs="宋体" w:eastAsia="宋体" w:hint="default"/>
                <w:sz w:val="18"/>
                <w:szCs w:val="18"/>
              </w:rPr>
              <w:t>定资产核算所致。</w:t>
            </w:r>
          </w:p>
        </w:tc>
      </w:tr>
    </w:tbl>
    <w:p>
      <w:pPr>
        <w:spacing w:line="240" w:lineRule="auto" w:before="3"/>
        <w:rPr>
          <w:rFonts w:ascii="宋体" w:hAnsi="宋体" w:cs="宋体" w:eastAsia="宋体" w:hint="default"/>
          <w:b/>
          <w:bCs/>
          <w:sz w:val="19"/>
          <w:szCs w:val="19"/>
        </w:rPr>
      </w:pPr>
    </w:p>
    <w:p>
      <w:pPr>
        <w:pStyle w:val="Heading3"/>
        <w:spacing w:line="240" w:lineRule="auto" w:before="36"/>
        <w:ind w:right="0"/>
        <w:jc w:val="left"/>
        <w:rPr>
          <w:b w:val="0"/>
          <w:bCs w:val="0"/>
        </w:rPr>
      </w:pPr>
      <w:bookmarkStart w:name="2、主要境外资产情况" w:id="20"/>
      <w:bookmarkEnd w:id="20"/>
      <w:r>
        <w:rPr>
          <w:b w:val="0"/>
          <w:bCs w:val="0"/>
        </w:rPr>
      </w:r>
      <w:r>
        <w:rPr>
          <w:rFonts w:ascii="Times New Roman" w:hAnsi="Times New Roman" w:cs="Times New Roman" w:eastAsia="Times New Roman" w:hint="default"/>
        </w:rPr>
        <w:t>2</w:t>
      </w:r>
      <w:r>
        <w:rPr/>
        <w:t>、主要境外资产情况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13"/>
        <w:rPr>
          <w:rFonts w:ascii="宋体" w:hAnsi="宋体" w:cs="宋体" w:eastAsia="宋体" w:hint="default"/>
          <w:sz w:val="22"/>
          <w:szCs w:val="22"/>
        </w:rPr>
      </w:pPr>
    </w:p>
    <w:p>
      <w:pPr>
        <w:pStyle w:val="Heading2"/>
        <w:spacing w:line="240" w:lineRule="auto"/>
        <w:ind w:right="0"/>
        <w:jc w:val="left"/>
        <w:rPr>
          <w:b w:val="0"/>
          <w:bCs w:val="0"/>
        </w:rPr>
      </w:pPr>
      <w:bookmarkStart w:name="三、核心竞争力分析" w:id="21"/>
      <w:bookmarkEnd w:id="21"/>
      <w:r>
        <w:rPr>
          <w:b w:val="0"/>
          <w:bCs w:val="0"/>
        </w:rPr>
      </w:r>
      <w:r>
        <w:rPr/>
        <w:t>三、核心竞争力分析</w:t>
      </w:r>
      <w:r>
        <w:rPr>
          <w:b w:val="0"/>
          <w:bCs w:val="0"/>
        </w:rPr>
      </w:r>
    </w:p>
    <w:p>
      <w:pPr>
        <w:spacing w:line="240" w:lineRule="auto" w:before="6"/>
        <w:rPr>
          <w:rFonts w:ascii="宋体" w:hAnsi="宋体" w:cs="宋体" w:eastAsia="宋体" w:hint="default"/>
          <w:b/>
          <w:bCs/>
          <w:sz w:val="33"/>
          <w:szCs w:val="33"/>
        </w:rPr>
      </w:pPr>
    </w:p>
    <w:p>
      <w:pPr>
        <w:pStyle w:val="BodyText"/>
        <w:spacing w:line="453" w:lineRule="auto"/>
        <w:ind w:left="513" w:right="0"/>
        <w:jc w:val="left"/>
      </w:pPr>
      <w:r>
        <w:rPr>
          <w:rFonts w:ascii="Times New Roman" w:hAnsi="Times New Roman" w:cs="Times New Roman" w:eastAsia="Times New Roman" w:hint="default"/>
        </w:rPr>
        <w:t>1.</w:t>
      </w:r>
      <w:r>
        <w:rPr/>
        <w:t>技术与行业经验优势</w:t>
      </w:r>
      <w:r>
        <w:rPr>
          <w:spacing w:val="-85"/>
        </w:rPr>
        <w:t> </w:t>
      </w:r>
      <w:r>
        <w:rPr>
          <w:spacing w:val="-85"/>
        </w:rPr>
      </w:r>
      <w:r>
        <w:rPr>
          <w:spacing w:val="-4"/>
        </w:rPr>
        <w:t>公司在所从事的主要业务领域有长期的专业化积累，使公司在全行业内保持技术领先和行业经验领先的优势。本公司在</w:t>
      </w:r>
    </w:p>
    <w:p>
      <w:pPr>
        <w:pStyle w:val="BodyText"/>
        <w:spacing w:line="463" w:lineRule="auto" w:before="70"/>
        <w:ind w:right="1029"/>
        <w:jc w:val="left"/>
        <w:rPr>
          <w:rFonts w:ascii="Times New Roman" w:hAnsi="Times New Roman" w:cs="Times New Roman" w:eastAsia="Times New Roman" w:hint="default"/>
        </w:rPr>
      </w:pPr>
      <w:r>
        <w:rPr>
          <w:spacing w:val="-3"/>
          <w:w w:val="101"/>
        </w:rPr>
        <w:t>金融信息化领域已经有长达</w:t>
      </w:r>
      <w:r>
        <w:rPr>
          <w:spacing w:val="-55"/>
          <w:w w:val="101"/>
        </w:rPr>
        <w:t> </w:t>
      </w:r>
      <w:r>
        <w:rPr>
          <w:rFonts w:ascii="Times New Roman" w:hAnsi="Times New Roman" w:cs="Times New Roman" w:eastAsia="Times New Roman" w:hint="default"/>
          <w:w w:val="101"/>
        </w:rPr>
        <w:t>22</w:t>
      </w:r>
      <w:r>
        <w:rPr>
          <w:rFonts w:ascii="Times New Roman" w:hAnsi="Times New Roman" w:cs="Times New Roman" w:eastAsia="Times New Roman" w:hint="default"/>
          <w:spacing w:val="-22"/>
          <w:w w:val="101"/>
        </w:rPr>
        <w:t> </w:t>
      </w:r>
      <w:r>
        <w:rPr>
          <w:spacing w:val="-6"/>
          <w:w w:val="101"/>
        </w:rPr>
        <w:t>年的行业经验，主要全资子公司亿美软通在移动信息服务领域也有长达</w:t>
      </w:r>
      <w:r>
        <w:rPr>
          <w:spacing w:val="-55"/>
          <w:w w:val="101"/>
        </w:rPr>
        <w:t> </w:t>
      </w:r>
      <w:r>
        <w:rPr>
          <w:rFonts w:ascii="Times New Roman" w:hAnsi="Times New Roman" w:cs="Times New Roman" w:eastAsia="Times New Roman" w:hint="default"/>
          <w:spacing w:val="-3"/>
          <w:w w:val="101"/>
        </w:rPr>
        <w:t>19</w:t>
      </w:r>
      <w:r>
        <w:rPr>
          <w:rFonts w:ascii="Times New Roman" w:hAnsi="Times New Roman" w:cs="Times New Roman" w:eastAsia="Times New Roman" w:hint="default"/>
          <w:spacing w:val="-15"/>
          <w:w w:val="101"/>
        </w:rPr>
        <w:t> </w:t>
      </w:r>
      <w:r>
        <w:rPr>
          <w:spacing w:val="-3"/>
          <w:w w:val="101"/>
        </w:rPr>
        <w:t>年的行业经验积累，</w:t>
      </w:r>
      <w:r>
        <w:rPr>
          <w:spacing w:val="-87"/>
          <w:w w:val="101"/>
        </w:rPr>
        <w:t> </w:t>
      </w:r>
      <w:r>
        <w:rPr>
          <w:spacing w:val="-87"/>
          <w:w w:val="101"/>
        </w:rPr>
      </w:r>
      <w:r>
        <w:rPr>
          <w:spacing w:val="-4"/>
        </w:rPr>
        <w:t>使得公司在图像处理、模式识别、机器视觉、工作流引擎技术，以及大数据分析处理、互联网应用等技术领域具有行业领先</w:t>
      </w:r>
      <w:r>
        <w:rPr>
          <w:spacing w:val="40"/>
        </w:rPr>
        <w:t> </w:t>
      </w:r>
      <w:r>
        <w:rPr>
          <w:spacing w:val="40"/>
        </w:rPr>
      </w:r>
      <w:r>
        <w:rPr>
          <w:spacing w:val="-3"/>
        </w:rPr>
        <w:t>地位。截至报告期末，公司及控股子公司已获得软件著作权 </w:t>
      </w:r>
      <w:r>
        <w:rPr>
          <w:rFonts w:ascii="Times New Roman" w:hAnsi="Times New Roman" w:cs="Times New Roman" w:eastAsia="Times New Roman" w:hint="default"/>
        </w:rPr>
        <w:t>224 </w:t>
      </w:r>
      <w:r>
        <w:rPr>
          <w:spacing w:val="-3"/>
        </w:rPr>
        <w:t>项、专利授权 </w:t>
      </w:r>
      <w:r>
        <w:rPr>
          <w:rFonts w:ascii="Times New Roman" w:hAnsi="Times New Roman" w:cs="Times New Roman" w:eastAsia="Times New Roman" w:hint="default"/>
          <w:spacing w:val="-3"/>
        </w:rPr>
        <w:t>84 </w:t>
      </w:r>
      <w:r>
        <w:rPr>
          <w:spacing w:val="-3"/>
        </w:rPr>
        <w:t>项（其中发明专利 </w:t>
      </w:r>
      <w:r>
        <w:rPr>
          <w:rFonts w:ascii="Times New Roman" w:hAnsi="Times New Roman" w:cs="Times New Roman" w:eastAsia="Times New Roman" w:hint="default"/>
        </w:rPr>
        <w:t>9 </w:t>
      </w:r>
      <w:r>
        <w:rPr>
          <w:spacing w:val="-3"/>
        </w:rPr>
        <w:t>项、实用新型专利</w:t>
      </w:r>
      <w:r>
        <w:rPr>
          <w:spacing w:val="-57"/>
        </w:rPr>
        <w:t> </w:t>
      </w:r>
      <w:r>
        <w:rPr>
          <w:rFonts w:ascii="Times New Roman" w:hAnsi="Times New Roman" w:cs="Times New Roman" w:eastAsia="Times New Roman" w:hint="default"/>
        </w:rPr>
        <w:t>22</w:t>
      </w:r>
    </w:p>
    <w:p>
      <w:pPr>
        <w:pStyle w:val="BodyText"/>
        <w:spacing w:line="448" w:lineRule="auto" w:before="36"/>
        <w:ind w:right="1120"/>
        <w:jc w:val="left"/>
      </w:pPr>
      <w:r>
        <w:rPr>
          <w:spacing w:val="-4"/>
          <w:w w:val="101"/>
        </w:rPr>
        <w:t>项、外观设计专利</w:t>
      </w:r>
      <w:r>
        <w:rPr>
          <w:spacing w:val="-47"/>
          <w:w w:val="101"/>
        </w:rPr>
        <w:t> </w:t>
      </w:r>
      <w:r>
        <w:rPr>
          <w:rFonts w:ascii="Times New Roman" w:hAnsi="Times New Roman" w:cs="Times New Roman" w:eastAsia="Times New Roman" w:hint="default"/>
          <w:w w:val="101"/>
        </w:rPr>
        <w:t>53</w:t>
      </w:r>
      <w:r>
        <w:rPr>
          <w:rFonts w:ascii="Times New Roman" w:hAnsi="Times New Roman" w:cs="Times New Roman" w:eastAsia="Times New Roman" w:hint="default"/>
          <w:spacing w:val="-7"/>
          <w:w w:val="101"/>
        </w:rPr>
        <w:t> </w:t>
      </w:r>
      <w:r>
        <w:rPr>
          <w:spacing w:val="-6"/>
          <w:w w:val="101"/>
        </w:rPr>
        <w:t>项）。凭借长期以来的技术研发及行业经验的积累，形成了公司核心的竞争优势，为公司的长久发展打</w:t>
      </w:r>
      <w:r>
        <w:rPr>
          <w:spacing w:val="-88"/>
          <w:w w:val="101"/>
        </w:rPr>
        <w:t> </w:t>
      </w:r>
      <w:r>
        <w:rPr>
          <w:spacing w:val="-88"/>
          <w:w w:val="101"/>
        </w:rPr>
      </w:r>
      <w:r>
        <w:rPr/>
        <w:t>下了坚实的基础。</w:t>
      </w:r>
    </w:p>
    <w:p>
      <w:pPr>
        <w:pStyle w:val="BodyText"/>
        <w:spacing w:line="448" w:lineRule="auto" w:before="78"/>
        <w:ind w:left="513" w:right="1029"/>
        <w:jc w:val="left"/>
      </w:pPr>
      <w:r>
        <w:rPr>
          <w:rFonts w:ascii="Times New Roman" w:hAnsi="Times New Roman" w:cs="Times New Roman" w:eastAsia="Times New Roman" w:hint="default"/>
        </w:rPr>
        <w:t>2.</w:t>
      </w:r>
      <w:r>
        <w:rPr/>
        <w:t>客户资源优势</w:t>
      </w:r>
      <w:r>
        <w:rPr>
          <w:spacing w:val="-87"/>
        </w:rPr>
        <w:t> </w:t>
      </w:r>
      <w:r>
        <w:rPr>
          <w:spacing w:val="-87"/>
        </w:rPr>
      </w:r>
      <w:r>
        <w:rPr>
          <w:spacing w:val="-5"/>
        </w:rPr>
        <w:t>公司在主营业务涉及的各行业领域客户积累了比较明显的客户资源优势。在金融信息化行业，公司合作客户包括遍及国</w:t>
      </w:r>
    </w:p>
    <w:p>
      <w:pPr>
        <w:pStyle w:val="BodyText"/>
        <w:spacing w:line="240" w:lineRule="auto" w:before="79"/>
        <w:ind w:right="0"/>
        <w:jc w:val="left"/>
      </w:pPr>
      <w:r>
        <w:rPr/>
        <w:t>内 </w:t>
      </w:r>
      <w:r>
        <w:rPr>
          <w:rFonts w:ascii="Times New Roman" w:hAnsi="Times New Roman" w:cs="Times New Roman" w:eastAsia="Times New Roman" w:hint="default"/>
        </w:rPr>
        <w:t>31 </w:t>
      </w:r>
      <w:r>
        <w:rPr/>
        <w:t>个省、市、自治区的 </w:t>
      </w:r>
      <w:r>
        <w:rPr>
          <w:rFonts w:ascii="Times New Roman" w:hAnsi="Times New Roman" w:cs="Times New Roman" w:eastAsia="Times New Roman" w:hint="default"/>
        </w:rPr>
        <w:t>360</w:t>
      </w:r>
      <w:r>
        <w:rPr>
          <w:rFonts w:ascii="Times New Roman" w:hAnsi="Times New Roman" w:cs="Times New Roman" w:eastAsia="Times New Roman" w:hint="default"/>
          <w:spacing w:val="9"/>
        </w:rPr>
        <w:t> </w:t>
      </w:r>
      <w:r>
        <w:rPr>
          <w:spacing w:val="-3"/>
        </w:rPr>
        <w:t>余家银行或分行，涵盖政策性银行、大型国有商业银行、主要全国性股份制银行以及部分城</w:t>
      </w:r>
    </w:p>
    <w:p>
      <w:pPr>
        <w:spacing w:line="240" w:lineRule="auto" w:before="7"/>
        <w:rPr>
          <w:rFonts w:ascii="宋体" w:hAnsi="宋体" w:cs="宋体" w:eastAsia="宋体" w:hint="default"/>
          <w:sz w:val="16"/>
          <w:szCs w:val="16"/>
        </w:rPr>
      </w:pPr>
    </w:p>
    <w:p>
      <w:pPr>
        <w:pStyle w:val="BodyText"/>
        <w:spacing w:line="451" w:lineRule="auto"/>
        <w:ind w:right="1126"/>
        <w:jc w:val="both"/>
      </w:pPr>
      <w:r>
        <w:rPr>
          <w:spacing w:val="-3"/>
        </w:rPr>
        <w:t>市商业银行、农村商业银行和农村信用联社，用户覆盖超过 </w:t>
      </w:r>
      <w:r>
        <w:rPr>
          <w:rFonts w:ascii="Times New Roman" w:hAnsi="Times New Roman" w:cs="Times New Roman" w:eastAsia="Times New Roman" w:hint="default"/>
          <w:spacing w:val="-3"/>
        </w:rPr>
        <w:t>10 </w:t>
      </w:r>
      <w:r>
        <w:rPr>
          <w:spacing w:val="-3"/>
        </w:rPr>
        <w:t>万个银行营业网点，约占全国银行业金融机构营业网点总数</w:t>
      </w:r>
      <w:r>
        <w:rPr>
          <w:spacing w:val="-20"/>
        </w:rPr>
        <w:t> </w:t>
      </w:r>
      <w:r>
        <w:rPr>
          <w:spacing w:val="-20"/>
        </w:rPr>
      </w:r>
      <w:r>
        <w:rPr/>
        <w:t>的 </w:t>
      </w:r>
      <w:r>
        <w:rPr>
          <w:rFonts w:ascii="Times New Roman" w:hAnsi="Times New Roman" w:cs="Times New Roman" w:eastAsia="Times New Roman" w:hint="default"/>
          <w:spacing w:val="-3"/>
        </w:rPr>
        <w:t>45%</w:t>
      </w:r>
      <w:r>
        <w:rPr>
          <w:spacing w:val="-3"/>
        </w:rPr>
        <w:t>。在移动信息服务领域，公司子公司亿美软通已为银行、酒店、航空、旅游、电商、商超等超过 </w:t>
      </w:r>
      <w:r>
        <w:rPr>
          <w:rFonts w:ascii="Times New Roman" w:hAnsi="Times New Roman" w:cs="Times New Roman" w:eastAsia="Times New Roman" w:hint="default"/>
          <w:spacing w:val="-3"/>
        </w:rPr>
        <w:t>50 </w:t>
      </w:r>
      <w:r>
        <w:rPr>
          <w:spacing w:val="-3"/>
        </w:rPr>
        <w:t>万家企业提供移</w:t>
      </w:r>
      <w:r>
        <w:rPr>
          <w:spacing w:val="-67"/>
        </w:rPr>
        <w:t> </w:t>
      </w:r>
      <w:r>
        <w:rPr>
          <w:spacing w:val="-67"/>
        </w:rPr>
      </w:r>
      <w:r>
        <w:rPr>
          <w:spacing w:val="-4"/>
        </w:rPr>
        <w:t>动信息通讯、移动互联网应用服务，服务数据覆盖约 </w:t>
      </w:r>
      <w:r>
        <w:rPr>
          <w:rFonts w:ascii="Times New Roman" w:hAnsi="Times New Roman" w:cs="Times New Roman" w:eastAsia="Times New Roman" w:hint="default"/>
        </w:rPr>
        <w:t>7 </w:t>
      </w:r>
      <w:r>
        <w:rPr>
          <w:spacing w:val="-4"/>
        </w:rPr>
        <w:t>亿人群。公司始终坚持以客户需求为导向，不断完善服务理念，积累</w:t>
      </w:r>
      <w:r>
        <w:rPr>
          <w:spacing w:val="-55"/>
        </w:rPr>
        <w:t> </w:t>
      </w:r>
      <w:r>
        <w:rPr>
          <w:spacing w:val="-55"/>
        </w:rPr>
      </w:r>
      <w:r>
        <w:rPr>
          <w:spacing w:val="-3"/>
        </w:rPr>
        <w:t>了一批稳定、优质的客户资源，促进公司良性发展。</w:t>
      </w:r>
    </w:p>
    <w:p>
      <w:pPr>
        <w:pStyle w:val="BodyText"/>
        <w:spacing w:line="453" w:lineRule="auto" w:before="71"/>
        <w:ind w:left="513" w:right="0"/>
        <w:jc w:val="left"/>
      </w:pPr>
      <w:r>
        <w:rPr>
          <w:rFonts w:ascii="Times New Roman" w:hAnsi="Times New Roman" w:cs="Times New Roman" w:eastAsia="Times New Roman" w:hint="default"/>
        </w:rPr>
        <w:t>3.</w:t>
      </w:r>
      <w:r>
        <w:rPr/>
        <w:t>业务牌照资源优势</w:t>
      </w:r>
      <w:r>
        <w:rPr>
          <w:spacing w:val="-87"/>
        </w:rPr>
        <w:t> </w:t>
      </w:r>
      <w:r>
        <w:rPr>
          <w:spacing w:val="-87"/>
        </w:rPr>
      </w:r>
      <w:r>
        <w:rPr>
          <w:spacing w:val="-4"/>
        </w:rPr>
        <w:t>公司一直坚持以国家政策导向为指引确定战略业务发展规划，在国家主管部门的监管下合法、合规地开展业务。在此指</w:t>
      </w:r>
    </w:p>
    <w:p>
      <w:pPr>
        <w:pStyle w:val="BodyText"/>
        <w:spacing w:line="480" w:lineRule="auto" w:before="70"/>
        <w:ind w:right="1119"/>
        <w:jc w:val="left"/>
      </w:pPr>
      <w:r>
        <w:rPr>
          <w:spacing w:val="-4"/>
        </w:rPr>
        <w:t>导思想下，公司已经取得了开展主要业务及创新业务的牌照许可。公司子公司华道征信与其他发起人共同发起设立百行征信</w:t>
      </w:r>
      <w:r>
        <w:rPr>
          <w:spacing w:val="43"/>
        </w:rPr>
        <w:t> </w:t>
      </w:r>
      <w:r>
        <w:rPr>
          <w:spacing w:val="43"/>
        </w:rPr>
      </w:r>
      <w:r>
        <w:rPr>
          <w:spacing w:val="-5"/>
          <w:w w:val="101"/>
        </w:rPr>
        <w:t>有限公司，百行征信已于</w:t>
      </w:r>
      <w:r>
        <w:rPr>
          <w:spacing w:val="-43"/>
          <w:w w:val="101"/>
        </w:rPr>
        <w:t> </w:t>
      </w:r>
      <w:r>
        <w:rPr>
          <w:rFonts w:ascii="Times New Roman" w:hAnsi="Times New Roman" w:cs="Times New Roman" w:eastAsia="Times New Roman" w:hint="default"/>
          <w:spacing w:val="-2"/>
          <w:w w:val="101"/>
        </w:rPr>
        <w:t>2018</w:t>
      </w:r>
      <w:r>
        <w:rPr>
          <w:rFonts w:ascii="Times New Roman" w:hAnsi="Times New Roman" w:cs="Times New Roman" w:eastAsia="Times New Roman" w:hint="default"/>
          <w:spacing w:val="-3"/>
          <w:w w:val="101"/>
        </w:rPr>
        <w:t> </w:t>
      </w:r>
      <w:r>
        <w:rPr>
          <w:w w:val="101"/>
        </w:rPr>
        <w:t>年</w:t>
      </w:r>
      <w:r>
        <w:rPr>
          <w:spacing w:val="-48"/>
          <w:w w:val="101"/>
        </w:rPr>
        <w:t> </w:t>
      </w:r>
      <w:r>
        <w:rPr>
          <w:rFonts w:ascii="Times New Roman" w:hAnsi="Times New Roman" w:cs="Times New Roman" w:eastAsia="Times New Roman" w:hint="default"/>
          <w:w w:val="101"/>
        </w:rPr>
        <w:t>2</w:t>
      </w:r>
      <w:r>
        <w:rPr>
          <w:rFonts w:ascii="Times New Roman" w:hAnsi="Times New Roman" w:cs="Times New Roman" w:eastAsia="Times New Roman" w:hint="default"/>
          <w:spacing w:val="-9"/>
          <w:w w:val="101"/>
        </w:rPr>
        <w:t> </w:t>
      </w:r>
      <w:r>
        <w:rPr>
          <w:spacing w:val="-6"/>
          <w:w w:val="101"/>
        </w:rPr>
        <w:t>月获得中国人民银行颁发的《个人征信业务经营许可证》，是目前国内唯一经中国人民银</w:t>
      </w:r>
      <w:r>
        <w:rPr>
          <w:spacing w:val="-6"/>
        </w:rPr>
      </w:r>
    </w:p>
    <w:p>
      <w:pPr>
        <w:spacing w:after="0" w:line="480" w:lineRule="auto"/>
        <w:jc w:val="left"/>
        <w:sectPr>
          <w:pgSz w:w="11910" w:h="16840"/>
          <w:pgMar w:header="871" w:footer="1186" w:top="1100" w:bottom="1380" w:left="980" w:right="0"/>
        </w:sectPr>
      </w:pPr>
    </w:p>
    <w:p>
      <w:pPr>
        <w:spacing w:line="240" w:lineRule="auto" w:before="1"/>
        <w:rPr>
          <w:rFonts w:ascii="宋体" w:hAnsi="宋体" w:cs="宋体" w:eastAsia="宋体" w:hint="default"/>
          <w:sz w:val="28"/>
          <w:szCs w:val="28"/>
        </w:rPr>
      </w:pPr>
    </w:p>
    <w:p>
      <w:pPr>
        <w:pStyle w:val="BodyText"/>
        <w:spacing w:line="451" w:lineRule="auto" w:before="46"/>
        <w:ind w:right="1122"/>
        <w:jc w:val="both"/>
      </w:pPr>
      <w:r>
        <w:rPr>
          <w:spacing w:val="-6"/>
          <w:w w:val="101"/>
        </w:rPr>
        <w:t>行批准开展个人业务的征信公司。公司发起设立的易安保险已于</w:t>
      </w:r>
      <w:r>
        <w:rPr>
          <w:spacing w:val="-55"/>
          <w:w w:val="101"/>
        </w:rPr>
        <w:t> </w:t>
      </w:r>
      <w:r>
        <w:rPr>
          <w:rFonts w:ascii="Times New Roman" w:hAnsi="Times New Roman" w:cs="Times New Roman" w:eastAsia="Times New Roman" w:hint="default"/>
          <w:spacing w:val="-2"/>
          <w:w w:val="101"/>
        </w:rPr>
        <w:t>2018</w:t>
      </w:r>
      <w:r>
        <w:rPr>
          <w:rFonts w:ascii="Times New Roman" w:hAnsi="Times New Roman" w:cs="Times New Roman" w:eastAsia="Times New Roman" w:hint="default"/>
          <w:spacing w:val="-22"/>
          <w:w w:val="101"/>
        </w:rPr>
        <w:t> </w:t>
      </w:r>
      <w:r>
        <w:rPr>
          <w:w w:val="101"/>
        </w:rPr>
        <w:t>年</w:t>
      </w:r>
      <w:r>
        <w:rPr>
          <w:spacing w:val="-61"/>
          <w:w w:val="101"/>
        </w:rPr>
        <w:t> </w:t>
      </w:r>
      <w:r>
        <w:rPr>
          <w:rFonts w:ascii="Times New Roman" w:hAnsi="Times New Roman" w:cs="Times New Roman" w:eastAsia="Times New Roman" w:hint="default"/>
          <w:w w:val="101"/>
        </w:rPr>
        <w:t>2</w:t>
      </w:r>
      <w:r>
        <w:rPr>
          <w:rFonts w:ascii="Times New Roman" w:hAnsi="Times New Roman" w:cs="Times New Roman" w:eastAsia="Times New Roman" w:hint="default"/>
          <w:spacing w:val="-15"/>
          <w:w w:val="101"/>
        </w:rPr>
        <w:t> </w:t>
      </w:r>
      <w:r>
        <w:rPr>
          <w:spacing w:val="-11"/>
          <w:w w:val="101"/>
        </w:rPr>
        <w:t>月获得中国保监会核发的《保险公司法人许可证》，</w:t>
      </w:r>
      <w:r>
        <w:rPr>
          <w:spacing w:val="-87"/>
          <w:w w:val="101"/>
        </w:rPr>
        <w:t> </w:t>
      </w:r>
      <w:r>
        <w:rPr>
          <w:spacing w:val="-87"/>
          <w:w w:val="101"/>
        </w:rPr>
      </w:r>
      <w:r>
        <w:rPr>
          <w:spacing w:val="-4"/>
        </w:rPr>
        <w:t>并正式开业运营。公司与东亚银行等股东发起设立的东亚前海证券已于 </w:t>
      </w:r>
      <w:r>
        <w:rPr>
          <w:rFonts w:ascii="Times New Roman" w:hAnsi="Times New Roman" w:cs="Times New Roman" w:eastAsia="Times New Roman" w:hint="default"/>
        </w:rPr>
        <w:t>2017 </w:t>
      </w:r>
      <w:r>
        <w:rPr/>
        <w:t>年 </w:t>
      </w:r>
      <w:r>
        <w:rPr>
          <w:rFonts w:ascii="Times New Roman" w:hAnsi="Times New Roman" w:cs="Times New Roman" w:eastAsia="Times New Roman" w:hint="default"/>
        </w:rPr>
        <w:t>12 </w:t>
      </w:r>
      <w:r>
        <w:rPr>
          <w:spacing w:val="-5"/>
        </w:rPr>
        <w:t>月获得中国证监会颁发的《经营证券期货</w:t>
      </w:r>
      <w:r>
        <w:rPr>
          <w:spacing w:val="-45"/>
        </w:rPr>
        <w:t> </w:t>
      </w:r>
      <w:r>
        <w:rPr>
          <w:spacing w:val="-45"/>
        </w:rPr>
      </w:r>
      <w:r>
        <w:rPr>
          <w:spacing w:val="-5"/>
          <w:w w:val="101"/>
        </w:rPr>
        <w:t>业务许可证》。以上经营许可牌照均具有非常高的稀缺性，因此具有很强的核心竞争优势。</w:t>
      </w:r>
      <w:r>
        <w:rPr>
          <w:spacing w:val="-5"/>
        </w:rPr>
      </w:r>
    </w:p>
    <w:p>
      <w:pPr>
        <w:pStyle w:val="BodyText"/>
        <w:spacing w:line="453" w:lineRule="auto" w:before="71"/>
        <w:ind w:left="513" w:right="0"/>
        <w:jc w:val="left"/>
      </w:pPr>
      <w:r>
        <w:rPr>
          <w:rFonts w:ascii="Times New Roman" w:hAnsi="Times New Roman" w:cs="Times New Roman" w:eastAsia="Times New Roman" w:hint="default"/>
        </w:rPr>
        <w:t>4. </w:t>
      </w:r>
      <w:r>
        <w:rPr>
          <w:spacing w:val="-3"/>
        </w:rPr>
        <w:t>产业生态布局的协同发展优势</w:t>
      </w:r>
      <w:r>
        <w:rPr>
          <w:spacing w:val="-64"/>
        </w:rPr>
        <w:t> </w:t>
      </w:r>
      <w:r>
        <w:rPr>
          <w:spacing w:val="-64"/>
        </w:rPr>
      </w:r>
      <w:r>
        <w:rPr>
          <w:spacing w:val="-5"/>
        </w:rPr>
        <w:t>近年来，按照公司战略发展规划，公司的主营业务已经从金融信息化向互联网金融、数字金融领域延伸发展。目前，公</w:t>
      </w:r>
    </w:p>
    <w:p>
      <w:pPr>
        <w:pStyle w:val="BodyText"/>
        <w:spacing w:line="477" w:lineRule="auto" w:before="70"/>
        <w:ind w:right="0"/>
        <w:jc w:val="left"/>
      </w:pPr>
      <w:r>
        <w:rPr>
          <w:spacing w:val="-3"/>
        </w:rPr>
        <w:t>司主营业务已经涉及金融信息化、移动信息服务、电子商务等多个行业领域，并且投资和布局个人征信服务、互联网保险、</w:t>
      </w:r>
      <w:r>
        <w:rPr>
          <w:spacing w:val="75"/>
        </w:rPr>
        <w:t> </w:t>
      </w:r>
      <w:r>
        <w:rPr>
          <w:spacing w:val="75"/>
        </w:rPr>
      </w:r>
      <w:r>
        <w:rPr>
          <w:spacing w:val="-4"/>
        </w:rPr>
        <w:t>证券等业务领域，逐步构建了以金融科技为基础的综合金融生态服务体系。随着以上产业链布局的推进，公司在产业生态布</w:t>
      </w:r>
      <w:r>
        <w:rPr>
          <w:spacing w:val="43"/>
        </w:rPr>
        <w:t> </w:t>
      </w:r>
      <w:r>
        <w:rPr>
          <w:spacing w:val="43"/>
        </w:rPr>
      </w:r>
      <w:r>
        <w:rPr>
          <w:spacing w:val="-3"/>
        </w:rPr>
        <w:t>局方面的协同优势明显，为公司业务的开展打开了更广阔的局面。</w:t>
      </w:r>
    </w:p>
    <w:p>
      <w:pPr>
        <w:pStyle w:val="BodyText"/>
        <w:spacing w:line="448" w:lineRule="auto" w:before="56"/>
        <w:ind w:left="513" w:right="1029"/>
        <w:jc w:val="left"/>
      </w:pPr>
      <w:r>
        <w:rPr>
          <w:rFonts w:ascii="Times New Roman" w:hAnsi="Times New Roman" w:cs="Times New Roman" w:eastAsia="Times New Roman" w:hint="default"/>
        </w:rPr>
        <w:t>5.</w:t>
      </w:r>
      <w:r>
        <w:rPr/>
        <w:t>人才优势</w:t>
      </w:r>
      <w:r>
        <w:rPr>
          <w:spacing w:val="-87"/>
        </w:rPr>
        <w:t> </w:t>
      </w:r>
      <w:r>
        <w:rPr>
          <w:spacing w:val="-87"/>
        </w:rPr>
      </w:r>
      <w:r>
        <w:rPr>
          <w:spacing w:val="-5"/>
        </w:rPr>
        <w:t>经过多年的发展，公司逐步汇集了一批技术、市场、管理、资本领域的专业人才，其中不乏专业水平突出、行业经验丰</w:t>
      </w:r>
    </w:p>
    <w:p>
      <w:pPr>
        <w:pStyle w:val="BodyText"/>
        <w:spacing w:line="477" w:lineRule="auto" w:before="78"/>
        <w:ind w:right="1123"/>
        <w:jc w:val="both"/>
      </w:pPr>
      <w:r>
        <w:rPr>
          <w:spacing w:val="-4"/>
        </w:rPr>
        <w:t>富的复合型人才。公司管理团队经验丰富、团结稳定、勤勉务实、积极进取。随着企业经营规模不断扩大，公司在高度重视</w:t>
      </w:r>
      <w:r>
        <w:rPr>
          <w:spacing w:val="40"/>
        </w:rPr>
        <w:t> </w:t>
      </w:r>
      <w:r>
        <w:rPr>
          <w:spacing w:val="40"/>
        </w:rPr>
      </w:r>
      <w:r>
        <w:rPr>
          <w:spacing w:val="-4"/>
        </w:rPr>
        <w:t>内部人员的培养和人才梯队建设工作的同时，还将持续完善公司的人才战略，以人为本，广纳贤才，努力把人才优势转化为</w:t>
      </w:r>
      <w:r>
        <w:rPr>
          <w:spacing w:val="40"/>
        </w:rPr>
        <w:t> </w:t>
      </w:r>
      <w:r>
        <w:rPr>
          <w:spacing w:val="40"/>
        </w:rPr>
      </w:r>
      <w:r>
        <w:rPr>
          <w:spacing w:val="-3"/>
        </w:rPr>
        <w:t>公司长远发展的推动力。</w:t>
      </w:r>
    </w:p>
    <w:p>
      <w:pPr>
        <w:spacing w:after="0" w:line="477" w:lineRule="auto"/>
        <w:jc w:val="both"/>
        <w:sectPr>
          <w:pgSz w:w="11910" w:h="16840"/>
          <w:pgMar w:header="871" w:footer="1186" w:top="1100" w:bottom="138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9"/>
          <w:szCs w:val="19"/>
        </w:rPr>
      </w:pPr>
    </w:p>
    <w:p>
      <w:pPr>
        <w:pStyle w:val="Heading1"/>
        <w:spacing w:line="240" w:lineRule="auto"/>
        <w:ind w:left="2967" w:right="0"/>
        <w:jc w:val="left"/>
        <w:rPr>
          <w:b w:val="0"/>
          <w:bCs w:val="0"/>
        </w:rPr>
      </w:pPr>
      <w:bookmarkStart w:name="第四节 经营情况讨论与分析" w:id="22"/>
      <w:bookmarkEnd w:id="22"/>
      <w:r>
        <w:rPr>
          <w:b w:val="0"/>
          <w:bCs w:val="0"/>
        </w:rPr>
      </w:r>
      <w:bookmarkStart w:name="_bookmark3" w:id="23"/>
      <w:bookmarkEnd w:id="23"/>
      <w:r>
        <w:rPr>
          <w:b w:val="0"/>
          <w:bCs w:val="0"/>
        </w:rPr>
      </w:r>
      <w:r>
        <w:rPr/>
        <w:t>第四节</w:t>
      </w:r>
      <w:r>
        <w:rPr>
          <w:spacing w:val="1"/>
        </w:rPr>
        <w:t> </w:t>
      </w:r>
      <w:r>
        <w:rPr/>
        <w:t>经营情况讨论与分析</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5"/>
          <w:szCs w:val="15"/>
        </w:rPr>
      </w:pPr>
    </w:p>
    <w:p>
      <w:pPr>
        <w:pStyle w:val="Heading2"/>
        <w:spacing w:line="240" w:lineRule="auto" w:before="26"/>
        <w:ind w:right="0"/>
        <w:jc w:val="left"/>
        <w:rPr>
          <w:b w:val="0"/>
          <w:bCs w:val="0"/>
        </w:rPr>
      </w:pPr>
      <w:bookmarkStart w:name="一、概述" w:id="24"/>
      <w:bookmarkEnd w:id="24"/>
      <w:r>
        <w:rPr>
          <w:b w:val="0"/>
          <w:bCs w:val="0"/>
        </w:rPr>
      </w:r>
      <w:r>
        <w:rPr/>
        <w:t>一、概述</w:t>
      </w:r>
      <w:r>
        <w:rPr>
          <w:b w:val="0"/>
          <w:bCs w:val="0"/>
        </w:rPr>
      </w:r>
    </w:p>
    <w:p>
      <w:pPr>
        <w:spacing w:line="240" w:lineRule="auto" w:before="6"/>
        <w:rPr>
          <w:rFonts w:ascii="宋体" w:hAnsi="宋体" w:cs="宋体" w:eastAsia="宋体" w:hint="default"/>
          <w:b/>
          <w:bCs/>
          <w:sz w:val="33"/>
          <w:szCs w:val="33"/>
        </w:rPr>
      </w:pPr>
    </w:p>
    <w:p>
      <w:pPr>
        <w:pStyle w:val="BodyText"/>
        <w:spacing w:line="460" w:lineRule="auto"/>
        <w:ind w:right="0" w:firstLine="360"/>
        <w:jc w:val="left"/>
      </w:pPr>
      <w:r>
        <w:rPr>
          <w:rFonts w:ascii="Times New Roman" w:hAnsi="Times New Roman" w:cs="Times New Roman" w:eastAsia="Times New Roman" w:hint="default"/>
        </w:rPr>
        <w:t>2019</w:t>
      </w:r>
      <w:r>
        <w:rPr>
          <w:rFonts w:ascii="Times New Roman" w:hAnsi="Times New Roman" w:cs="Times New Roman" w:eastAsia="Times New Roman" w:hint="default"/>
          <w:spacing w:val="14"/>
        </w:rPr>
        <w:t> </w:t>
      </w:r>
      <w:r>
        <w:rPr>
          <w:spacing w:val="-3"/>
        </w:rPr>
        <w:t>年度，公司按照既定的战略发展规划开展经营。近年来，公司在综合金融科技服务领域已经构建了比较完整的战</w:t>
      </w:r>
      <w:r>
        <w:rPr>
          <w:w w:val="101"/>
        </w:rPr>
        <w:t> </w:t>
      </w:r>
      <w:r>
        <w:rPr>
          <w:spacing w:val="-3"/>
        </w:rPr>
        <w:t>略发展布局。在国家关于深化金融改革开放、发力金融科技建设、推动金融业健康发展的政策引导下，公司通过金融 </w:t>
      </w:r>
      <w:r>
        <w:rPr>
          <w:rFonts w:ascii="Times New Roman" w:hAnsi="Times New Roman" w:cs="Times New Roman" w:eastAsia="Times New Roman" w:hint="default"/>
          <w:spacing w:val="-3"/>
        </w:rPr>
        <w:t>IT</w:t>
      </w:r>
      <w:r>
        <w:rPr>
          <w:spacing w:val="-3"/>
        </w:rPr>
        <w:t>、</w:t>
      </w:r>
      <w:r>
        <w:rPr>
          <w:spacing w:val="23"/>
        </w:rPr>
        <w:t> </w:t>
      </w:r>
      <w:r>
        <w:rPr>
          <w:spacing w:val="-3"/>
        </w:rPr>
        <w:t>互联网</w:t>
      </w:r>
      <w:r>
        <w:rPr>
          <w:rFonts w:ascii="Times New Roman" w:hAnsi="Times New Roman" w:cs="Times New Roman" w:eastAsia="Times New Roman" w:hint="default"/>
          <w:spacing w:val="-3"/>
        </w:rPr>
        <w:t>+</w:t>
      </w:r>
      <w:r>
        <w:rPr>
          <w:spacing w:val="-3"/>
        </w:rPr>
        <w:t>、大数据、人工智能等信息技术不断探索创新产品和服务，帮助金融机构提升服务实体经济的效率，同时驱动金融</w:t>
      </w:r>
      <w:r>
        <w:rPr>
          <w:spacing w:val="66"/>
        </w:rPr>
        <w:t> </w:t>
      </w:r>
      <w:r>
        <w:rPr>
          <w:spacing w:val="66"/>
        </w:rPr>
      </w:r>
      <w:r>
        <w:rPr>
          <w:spacing w:val="-4"/>
        </w:rPr>
        <w:t>产品、服务渠道、盈利模式等创新。报告期内，公司金融信息化、移动信息服务、电子商务三大主营业务收入及经营业绩基</w:t>
      </w:r>
      <w:r>
        <w:rPr>
          <w:spacing w:val="40"/>
        </w:rPr>
        <w:t> </w:t>
      </w:r>
      <w:r>
        <w:rPr>
          <w:spacing w:val="40"/>
        </w:rPr>
      </w:r>
      <w:r>
        <w:rPr>
          <w:spacing w:val="-3"/>
        </w:rPr>
        <w:t>本保持平稳。同时，公司在金融服务领域的业务延伸发展也取得了稳步推进，综合金融生态服务体系的业务布局日趋完善，</w:t>
      </w:r>
      <w:r>
        <w:rPr>
          <w:spacing w:val="75"/>
        </w:rPr>
        <w:t> </w:t>
      </w:r>
      <w:r>
        <w:rPr>
          <w:spacing w:val="75"/>
        </w:rPr>
      </w:r>
      <w:r>
        <w:rPr>
          <w:spacing w:val="-3"/>
        </w:rPr>
        <w:t>为公司业务的长远发展打下了坚实的基础。</w:t>
      </w:r>
    </w:p>
    <w:p>
      <w:pPr>
        <w:pStyle w:val="BodyText"/>
        <w:spacing w:line="475" w:lineRule="auto" w:before="69"/>
        <w:ind w:right="1029" w:firstLine="360"/>
        <w:jc w:val="left"/>
      </w:pPr>
      <w:r>
        <w:rPr>
          <w:spacing w:val="-3"/>
          <w:w w:val="101"/>
        </w:rPr>
        <w:t>报告期公司实现营业总收入</w:t>
      </w:r>
      <w:r>
        <w:rPr>
          <w:spacing w:val="-43"/>
          <w:w w:val="101"/>
        </w:rPr>
        <w:t> </w:t>
      </w:r>
      <w:r>
        <w:rPr>
          <w:rFonts w:ascii="宋体" w:hAnsi="宋体" w:cs="宋体" w:eastAsia="宋体" w:hint="default"/>
          <w:spacing w:val="-1"/>
          <w:w w:val="101"/>
        </w:rPr>
        <w:t>118,100.66</w:t>
      </w:r>
      <w:r>
        <w:rPr>
          <w:rFonts w:ascii="宋体" w:hAnsi="宋体" w:cs="宋体" w:eastAsia="宋体" w:hint="default"/>
          <w:spacing w:val="-43"/>
          <w:w w:val="101"/>
        </w:rPr>
        <w:t> </w:t>
      </w:r>
      <w:r>
        <w:rPr>
          <w:spacing w:val="-12"/>
          <w:w w:val="101"/>
        </w:rPr>
        <w:t>万元，比上年同期下降</w:t>
      </w:r>
      <w:r>
        <w:rPr>
          <w:spacing w:val="-48"/>
          <w:w w:val="101"/>
        </w:rPr>
        <w:t> </w:t>
      </w:r>
      <w:r>
        <w:rPr>
          <w:rFonts w:ascii="宋体" w:hAnsi="宋体" w:cs="宋体" w:eastAsia="宋体" w:hint="default"/>
          <w:spacing w:val="-11"/>
          <w:w w:val="101"/>
        </w:rPr>
        <w:t>9.10%</w:t>
      </w:r>
      <w:r>
        <w:rPr>
          <w:spacing w:val="-11"/>
          <w:w w:val="101"/>
        </w:rPr>
        <w:t>；营业利润</w:t>
      </w:r>
      <w:r>
        <w:rPr>
          <w:spacing w:val="-43"/>
          <w:w w:val="101"/>
        </w:rPr>
        <w:t> </w:t>
      </w:r>
      <w:r>
        <w:rPr>
          <w:rFonts w:ascii="宋体" w:hAnsi="宋体" w:cs="宋体" w:eastAsia="宋体" w:hint="default"/>
          <w:spacing w:val="-1"/>
          <w:w w:val="101"/>
        </w:rPr>
        <w:t>487.78</w:t>
      </w:r>
      <w:r>
        <w:rPr>
          <w:rFonts w:ascii="宋体" w:hAnsi="宋体" w:cs="宋体" w:eastAsia="宋体" w:hint="default"/>
          <w:spacing w:val="-43"/>
          <w:w w:val="101"/>
        </w:rPr>
        <w:t> </w:t>
      </w:r>
      <w:r>
        <w:rPr>
          <w:spacing w:val="-12"/>
          <w:w w:val="101"/>
        </w:rPr>
        <w:t>万元，比上年同期下降</w:t>
      </w:r>
      <w:r>
        <w:rPr>
          <w:spacing w:val="-43"/>
          <w:w w:val="101"/>
        </w:rPr>
        <w:t> </w:t>
      </w:r>
      <w:r>
        <w:rPr>
          <w:rFonts w:ascii="宋体" w:hAnsi="宋体" w:cs="宋体" w:eastAsia="宋体" w:hint="default"/>
          <w:spacing w:val="-2"/>
          <w:w w:val="101"/>
        </w:rPr>
        <w:t>83.63%</w:t>
      </w:r>
      <w:r>
        <w:rPr>
          <w:spacing w:val="-2"/>
          <w:w w:val="101"/>
        </w:rPr>
        <w:t>；</w:t>
      </w:r>
      <w:r>
        <w:rPr>
          <w:w w:val="101"/>
        </w:rPr>
        <w:t> </w:t>
      </w:r>
      <w:r>
        <w:rPr/>
        <w:t>利润总额</w:t>
      </w:r>
      <w:r>
        <w:rPr>
          <w:spacing w:val="-41"/>
        </w:rPr>
        <w:t> </w:t>
      </w:r>
      <w:r>
        <w:rPr>
          <w:rFonts w:ascii="宋体" w:hAnsi="宋体" w:cs="宋体" w:eastAsia="宋体" w:hint="default"/>
        </w:rPr>
        <w:t>440.10</w:t>
      </w:r>
      <w:r>
        <w:rPr>
          <w:rFonts w:ascii="宋体" w:hAnsi="宋体" w:cs="宋体" w:eastAsia="宋体" w:hint="default"/>
          <w:spacing w:val="-41"/>
        </w:rPr>
        <w:t> </w:t>
      </w:r>
      <w:r>
        <w:rPr/>
        <w:t>万元，比上年同期下降</w:t>
      </w:r>
      <w:r>
        <w:rPr>
          <w:spacing w:val="-46"/>
        </w:rPr>
        <w:t> </w:t>
      </w:r>
      <w:r>
        <w:rPr>
          <w:rFonts w:ascii="宋体" w:hAnsi="宋体" w:cs="宋体" w:eastAsia="宋体" w:hint="default"/>
        </w:rPr>
        <w:t>86.51%</w:t>
      </w:r>
      <w:r>
        <w:rPr/>
        <w:t>；归属于上市公司股东的净利润</w:t>
      </w:r>
      <w:r>
        <w:rPr>
          <w:spacing w:val="-41"/>
        </w:rPr>
        <w:t> </w:t>
      </w:r>
      <w:r>
        <w:rPr>
          <w:rFonts w:ascii="宋体" w:hAnsi="宋体" w:cs="宋体" w:eastAsia="宋体" w:hint="default"/>
        </w:rPr>
        <w:t>491.79</w:t>
      </w:r>
      <w:r>
        <w:rPr>
          <w:rFonts w:ascii="宋体" w:hAnsi="宋体" w:cs="宋体" w:eastAsia="宋体" w:hint="default"/>
          <w:spacing w:val="-41"/>
        </w:rPr>
        <w:t> </w:t>
      </w:r>
      <w:r>
        <w:rPr>
          <w:spacing w:val="-3"/>
        </w:rPr>
        <w:t>万元，比上年同期下降</w:t>
      </w:r>
      <w:r>
        <w:rPr>
          <w:spacing w:val="-41"/>
        </w:rPr>
        <w:t> </w:t>
      </w:r>
      <w:r>
        <w:rPr>
          <w:rFonts w:ascii="宋体" w:hAnsi="宋体" w:cs="宋体" w:eastAsia="宋体" w:hint="default"/>
        </w:rPr>
        <w:t>86.24%</w:t>
      </w:r>
      <w:r>
        <w:rPr/>
        <w:t>。</w:t>
      </w:r>
    </w:p>
    <w:p>
      <w:pPr>
        <w:pStyle w:val="BodyText"/>
        <w:spacing w:line="240" w:lineRule="auto" w:before="58"/>
        <w:ind w:left="513" w:right="0"/>
        <w:jc w:val="left"/>
      </w:pPr>
      <w:r>
        <w:rPr>
          <w:spacing w:val="-3"/>
        </w:rPr>
        <w:t>报告期内公司各业务板块具体经营状况如下：</w:t>
      </w:r>
    </w:p>
    <w:p>
      <w:pPr>
        <w:spacing w:line="240" w:lineRule="auto" w:before="8"/>
        <w:rPr>
          <w:rFonts w:ascii="宋体" w:hAnsi="宋体" w:cs="宋体" w:eastAsia="宋体" w:hint="default"/>
          <w:sz w:val="17"/>
          <w:szCs w:val="17"/>
        </w:rPr>
      </w:pPr>
    </w:p>
    <w:p>
      <w:pPr>
        <w:pStyle w:val="BodyText"/>
        <w:spacing w:line="477" w:lineRule="auto"/>
        <w:ind w:left="513" w:right="1029"/>
        <w:jc w:val="left"/>
      </w:pPr>
      <w:r>
        <w:rPr>
          <w:spacing w:val="-3"/>
        </w:rPr>
        <w:t>（一）主营业务收入及净利润</w:t>
      </w:r>
      <w:r>
        <w:rPr>
          <w:spacing w:val="-50"/>
        </w:rPr>
        <w:t> </w:t>
      </w:r>
      <w:r>
        <w:rPr>
          <w:spacing w:val="-50"/>
        </w:rPr>
      </w:r>
      <w:r>
        <w:rPr>
          <w:spacing w:val="-3"/>
        </w:rPr>
        <w:t>报告期内，公司主营业务收入主要来自于金融信息化、移动信息服务和电子商务等业务领域。</w:t>
      </w:r>
      <w:r>
        <w:rPr>
          <w:spacing w:val="31"/>
        </w:rPr>
        <w:t> </w:t>
      </w:r>
      <w:r>
        <w:rPr>
          <w:spacing w:val="31"/>
        </w:rPr>
      </w:r>
      <w:r>
        <w:rPr>
          <w:spacing w:val="-4"/>
        </w:rPr>
        <w:t>在金融信息化业务领域，公司依托在银行业的客户资源优势，继续在其他大型国有银行、股份制银行和城市商业银行推</w:t>
      </w:r>
    </w:p>
    <w:p>
      <w:pPr>
        <w:pStyle w:val="BodyText"/>
        <w:spacing w:line="475" w:lineRule="auto" w:before="57"/>
        <w:ind w:right="0"/>
        <w:jc w:val="left"/>
      </w:pPr>
      <w:r>
        <w:rPr>
          <w:spacing w:val="-3"/>
        </w:rPr>
        <w:t>广智能印控机等金融软硬件产品。受重点产品智能印控机大型银行客户采购波动性的影响，销售收入较上年同期有所下降。</w:t>
      </w:r>
      <w:r>
        <w:rPr>
          <w:spacing w:val="75"/>
        </w:rPr>
        <w:t> </w:t>
      </w:r>
      <w:r>
        <w:rPr>
          <w:spacing w:val="75"/>
        </w:rPr>
      </w:r>
      <w:r>
        <w:rPr>
          <w:spacing w:val="-3"/>
        </w:rPr>
        <w:t>报告期内，金融信息化业务实现营业收入 </w:t>
      </w:r>
      <w:r>
        <w:rPr>
          <w:rFonts w:ascii="宋体" w:hAnsi="宋体" w:cs="宋体" w:eastAsia="宋体" w:hint="default"/>
        </w:rPr>
        <w:t>17,203.85 </w:t>
      </w:r>
      <w:r>
        <w:rPr>
          <w:spacing w:val="-3"/>
        </w:rPr>
        <w:t>万元，较上年同期下降</w:t>
      </w:r>
      <w:r>
        <w:rPr>
          <w:spacing w:val="-52"/>
        </w:rPr>
        <w:t> </w:t>
      </w:r>
      <w:r>
        <w:rPr>
          <w:rFonts w:ascii="宋体" w:hAnsi="宋体" w:cs="宋体" w:eastAsia="宋体" w:hint="default"/>
        </w:rPr>
        <w:t>43.78%</w:t>
      </w:r>
      <w:r>
        <w:rPr/>
        <w:t>。</w:t>
      </w:r>
    </w:p>
    <w:p>
      <w:pPr>
        <w:pStyle w:val="BodyText"/>
        <w:spacing w:line="465" w:lineRule="auto" w:before="58"/>
        <w:ind w:right="1120" w:firstLine="360"/>
        <w:jc w:val="left"/>
      </w:pPr>
      <w:r>
        <w:rPr>
          <w:spacing w:val="-3"/>
        </w:rPr>
        <w:t>在移动信息服务领域，公司营业收入主要来自于公司全资子公司亿美软通的移动信息服务和移动互联网应用服务业务。</w:t>
      </w:r>
      <w:r>
        <w:rPr>
          <w:w w:val="101"/>
        </w:rPr>
        <w:t> </w:t>
      </w:r>
      <w:r>
        <w:rPr>
          <w:spacing w:val="-4"/>
        </w:rPr>
        <w:t>本报告期，在充分发挥与公司金融行业客户资源的协同优势的基础上，为了持续提升短信市场的占有率，亿美软通借助公司</w:t>
      </w:r>
      <w:r>
        <w:rPr>
          <w:spacing w:val="43"/>
        </w:rPr>
        <w:t> </w:t>
      </w:r>
      <w:r>
        <w:rPr>
          <w:spacing w:val="43"/>
        </w:rPr>
      </w:r>
      <w:r>
        <w:rPr>
          <w:spacing w:val="-4"/>
        </w:rPr>
        <w:t>综合金融服务平台的协同优势，不断为客户提供增值创新业务，保持并保证充分的市场竞争力。亿美软通以优质的价格服务</w:t>
      </w:r>
      <w:r>
        <w:rPr>
          <w:spacing w:val="43"/>
        </w:rPr>
        <w:t> </w:t>
      </w:r>
      <w:r>
        <w:rPr>
          <w:spacing w:val="43"/>
        </w:rPr>
      </w:r>
      <w:r>
        <w:rPr>
          <w:spacing w:val="-3"/>
        </w:rPr>
        <w:t>于大型客户，形成了收入增加、毛利率降低的变动情况。同时，亿美软通已于 </w:t>
      </w:r>
      <w:r>
        <w:rPr>
          <w:rFonts w:ascii="Times New Roman" w:hAnsi="Times New Roman" w:cs="Times New Roman" w:eastAsia="Times New Roman" w:hint="default"/>
          <w:spacing w:val="-3"/>
        </w:rPr>
        <w:t>2019 </w:t>
      </w:r>
      <w:r>
        <w:rPr/>
        <w:t>年 </w:t>
      </w:r>
      <w:r>
        <w:rPr>
          <w:rFonts w:ascii="Times New Roman" w:hAnsi="Times New Roman" w:cs="Times New Roman" w:eastAsia="Times New Roman" w:hint="default"/>
        </w:rPr>
        <w:t>6 </w:t>
      </w:r>
      <w:r>
        <w:rPr>
          <w:spacing w:val="-3"/>
        </w:rPr>
        <w:t>月正式加入了全球移动通信系统协</w:t>
      </w:r>
      <w:r>
        <w:rPr>
          <w:spacing w:val="-36"/>
        </w:rPr>
        <w:t> </w:t>
      </w:r>
      <w:r>
        <w:rPr>
          <w:spacing w:val="-36"/>
        </w:rPr>
      </w:r>
      <w:r>
        <w:rPr/>
        <w:t>会 </w:t>
      </w:r>
      <w:r>
        <w:rPr>
          <w:rFonts w:ascii="Times New Roman" w:hAnsi="Times New Roman" w:cs="Times New Roman" w:eastAsia="Times New Roman" w:hint="default"/>
          <w:spacing w:val="-3"/>
        </w:rPr>
        <w:t>GSMA</w:t>
      </w:r>
      <w:r>
        <w:rPr>
          <w:spacing w:val="-3"/>
        </w:rPr>
        <w:t>，积极探索新一代的富媒体通信服务 </w:t>
      </w:r>
      <w:r>
        <w:rPr>
          <w:rFonts w:ascii="Times New Roman" w:hAnsi="Times New Roman" w:cs="Times New Roman" w:eastAsia="Times New Roman" w:hint="default"/>
          <w:spacing w:val="-3"/>
        </w:rPr>
        <w:t>RCS</w:t>
      </w:r>
      <w:r>
        <w:rPr>
          <w:spacing w:val="-3"/>
        </w:rPr>
        <w:t>，努力创造未来业务发展机会。报告期内，移动信息服务业务实现营业</w:t>
      </w:r>
      <w:r>
        <w:rPr>
          <w:spacing w:val="-17"/>
        </w:rPr>
        <w:t> </w:t>
      </w:r>
      <w:r>
        <w:rPr>
          <w:spacing w:val="-17"/>
        </w:rPr>
      </w:r>
      <w:r>
        <w:rPr/>
        <w:t>收入</w:t>
      </w:r>
      <w:r>
        <w:rPr>
          <w:spacing w:val="-45"/>
        </w:rPr>
        <w:t> </w:t>
      </w:r>
      <w:r>
        <w:rPr>
          <w:rFonts w:ascii="宋体" w:hAnsi="宋体" w:cs="宋体" w:eastAsia="宋体" w:hint="default"/>
        </w:rPr>
        <w:t>63,300.22</w:t>
      </w:r>
      <w:r>
        <w:rPr>
          <w:rFonts w:ascii="宋体" w:hAnsi="宋体" w:cs="宋体" w:eastAsia="宋体" w:hint="default"/>
          <w:spacing w:val="-45"/>
        </w:rPr>
        <w:t> </w:t>
      </w:r>
      <w:r>
        <w:rPr/>
        <w:t>万元，较上年同期增长</w:t>
      </w:r>
      <w:r>
        <w:rPr>
          <w:spacing w:val="-45"/>
        </w:rPr>
        <w:t> </w:t>
      </w:r>
      <w:r>
        <w:rPr>
          <w:rFonts w:ascii="宋体" w:hAnsi="宋体" w:cs="宋体" w:eastAsia="宋体" w:hint="default"/>
        </w:rPr>
        <w:t>3.31%</w:t>
      </w:r>
      <w:r>
        <w:rPr/>
        <w:t>。</w:t>
      </w:r>
    </w:p>
    <w:p>
      <w:pPr>
        <w:pStyle w:val="BodyText"/>
        <w:spacing w:line="475" w:lineRule="auto" w:before="65"/>
        <w:ind w:right="0" w:firstLine="360"/>
        <w:jc w:val="left"/>
      </w:pPr>
      <w:r>
        <w:rPr>
          <w:spacing w:val="-3"/>
        </w:rPr>
        <w:t>在电子商务服务领域，公司营业收入主要来自于控股子公司安科创新以家居安防产品为主要产品的跨境电子商务业务。</w:t>
      </w:r>
      <w:r>
        <w:rPr>
          <w:w w:val="101"/>
        </w:rPr>
        <w:t> </w:t>
      </w:r>
      <w:r>
        <w:rPr>
          <w:spacing w:val="-3"/>
        </w:rPr>
        <w:t>报告期内，安科创新着力加大自主品牌的市场宣传和推广，服务区域已辐射全球 </w:t>
      </w:r>
      <w:r>
        <w:rPr>
          <w:rFonts w:ascii="Times New Roman" w:hAnsi="Times New Roman" w:cs="Times New Roman" w:eastAsia="Times New Roman" w:hint="default"/>
          <w:spacing w:val="-3"/>
        </w:rPr>
        <w:t>30  </w:t>
      </w:r>
      <w:r>
        <w:rPr>
          <w:rFonts w:ascii="Times New Roman" w:hAnsi="Times New Roman" w:cs="Times New Roman" w:eastAsia="Times New Roman" w:hint="default"/>
          <w:spacing w:val="25"/>
        </w:rPr>
        <w:t> </w:t>
      </w:r>
      <w:r>
        <w:rPr>
          <w:spacing w:val="-3"/>
        </w:rPr>
        <w:t>多个国家和地区，包括美国、英国、德</w:t>
      </w:r>
    </w:p>
    <w:p>
      <w:pPr>
        <w:pStyle w:val="BodyText"/>
        <w:spacing w:line="475" w:lineRule="auto" w:before="26"/>
        <w:ind w:right="1029"/>
        <w:jc w:val="left"/>
      </w:pPr>
      <w:r>
        <w:rPr>
          <w:spacing w:val="-4"/>
        </w:rPr>
        <w:t>国、法国、澳大利亚、西班牙等。受产品品类调整的影响，报告期内，电子商务服务业务实现营业收入 </w:t>
      </w:r>
      <w:r>
        <w:rPr>
          <w:rFonts w:ascii="宋体" w:hAnsi="宋体" w:cs="宋体" w:eastAsia="宋体" w:hint="default"/>
        </w:rPr>
        <w:t>37,596.59 </w:t>
      </w:r>
      <w:r>
        <w:rPr>
          <w:spacing w:val="-5"/>
        </w:rPr>
        <w:t>万元，较</w:t>
      </w:r>
      <w:r>
        <w:rPr>
          <w:spacing w:val="-65"/>
        </w:rPr>
        <w:t> </w:t>
      </w:r>
      <w:r>
        <w:rPr>
          <w:spacing w:val="-65"/>
        </w:rPr>
      </w:r>
      <w:r>
        <w:rPr/>
        <w:t>上年同期下降</w:t>
      </w:r>
      <w:r>
        <w:rPr>
          <w:spacing w:val="-41"/>
        </w:rPr>
        <w:t> </w:t>
      </w:r>
      <w:r>
        <w:rPr>
          <w:rFonts w:ascii="宋体" w:hAnsi="宋体" w:cs="宋体" w:eastAsia="宋体" w:hint="default"/>
        </w:rPr>
        <w:t>0.05%</w:t>
      </w:r>
      <w:r>
        <w:rPr/>
        <w:t>。</w:t>
      </w:r>
    </w:p>
    <w:p>
      <w:pPr>
        <w:pStyle w:val="BodyText"/>
        <w:spacing w:line="240" w:lineRule="auto" w:before="58"/>
        <w:ind w:left="513" w:right="0"/>
        <w:jc w:val="left"/>
      </w:pPr>
      <w:r>
        <w:rPr>
          <w:spacing w:val="-3"/>
        </w:rPr>
        <w:t>（二）战略布局创新业务的经营情况</w:t>
      </w:r>
    </w:p>
    <w:p>
      <w:pPr>
        <w:spacing w:after="0" w:line="240" w:lineRule="auto"/>
        <w:jc w:val="left"/>
        <w:sectPr>
          <w:pgSz w:w="11910" w:h="16840"/>
          <w:pgMar w:header="871" w:footer="1186" w:top="1100" w:bottom="1380" w:left="980" w:right="0"/>
        </w:sectPr>
      </w:pPr>
    </w:p>
    <w:p>
      <w:pPr>
        <w:spacing w:line="240" w:lineRule="auto" w:before="1"/>
        <w:rPr>
          <w:rFonts w:ascii="宋体" w:hAnsi="宋体" w:cs="宋体" w:eastAsia="宋体" w:hint="default"/>
          <w:sz w:val="28"/>
          <w:szCs w:val="28"/>
        </w:rPr>
      </w:pPr>
    </w:p>
    <w:p>
      <w:pPr>
        <w:pStyle w:val="BodyText"/>
        <w:spacing w:line="240" w:lineRule="auto" w:before="46"/>
        <w:ind w:left="513" w:right="0"/>
        <w:jc w:val="left"/>
      </w:pPr>
      <w:r>
        <w:rPr>
          <w:rFonts w:ascii="Times New Roman" w:hAnsi="Times New Roman" w:cs="Times New Roman" w:eastAsia="Times New Roman" w:hint="default"/>
        </w:rPr>
        <w:t>1.</w:t>
      </w:r>
      <w:r>
        <w:rPr/>
        <w:t>个人征信相关业务</w:t>
      </w:r>
    </w:p>
    <w:p>
      <w:pPr>
        <w:spacing w:line="240" w:lineRule="auto" w:before="7"/>
        <w:rPr>
          <w:rFonts w:ascii="宋体" w:hAnsi="宋体" w:cs="宋体" w:eastAsia="宋体" w:hint="default"/>
          <w:sz w:val="16"/>
          <w:szCs w:val="16"/>
        </w:rPr>
      </w:pPr>
    </w:p>
    <w:p>
      <w:pPr>
        <w:pStyle w:val="BodyText"/>
        <w:spacing w:line="240" w:lineRule="auto"/>
        <w:ind w:left="513" w:right="0"/>
        <w:jc w:val="left"/>
      </w:pPr>
      <w:r>
        <w:rPr>
          <w:rFonts w:ascii="Times New Roman" w:hAnsi="Times New Roman" w:cs="Times New Roman" w:eastAsia="Times New Roman" w:hint="default"/>
        </w:rPr>
        <w:t>2015  </w:t>
      </w:r>
      <w:r>
        <w:rPr/>
        <w:t>年 </w:t>
      </w:r>
      <w:r>
        <w:rPr>
          <w:rFonts w:ascii="Times New Roman" w:hAnsi="Times New Roman" w:cs="Times New Roman" w:eastAsia="Times New Roman" w:hint="default"/>
        </w:rPr>
        <w:t>1 </w:t>
      </w:r>
      <w:r>
        <w:rPr>
          <w:spacing w:val="-3"/>
        </w:rPr>
        <w:t>月，公司子公司华道征信经中国人民银行批准开展个人征信业务准备工作。</w:t>
      </w:r>
      <w:r>
        <w:rPr>
          <w:rFonts w:ascii="Times New Roman" w:hAnsi="Times New Roman" w:cs="Times New Roman" w:eastAsia="Times New Roman" w:hint="default"/>
          <w:spacing w:val="-3"/>
        </w:rPr>
        <w:t>2017</w:t>
      </w:r>
      <w:r>
        <w:rPr>
          <w:rFonts w:ascii="Times New Roman" w:hAnsi="Times New Roman" w:cs="Times New Roman" w:eastAsia="Times New Roman" w:hint="default"/>
          <w:spacing w:val="26"/>
        </w:rPr>
        <w:t> </w:t>
      </w:r>
      <w:r>
        <w:rPr>
          <w:spacing w:val="-3"/>
        </w:rPr>
        <w:t>年，华道征信与其他发起人</w:t>
      </w:r>
    </w:p>
    <w:p>
      <w:pPr>
        <w:spacing w:line="240" w:lineRule="auto" w:before="12"/>
        <w:rPr>
          <w:rFonts w:ascii="宋体" w:hAnsi="宋体" w:cs="宋体" w:eastAsia="宋体" w:hint="default"/>
          <w:sz w:val="16"/>
          <w:szCs w:val="16"/>
        </w:rPr>
      </w:pPr>
    </w:p>
    <w:p>
      <w:pPr>
        <w:pStyle w:val="BodyText"/>
        <w:spacing w:line="240" w:lineRule="auto"/>
        <w:ind w:right="0"/>
        <w:jc w:val="both"/>
      </w:pPr>
      <w:r>
        <w:rPr>
          <w:spacing w:val="-3"/>
        </w:rPr>
        <w:t>共同发起设立百行征信有限公司。</w:t>
      </w:r>
      <w:r>
        <w:rPr>
          <w:rFonts w:ascii="Times New Roman" w:hAnsi="Times New Roman" w:cs="Times New Roman" w:eastAsia="Times New Roman" w:hint="default"/>
          <w:spacing w:val="-3"/>
        </w:rPr>
        <w:t>2018 </w:t>
      </w:r>
      <w:r>
        <w:rPr/>
        <w:t>年 </w:t>
      </w:r>
      <w:r>
        <w:rPr>
          <w:rFonts w:ascii="Times New Roman" w:hAnsi="Times New Roman" w:cs="Times New Roman" w:eastAsia="Times New Roman" w:hint="default"/>
        </w:rPr>
        <w:t>2 </w:t>
      </w:r>
      <w:r>
        <w:rPr/>
        <w:t>月 </w:t>
      </w:r>
      <w:r>
        <w:rPr>
          <w:rFonts w:ascii="Times New Roman" w:hAnsi="Times New Roman" w:cs="Times New Roman" w:eastAsia="Times New Roman" w:hint="default"/>
          <w:spacing w:val="-3"/>
        </w:rPr>
        <w:t>22 </w:t>
      </w:r>
      <w:r>
        <w:rPr>
          <w:spacing w:val="-3"/>
        </w:rPr>
        <w:t>日，百行征信已经中国人民银行</w:t>
      </w:r>
      <w:r>
        <w:rPr>
          <w:rFonts w:ascii="Times New Roman" w:hAnsi="Times New Roman" w:cs="Times New Roman" w:eastAsia="Times New Roman" w:hint="default"/>
          <w:spacing w:val="-3"/>
        </w:rPr>
        <w:t>“</w:t>
      </w:r>
      <w:r>
        <w:rPr>
          <w:spacing w:val="-3"/>
        </w:rPr>
        <w:t>银征信许准予字</w:t>
      </w:r>
      <w:r>
        <w:rPr>
          <w:rFonts w:ascii="Times New Roman" w:hAnsi="Times New Roman" w:cs="Times New Roman" w:eastAsia="Times New Roman" w:hint="default"/>
          <w:spacing w:val="-3"/>
        </w:rPr>
        <w:t>[2018]</w:t>
      </w:r>
      <w:r>
        <w:rPr>
          <w:spacing w:val="-3"/>
        </w:rPr>
        <w:t>第 </w:t>
      </w:r>
      <w:r>
        <w:rPr>
          <w:rFonts w:ascii="Times New Roman" w:hAnsi="Times New Roman" w:cs="Times New Roman" w:eastAsia="Times New Roman" w:hint="default"/>
        </w:rPr>
        <w:t>1</w:t>
      </w:r>
      <w:r>
        <w:rPr>
          <w:rFonts w:ascii="Times New Roman" w:hAnsi="Times New Roman" w:cs="Times New Roman" w:eastAsia="Times New Roman" w:hint="default"/>
          <w:spacing w:val="-19"/>
        </w:rPr>
        <w:t> </w:t>
      </w:r>
      <w:r>
        <w:rPr/>
        <w:t>号</w:t>
      </w:r>
      <w:r>
        <w:rPr>
          <w:rFonts w:ascii="Times New Roman" w:hAnsi="Times New Roman" w:cs="Times New Roman" w:eastAsia="Times New Roman" w:hint="default"/>
        </w:rPr>
        <w:t>”</w:t>
      </w:r>
      <w:r>
        <w:rPr/>
        <w:t>批准获得</w:t>
      </w:r>
    </w:p>
    <w:p>
      <w:pPr>
        <w:spacing w:line="240" w:lineRule="auto" w:before="7"/>
        <w:rPr>
          <w:rFonts w:ascii="宋体" w:hAnsi="宋体" w:cs="宋体" w:eastAsia="宋体" w:hint="default"/>
          <w:sz w:val="16"/>
          <w:szCs w:val="16"/>
        </w:rPr>
      </w:pPr>
    </w:p>
    <w:p>
      <w:pPr>
        <w:pStyle w:val="BodyText"/>
        <w:spacing w:line="240" w:lineRule="auto"/>
        <w:ind w:right="0"/>
        <w:jc w:val="both"/>
      </w:pPr>
      <w:r>
        <w:rPr>
          <w:spacing w:val="-3"/>
        </w:rPr>
        <w:t>个人征信机构设立许可，是目前国内唯一经中国人民银行批准开展个人业务的征信公司。截至 </w:t>
      </w:r>
      <w:r>
        <w:rPr>
          <w:rFonts w:ascii="Times New Roman" w:hAnsi="Times New Roman" w:cs="Times New Roman" w:eastAsia="Times New Roman" w:hint="default"/>
        </w:rPr>
        <w:t>2019 </w:t>
      </w:r>
      <w:r>
        <w:rPr>
          <w:rFonts w:ascii="Times New Roman" w:hAnsi="Times New Roman" w:cs="Times New Roman" w:eastAsia="Times New Roman" w:hint="default"/>
          <w:spacing w:val="25"/>
        </w:rPr>
        <w:t> </w:t>
      </w:r>
      <w:r>
        <w:rPr/>
        <w:t>年底，百行征信签约个</w:t>
      </w:r>
    </w:p>
    <w:p>
      <w:pPr>
        <w:spacing w:line="240" w:lineRule="auto" w:before="12"/>
        <w:rPr>
          <w:rFonts w:ascii="宋体" w:hAnsi="宋体" w:cs="宋体" w:eastAsia="宋体" w:hint="default"/>
          <w:sz w:val="16"/>
          <w:szCs w:val="16"/>
        </w:rPr>
      </w:pPr>
    </w:p>
    <w:p>
      <w:pPr>
        <w:pStyle w:val="BodyText"/>
        <w:spacing w:line="240" w:lineRule="auto"/>
        <w:ind w:right="0"/>
        <w:jc w:val="both"/>
      </w:pPr>
      <w:r>
        <w:rPr/>
        <w:t>人信用数据共享机构 </w:t>
      </w:r>
      <w:r>
        <w:rPr>
          <w:rFonts w:ascii="Times New Roman" w:hAnsi="Times New Roman" w:cs="Times New Roman" w:eastAsia="Times New Roman" w:hint="default"/>
        </w:rPr>
        <w:t>909 </w:t>
      </w:r>
      <w:r>
        <w:rPr>
          <w:spacing w:val="-5"/>
        </w:rPr>
        <w:t>家，接入征信系统报送数据机构 </w:t>
      </w:r>
      <w:r>
        <w:rPr>
          <w:rFonts w:ascii="Times New Roman" w:hAnsi="Times New Roman" w:cs="Times New Roman" w:eastAsia="Times New Roman" w:hint="default"/>
        </w:rPr>
        <w:t>330</w:t>
      </w:r>
      <w:r>
        <w:rPr>
          <w:rFonts w:ascii="Times New Roman" w:hAnsi="Times New Roman" w:cs="Times New Roman" w:eastAsia="Times New Roman" w:hint="default"/>
          <w:spacing w:val="-6"/>
        </w:rPr>
        <w:t> </w:t>
      </w:r>
      <w:r>
        <w:rPr>
          <w:spacing w:val="-10"/>
        </w:rPr>
        <w:t>家，包括商业银行、保险、信托、消费金融、汽车金融、小贷、</w:t>
      </w:r>
    </w:p>
    <w:p>
      <w:pPr>
        <w:spacing w:line="240" w:lineRule="auto" w:before="7"/>
        <w:rPr>
          <w:rFonts w:ascii="宋体" w:hAnsi="宋体" w:cs="宋体" w:eastAsia="宋体" w:hint="default"/>
          <w:sz w:val="16"/>
          <w:szCs w:val="16"/>
        </w:rPr>
      </w:pPr>
    </w:p>
    <w:p>
      <w:pPr>
        <w:pStyle w:val="BodyText"/>
        <w:spacing w:line="240" w:lineRule="auto"/>
        <w:ind w:right="0"/>
        <w:jc w:val="both"/>
      </w:pPr>
      <w:r>
        <w:rPr>
          <w:spacing w:val="-4"/>
        </w:rPr>
        <w:t>融资租赁、融资担保公司等 </w:t>
      </w:r>
      <w:r>
        <w:rPr>
          <w:rFonts w:ascii="Times New Roman" w:hAnsi="Times New Roman" w:cs="Times New Roman" w:eastAsia="Times New Roman" w:hint="default"/>
          <w:spacing w:val="-3"/>
        </w:rPr>
        <w:t>20  </w:t>
      </w:r>
      <w:r>
        <w:rPr>
          <w:spacing w:val="-4"/>
        </w:rPr>
        <w:t>类传统金融机构与非传统金融机构。截至 </w:t>
      </w:r>
      <w:r>
        <w:rPr>
          <w:rFonts w:ascii="Times New Roman" w:hAnsi="Times New Roman" w:cs="Times New Roman" w:eastAsia="Times New Roman" w:hint="default"/>
        </w:rPr>
        <w:t>2019</w:t>
      </w:r>
      <w:r>
        <w:rPr>
          <w:rFonts w:ascii="Times New Roman" w:hAnsi="Times New Roman" w:cs="Times New Roman" w:eastAsia="Times New Roman" w:hint="default"/>
          <w:spacing w:val="-6"/>
        </w:rPr>
        <w:t> </w:t>
      </w:r>
      <w:r>
        <w:rPr>
          <w:spacing w:val="-4"/>
        </w:rPr>
        <w:t>年底，百行征信的征信系统收录个人信息主体</w:t>
      </w:r>
    </w:p>
    <w:p>
      <w:pPr>
        <w:spacing w:line="240" w:lineRule="auto" w:before="12"/>
        <w:rPr>
          <w:rFonts w:ascii="宋体" w:hAnsi="宋体" w:cs="宋体" w:eastAsia="宋体" w:hint="default"/>
          <w:sz w:val="16"/>
          <w:szCs w:val="16"/>
        </w:rPr>
      </w:pPr>
    </w:p>
    <w:p>
      <w:pPr>
        <w:pStyle w:val="BodyText"/>
        <w:spacing w:line="463" w:lineRule="auto"/>
        <w:ind w:right="1123"/>
        <w:jc w:val="both"/>
      </w:pPr>
      <w:r>
        <w:rPr>
          <w:rFonts w:ascii="Times New Roman" w:hAnsi="Times New Roman" w:cs="Times New Roman" w:eastAsia="Times New Roman" w:hint="default"/>
        </w:rPr>
        <w:t>1.4</w:t>
      </w:r>
      <w:r>
        <w:rPr>
          <w:rFonts w:ascii="Times New Roman" w:hAnsi="Times New Roman" w:cs="Times New Roman" w:eastAsia="Times New Roman" w:hint="default"/>
          <w:spacing w:val="1"/>
        </w:rPr>
        <w:t> </w:t>
      </w:r>
      <w:r>
        <w:rPr/>
        <w:t>亿人，去重后</w:t>
      </w:r>
      <w:r>
        <w:rPr>
          <w:spacing w:val="-44"/>
        </w:rPr>
        <w:t> </w:t>
      </w:r>
      <w:r>
        <w:rPr>
          <w:rFonts w:ascii="Times New Roman" w:hAnsi="Times New Roman" w:cs="Times New Roman" w:eastAsia="Times New Roman" w:hint="default"/>
        </w:rPr>
        <w:t>6500</w:t>
      </w:r>
      <w:r>
        <w:rPr>
          <w:rFonts w:ascii="Times New Roman" w:hAnsi="Times New Roman" w:cs="Times New Roman" w:eastAsia="Times New Roman" w:hint="default"/>
          <w:spacing w:val="1"/>
        </w:rPr>
        <w:t> </w:t>
      </w:r>
      <w:r>
        <w:rPr>
          <w:spacing w:val="-3"/>
        </w:rPr>
        <w:t>万人，信贷账户</w:t>
      </w:r>
      <w:r>
        <w:rPr>
          <w:spacing w:val="-38"/>
        </w:rPr>
        <w:t> </w:t>
      </w:r>
      <w:r>
        <w:rPr>
          <w:rFonts w:ascii="Times New Roman" w:hAnsi="Times New Roman" w:cs="Times New Roman" w:eastAsia="Times New Roman" w:hint="default"/>
          <w:spacing w:val="-3"/>
        </w:rPr>
        <w:t>1.75</w:t>
      </w:r>
      <w:r>
        <w:rPr>
          <w:rFonts w:ascii="Times New Roman" w:hAnsi="Times New Roman" w:cs="Times New Roman" w:eastAsia="Times New Roman" w:hint="default"/>
          <w:spacing w:val="3"/>
        </w:rPr>
        <w:t> </w:t>
      </w:r>
      <w:r>
        <w:rPr>
          <w:spacing w:val="-3"/>
        </w:rPr>
        <w:t>亿个，信贷记录</w:t>
      </w:r>
      <w:r>
        <w:rPr>
          <w:spacing w:val="-38"/>
        </w:rPr>
        <w:t> </w:t>
      </w:r>
      <w:r>
        <w:rPr>
          <w:rFonts w:ascii="Times New Roman" w:hAnsi="Times New Roman" w:cs="Times New Roman" w:eastAsia="Times New Roman" w:hint="default"/>
          <w:spacing w:val="-3"/>
        </w:rPr>
        <w:t>18</w:t>
      </w:r>
      <w:r>
        <w:rPr>
          <w:rFonts w:ascii="Times New Roman" w:hAnsi="Times New Roman" w:cs="Times New Roman" w:eastAsia="Times New Roman" w:hint="default"/>
          <w:spacing w:val="1"/>
        </w:rPr>
        <w:t> </w:t>
      </w:r>
      <w:r>
        <w:rPr>
          <w:spacing w:val="-3"/>
        </w:rPr>
        <w:t>亿条；累计收录</w:t>
      </w:r>
      <w:r>
        <w:rPr>
          <w:spacing w:val="-38"/>
        </w:rPr>
        <w:t> </w:t>
      </w:r>
      <w:r>
        <w:rPr>
          <w:rFonts w:ascii="Times New Roman" w:hAnsi="Times New Roman" w:cs="Times New Roman" w:eastAsia="Times New Roman" w:hint="default"/>
        </w:rPr>
        <w:t>P2P </w:t>
      </w:r>
      <w:r>
        <w:rPr/>
        <w:t>借款人</w:t>
      </w:r>
      <w:r>
        <w:rPr>
          <w:spacing w:val="-38"/>
        </w:rPr>
        <w:t> </w:t>
      </w:r>
      <w:r>
        <w:rPr>
          <w:rFonts w:ascii="Times New Roman" w:hAnsi="Times New Roman" w:cs="Times New Roman" w:eastAsia="Times New Roman" w:hint="default"/>
          <w:spacing w:val="-3"/>
        </w:rPr>
        <w:t>3800</w:t>
      </w:r>
      <w:r>
        <w:rPr>
          <w:rFonts w:ascii="Times New Roman" w:hAnsi="Times New Roman" w:cs="Times New Roman" w:eastAsia="Times New Roman" w:hint="default"/>
          <w:spacing w:val="1"/>
        </w:rPr>
        <w:t> </w:t>
      </w:r>
      <w:r>
        <w:rPr>
          <w:spacing w:val="-3"/>
        </w:rPr>
        <w:t>余万，基本实现了网络借</w:t>
      </w:r>
      <w:r>
        <w:rPr>
          <w:spacing w:val="-66"/>
        </w:rPr>
        <w:t> </w:t>
      </w:r>
      <w:r>
        <w:rPr>
          <w:spacing w:val="-66"/>
        </w:rPr>
      </w:r>
      <w:r>
        <w:rPr>
          <w:spacing w:val="-3"/>
        </w:rPr>
        <w:t>贷人群全覆盖，有效配合互联网金融专项整治工作。</w:t>
      </w:r>
      <w:r>
        <w:rPr>
          <w:rFonts w:ascii="Times New Roman" w:hAnsi="Times New Roman" w:cs="Times New Roman" w:eastAsia="Times New Roman" w:hint="default"/>
          <w:spacing w:val="-3"/>
        </w:rPr>
        <w:t>2019 </w:t>
      </w:r>
      <w:r>
        <w:rPr>
          <w:spacing w:val="-3"/>
        </w:rPr>
        <w:t>年，百行征信已成功研发并推出个人信用报告、特别关注名单和</w:t>
      </w:r>
      <w:r>
        <w:rPr>
          <w:spacing w:val="26"/>
        </w:rPr>
        <w:t> </w:t>
      </w:r>
      <w:r>
        <w:rPr>
          <w:spacing w:val="26"/>
        </w:rPr>
      </w:r>
      <w:r>
        <w:rPr>
          <w:spacing w:val="-3"/>
        </w:rPr>
        <w:t>信息核验平台三款个人征信产品，并于</w:t>
      </w:r>
      <w:r>
        <w:rPr>
          <w:spacing w:val="-23"/>
        </w:rPr>
        <w:t> </w:t>
      </w:r>
      <w:r>
        <w:rPr>
          <w:rFonts w:ascii="Times New Roman" w:hAnsi="Times New Roman" w:cs="Times New Roman" w:eastAsia="Times New Roman" w:hint="default"/>
        </w:rPr>
        <w:t>2020</w:t>
      </w:r>
      <w:r>
        <w:rPr>
          <w:rFonts w:ascii="Times New Roman" w:hAnsi="Times New Roman" w:cs="Times New Roman" w:eastAsia="Times New Roman" w:hint="default"/>
          <w:spacing w:val="8"/>
        </w:rPr>
        <w:t> </w:t>
      </w:r>
      <w:r>
        <w:rPr/>
        <w:t>年</w:t>
      </w:r>
      <w:r>
        <w:rPr>
          <w:spacing w:val="-23"/>
        </w:rPr>
        <w:t> </w:t>
      </w:r>
      <w:r>
        <w:rPr>
          <w:rFonts w:ascii="Times New Roman" w:hAnsi="Times New Roman" w:cs="Times New Roman" w:eastAsia="Times New Roman" w:hint="default"/>
        </w:rPr>
        <w:t>1</w:t>
      </w:r>
      <w:r>
        <w:rPr>
          <w:rFonts w:ascii="Times New Roman" w:hAnsi="Times New Roman" w:cs="Times New Roman" w:eastAsia="Times New Roman" w:hint="default"/>
          <w:spacing w:val="7"/>
        </w:rPr>
        <w:t> </w:t>
      </w:r>
      <w:r>
        <w:rPr>
          <w:spacing w:val="-3"/>
        </w:rPr>
        <w:t>月正式开启百行征信</w:t>
      </w:r>
      <w:r>
        <w:rPr>
          <w:spacing w:val="-23"/>
        </w:rPr>
        <w:t> </w:t>
      </w:r>
      <w:r>
        <w:rPr>
          <w:rFonts w:ascii="Times New Roman" w:hAnsi="Times New Roman" w:cs="Times New Roman" w:eastAsia="Times New Roman" w:hint="default"/>
          <w:spacing w:val="-3"/>
        </w:rPr>
        <w:t>APP</w:t>
      </w:r>
      <w:r>
        <w:rPr>
          <w:rFonts w:ascii="Times New Roman" w:hAnsi="Times New Roman" w:cs="Times New Roman" w:eastAsia="Times New Roman" w:hint="default"/>
          <w:spacing w:val="15"/>
        </w:rPr>
        <w:t> </w:t>
      </w:r>
      <w:r>
        <w:rPr>
          <w:spacing w:val="-4"/>
        </w:rPr>
        <w:t>公测。未来三年，百行征信将致力于打造共享共</w:t>
      </w:r>
      <w:r>
        <w:rPr>
          <w:spacing w:val="-78"/>
        </w:rPr>
        <w:t> </w:t>
      </w:r>
      <w:r>
        <w:rPr>
          <w:spacing w:val="-78"/>
        </w:rPr>
      </w:r>
      <w:r>
        <w:rPr>
          <w:spacing w:val="-4"/>
        </w:rPr>
        <w:t>赢的征信生态圈和互惠协同的征信产业链，将在产品设计和产品推送上不断丰富内容、拓宽渠道，满足各类客户需要。报告</w:t>
      </w:r>
      <w:r>
        <w:rPr>
          <w:spacing w:val="40"/>
        </w:rPr>
        <w:t> </w:t>
      </w:r>
      <w:r>
        <w:rPr>
          <w:spacing w:val="40"/>
        </w:rPr>
      </w:r>
      <w:r>
        <w:rPr>
          <w:spacing w:val="-4"/>
        </w:rPr>
        <w:t>期内，华道征信作为百行征信的股东单位，支持百行征信的业务发展，开展个人征信相关的行业研究和技术开发，由于相关</w:t>
      </w:r>
      <w:r>
        <w:rPr>
          <w:spacing w:val="40"/>
        </w:rPr>
        <w:t> </w:t>
      </w:r>
      <w:r>
        <w:rPr>
          <w:spacing w:val="40"/>
        </w:rPr>
      </w:r>
      <w:r>
        <w:rPr>
          <w:spacing w:val="-3"/>
        </w:rPr>
        <w:t>业务尚处于业务开展初期，尚未实现盈利。报告期内，华道征信实现营业收入</w:t>
      </w:r>
      <w:r>
        <w:rPr>
          <w:spacing w:val="-23"/>
        </w:rPr>
        <w:t> </w:t>
      </w:r>
      <w:r>
        <w:rPr>
          <w:rFonts w:ascii="宋体" w:hAnsi="宋体" w:cs="宋体" w:eastAsia="宋体" w:hint="default"/>
        </w:rPr>
        <w:t>1,880.48</w:t>
      </w:r>
      <w:r>
        <w:rPr>
          <w:rFonts w:ascii="宋体" w:hAnsi="宋体" w:cs="宋体" w:eastAsia="宋体" w:hint="default"/>
          <w:spacing w:val="-23"/>
        </w:rPr>
        <w:t> </w:t>
      </w:r>
      <w:r>
        <w:rPr/>
        <w:t>万元，净利润</w:t>
      </w:r>
      <w:r>
        <w:rPr>
          <w:rFonts w:ascii="宋体" w:hAnsi="宋体" w:cs="宋体" w:eastAsia="宋体" w:hint="default"/>
        </w:rPr>
        <w:t>-3,128.60</w:t>
      </w:r>
      <w:r>
        <w:rPr>
          <w:rFonts w:ascii="宋体" w:hAnsi="宋体" w:cs="宋体" w:eastAsia="宋体" w:hint="default"/>
          <w:spacing w:val="-23"/>
        </w:rPr>
        <w:t> </w:t>
      </w:r>
      <w:r>
        <w:rPr>
          <w:spacing w:val="-3"/>
        </w:rPr>
        <w:t>万元，对</w:t>
      </w:r>
      <w:r>
        <w:rPr>
          <w:spacing w:val="-49"/>
        </w:rPr>
        <w:t> </w:t>
      </w:r>
      <w:r>
        <w:rPr>
          <w:spacing w:val="-49"/>
        </w:rPr>
      </w:r>
      <w:r>
        <w:rPr>
          <w:spacing w:val="-2"/>
        </w:rPr>
        <w:t>公司投资收益的影响为</w:t>
      </w:r>
      <w:r>
        <w:rPr>
          <w:rFonts w:ascii="宋体" w:hAnsi="宋体" w:cs="宋体" w:eastAsia="宋体" w:hint="default"/>
          <w:spacing w:val="-2"/>
        </w:rPr>
        <w:t>-1,192.00</w:t>
      </w:r>
      <w:r>
        <w:rPr>
          <w:rFonts w:ascii="宋体" w:hAnsi="宋体" w:cs="宋体" w:eastAsia="宋体" w:hint="default"/>
          <w:spacing w:val="4"/>
        </w:rPr>
        <w:t> </w:t>
      </w:r>
      <w:r>
        <w:rPr>
          <w:spacing w:val="-2"/>
        </w:rPr>
        <w:t>万元。</w:t>
      </w:r>
    </w:p>
    <w:p>
      <w:pPr>
        <w:pStyle w:val="BodyText"/>
        <w:spacing w:line="240" w:lineRule="auto" w:before="63"/>
        <w:ind w:left="513" w:right="0"/>
        <w:jc w:val="left"/>
      </w:pPr>
      <w:r>
        <w:rPr>
          <w:rFonts w:ascii="Times New Roman" w:hAnsi="Times New Roman" w:cs="Times New Roman" w:eastAsia="Times New Roman" w:hint="default"/>
        </w:rPr>
        <w:t>2.</w:t>
      </w:r>
      <w:r>
        <w:rPr/>
        <w:t>互联网保险业务</w:t>
      </w:r>
    </w:p>
    <w:p>
      <w:pPr>
        <w:spacing w:line="240" w:lineRule="auto" w:before="12"/>
        <w:rPr>
          <w:rFonts w:ascii="宋体" w:hAnsi="宋体" w:cs="宋体" w:eastAsia="宋体" w:hint="default"/>
          <w:sz w:val="16"/>
          <w:szCs w:val="16"/>
        </w:rPr>
      </w:pPr>
    </w:p>
    <w:p>
      <w:pPr>
        <w:pStyle w:val="BodyText"/>
        <w:spacing w:line="451" w:lineRule="auto"/>
        <w:ind w:right="1126" w:firstLine="360"/>
        <w:jc w:val="both"/>
      </w:pPr>
      <w:r>
        <w:rPr>
          <w:spacing w:val="-3"/>
        </w:rPr>
        <w:t>公司参股发起设立的互联网保险公司易安保险于 </w:t>
      </w:r>
      <w:r>
        <w:rPr>
          <w:rFonts w:ascii="Times New Roman" w:hAnsi="Times New Roman" w:cs="Times New Roman" w:eastAsia="Times New Roman" w:hint="default"/>
        </w:rPr>
        <w:t>2016 </w:t>
      </w:r>
      <w:r>
        <w:rPr/>
        <w:t>年 </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spacing w:val="-3"/>
        </w:rPr>
        <w:t>月经中国保监会批准正式开业运营。易安保险是目前国内四</w:t>
      </w:r>
      <w:r>
        <w:rPr>
          <w:w w:val="101"/>
        </w:rPr>
        <w:t> </w:t>
      </w:r>
      <w:r>
        <w:rPr>
          <w:spacing w:val="-4"/>
        </w:rPr>
        <w:t>家经中国保监会批准开展</w:t>
      </w:r>
      <w:r>
        <w:rPr>
          <w:rFonts w:ascii="Times New Roman" w:hAnsi="Times New Roman" w:cs="Times New Roman" w:eastAsia="Times New Roman" w:hint="default"/>
          <w:spacing w:val="-4"/>
        </w:rPr>
        <w:t>“</w:t>
      </w:r>
      <w:r>
        <w:rPr>
          <w:spacing w:val="-4"/>
        </w:rPr>
        <w:t>与互联网交易直接相关的</w:t>
      </w:r>
      <w:r>
        <w:rPr>
          <w:rFonts w:ascii="Times New Roman" w:hAnsi="Times New Roman" w:cs="Times New Roman" w:eastAsia="Times New Roman" w:hint="default"/>
          <w:spacing w:val="-4"/>
        </w:rPr>
        <w:t>”</w:t>
      </w:r>
      <w:r>
        <w:rPr>
          <w:spacing w:val="-4"/>
        </w:rPr>
        <w:t>保险业务（</w:t>
      </w:r>
      <w:r>
        <w:rPr>
          <w:rFonts w:ascii="Times New Roman" w:hAnsi="Times New Roman" w:cs="Times New Roman" w:eastAsia="Times New Roman" w:hint="default"/>
          <w:spacing w:val="-4"/>
        </w:rPr>
        <w:t>“</w:t>
      </w:r>
      <w:r>
        <w:rPr>
          <w:spacing w:val="-4"/>
        </w:rPr>
        <w:t>互联网保险</w:t>
      </w:r>
      <w:r>
        <w:rPr>
          <w:rFonts w:ascii="Times New Roman" w:hAnsi="Times New Roman" w:cs="Times New Roman" w:eastAsia="Times New Roman" w:hint="default"/>
          <w:spacing w:val="-4"/>
        </w:rPr>
        <w:t>”</w:t>
      </w:r>
      <w:r>
        <w:rPr>
          <w:spacing w:val="-4"/>
        </w:rPr>
        <w:t>）的财产保险公司之一。报告期内，易安保险</w:t>
      </w:r>
      <w:r>
        <w:rPr>
          <w:spacing w:val="-2"/>
        </w:rPr>
        <w:t> </w:t>
      </w:r>
      <w:r>
        <w:rPr>
          <w:spacing w:val="-2"/>
        </w:rPr>
      </w:r>
      <w:r>
        <w:rPr>
          <w:spacing w:val="-3"/>
        </w:rPr>
        <w:t>主要经营意外险、责任险、健康险、家庭财产保险、保证保险等保险产品种类，实现原保险保费收入 </w:t>
      </w:r>
      <w:r>
        <w:rPr>
          <w:rFonts w:ascii="Times New Roman" w:hAnsi="Times New Roman" w:cs="Times New Roman" w:eastAsia="Times New Roman" w:hint="default"/>
        </w:rPr>
        <w:t>10.43 </w:t>
      </w:r>
      <w:r>
        <w:rPr>
          <w:spacing w:val="-3"/>
        </w:rPr>
        <w:t>亿元，同比下降</w:t>
      </w:r>
      <w:r>
        <w:rPr>
          <w:spacing w:val="-67"/>
        </w:rPr>
        <w:t> </w:t>
      </w:r>
      <w:r>
        <w:rPr>
          <w:spacing w:val="-67"/>
        </w:rPr>
      </w:r>
      <w:r>
        <w:rPr>
          <w:rFonts w:ascii="宋体" w:hAnsi="宋体" w:cs="宋体" w:eastAsia="宋体" w:hint="default"/>
        </w:rPr>
        <w:t>18.82%</w:t>
      </w:r>
      <w:r>
        <w:rPr/>
        <w:t>。报告期内，易安保险实现净利润</w:t>
      </w:r>
      <w:r>
        <w:rPr>
          <w:rFonts w:ascii="宋体" w:hAnsi="宋体" w:cs="宋体" w:eastAsia="宋体" w:hint="default"/>
        </w:rPr>
        <w:t>-11,479.28</w:t>
      </w:r>
      <w:r>
        <w:rPr>
          <w:rFonts w:ascii="宋体" w:hAnsi="宋体" w:cs="宋体" w:eastAsia="宋体" w:hint="default"/>
          <w:spacing w:val="-34"/>
        </w:rPr>
        <w:t> </w:t>
      </w:r>
      <w:r>
        <w:rPr/>
        <w:t>万元，较上年同期减亏</w:t>
      </w:r>
      <w:r>
        <w:rPr>
          <w:spacing w:val="-26"/>
        </w:rPr>
        <w:t> </w:t>
      </w:r>
      <w:r>
        <w:rPr>
          <w:rFonts w:ascii="宋体" w:hAnsi="宋体" w:cs="宋体" w:eastAsia="宋体" w:hint="default"/>
        </w:rPr>
        <w:t>8,462.10</w:t>
      </w:r>
      <w:r>
        <w:rPr>
          <w:rFonts w:ascii="宋体" w:hAnsi="宋体" w:cs="宋体" w:eastAsia="宋体" w:hint="default"/>
          <w:spacing w:val="-34"/>
        </w:rPr>
        <w:t> </w:t>
      </w:r>
      <w:r>
        <w:rPr>
          <w:spacing w:val="-3"/>
        </w:rPr>
        <w:t>万元，对公司投资收益的影响为</w:t>
      </w:r>
    </w:p>
    <w:p>
      <w:pPr>
        <w:pStyle w:val="BodyText"/>
        <w:spacing w:line="240" w:lineRule="auto" w:before="76"/>
        <w:ind w:right="0"/>
        <w:jc w:val="both"/>
      </w:pPr>
      <w:r>
        <w:rPr>
          <w:rFonts w:ascii="宋体" w:hAnsi="宋体" w:cs="宋体" w:eastAsia="宋体" w:hint="default"/>
        </w:rPr>
        <w:t>-1,721.89</w:t>
      </w:r>
      <w:r>
        <w:rPr>
          <w:rFonts w:ascii="宋体" w:hAnsi="宋体" w:cs="宋体" w:eastAsia="宋体" w:hint="default"/>
          <w:spacing w:val="-39"/>
        </w:rPr>
        <w:t> </w:t>
      </w:r>
      <w:r>
        <w:rPr/>
        <w:t>万元。</w:t>
      </w:r>
    </w:p>
    <w:p>
      <w:pPr>
        <w:spacing w:line="240" w:lineRule="auto" w:before="8"/>
        <w:rPr>
          <w:rFonts w:ascii="宋体" w:hAnsi="宋体" w:cs="宋体" w:eastAsia="宋体" w:hint="default"/>
          <w:sz w:val="17"/>
          <w:szCs w:val="17"/>
        </w:rPr>
      </w:pPr>
    </w:p>
    <w:p>
      <w:pPr>
        <w:pStyle w:val="BodyText"/>
        <w:spacing w:line="240" w:lineRule="auto"/>
        <w:ind w:left="513" w:right="0"/>
        <w:jc w:val="left"/>
      </w:pPr>
      <w:r>
        <w:rPr>
          <w:rFonts w:ascii="Times New Roman" w:hAnsi="Times New Roman" w:cs="Times New Roman" w:eastAsia="Times New Roman" w:hint="default"/>
        </w:rPr>
        <w:t>3.</w:t>
      </w:r>
      <w:r>
        <w:rPr/>
        <w:t>证券业务</w:t>
      </w:r>
    </w:p>
    <w:p>
      <w:pPr>
        <w:spacing w:line="240" w:lineRule="auto" w:before="12"/>
        <w:rPr>
          <w:rFonts w:ascii="宋体" w:hAnsi="宋体" w:cs="宋体" w:eastAsia="宋体" w:hint="default"/>
          <w:sz w:val="16"/>
          <w:szCs w:val="16"/>
        </w:rPr>
      </w:pPr>
    </w:p>
    <w:p>
      <w:pPr>
        <w:pStyle w:val="BodyText"/>
        <w:spacing w:line="463" w:lineRule="auto"/>
        <w:ind w:right="1027" w:firstLine="360"/>
        <w:jc w:val="left"/>
      </w:pPr>
      <w:r>
        <w:rPr>
          <w:spacing w:val="-3"/>
          <w:w w:val="101"/>
        </w:rPr>
        <w:t>公司参股发起设立的东亚前海证券于</w:t>
      </w:r>
      <w:r>
        <w:rPr>
          <w:spacing w:val="-41"/>
          <w:w w:val="101"/>
        </w:rPr>
        <w:t> </w:t>
      </w:r>
      <w:r>
        <w:rPr>
          <w:rFonts w:ascii="Times New Roman" w:hAnsi="Times New Roman" w:cs="Times New Roman" w:eastAsia="Times New Roman" w:hint="default"/>
          <w:spacing w:val="-2"/>
          <w:w w:val="101"/>
        </w:rPr>
        <w:t>2017 </w:t>
      </w:r>
      <w:r>
        <w:rPr>
          <w:w w:val="101"/>
        </w:rPr>
        <w:t>年</w:t>
      </w:r>
      <w:r>
        <w:rPr>
          <w:spacing w:val="-48"/>
          <w:w w:val="101"/>
        </w:rPr>
        <w:t> </w:t>
      </w:r>
      <w:r>
        <w:rPr>
          <w:rFonts w:ascii="Times New Roman" w:hAnsi="Times New Roman" w:cs="Times New Roman" w:eastAsia="Times New Roman" w:hint="default"/>
          <w:w w:val="101"/>
        </w:rPr>
        <w:t>12</w:t>
      </w:r>
      <w:r>
        <w:rPr>
          <w:rFonts w:ascii="Times New Roman" w:hAnsi="Times New Roman" w:cs="Times New Roman" w:eastAsia="Times New Roman" w:hint="default"/>
          <w:spacing w:val="-8"/>
          <w:w w:val="101"/>
        </w:rPr>
        <w:t> </w:t>
      </w:r>
      <w:r>
        <w:rPr>
          <w:spacing w:val="-6"/>
          <w:w w:val="101"/>
        </w:rPr>
        <w:t>月获得中国证监会颁发的《经营证券期货业务许可证》，正式对外开展</w:t>
      </w:r>
      <w:r>
        <w:rPr>
          <w:w w:val="101"/>
        </w:rPr>
        <w:t> </w:t>
      </w:r>
      <w:r>
        <w:rPr>
          <w:spacing w:val="-3"/>
        </w:rPr>
        <w:t>业务。公司占东亚前海证券注册资本的 </w:t>
      </w:r>
      <w:r>
        <w:rPr>
          <w:rFonts w:ascii="宋体" w:hAnsi="宋体" w:cs="宋体" w:eastAsia="宋体" w:hint="default"/>
          <w:spacing w:val="-3"/>
        </w:rPr>
        <w:t>26.10%</w:t>
      </w:r>
      <w:r>
        <w:rPr>
          <w:spacing w:val="-3"/>
        </w:rPr>
        <w:t>。东亚前海证券已全面开展证券经纪、投资银行、资产管理、证券自营等业</w:t>
      </w:r>
      <w:r>
        <w:rPr>
          <w:spacing w:val="36"/>
        </w:rPr>
        <w:t> </w:t>
      </w:r>
      <w:r>
        <w:rPr>
          <w:spacing w:val="36"/>
        </w:rPr>
      </w:r>
      <w:r>
        <w:rPr>
          <w:spacing w:val="-3"/>
        </w:rPr>
        <w:t>务，并设立了深圳分公司、北京分公司、上海分公司、广东分公司、湖北分公司、浙江分公司和江苏分公司等 </w:t>
      </w:r>
      <w:r>
        <w:rPr>
          <w:rFonts w:ascii="Times New Roman" w:hAnsi="Times New Roman" w:cs="Times New Roman" w:eastAsia="Times New Roman" w:hint="default"/>
        </w:rPr>
        <w:t>7  </w:t>
      </w:r>
      <w:r>
        <w:rPr>
          <w:rFonts w:ascii="Times New Roman" w:hAnsi="Times New Roman" w:cs="Times New Roman" w:eastAsia="Times New Roman" w:hint="default"/>
          <w:spacing w:val="16"/>
        </w:rPr>
        <w:t> </w:t>
      </w:r>
      <w:r>
        <w:rPr/>
        <w:t>家分公司。</w:t>
      </w:r>
    </w:p>
    <w:p>
      <w:pPr>
        <w:pStyle w:val="BodyText"/>
        <w:spacing w:line="240" w:lineRule="auto" w:before="31"/>
        <w:ind w:right="0"/>
        <w:jc w:val="both"/>
      </w:pPr>
      <w:r>
        <w:rPr>
          <w:spacing w:val="-3"/>
        </w:rPr>
        <w:t>报告期内，东亚前海证券实现净利润为</w:t>
      </w:r>
      <w:r>
        <w:rPr>
          <w:spacing w:val="-20"/>
        </w:rPr>
        <w:t> </w:t>
      </w:r>
      <w:r>
        <w:rPr>
          <w:rFonts w:ascii="宋体" w:hAnsi="宋体" w:cs="宋体" w:eastAsia="宋体" w:hint="default"/>
        </w:rPr>
        <w:t>235.29</w:t>
      </w:r>
      <w:r>
        <w:rPr>
          <w:rFonts w:ascii="宋体" w:hAnsi="宋体" w:cs="宋体" w:eastAsia="宋体" w:hint="default"/>
          <w:spacing w:val="-28"/>
        </w:rPr>
        <w:t> </w:t>
      </w:r>
      <w:r>
        <w:rPr>
          <w:spacing w:val="-3"/>
        </w:rPr>
        <w:t>万元，对公司投资收益的影响为</w:t>
      </w:r>
      <w:r>
        <w:rPr>
          <w:spacing w:val="-20"/>
        </w:rPr>
        <w:t> </w:t>
      </w:r>
      <w:r>
        <w:rPr>
          <w:rFonts w:ascii="宋体" w:hAnsi="宋体" w:cs="宋体" w:eastAsia="宋体" w:hint="default"/>
        </w:rPr>
        <w:t>61.41</w:t>
      </w:r>
      <w:r>
        <w:rPr>
          <w:rFonts w:ascii="宋体" w:hAnsi="宋体" w:cs="宋体" w:eastAsia="宋体" w:hint="default"/>
          <w:spacing w:val="-20"/>
        </w:rPr>
        <w:t> </w:t>
      </w:r>
      <w:r>
        <w:rPr/>
        <w:t>万元。</w:t>
      </w:r>
    </w:p>
    <w:p>
      <w:pPr>
        <w:spacing w:line="240" w:lineRule="auto" w:before="13"/>
        <w:rPr>
          <w:rFonts w:ascii="宋体" w:hAnsi="宋体" w:cs="宋体" w:eastAsia="宋体" w:hint="default"/>
          <w:sz w:val="17"/>
          <w:szCs w:val="17"/>
        </w:rPr>
      </w:pPr>
    </w:p>
    <w:p>
      <w:pPr>
        <w:pStyle w:val="BodyText"/>
        <w:spacing w:line="240" w:lineRule="auto"/>
        <w:ind w:left="513" w:right="0"/>
        <w:jc w:val="left"/>
      </w:pPr>
      <w:r>
        <w:rPr>
          <w:spacing w:val="-3"/>
        </w:rPr>
        <w:t>（三）对外投资活动</w:t>
      </w:r>
    </w:p>
    <w:p>
      <w:pPr>
        <w:spacing w:line="240" w:lineRule="auto" w:before="8"/>
        <w:rPr>
          <w:rFonts w:ascii="宋体" w:hAnsi="宋体" w:cs="宋体" w:eastAsia="宋体" w:hint="default"/>
          <w:sz w:val="17"/>
          <w:szCs w:val="17"/>
        </w:rPr>
      </w:pPr>
    </w:p>
    <w:p>
      <w:pPr>
        <w:pStyle w:val="BodyText"/>
        <w:spacing w:line="240" w:lineRule="auto"/>
        <w:ind w:left="513" w:right="0"/>
        <w:jc w:val="left"/>
      </w:pPr>
      <w:r>
        <w:rPr/>
        <w:t>经公司</w:t>
      </w:r>
      <w:r>
        <w:rPr>
          <w:spacing w:val="-29"/>
        </w:rPr>
        <w:t> </w:t>
      </w:r>
      <w:r>
        <w:rPr>
          <w:rFonts w:ascii="Times New Roman" w:hAnsi="Times New Roman" w:cs="Times New Roman" w:eastAsia="Times New Roman" w:hint="default"/>
          <w:spacing w:val="-3"/>
        </w:rPr>
        <w:t>2019</w:t>
      </w:r>
      <w:r>
        <w:rPr>
          <w:rFonts w:ascii="Times New Roman" w:hAnsi="Times New Roman" w:cs="Times New Roman" w:eastAsia="Times New Roman" w:hint="default"/>
          <w:spacing w:val="9"/>
        </w:rPr>
        <w:t> </w:t>
      </w:r>
      <w:r>
        <w:rPr/>
        <w:t>年</w:t>
      </w:r>
      <w:r>
        <w:rPr>
          <w:spacing w:val="-29"/>
        </w:rPr>
        <w:t> </w:t>
      </w:r>
      <w:r>
        <w:rPr>
          <w:rFonts w:ascii="Times New Roman" w:hAnsi="Times New Roman" w:cs="Times New Roman" w:eastAsia="Times New Roman" w:hint="default"/>
          <w:spacing w:val="-3"/>
        </w:rPr>
        <w:t>10</w:t>
      </w:r>
      <w:r>
        <w:rPr>
          <w:rFonts w:ascii="Times New Roman" w:hAnsi="Times New Roman" w:cs="Times New Roman" w:eastAsia="Times New Roman" w:hint="default"/>
          <w:spacing w:val="9"/>
        </w:rPr>
        <w:t> </w:t>
      </w:r>
      <w:r>
        <w:rPr/>
        <w:t>月</w:t>
      </w:r>
      <w:r>
        <w:rPr>
          <w:spacing w:val="-29"/>
        </w:rPr>
        <w:t> </w:t>
      </w:r>
      <w:r>
        <w:rPr>
          <w:rFonts w:ascii="Times New Roman" w:hAnsi="Times New Roman" w:cs="Times New Roman" w:eastAsia="Times New Roman" w:hint="default"/>
          <w:spacing w:val="-3"/>
        </w:rPr>
        <w:t>28</w:t>
      </w:r>
      <w:r>
        <w:rPr>
          <w:rFonts w:ascii="Times New Roman" w:hAnsi="Times New Roman" w:cs="Times New Roman" w:eastAsia="Times New Roman" w:hint="default"/>
          <w:spacing w:val="9"/>
        </w:rPr>
        <w:t> </w:t>
      </w:r>
      <w:r>
        <w:rPr>
          <w:spacing w:val="-3"/>
        </w:rPr>
        <w:t>日第四届董事会第十九次会议审议，公司以自有资金</w:t>
      </w:r>
      <w:r>
        <w:rPr>
          <w:spacing w:val="-29"/>
        </w:rPr>
        <w:t> </w:t>
      </w:r>
      <w:r>
        <w:rPr>
          <w:rFonts w:ascii="Times New Roman" w:hAnsi="Times New Roman" w:cs="Times New Roman" w:eastAsia="Times New Roman" w:hint="default"/>
        </w:rPr>
        <w:t>550</w:t>
      </w:r>
      <w:r>
        <w:rPr>
          <w:rFonts w:ascii="Times New Roman" w:hAnsi="Times New Roman" w:cs="Times New Roman" w:eastAsia="Times New Roman" w:hint="default"/>
          <w:spacing w:val="2"/>
        </w:rPr>
        <w:t> </w:t>
      </w:r>
      <w:r>
        <w:rPr>
          <w:spacing w:val="-3"/>
        </w:rPr>
        <w:t>万元对北京杰智融软件有限公司进行</w:t>
      </w:r>
    </w:p>
    <w:p>
      <w:pPr>
        <w:spacing w:line="240" w:lineRule="auto" w:before="12"/>
        <w:rPr>
          <w:rFonts w:ascii="宋体" w:hAnsi="宋体" w:cs="宋体" w:eastAsia="宋体" w:hint="default"/>
          <w:sz w:val="16"/>
          <w:szCs w:val="16"/>
        </w:rPr>
      </w:pPr>
    </w:p>
    <w:p>
      <w:pPr>
        <w:pStyle w:val="BodyText"/>
        <w:spacing w:line="463" w:lineRule="auto"/>
        <w:ind w:right="1122"/>
        <w:jc w:val="both"/>
      </w:pPr>
      <w:r>
        <w:rPr>
          <w:spacing w:val="-4"/>
        </w:rPr>
        <w:t>增资，增资款全部作为杰智融的注册资本。杰智融已于</w:t>
      </w:r>
      <w:r>
        <w:rPr>
          <w:spacing w:val="-28"/>
        </w:rPr>
        <w:t> </w:t>
      </w:r>
      <w:r>
        <w:rPr>
          <w:rFonts w:ascii="Times New Roman" w:hAnsi="Times New Roman" w:cs="Times New Roman" w:eastAsia="Times New Roman" w:hint="default"/>
        </w:rPr>
        <w:t>2019</w:t>
      </w:r>
      <w:r>
        <w:rPr>
          <w:rFonts w:ascii="Times New Roman" w:hAnsi="Times New Roman" w:cs="Times New Roman" w:eastAsia="Times New Roman" w:hint="default"/>
          <w:spacing w:val="9"/>
        </w:rPr>
        <w:t> </w:t>
      </w:r>
      <w:r>
        <w:rPr/>
        <w:t>年</w:t>
      </w:r>
      <w:r>
        <w:rPr>
          <w:spacing w:val="-19"/>
        </w:rPr>
        <w:t> </w:t>
      </w:r>
      <w:r>
        <w:rPr>
          <w:rFonts w:ascii="Times New Roman" w:hAnsi="Times New Roman" w:cs="Times New Roman" w:eastAsia="Times New Roman" w:hint="default"/>
          <w:spacing w:val="-5"/>
        </w:rPr>
        <w:t>11</w:t>
      </w:r>
      <w:r>
        <w:rPr>
          <w:rFonts w:ascii="Times New Roman" w:hAnsi="Times New Roman" w:cs="Times New Roman" w:eastAsia="Times New Roman" w:hint="default"/>
          <w:spacing w:val="17"/>
        </w:rPr>
        <w:t> </w:t>
      </w:r>
      <w:r>
        <w:rPr>
          <w:spacing w:val="-4"/>
        </w:rPr>
        <w:t>月完成工商变更登记，公司持有杰智融</w:t>
      </w:r>
      <w:r>
        <w:rPr>
          <w:spacing w:val="-19"/>
        </w:rPr>
        <w:t> </w:t>
      </w:r>
      <w:r>
        <w:rPr>
          <w:rFonts w:ascii="Times New Roman" w:hAnsi="Times New Roman" w:cs="Times New Roman" w:eastAsia="Times New Roman" w:hint="default"/>
          <w:spacing w:val="-5"/>
        </w:rPr>
        <w:t>55%</w:t>
      </w:r>
      <w:r>
        <w:rPr>
          <w:spacing w:val="-5"/>
        </w:rPr>
        <w:t>的股权，杰智</w:t>
      </w:r>
      <w:r>
        <w:rPr>
          <w:spacing w:val="-74"/>
        </w:rPr>
        <w:t> </w:t>
      </w:r>
      <w:r>
        <w:rPr>
          <w:spacing w:val="-74"/>
        </w:rPr>
      </w:r>
      <w:r>
        <w:rPr>
          <w:spacing w:val="-4"/>
        </w:rPr>
        <w:t>融成为公司的控股子公司。杰智融主要营业范围为：软件开发、软件咨询、数据处理和软件技术服务。杰智融主营业务为为</w:t>
      </w:r>
      <w:r>
        <w:rPr>
          <w:spacing w:val="42"/>
        </w:rPr>
        <w:t> </w:t>
      </w:r>
      <w:r>
        <w:rPr>
          <w:spacing w:val="42"/>
        </w:rPr>
      </w:r>
      <w:r>
        <w:rPr>
          <w:spacing w:val="-3"/>
        </w:rPr>
        <w:t>金融行业提供数字金融解决方案。</w:t>
      </w:r>
    </w:p>
    <w:p>
      <w:pPr>
        <w:spacing w:after="0" w:line="463" w:lineRule="auto"/>
        <w:jc w:val="both"/>
        <w:sectPr>
          <w:pgSz w:w="11910" w:h="16840"/>
          <w:pgMar w:header="871" w:footer="1186" w:top="1100" w:bottom="1380" w:left="980" w:right="0"/>
        </w:sectPr>
      </w:pPr>
    </w:p>
    <w:p>
      <w:pPr>
        <w:spacing w:line="240" w:lineRule="auto" w:before="1"/>
        <w:rPr>
          <w:rFonts w:ascii="宋体" w:hAnsi="宋体" w:cs="宋体" w:eastAsia="宋体" w:hint="default"/>
          <w:sz w:val="28"/>
          <w:szCs w:val="28"/>
        </w:rPr>
      </w:pPr>
    </w:p>
    <w:p>
      <w:pPr>
        <w:spacing w:line="458" w:lineRule="auto" w:before="46"/>
        <w:ind w:left="513" w:right="943" w:firstLine="0"/>
        <w:jc w:val="left"/>
        <w:rPr>
          <w:rFonts w:ascii="宋体" w:hAnsi="宋体" w:cs="宋体" w:eastAsia="宋体" w:hint="default"/>
          <w:sz w:val="18"/>
          <w:szCs w:val="18"/>
        </w:rPr>
      </w:pPr>
      <w:r>
        <w:rPr>
          <w:rFonts w:ascii="宋体" w:hAnsi="宋体" w:cs="宋体" w:eastAsia="宋体" w:hint="default"/>
          <w:b/>
          <w:bCs/>
          <w:sz w:val="18"/>
          <w:szCs w:val="18"/>
        </w:rPr>
        <w:t>公司需遵守《深圳证券交易所创业板行业信息披露指引第</w:t>
      </w:r>
      <w:r>
        <w:rPr>
          <w:rFonts w:ascii="宋体" w:hAnsi="宋体" w:cs="宋体" w:eastAsia="宋体" w:hint="default"/>
          <w:b/>
          <w:bCs/>
          <w:spacing w:val="-42"/>
          <w:sz w:val="18"/>
          <w:szCs w:val="18"/>
        </w:rPr>
        <w:t> </w:t>
      </w:r>
      <w:r>
        <w:rPr>
          <w:rFonts w:ascii="Times New Roman" w:hAnsi="Times New Roman" w:cs="Times New Roman" w:eastAsia="Times New Roman" w:hint="default"/>
          <w:b/>
          <w:bCs/>
          <w:sz w:val="18"/>
          <w:szCs w:val="18"/>
        </w:rPr>
        <w:t>7</w:t>
      </w:r>
      <w:r>
        <w:rPr>
          <w:rFonts w:ascii="Times New Roman" w:hAnsi="Times New Roman" w:cs="Times New Roman" w:eastAsia="Times New Roman" w:hint="default"/>
          <w:b/>
          <w:bCs/>
          <w:spacing w:val="-7"/>
          <w:sz w:val="18"/>
          <w:szCs w:val="18"/>
        </w:rPr>
        <w:t> </w:t>
      </w:r>
      <w:r>
        <w:rPr>
          <w:rFonts w:ascii="宋体" w:hAnsi="宋体" w:cs="宋体" w:eastAsia="宋体" w:hint="default"/>
          <w:b/>
          <w:bCs/>
          <w:sz w:val="18"/>
          <w:szCs w:val="18"/>
        </w:rPr>
        <w:t>号</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上市公司从事电子商务业务》的披露要求：</w:t>
      </w:r>
      <w:r>
        <w:rPr>
          <w:rFonts w:ascii="宋体" w:hAnsi="宋体" w:cs="宋体" w:eastAsia="宋体" w:hint="default"/>
          <w:b/>
          <w:bCs/>
          <w:spacing w:val="-89"/>
          <w:sz w:val="18"/>
          <w:szCs w:val="18"/>
        </w:rPr>
        <w:t> </w:t>
      </w:r>
      <w:r>
        <w:rPr>
          <w:rFonts w:ascii="宋体" w:hAnsi="宋体" w:cs="宋体" w:eastAsia="宋体" w:hint="default"/>
          <w:b/>
          <w:bCs/>
          <w:spacing w:val="-89"/>
          <w:sz w:val="18"/>
          <w:szCs w:val="18"/>
        </w:rPr>
      </w:r>
      <w:r>
        <w:rPr>
          <w:rFonts w:ascii="宋体" w:hAnsi="宋体" w:cs="宋体" w:eastAsia="宋体" w:hint="default"/>
          <w:spacing w:val="-3"/>
          <w:sz w:val="18"/>
          <w:szCs w:val="18"/>
        </w:rPr>
        <w:t>公司子公司安科创新是从事以家居安防电子产品为主的出口跨境电商企业。</w:t>
      </w:r>
      <w:r>
        <w:rPr>
          <w:rFonts w:ascii="宋体" w:hAnsi="宋体" w:cs="宋体" w:eastAsia="宋体" w:hint="default"/>
          <w:spacing w:val="8"/>
          <w:sz w:val="18"/>
          <w:szCs w:val="18"/>
        </w:rPr>
        <w:t> </w:t>
      </w:r>
      <w:r>
        <w:rPr>
          <w:rFonts w:ascii="宋体" w:hAnsi="宋体" w:cs="宋体" w:eastAsia="宋体" w:hint="default"/>
          <w:spacing w:val="8"/>
          <w:sz w:val="18"/>
          <w:szCs w:val="18"/>
        </w:rPr>
      </w:r>
      <w:r>
        <w:rPr>
          <w:rFonts w:ascii="宋体" w:hAnsi="宋体" w:cs="宋体" w:eastAsia="宋体" w:hint="default"/>
          <w:spacing w:val="-3"/>
          <w:sz w:val="18"/>
          <w:szCs w:val="18"/>
        </w:rPr>
        <w:t>一、按照《深圳证券交易所创业板行业信息披露指引第 </w:t>
      </w:r>
      <w:r>
        <w:rPr>
          <w:rFonts w:ascii="Times New Roman" w:hAnsi="Times New Roman" w:cs="Times New Roman" w:eastAsia="Times New Roman" w:hint="default"/>
          <w:sz w:val="18"/>
          <w:szCs w:val="18"/>
        </w:rPr>
        <w:t>7 </w:t>
      </w:r>
      <w:r>
        <w:rPr>
          <w:rFonts w:ascii="宋体" w:hAnsi="宋体" w:cs="宋体" w:eastAsia="宋体" w:hint="default"/>
          <w:spacing w:val="-3"/>
          <w:sz w:val="18"/>
          <w:szCs w:val="18"/>
        </w:rPr>
        <w:t>号</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上市公司从事电子商务业务》第五条，业务经营情况</w:t>
      </w:r>
      <w:r>
        <w:rPr>
          <w:rFonts w:ascii="宋体" w:hAnsi="宋体" w:cs="宋体" w:eastAsia="宋体" w:hint="default"/>
          <w:spacing w:val="6"/>
          <w:sz w:val="18"/>
          <w:szCs w:val="18"/>
        </w:rPr>
        <w:t> </w:t>
      </w:r>
      <w:r>
        <w:rPr>
          <w:rFonts w:ascii="宋体" w:hAnsi="宋体" w:cs="宋体" w:eastAsia="宋体" w:hint="default"/>
          <w:spacing w:val="6"/>
          <w:sz w:val="18"/>
          <w:szCs w:val="18"/>
        </w:rPr>
      </w:r>
      <w:r>
        <w:rPr>
          <w:rFonts w:ascii="Times New Roman" w:hAnsi="Times New Roman" w:cs="Times New Roman" w:eastAsia="Times New Roman" w:hint="default"/>
          <w:spacing w:val="-2"/>
          <w:w w:val="101"/>
          <w:sz w:val="18"/>
          <w:szCs w:val="18"/>
        </w:rPr>
        <w:t>1.</w:t>
      </w:r>
      <w:r>
        <w:rPr>
          <w:rFonts w:ascii="宋体" w:hAnsi="宋体" w:cs="宋体" w:eastAsia="宋体" w:hint="default"/>
          <w:spacing w:val="-2"/>
          <w:w w:val="101"/>
          <w:sz w:val="18"/>
          <w:szCs w:val="18"/>
        </w:rPr>
        <w:t>安科创新业务模式主要是在国内以</w:t>
      </w:r>
      <w:r>
        <w:rPr>
          <w:rFonts w:ascii="宋体" w:hAnsi="宋体" w:cs="宋体" w:eastAsia="宋体" w:hint="default"/>
          <w:spacing w:val="-43"/>
          <w:w w:val="101"/>
          <w:sz w:val="18"/>
          <w:szCs w:val="18"/>
        </w:rPr>
        <w:t> </w:t>
      </w:r>
      <w:r>
        <w:rPr>
          <w:rFonts w:ascii="Times New Roman" w:hAnsi="Times New Roman" w:cs="Times New Roman" w:eastAsia="Times New Roman" w:hint="default"/>
          <w:spacing w:val="-3"/>
          <w:w w:val="101"/>
          <w:sz w:val="18"/>
          <w:szCs w:val="18"/>
        </w:rPr>
        <w:t>ODM</w:t>
      </w:r>
      <w:r>
        <w:rPr>
          <w:rFonts w:ascii="Times New Roman" w:hAnsi="Times New Roman" w:cs="Times New Roman" w:eastAsia="Times New Roman" w:hint="default"/>
          <w:spacing w:val="-6"/>
          <w:w w:val="101"/>
          <w:sz w:val="18"/>
          <w:szCs w:val="18"/>
        </w:rPr>
        <w:t> </w:t>
      </w:r>
      <w:r>
        <w:rPr>
          <w:rFonts w:ascii="宋体" w:hAnsi="宋体" w:cs="宋体" w:eastAsia="宋体" w:hint="default"/>
          <w:spacing w:val="-10"/>
          <w:w w:val="101"/>
          <w:sz w:val="18"/>
          <w:szCs w:val="18"/>
        </w:rPr>
        <w:t>方式进行产品采购，运输到海外在海外仓备货，通过</w:t>
      </w:r>
      <w:r>
        <w:rPr>
          <w:rFonts w:ascii="宋体" w:hAnsi="宋体" w:cs="宋体" w:eastAsia="宋体" w:hint="default"/>
          <w:spacing w:val="-42"/>
          <w:w w:val="101"/>
          <w:sz w:val="18"/>
          <w:szCs w:val="18"/>
        </w:rPr>
        <w:t> </w:t>
      </w:r>
      <w:r>
        <w:rPr>
          <w:rFonts w:ascii="Times New Roman" w:hAnsi="Times New Roman" w:cs="Times New Roman" w:eastAsia="Times New Roman" w:hint="default"/>
          <w:spacing w:val="-10"/>
          <w:w w:val="101"/>
          <w:sz w:val="18"/>
          <w:szCs w:val="18"/>
        </w:rPr>
        <w:t>Amazon</w:t>
      </w:r>
      <w:r>
        <w:rPr>
          <w:rFonts w:ascii="宋体" w:hAnsi="宋体" w:cs="宋体" w:eastAsia="宋体" w:hint="default"/>
          <w:spacing w:val="-10"/>
          <w:w w:val="101"/>
          <w:sz w:val="18"/>
          <w:szCs w:val="18"/>
        </w:rPr>
        <w:t>、</w:t>
      </w:r>
      <w:r>
        <w:rPr>
          <w:rFonts w:ascii="Times New Roman" w:hAnsi="Times New Roman" w:cs="Times New Roman" w:eastAsia="Times New Roman" w:hint="default"/>
          <w:spacing w:val="-10"/>
          <w:w w:val="101"/>
          <w:sz w:val="18"/>
          <w:szCs w:val="18"/>
        </w:rPr>
        <w:t>Ebay</w:t>
      </w:r>
      <w:r>
        <w:rPr>
          <w:rFonts w:ascii="宋体" w:hAnsi="宋体" w:cs="宋体" w:eastAsia="宋体" w:hint="default"/>
          <w:spacing w:val="-10"/>
          <w:w w:val="101"/>
          <w:sz w:val="18"/>
          <w:szCs w:val="18"/>
        </w:rPr>
        <w:t>、</w:t>
      </w:r>
      <w:r>
        <w:rPr>
          <w:rFonts w:ascii="Times New Roman" w:hAnsi="Times New Roman" w:cs="Times New Roman" w:eastAsia="Times New Roman" w:hint="default"/>
          <w:spacing w:val="-10"/>
          <w:w w:val="101"/>
          <w:sz w:val="18"/>
          <w:szCs w:val="18"/>
        </w:rPr>
        <w:t>Aliexpress</w:t>
      </w:r>
      <w:r>
        <w:rPr>
          <w:rFonts w:ascii="宋体" w:hAnsi="宋体" w:cs="宋体" w:eastAsia="宋体" w:hint="default"/>
          <w:spacing w:val="-10"/>
          <w:w w:val="101"/>
          <w:sz w:val="18"/>
          <w:szCs w:val="18"/>
        </w:rPr>
        <w:t>、</w:t>
      </w:r>
      <w:r>
        <w:rPr>
          <w:rFonts w:ascii="宋体" w:hAnsi="宋体" w:cs="宋体" w:eastAsia="宋体" w:hint="default"/>
          <w:spacing w:val="-10"/>
          <w:sz w:val="18"/>
          <w:szCs w:val="18"/>
        </w:rPr>
      </w:r>
    </w:p>
    <w:p>
      <w:pPr>
        <w:pStyle w:val="BodyText"/>
        <w:spacing w:line="448" w:lineRule="auto" w:before="40"/>
        <w:ind w:right="1029"/>
        <w:jc w:val="left"/>
      </w:pPr>
      <w:r>
        <w:rPr>
          <w:rFonts w:ascii="Times New Roman" w:hAnsi="Times New Roman" w:cs="Times New Roman" w:eastAsia="Times New Roman" w:hint="default"/>
          <w:spacing w:val="-4"/>
        </w:rPr>
        <w:t>Walmart </w:t>
      </w:r>
      <w:r>
        <w:rPr>
          <w:spacing w:val="-5"/>
        </w:rPr>
        <w:t>等第三方平台或自营平台销售并配送给海内外终端消费者。</w:t>
      </w:r>
      <w:r>
        <w:rPr>
          <w:rFonts w:ascii="Times New Roman" w:hAnsi="Times New Roman" w:cs="Times New Roman" w:eastAsia="Times New Roman" w:hint="default"/>
          <w:spacing w:val="-5"/>
        </w:rPr>
        <w:t>2019 </w:t>
      </w:r>
      <w:r>
        <w:rPr>
          <w:spacing w:val="-3"/>
        </w:rPr>
        <w:t>年度收入金额占比在 </w:t>
      </w:r>
      <w:r>
        <w:rPr>
          <w:rFonts w:ascii="Times New Roman" w:hAnsi="Times New Roman" w:cs="Times New Roman" w:eastAsia="Times New Roman" w:hint="default"/>
          <w:spacing w:val="-3"/>
        </w:rPr>
        <w:t>10%</w:t>
      </w:r>
      <w:r>
        <w:rPr>
          <w:spacing w:val="-3"/>
        </w:rPr>
        <w:t>以上的电商平台销售情况</w:t>
      </w:r>
      <w:r>
        <w:rPr>
          <w:spacing w:val="-58"/>
        </w:rPr>
        <w:t> </w:t>
      </w:r>
      <w:r>
        <w:rPr>
          <w:spacing w:val="-58"/>
        </w:rPr>
      </w:r>
      <w:r>
        <w:rPr/>
        <w:t>列示如下：</w:t>
      </w:r>
    </w:p>
    <w:tbl>
      <w:tblPr>
        <w:tblW w:w="0" w:type="auto"/>
        <w:jc w:val="left"/>
        <w:tblInd w:w="136" w:type="dxa"/>
        <w:tblLayout w:type="fixed"/>
        <w:tblCellMar>
          <w:top w:w="0" w:type="dxa"/>
          <w:left w:w="0" w:type="dxa"/>
          <w:bottom w:w="0" w:type="dxa"/>
          <w:right w:w="0" w:type="dxa"/>
        </w:tblCellMar>
        <w:tblLook w:val="01E0"/>
      </w:tblPr>
      <w:tblGrid>
        <w:gridCol w:w="1141"/>
        <w:gridCol w:w="1877"/>
        <w:gridCol w:w="1955"/>
        <w:gridCol w:w="1690"/>
        <w:gridCol w:w="1570"/>
        <w:gridCol w:w="1427"/>
      </w:tblGrid>
      <w:tr>
        <w:trPr>
          <w:trHeight w:val="586" w:hRule="exact"/>
        </w:trPr>
        <w:tc>
          <w:tcPr>
            <w:tcW w:w="1141" w:type="dxa"/>
            <w:vMerge w:val="restart"/>
            <w:tcBorders>
              <w:top w:val="single" w:sz="6" w:space="0" w:color="000000"/>
              <w:left w:val="single" w:sz="6" w:space="0" w:color="000000"/>
              <w:right w:val="single" w:sz="6"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电商平台名称</w:t>
            </w:r>
          </w:p>
        </w:tc>
        <w:tc>
          <w:tcPr>
            <w:tcW w:w="3832" w:type="dxa"/>
            <w:gridSpan w:val="2"/>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26"/>
              <w:ind w:left="4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p>
        </w:tc>
        <w:tc>
          <w:tcPr>
            <w:tcW w:w="3260" w:type="dxa"/>
            <w:gridSpan w:val="2"/>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26"/>
              <w:ind w:left="40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p>
        </w:tc>
        <w:tc>
          <w:tcPr>
            <w:tcW w:w="1427" w:type="dxa"/>
            <w:vMerge w:val="restart"/>
            <w:tcBorders>
              <w:top w:val="single" w:sz="6" w:space="0" w:color="000000"/>
              <w:left w:val="single" w:sz="6" w:space="0" w:color="000000"/>
              <w:right w:val="single" w:sz="6"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350"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590" w:hRule="exact"/>
        </w:trPr>
        <w:tc>
          <w:tcPr>
            <w:tcW w:w="1141" w:type="dxa"/>
            <w:vMerge/>
            <w:tcBorders>
              <w:left w:val="single" w:sz="6" w:space="0" w:color="000000"/>
              <w:bottom w:val="single" w:sz="6" w:space="0" w:color="000000"/>
              <w:right w:val="single" w:sz="6" w:space="0" w:color="000000"/>
            </w:tcBorders>
            <w:shd w:val="clear" w:color="auto" w:fill="D9D9D9"/>
          </w:tcPr>
          <w:p>
            <w:pPr/>
          </w:p>
        </w:tc>
        <w:tc>
          <w:tcPr>
            <w:tcW w:w="187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26"/>
              <w:ind w:left="211" w:right="0"/>
              <w:jc w:val="left"/>
              <w:rPr>
                <w:rFonts w:ascii="宋体" w:hAnsi="宋体" w:cs="宋体" w:eastAsia="宋体" w:hint="default"/>
                <w:sz w:val="18"/>
                <w:szCs w:val="18"/>
              </w:rPr>
            </w:pPr>
            <w:r>
              <w:rPr>
                <w:rFonts w:ascii="宋体" w:hAnsi="宋体" w:cs="宋体" w:eastAsia="宋体" w:hint="default"/>
                <w:sz w:val="18"/>
                <w:szCs w:val="18"/>
              </w:rPr>
              <w:t>收入金额（万元）</w:t>
            </w:r>
          </w:p>
        </w:tc>
        <w:tc>
          <w:tcPr>
            <w:tcW w:w="195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26"/>
              <w:ind w:left="432" w:right="0"/>
              <w:jc w:val="left"/>
              <w:rPr>
                <w:rFonts w:ascii="宋体" w:hAnsi="宋体" w:cs="宋体" w:eastAsia="宋体" w:hint="default"/>
                <w:sz w:val="18"/>
                <w:szCs w:val="18"/>
              </w:rPr>
            </w:pPr>
            <w:r>
              <w:rPr>
                <w:rFonts w:ascii="宋体" w:hAnsi="宋体" w:cs="宋体" w:eastAsia="宋体" w:hint="default"/>
                <w:sz w:val="18"/>
                <w:szCs w:val="18"/>
              </w:rPr>
              <w:t>占总收入比重</w:t>
            </w:r>
          </w:p>
        </w:tc>
        <w:tc>
          <w:tcPr>
            <w:tcW w:w="169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26"/>
              <w:ind w:left="120" w:right="0"/>
              <w:jc w:val="left"/>
              <w:rPr>
                <w:rFonts w:ascii="宋体" w:hAnsi="宋体" w:cs="宋体" w:eastAsia="宋体" w:hint="default"/>
                <w:sz w:val="18"/>
                <w:szCs w:val="18"/>
              </w:rPr>
            </w:pPr>
            <w:r>
              <w:rPr>
                <w:rFonts w:ascii="宋体" w:hAnsi="宋体" w:cs="宋体" w:eastAsia="宋体" w:hint="default"/>
                <w:sz w:val="18"/>
                <w:szCs w:val="18"/>
              </w:rPr>
              <w:t>收入金额（万元）</w:t>
            </w:r>
          </w:p>
        </w:tc>
        <w:tc>
          <w:tcPr>
            <w:tcW w:w="157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26"/>
              <w:ind w:left="240" w:right="0"/>
              <w:jc w:val="left"/>
              <w:rPr>
                <w:rFonts w:ascii="宋体" w:hAnsi="宋体" w:cs="宋体" w:eastAsia="宋体" w:hint="default"/>
                <w:sz w:val="18"/>
                <w:szCs w:val="18"/>
              </w:rPr>
            </w:pPr>
            <w:r>
              <w:rPr>
                <w:rFonts w:ascii="宋体" w:hAnsi="宋体" w:cs="宋体" w:eastAsia="宋体" w:hint="default"/>
                <w:sz w:val="18"/>
                <w:szCs w:val="18"/>
              </w:rPr>
              <w:t>占总收入比重</w:t>
            </w:r>
          </w:p>
        </w:tc>
        <w:tc>
          <w:tcPr>
            <w:tcW w:w="1427" w:type="dxa"/>
            <w:vMerge/>
            <w:tcBorders>
              <w:left w:val="single" w:sz="6" w:space="0" w:color="000000"/>
              <w:bottom w:val="single" w:sz="6" w:space="0" w:color="000000"/>
              <w:right w:val="single" w:sz="6" w:space="0" w:color="000000"/>
            </w:tcBorders>
            <w:shd w:val="clear" w:color="auto" w:fill="D9D9D9"/>
          </w:tcPr>
          <w:p>
            <w:pPr/>
          </w:p>
        </w:tc>
      </w:tr>
      <w:tr>
        <w:trPr>
          <w:trHeight w:val="586" w:hRule="exact"/>
        </w:trPr>
        <w:tc>
          <w:tcPr>
            <w:tcW w:w="11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 w:right="0"/>
              <w:jc w:val="left"/>
              <w:rPr>
                <w:rFonts w:ascii="Times New Roman" w:hAnsi="Times New Roman" w:cs="Times New Roman" w:eastAsia="Times New Roman" w:hint="default"/>
                <w:sz w:val="18"/>
                <w:szCs w:val="18"/>
              </w:rPr>
            </w:pPr>
            <w:r>
              <w:rPr>
                <w:rFonts w:ascii="Times New Roman"/>
                <w:spacing w:val="-3"/>
                <w:sz w:val="18"/>
              </w:rPr>
              <w:t>Amazon</w:t>
            </w:r>
          </w:p>
        </w:tc>
        <w:tc>
          <w:tcPr>
            <w:tcW w:w="18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142" w:right="-5"/>
              <w:jc w:val="left"/>
              <w:rPr>
                <w:rFonts w:ascii="Times New Roman" w:hAnsi="Times New Roman" w:cs="Times New Roman" w:eastAsia="Times New Roman" w:hint="default"/>
                <w:sz w:val="18"/>
                <w:szCs w:val="18"/>
              </w:rPr>
            </w:pPr>
            <w:r>
              <w:rPr>
                <w:rFonts w:ascii="Times New Roman"/>
                <w:sz w:val="18"/>
              </w:rPr>
              <w:t>23,470.00</w:t>
            </w:r>
          </w:p>
        </w:tc>
        <w:tc>
          <w:tcPr>
            <w:tcW w:w="19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3"/>
              <w:jc w:val="right"/>
              <w:rPr>
                <w:rFonts w:ascii="Times New Roman" w:hAnsi="Times New Roman" w:cs="Times New Roman" w:eastAsia="Times New Roman" w:hint="default"/>
                <w:sz w:val="18"/>
                <w:szCs w:val="18"/>
              </w:rPr>
            </w:pPr>
            <w:r>
              <w:rPr>
                <w:rFonts w:ascii="Times New Roman"/>
                <w:spacing w:val="-1"/>
                <w:sz w:val="18"/>
              </w:rPr>
              <w:t>19.87%</w:t>
            </w:r>
          </w:p>
        </w:tc>
        <w:tc>
          <w:tcPr>
            <w:tcW w:w="16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955" w:right="-5"/>
              <w:jc w:val="left"/>
              <w:rPr>
                <w:rFonts w:ascii="Times New Roman" w:hAnsi="Times New Roman" w:cs="Times New Roman" w:eastAsia="Times New Roman" w:hint="default"/>
                <w:sz w:val="18"/>
                <w:szCs w:val="18"/>
              </w:rPr>
            </w:pPr>
            <w:r>
              <w:rPr>
                <w:rFonts w:ascii="Times New Roman"/>
                <w:sz w:val="18"/>
              </w:rPr>
              <w:t>19,437.00</w:t>
            </w:r>
          </w:p>
        </w:tc>
        <w:tc>
          <w:tcPr>
            <w:tcW w:w="1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998" w:right="-3"/>
              <w:jc w:val="left"/>
              <w:rPr>
                <w:rFonts w:ascii="Times New Roman" w:hAnsi="Times New Roman" w:cs="Times New Roman" w:eastAsia="Times New Roman" w:hint="default"/>
                <w:sz w:val="18"/>
                <w:szCs w:val="18"/>
              </w:rPr>
            </w:pPr>
            <w:r>
              <w:rPr>
                <w:rFonts w:ascii="Times New Roman"/>
                <w:sz w:val="18"/>
              </w:rPr>
              <w:t>14.96%</w:t>
            </w:r>
          </w:p>
        </w:tc>
        <w:tc>
          <w:tcPr>
            <w:tcW w:w="14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854" w:right="-3"/>
              <w:jc w:val="left"/>
              <w:rPr>
                <w:rFonts w:ascii="Times New Roman" w:hAnsi="Times New Roman" w:cs="Times New Roman" w:eastAsia="Times New Roman" w:hint="default"/>
                <w:sz w:val="18"/>
                <w:szCs w:val="18"/>
              </w:rPr>
            </w:pPr>
            <w:r>
              <w:rPr>
                <w:rFonts w:ascii="Times New Roman"/>
                <w:sz w:val="18"/>
              </w:rPr>
              <w:t>20.75%</w:t>
            </w:r>
          </w:p>
        </w:tc>
      </w:tr>
    </w:tbl>
    <w:p>
      <w:pPr>
        <w:pStyle w:val="BodyText"/>
        <w:spacing w:line="448" w:lineRule="auto" w:before="78"/>
        <w:ind w:right="1029" w:firstLine="360"/>
        <w:jc w:val="left"/>
      </w:pPr>
      <w:r>
        <w:rPr>
          <w:rFonts w:ascii="Times New Roman" w:hAnsi="Times New Roman" w:cs="Times New Roman" w:eastAsia="Times New Roman" w:hint="default"/>
        </w:rPr>
        <w:t>2. </w:t>
      </w:r>
      <w:r>
        <w:rPr>
          <w:spacing w:val="-4"/>
        </w:rPr>
        <w:t>安科创新核心产品为家居安防及智能家居类消费产品。</w:t>
      </w:r>
      <w:r>
        <w:rPr>
          <w:rFonts w:ascii="Times New Roman" w:hAnsi="Times New Roman" w:cs="Times New Roman" w:eastAsia="Times New Roman" w:hint="default"/>
          <w:spacing w:val="-4"/>
        </w:rPr>
        <w:t>2019 </w:t>
      </w:r>
      <w:r>
        <w:rPr/>
        <w:t>年全年线上交易额人民币 </w:t>
      </w:r>
      <w:r>
        <w:rPr>
          <w:rFonts w:ascii="Times New Roman" w:hAnsi="Times New Roman" w:cs="Times New Roman" w:eastAsia="Times New Roman" w:hint="default"/>
          <w:spacing w:val="-3"/>
        </w:rPr>
        <w:t>3.4 </w:t>
      </w:r>
      <w:r>
        <w:rPr>
          <w:spacing w:val="-6"/>
        </w:rPr>
        <w:t>亿元，总订单数为 </w:t>
      </w:r>
      <w:r>
        <w:rPr>
          <w:rFonts w:ascii="Times New Roman" w:hAnsi="Times New Roman" w:cs="Times New Roman" w:eastAsia="Times New Roman" w:hint="default"/>
        </w:rPr>
        <w:t>66.11</w:t>
      </w:r>
      <w:r>
        <w:rPr>
          <w:rFonts w:ascii="Times New Roman" w:hAnsi="Times New Roman" w:cs="Times New Roman" w:eastAsia="Times New Roman" w:hint="default"/>
          <w:spacing w:val="-5"/>
        </w:rPr>
        <w:t> </w:t>
      </w:r>
      <w:r>
        <w:rPr/>
        <w:t>万</w:t>
      </w:r>
      <w:r>
        <w:rPr>
          <w:w w:val="101"/>
        </w:rPr>
        <w:t> </w:t>
      </w:r>
      <w:r>
        <w:rPr/>
        <w:t>个。</w:t>
      </w:r>
    </w:p>
    <w:p>
      <w:pPr>
        <w:pStyle w:val="BodyText"/>
        <w:spacing w:line="448" w:lineRule="auto" w:before="78"/>
        <w:ind w:right="0" w:firstLine="360"/>
        <w:jc w:val="left"/>
      </w:pPr>
      <w:r>
        <w:rPr>
          <w:spacing w:val="-4"/>
        </w:rPr>
        <w:t>二、按照《深圳证券交易所创业板行业信息披露指引第 </w:t>
      </w:r>
      <w:r>
        <w:rPr>
          <w:rFonts w:ascii="Times New Roman" w:hAnsi="Times New Roman" w:cs="Times New Roman" w:eastAsia="Times New Roman" w:hint="default"/>
        </w:rPr>
        <w:t>7</w:t>
      </w:r>
      <w:r>
        <w:rPr>
          <w:rFonts w:ascii="Times New Roman" w:hAnsi="Times New Roman" w:cs="Times New Roman" w:eastAsia="Times New Roman" w:hint="default"/>
          <w:spacing w:val="4"/>
        </w:rPr>
        <w:t> </w:t>
      </w:r>
      <w:r>
        <w:rPr>
          <w:spacing w:val="-4"/>
        </w:rPr>
        <w:t>号</w:t>
      </w:r>
      <w:r>
        <w:rPr>
          <w:rFonts w:ascii="Times New Roman" w:hAnsi="Times New Roman" w:cs="Times New Roman" w:eastAsia="Times New Roman" w:hint="default"/>
          <w:spacing w:val="-4"/>
        </w:rPr>
        <w:t>——</w:t>
      </w:r>
      <w:r>
        <w:rPr>
          <w:spacing w:val="-4"/>
        </w:rPr>
        <w:t>上市公司从事电子商务业务》第七条，电子商务业务收</w:t>
      </w:r>
      <w:r>
        <w:rPr>
          <w:w w:val="101"/>
        </w:rPr>
        <w:t> </w:t>
      </w:r>
      <w:r>
        <w:rPr>
          <w:spacing w:val="-3"/>
        </w:rPr>
        <w:t>入确认及成本结转的具体方法</w:t>
      </w:r>
    </w:p>
    <w:p>
      <w:pPr>
        <w:pStyle w:val="BodyText"/>
        <w:spacing w:line="475" w:lineRule="auto" w:before="78"/>
        <w:ind w:right="0" w:firstLine="360"/>
        <w:jc w:val="left"/>
      </w:pPr>
      <w:r>
        <w:rPr>
          <w:spacing w:val="-4"/>
        </w:rPr>
        <w:t>安科创新电子商务业务收入确认的具体方法为：客户首先在电商平台下达采购订单并支付货款，安科创新在收到货款后</w:t>
      </w:r>
      <w:r>
        <w:rPr>
          <w:w w:val="101"/>
        </w:rPr>
        <w:t> </w:t>
      </w:r>
      <w:r>
        <w:rPr>
          <w:spacing w:val="-3"/>
        </w:rPr>
        <w:t>再按照订单详情向客户交付产品，待仓库发货给第三方物流后确认收入。</w:t>
      </w:r>
    </w:p>
    <w:p>
      <w:pPr>
        <w:pStyle w:val="BodyText"/>
        <w:spacing w:line="475" w:lineRule="auto" w:before="58"/>
        <w:ind w:left="513" w:right="1116"/>
        <w:jc w:val="left"/>
      </w:pPr>
      <w:r>
        <w:rPr>
          <w:spacing w:val="-3"/>
        </w:rPr>
        <w:t>安科创新成本结转的具体方法为：按照月末一次加权平均法进行产品成本核算。</w:t>
      </w:r>
      <w:r>
        <w:rPr>
          <w:spacing w:val="13"/>
        </w:rPr>
        <w:t> </w:t>
      </w:r>
      <w:r>
        <w:rPr>
          <w:spacing w:val="13"/>
        </w:rPr>
      </w:r>
      <w:r>
        <w:rPr>
          <w:spacing w:val="-4"/>
        </w:rPr>
        <w:t>三、按照《深圳证券交易所创业板行业信息披露指引第 </w:t>
      </w:r>
      <w:r>
        <w:rPr>
          <w:rFonts w:ascii="Times New Roman" w:hAnsi="Times New Roman" w:cs="Times New Roman" w:eastAsia="Times New Roman" w:hint="default"/>
        </w:rPr>
        <w:t>7 </w:t>
      </w:r>
      <w:r>
        <w:rPr>
          <w:rFonts w:ascii="Times New Roman" w:hAnsi="Times New Roman" w:cs="Times New Roman" w:eastAsia="Times New Roman" w:hint="default"/>
          <w:spacing w:val="33"/>
        </w:rPr>
        <w:t> </w:t>
      </w:r>
      <w:r>
        <w:rPr>
          <w:spacing w:val="-4"/>
        </w:rPr>
        <w:t>号</w:t>
      </w:r>
      <w:r>
        <w:rPr>
          <w:rFonts w:ascii="Times New Roman" w:hAnsi="Times New Roman" w:cs="Times New Roman" w:eastAsia="Times New Roman" w:hint="default"/>
          <w:spacing w:val="-4"/>
        </w:rPr>
        <w:t>——</w:t>
      </w:r>
      <w:r>
        <w:rPr>
          <w:spacing w:val="-4"/>
        </w:rPr>
        <w:t>上市公司从事电子商务业务》第八条，在网络及数据信</w:t>
      </w:r>
    </w:p>
    <w:p>
      <w:pPr>
        <w:pStyle w:val="BodyText"/>
        <w:spacing w:line="475" w:lineRule="auto" w:before="26"/>
        <w:ind w:left="513" w:right="0" w:hanging="360"/>
        <w:jc w:val="left"/>
      </w:pPr>
      <w:r>
        <w:rPr>
          <w:spacing w:val="-3"/>
        </w:rPr>
        <w:t>息安全、个人信息保护、消费者权益保护、商业道德风险等领域所实施的保障措施</w:t>
      </w:r>
      <w:r>
        <w:rPr>
          <w:spacing w:val="14"/>
        </w:rPr>
        <w:t> </w:t>
      </w:r>
      <w:r>
        <w:rPr>
          <w:spacing w:val="14"/>
        </w:rPr>
      </w:r>
      <w:r>
        <w:rPr>
          <w:spacing w:val="-5"/>
        </w:rPr>
        <w:t>安科创新开通国内、国外用户服务专线，并布局售后网点来重点处理用户的产品安装、使用故障及投诉等问题，从而有</w:t>
      </w:r>
    </w:p>
    <w:p>
      <w:pPr>
        <w:pStyle w:val="BodyText"/>
        <w:spacing w:line="475" w:lineRule="auto" w:before="59"/>
        <w:ind w:right="0"/>
        <w:jc w:val="left"/>
      </w:pPr>
      <w:r>
        <w:rPr>
          <w:spacing w:val="-4"/>
        </w:rPr>
        <w:t>效提升客户体验，并保障消费者权益。安科创新在跨境电商领域拥有良好的技术储备，自营平台采用了科学的加密技术与手</w:t>
      </w:r>
      <w:r>
        <w:rPr>
          <w:spacing w:val="43"/>
        </w:rPr>
        <w:t> </w:t>
      </w:r>
      <w:r>
        <w:rPr>
          <w:spacing w:val="43"/>
        </w:rPr>
      </w:r>
      <w:r>
        <w:rPr>
          <w:spacing w:val="-3"/>
        </w:rPr>
        <w:t>段，外部平台主要选择信誉好、规模大、措施完善的第三方平台开展合作，充分保障每一位用户的个人信息及隐私权益。</w:t>
      </w:r>
    </w:p>
    <w:p>
      <w:pPr>
        <w:spacing w:line="240" w:lineRule="auto" w:before="1"/>
        <w:rPr>
          <w:rFonts w:ascii="宋体" w:hAnsi="宋体" w:cs="宋体" w:eastAsia="宋体" w:hint="default"/>
          <w:sz w:val="17"/>
          <w:szCs w:val="17"/>
        </w:rPr>
      </w:pPr>
    </w:p>
    <w:p>
      <w:pPr>
        <w:pStyle w:val="Heading2"/>
        <w:spacing w:line="240" w:lineRule="auto"/>
        <w:ind w:right="0"/>
        <w:jc w:val="left"/>
        <w:rPr>
          <w:b w:val="0"/>
          <w:bCs w:val="0"/>
        </w:rPr>
      </w:pPr>
      <w:bookmarkStart w:name="二、主营业务分析" w:id="25"/>
      <w:bookmarkEnd w:id="25"/>
      <w:r>
        <w:rPr>
          <w:b w:val="0"/>
          <w:bCs w:val="0"/>
        </w:rPr>
      </w:r>
      <w:r>
        <w:rPr/>
        <w:t>二、主营业务分析</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left"/>
        <w:rPr>
          <w:b w:val="0"/>
          <w:bCs w:val="0"/>
        </w:rPr>
      </w:pPr>
      <w:bookmarkStart w:name="1、概述" w:id="26"/>
      <w:bookmarkEnd w:id="26"/>
      <w:r>
        <w:rPr>
          <w:b w:val="0"/>
          <w:bCs w:val="0"/>
        </w:rPr>
      </w:r>
      <w:r>
        <w:rPr>
          <w:rFonts w:ascii="Times New Roman" w:hAnsi="Times New Roman" w:cs="Times New Roman" w:eastAsia="Times New Roman" w:hint="default"/>
        </w:rPr>
        <w:t>1</w:t>
      </w:r>
      <w:r>
        <w:rPr/>
        <w:t>、概述</w:t>
      </w:r>
      <w:r>
        <w:rPr>
          <w:b w:val="0"/>
          <w:bCs w:val="0"/>
        </w:rPr>
      </w:r>
    </w:p>
    <w:p>
      <w:pPr>
        <w:spacing w:line="240" w:lineRule="auto" w:before="12"/>
        <w:rPr>
          <w:rFonts w:ascii="宋体" w:hAnsi="宋体" w:cs="宋体" w:eastAsia="宋体" w:hint="default"/>
          <w:b/>
          <w:bCs/>
          <w:sz w:val="32"/>
          <w:szCs w:val="32"/>
        </w:rPr>
      </w:pPr>
    </w:p>
    <w:p>
      <w:pPr>
        <w:pStyle w:val="BodyText"/>
        <w:spacing w:line="240" w:lineRule="auto"/>
        <w:ind w:left="513" w:right="0"/>
        <w:jc w:val="left"/>
      </w:pPr>
      <w:r>
        <w:rPr>
          <w:spacing w:val="-3"/>
        </w:rPr>
        <w:t>参见“经营情况讨论与分析”中的“一、概述”相关内容。</w:t>
      </w:r>
    </w:p>
    <w:p>
      <w:pPr>
        <w:spacing w:after="0" w:line="240" w:lineRule="auto"/>
        <w:jc w:val="left"/>
        <w:sectPr>
          <w:pgSz w:w="11910" w:h="16840"/>
          <w:pgMar w:header="871" w:footer="1186" w:top="1100" w:bottom="1380" w:left="980" w:right="0"/>
        </w:sectPr>
      </w:pPr>
    </w:p>
    <w:p>
      <w:pPr>
        <w:spacing w:line="240" w:lineRule="auto" w:before="0"/>
        <w:rPr>
          <w:rFonts w:ascii="宋体" w:hAnsi="宋体" w:cs="宋体" w:eastAsia="宋体" w:hint="default"/>
          <w:sz w:val="21"/>
          <w:szCs w:val="21"/>
        </w:rPr>
      </w:pPr>
    </w:p>
    <w:p>
      <w:pPr>
        <w:pStyle w:val="Heading3"/>
        <w:spacing w:line="240" w:lineRule="auto" w:before="36"/>
        <w:ind w:right="0"/>
        <w:jc w:val="left"/>
        <w:rPr>
          <w:b w:val="0"/>
          <w:bCs w:val="0"/>
        </w:rPr>
      </w:pPr>
      <w:bookmarkStart w:name="2、收入与成本" w:id="27"/>
      <w:bookmarkEnd w:id="27"/>
      <w:r>
        <w:rPr>
          <w:b w:val="0"/>
          <w:bCs w:val="0"/>
        </w:rPr>
      </w:r>
      <w:r>
        <w:rPr>
          <w:rFonts w:ascii="Times New Roman" w:hAnsi="Times New Roman" w:cs="Times New Roman" w:eastAsia="Times New Roman" w:hint="default"/>
        </w:rPr>
        <w:t>2</w:t>
      </w:r>
      <w:r>
        <w:rPr/>
        <w:t>、收入与成本</w:t>
      </w:r>
      <w:r>
        <w:rPr>
          <w:b w:val="0"/>
          <w:bCs w:val="0"/>
        </w:rPr>
      </w:r>
    </w:p>
    <w:p>
      <w:pPr>
        <w:spacing w:line="240" w:lineRule="auto" w:before="5"/>
        <w:rPr>
          <w:rFonts w:ascii="宋体" w:hAnsi="宋体" w:cs="宋体" w:eastAsia="宋体" w:hint="default"/>
          <w:b/>
          <w:bCs/>
          <w:sz w:val="24"/>
          <w:szCs w:val="24"/>
        </w:rPr>
      </w:pPr>
    </w:p>
    <w:p>
      <w:pPr>
        <w:pStyle w:val="Heading3"/>
        <w:spacing w:line="240" w:lineRule="auto"/>
        <w:ind w:right="0"/>
        <w:jc w:val="left"/>
        <w:rPr>
          <w:b w:val="0"/>
          <w:bCs w:val="0"/>
        </w:rPr>
      </w:pPr>
      <w:bookmarkStart w:name="（1）营业收入构成" w:id="28"/>
      <w:bookmarkEnd w:id="28"/>
      <w:r>
        <w:rPr>
          <w:b w:val="0"/>
          <w:bCs w:val="0"/>
        </w:rPr>
      </w:r>
      <w:r>
        <w:rPr/>
        <w:t>（</w:t>
      </w:r>
      <w:r>
        <w:rPr>
          <w:rFonts w:ascii="Times New Roman" w:hAnsi="Times New Roman" w:cs="Times New Roman" w:eastAsia="Times New Roman" w:hint="default"/>
        </w:rPr>
        <w:t>1</w:t>
      </w:r>
      <w:r>
        <w:rPr/>
        <w:t>）营业收入构成</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6"/>
        <w:ind w:right="0"/>
        <w:jc w:val="left"/>
      </w:pPr>
      <w:r>
        <w:rPr/>
        <w:t>营业收入整体情况</w:t>
      </w:r>
    </w:p>
    <w:p>
      <w:pPr>
        <w:pStyle w:val="BodyText"/>
        <w:spacing w:line="240" w:lineRule="auto" w:before="115"/>
        <w:ind w:left="0" w:right="1122"/>
        <w:jc w:val="right"/>
      </w:pPr>
      <w:r>
        <w:rPr>
          <w:spacing w:val="-2"/>
        </w:rPr>
        <w:t>单位：元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599"/>
        <w:gridCol w:w="1597"/>
        <w:gridCol w:w="1592"/>
        <w:gridCol w:w="1597"/>
        <w:gridCol w:w="1588"/>
        <w:gridCol w:w="1597"/>
      </w:tblGrid>
      <w:tr>
        <w:trPr>
          <w:trHeight w:val="206" w:hRule="exact"/>
        </w:trPr>
        <w:tc>
          <w:tcPr>
            <w:tcW w:w="1599" w:type="dxa"/>
            <w:tcBorders>
              <w:top w:val="single" w:sz="4" w:space="0" w:color="000000"/>
              <w:left w:val="single" w:sz="4" w:space="0" w:color="000000"/>
              <w:bottom w:val="nil" w:sz="6" w:space="0" w:color="auto"/>
              <w:right w:val="single" w:sz="4" w:space="0" w:color="000000"/>
            </w:tcBorders>
            <w:shd w:val="clear" w:color="auto" w:fill="D2D2D2"/>
          </w:tcPr>
          <w:p>
            <w:pPr/>
          </w:p>
        </w:tc>
        <w:tc>
          <w:tcPr>
            <w:tcW w:w="318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318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1597"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2" w:hRule="exact"/>
        </w:trPr>
        <w:tc>
          <w:tcPr>
            <w:tcW w:w="1599" w:type="dxa"/>
            <w:vMerge w:val="restart"/>
            <w:tcBorders>
              <w:top w:val="nil" w:sz="6" w:space="0" w:color="auto"/>
              <w:left w:val="single" w:sz="4" w:space="0" w:color="000000"/>
              <w:right w:val="single" w:sz="4" w:space="0" w:color="000000"/>
            </w:tcBorders>
            <w:shd w:val="clear" w:color="auto" w:fill="D2D2D2"/>
          </w:tcPr>
          <w:p>
            <w:pPr/>
          </w:p>
        </w:tc>
        <w:tc>
          <w:tcPr>
            <w:tcW w:w="3189" w:type="dxa"/>
            <w:gridSpan w:val="2"/>
            <w:vMerge/>
            <w:tcBorders>
              <w:left w:val="single" w:sz="4" w:space="0" w:color="000000"/>
              <w:bottom w:val="single" w:sz="4" w:space="0" w:color="000000"/>
              <w:right w:val="single" w:sz="4" w:space="0" w:color="000000"/>
            </w:tcBorders>
            <w:shd w:val="clear" w:color="auto" w:fill="D2D2D2"/>
          </w:tcPr>
          <w:p>
            <w:pPr/>
          </w:p>
        </w:tc>
        <w:tc>
          <w:tcPr>
            <w:tcW w:w="3185" w:type="dxa"/>
            <w:gridSpan w:val="2"/>
            <w:vMerge/>
            <w:tcBorders>
              <w:left w:val="single" w:sz="4" w:space="0" w:color="000000"/>
              <w:bottom w:val="single" w:sz="4" w:space="0" w:color="000000"/>
              <w:right w:val="single" w:sz="4" w:space="0" w:color="000000"/>
            </w:tcBorders>
            <w:shd w:val="clear" w:color="auto" w:fill="D2D2D2"/>
          </w:tcPr>
          <w:p>
            <w:pPr/>
          </w:p>
        </w:tc>
        <w:tc>
          <w:tcPr>
            <w:tcW w:w="15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435"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202" w:hRule="exact"/>
        </w:trPr>
        <w:tc>
          <w:tcPr>
            <w:tcW w:w="1599" w:type="dxa"/>
            <w:vMerge/>
            <w:tcBorders>
              <w:left w:val="single" w:sz="4" w:space="0" w:color="000000"/>
              <w:bottom w:val="nil" w:sz="6" w:space="0" w:color="auto"/>
              <w:right w:val="single" w:sz="4" w:space="0" w:color="000000"/>
            </w:tcBorders>
            <w:shd w:val="clear" w:color="auto" w:fill="D2D2D2"/>
          </w:tcPr>
          <w:p>
            <w:pPr/>
          </w:p>
        </w:tc>
        <w:tc>
          <w:tcPr>
            <w:tcW w:w="15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160" w:right="0"/>
              <w:jc w:val="left"/>
              <w:rPr>
                <w:rFonts w:ascii="宋体" w:hAnsi="宋体" w:cs="宋体" w:eastAsia="宋体" w:hint="default"/>
                <w:sz w:val="18"/>
                <w:szCs w:val="18"/>
              </w:rPr>
            </w:pPr>
            <w:r>
              <w:rPr>
                <w:rFonts w:ascii="宋体" w:hAnsi="宋体" w:cs="宋体" w:eastAsia="宋体" w:hint="default"/>
                <w:spacing w:val="-3"/>
                <w:sz w:val="18"/>
                <w:szCs w:val="18"/>
              </w:rPr>
              <w:t>占营业收入比重</w:t>
            </w:r>
          </w:p>
        </w:tc>
        <w:tc>
          <w:tcPr>
            <w:tcW w:w="15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5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160" w:right="0"/>
              <w:jc w:val="left"/>
              <w:rPr>
                <w:rFonts w:ascii="宋体" w:hAnsi="宋体" w:cs="宋体" w:eastAsia="宋体" w:hint="default"/>
                <w:sz w:val="18"/>
                <w:szCs w:val="18"/>
              </w:rPr>
            </w:pPr>
            <w:r>
              <w:rPr>
                <w:rFonts w:ascii="宋体" w:hAnsi="宋体" w:cs="宋体" w:eastAsia="宋体" w:hint="default"/>
                <w:spacing w:val="-3"/>
                <w:sz w:val="18"/>
                <w:szCs w:val="18"/>
              </w:rPr>
              <w:t>占营业收入比重</w:t>
            </w:r>
          </w:p>
        </w:tc>
        <w:tc>
          <w:tcPr>
            <w:tcW w:w="1597"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1599"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7" w:type="dxa"/>
            <w:vMerge/>
            <w:tcBorders>
              <w:left w:val="single" w:sz="4" w:space="0" w:color="000000"/>
              <w:bottom w:val="single" w:sz="4" w:space="0" w:color="000000"/>
              <w:right w:val="single" w:sz="4" w:space="0" w:color="000000"/>
            </w:tcBorders>
            <w:shd w:val="clear" w:color="auto" w:fill="D2D2D2"/>
          </w:tcPr>
          <w:p>
            <w:pPr/>
          </w:p>
        </w:tc>
        <w:tc>
          <w:tcPr>
            <w:tcW w:w="1592" w:type="dxa"/>
            <w:vMerge/>
            <w:tcBorders>
              <w:left w:val="single" w:sz="4" w:space="0" w:color="000000"/>
              <w:bottom w:val="single" w:sz="4" w:space="0" w:color="000000"/>
              <w:right w:val="single" w:sz="4" w:space="0" w:color="000000"/>
            </w:tcBorders>
            <w:shd w:val="clear" w:color="auto" w:fill="D2D2D2"/>
          </w:tcPr>
          <w:p>
            <w:pPr/>
          </w:p>
        </w:tc>
        <w:tc>
          <w:tcPr>
            <w:tcW w:w="1597" w:type="dxa"/>
            <w:vMerge/>
            <w:tcBorders>
              <w:left w:val="single" w:sz="4" w:space="0" w:color="000000"/>
              <w:bottom w:val="single" w:sz="4" w:space="0" w:color="000000"/>
              <w:right w:val="single" w:sz="4" w:space="0" w:color="000000"/>
            </w:tcBorders>
            <w:shd w:val="clear" w:color="auto" w:fill="D2D2D2"/>
          </w:tcPr>
          <w:p>
            <w:pPr/>
          </w:p>
        </w:tc>
        <w:tc>
          <w:tcPr>
            <w:tcW w:w="1588" w:type="dxa"/>
            <w:vMerge/>
            <w:tcBorders>
              <w:left w:val="single" w:sz="4" w:space="0" w:color="000000"/>
              <w:bottom w:val="single" w:sz="4" w:space="0" w:color="000000"/>
              <w:right w:val="single" w:sz="4" w:space="0" w:color="000000"/>
            </w:tcBorders>
            <w:shd w:val="clear" w:color="auto" w:fill="D2D2D2"/>
          </w:tcPr>
          <w:p>
            <w:pPr/>
          </w:p>
        </w:tc>
        <w:tc>
          <w:tcPr>
            <w:tcW w:w="1597"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8" w:hRule="exact"/>
        </w:trPr>
        <w:tc>
          <w:tcPr>
            <w:tcW w:w="1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营业收入合计</w:t>
            </w:r>
          </w:p>
        </w:tc>
        <w:tc>
          <w:tcPr>
            <w:tcW w:w="1597"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6"/>
              <w:ind w:right="8"/>
              <w:jc w:val="right"/>
              <w:rPr>
                <w:rFonts w:ascii="Times New Roman" w:hAnsi="Times New Roman" w:cs="Times New Roman" w:eastAsia="Times New Roman" w:hint="default"/>
                <w:sz w:val="18"/>
                <w:szCs w:val="18"/>
              </w:rPr>
            </w:pPr>
            <w:r>
              <w:rPr>
                <w:rFonts w:ascii="Times New Roman"/>
                <w:spacing w:val="-2"/>
                <w:sz w:val="18"/>
              </w:rPr>
              <w:t>1,181,006,553.61</w:t>
            </w:r>
          </w:p>
        </w:tc>
        <w:tc>
          <w:tcPr>
            <w:tcW w:w="1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2"/>
                <w:sz w:val="18"/>
              </w:rPr>
              <w:t>100%</w:t>
            </w:r>
          </w:p>
        </w:tc>
        <w:tc>
          <w:tcPr>
            <w:tcW w:w="1597" w:type="dxa"/>
            <w:tcBorders>
              <w:top w:val="single" w:sz="4" w:space="0" w:color="000000"/>
              <w:left w:val="single" w:sz="10" w:space="0" w:color="D2D2D2"/>
              <w:bottom w:val="single" w:sz="4" w:space="0" w:color="000000"/>
              <w:right w:val="single" w:sz="10" w:space="0" w:color="D2D2D2"/>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1,299,251,173.43</w:t>
            </w:r>
          </w:p>
        </w:tc>
        <w:tc>
          <w:tcPr>
            <w:tcW w:w="15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15"/>
              <w:jc w:val="right"/>
              <w:rPr>
                <w:rFonts w:ascii="Times New Roman" w:hAnsi="Times New Roman" w:cs="Times New Roman" w:eastAsia="Times New Roman" w:hint="default"/>
                <w:sz w:val="18"/>
                <w:szCs w:val="18"/>
              </w:rPr>
            </w:pPr>
            <w:r>
              <w:rPr>
                <w:rFonts w:ascii="Times New Roman"/>
                <w:spacing w:val="-2"/>
                <w:sz w:val="18"/>
              </w:rPr>
              <w:t>100%</w:t>
            </w:r>
          </w:p>
        </w:tc>
        <w:tc>
          <w:tcPr>
            <w:tcW w:w="15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2"/>
                <w:sz w:val="18"/>
              </w:rPr>
              <w:t>-9.10%</w:t>
            </w:r>
          </w:p>
        </w:tc>
      </w:tr>
      <w:tr>
        <w:trPr>
          <w:trHeight w:val="394" w:hRule="exact"/>
        </w:trPr>
        <w:tc>
          <w:tcPr>
            <w:tcW w:w="9570"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3"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金融信息化</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172,038,475.59</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14.57%</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306,009,896.40</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6"/>
              <w:jc w:val="right"/>
              <w:rPr>
                <w:rFonts w:ascii="Times New Roman" w:hAnsi="Times New Roman" w:cs="Times New Roman" w:eastAsia="Times New Roman" w:hint="default"/>
                <w:sz w:val="18"/>
                <w:szCs w:val="18"/>
              </w:rPr>
            </w:pPr>
            <w:r>
              <w:rPr>
                <w:rFonts w:ascii="Times New Roman"/>
                <w:spacing w:val="-1"/>
                <w:sz w:val="18"/>
              </w:rPr>
              <w:t>23.55%</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-43.78%</w:t>
            </w:r>
          </w:p>
        </w:tc>
      </w:tr>
      <w:tr>
        <w:trPr>
          <w:trHeight w:val="403"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移动商务服务</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633,002,221.67</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53.60%</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612,725,456.25</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6"/>
              <w:jc w:val="right"/>
              <w:rPr>
                <w:rFonts w:ascii="Times New Roman" w:hAnsi="Times New Roman" w:cs="Times New Roman" w:eastAsia="Times New Roman" w:hint="default"/>
                <w:sz w:val="18"/>
                <w:szCs w:val="18"/>
              </w:rPr>
            </w:pPr>
            <w:r>
              <w:rPr>
                <w:rFonts w:ascii="Times New Roman"/>
                <w:spacing w:val="-1"/>
                <w:sz w:val="18"/>
              </w:rPr>
              <w:t>47.16%</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3.31%</w:t>
            </w:r>
          </w:p>
        </w:tc>
      </w:tr>
      <w:tr>
        <w:trPr>
          <w:trHeight w:val="399"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电子商务</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375,965,856.35</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31.83%</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376,172,257.34</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6"/>
              <w:jc w:val="right"/>
              <w:rPr>
                <w:rFonts w:ascii="Times New Roman" w:hAnsi="Times New Roman" w:cs="Times New Roman" w:eastAsia="Times New Roman" w:hint="default"/>
                <w:sz w:val="18"/>
                <w:szCs w:val="18"/>
              </w:rPr>
            </w:pPr>
            <w:r>
              <w:rPr>
                <w:rFonts w:ascii="Times New Roman"/>
                <w:spacing w:val="-1"/>
                <w:sz w:val="18"/>
              </w:rPr>
              <w:t>28.95%</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2"/>
                <w:sz w:val="18"/>
              </w:rPr>
              <w:t>-0.05%</w:t>
            </w:r>
          </w:p>
        </w:tc>
      </w:tr>
      <w:tr>
        <w:trPr>
          <w:trHeight w:val="403"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7" w:type="dxa"/>
            <w:tcBorders>
              <w:top w:val="single" w:sz="4" w:space="0" w:color="000000"/>
              <w:left w:val="single" w:sz="4" w:space="0" w:color="000000"/>
              <w:bottom w:val="single" w:sz="4" w:space="0" w:color="000000"/>
              <w:right w:val="single" w:sz="4" w:space="0" w:color="000000"/>
            </w:tcBorders>
          </w:tcPr>
          <w:p>
            <w:pPr/>
          </w:p>
        </w:tc>
        <w:tc>
          <w:tcPr>
            <w:tcW w:w="1592" w:type="dxa"/>
            <w:tcBorders>
              <w:top w:val="single" w:sz="4" w:space="0" w:color="000000"/>
              <w:left w:val="single" w:sz="4" w:space="0" w:color="000000"/>
              <w:bottom w:val="single" w:sz="4" w:space="0" w:color="000000"/>
              <w:right w:val="single" w:sz="4" w:space="0" w:color="000000"/>
            </w:tcBorders>
          </w:tcPr>
          <w:p>
            <w:pP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0"/>
              <w:jc w:val="right"/>
              <w:rPr>
                <w:rFonts w:ascii="Times New Roman" w:hAnsi="Times New Roman" w:cs="Times New Roman" w:eastAsia="Times New Roman" w:hint="default"/>
                <w:sz w:val="18"/>
                <w:szCs w:val="18"/>
              </w:rPr>
            </w:pPr>
            <w:r>
              <w:rPr>
                <w:rFonts w:ascii="Times New Roman"/>
                <w:spacing w:val="-1"/>
                <w:sz w:val="18"/>
              </w:rPr>
              <w:t>4,343,563.44</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6"/>
              <w:jc w:val="right"/>
              <w:rPr>
                <w:rFonts w:ascii="Times New Roman" w:hAnsi="Times New Roman" w:cs="Times New Roman" w:eastAsia="Times New Roman" w:hint="default"/>
                <w:sz w:val="18"/>
                <w:szCs w:val="18"/>
              </w:rPr>
            </w:pPr>
            <w:r>
              <w:rPr>
                <w:rFonts w:ascii="Times New Roman"/>
                <w:spacing w:val="-1"/>
                <w:sz w:val="18"/>
              </w:rPr>
              <w:t>0.33%</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3" w:hRule="exact"/>
        </w:trPr>
        <w:tc>
          <w:tcPr>
            <w:tcW w:w="9570"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3"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金融软件</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92,635,671.12</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7.84%</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51,581,286.33</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6"/>
              <w:jc w:val="right"/>
              <w:rPr>
                <w:rFonts w:ascii="Times New Roman" w:hAnsi="Times New Roman" w:cs="Times New Roman" w:eastAsia="Times New Roman" w:hint="default"/>
                <w:sz w:val="18"/>
                <w:szCs w:val="18"/>
              </w:rPr>
            </w:pPr>
            <w:r>
              <w:rPr>
                <w:rFonts w:ascii="Times New Roman"/>
                <w:spacing w:val="-1"/>
                <w:sz w:val="18"/>
              </w:rPr>
              <w:t>3.97%</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79.59%</w:t>
            </w:r>
          </w:p>
        </w:tc>
      </w:tr>
      <w:tr>
        <w:trPr>
          <w:trHeight w:val="399"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金融专用设备</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79,402,804.47</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6.72%</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254,428,610.07</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6"/>
              <w:jc w:val="right"/>
              <w:rPr>
                <w:rFonts w:ascii="Times New Roman" w:hAnsi="Times New Roman" w:cs="Times New Roman" w:eastAsia="Times New Roman" w:hint="default"/>
                <w:sz w:val="18"/>
                <w:szCs w:val="18"/>
              </w:rPr>
            </w:pPr>
            <w:r>
              <w:rPr>
                <w:rFonts w:ascii="Times New Roman"/>
                <w:spacing w:val="-1"/>
                <w:sz w:val="18"/>
              </w:rPr>
              <w:t>19.58%</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-68.79%</w:t>
            </w:r>
          </w:p>
        </w:tc>
      </w:tr>
      <w:tr>
        <w:trPr>
          <w:trHeight w:val="403"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3"/>
                <w:sz w:val="18"/>
                <w:szCs w:val="18"/>
              </w:rPr>
              <w:t>短彩信通讯服务</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0"/>
              <w:jc w:val="right"/>
              <w:rPr>
                <w:rFonts w:ascii="Times New Roman" w:hAnsi="Times New Roman" w:cs="Times New Roman" w:eastAsia="Times New Roman" w:hint="default"/>
                <w:sz w:val="18"/>
                <w:szCs w:val="18"/>
              </w:rPr>
            </w:pPr>
            <w:r>
              <w:rPr>
                <w:rFonts w:ascii="Times New Roman"/>
                <w:spacing w:val="-1"/>
                <w:sz w:val="18"/>
              </w:rPr>
              <w:t>514,035,746.91</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43.53%</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0"/>
              <w:jc w:val="right"/>
              <w:rPr>
                <w:rFonts w:ascii="Times New Roman" w:hAnsi="Times New Roman" w:cs="Times New Roman" w:eastAsia="Times New Roman" w:hint="default"/>
                <w:sz w:val="18"/>
                <w:szCs w:val="18"/>
              </w:rPr>
            </w:pPr>
            <w:r>
              <w:rPr>
                <w:rFonts w:ascii="Times New Roman"/>
                <w:spacing w:val="-1"/>
                <w:sz w:val="18"/>
              </w:rPr>
              <w:t>529,593,580.55</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6"/>
              <w:jc w:val="right"/>
              <w:rPr>
                <w:rFonts w:ascii="Times New Roman" w:hAnsi="Times New Roman" w:cs="Times New Roman" w:eastAsia="Times New Roman" w:hint="default"/>
                <w:sz w:val="18"/>
                <w:szCs w:val="18"/>
              </w:rPr>
            </w:pPr>
            <w:r>
              <w:rPr>
                <w:rFonts w:ascii="Times New Roman"/>
                <w:spacing w:val="-1"/>
                <w:sz w:val="18"/>
              </w:rPr>
              <w:t>40.76%</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2"/>
                <w:sz w:val="18"/>
              </w:rPr>
              <w:t>-2.94%</w:t>
            </w:r>
          </w:p>
        </w:tc>
      </w:tr>
      <w:tr>
        <w:trPr>
          <w:trHeight w:val="715"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4" w:right="118"/>
              <w:jc w:val="left"/>
              <w:rPr>
                <w:rFonts w:ascii="宋体" w:hAnsi="宋体" w:cs="宋体" w:eastAsia="宋体" w:hint="default"/>
                <w:sz w:val="18"/>
                <w:szCs w:val="18"/>
              </w:rPr>
            </w:pPr>
            <w:r>
              <w:rPr>
                <w:rFonts w:ascii="宋体" w:hAnsi="宋体" w:cs="宋体" w:eastAsia="宋体" w:hint="default"/>
                <w:spacing w:val="-2"/>
                <w:sz w:val="18"/>
                <w:szCs w:val="18"/>
              </w:rPr>
              <w:t>移动互联网应用服</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务</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2"/>
                <w:sz w:val="18"/>
              </w:rPr>
              <w:t>118,966,474.76</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10.07%</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83,131,875.70</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6.40%</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3"/>
                <w:sz w:val="18"/>
              </w:rPr>
              <w:t>43.11%</w:t>
            </w:r>
          </w:p>
        </w:tc>
      </w:tr>
      <w:tr>
        <w:trPr>
          <w:trHeight w:val="404"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电子商务</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375,965,856.35</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31.83%</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376,172,257.34</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6"/>
              <w:jc w:val="right"/>
              <w:rPr>
                <w:rFonts w:ascii="Times New Roman" w:hAnsi="Times New Roman" w:cs="Times New Roman" w:eastAsia="Times New Roman" w:hint="default"/>
                <w:sz w:val="18"/>
                <w:szCs w:val="18"/>
              </w:rPr>
            </w:pPr>
            <w:r>
              <w:rPr>
                <w:rFonts w:ascii="Times New Roman"/>
                <w:spacing w:val="-1"/>
                <w:sz w:val="18"/>
              </w:rPr>
              <w:t>28.95%</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2"/>
                <w:sz w:val="18"/>
              </w:rPr>
              <w:t>-0.05%</w:t>
            </w:r>
          </w:p>
        </w:tc>
      </w:tr>
      <w:tr>
        <w:trPr>
          <w:trHeight w:val="401"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7" w:type="dxa"/>
            <w:tcBorders>
              <w:top w:val="single" w:sz="4" w:space="0" w:color="000000"/>
              <w:left w:val="single" w:sz="4" w:space="0" w:color="000000"/>
              <w:bottom w:val="single" w:sz="4" w:space="0" w:color="000000"/>
              <w:right w:val="single" w:sz="4" w:space="0" w:color="000000"/>
            </w:tcBorders>
          </w:tcPr>
          <w:p>
            <w:pPr/>
          </w:p>
        </w:tc>
        <w:tc>
          <w:tcPr>
            <w:tcW w:w="1592" w:type="dxa"/>
            <w:tcBorders>
              <w:top w:val="single" w:sz="4" w:space="0" w:color="000000"/>
              <w:left w:val="single" w:sz="4" w:space="0" w:color="000000"/>
              <w:bottom w:val="single" w:sz="4" w:space="0" w:color="000000"/>
              <w:right w:val="single" w:sz="4" w:space="0" w:color="000000"/>
            </w:tcBorders>
          </w:tcPr>
          <w:p>
            <w:pP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4,343,563.44</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6"/>
              <w:jc w:val="right"/>
              <w:rPr>
                <w:rFonts w:ascii="Times New Roman" w:hAnsi="Times New Roman" w:cs="Times New Roman" w:eastAsia="Times New Roman" w:hint="default"/>
                <w:sz w:val="18"/>
                <w:szCs w:val="18"/>
              </w:rPr>
            </w:pPr>
            <w:r>
              <w:rPr>
                <w:rFonts w:ascii="Times New Roman"/>
                <w:spacing w:val="-1"/>
                <w:sz w:val="18"/>
              </w:rPr>
              <w:t>0.33%</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1" w:hRule="exact"/>
        </w:trPr>
        <w:tc>
          <w:tcPr>
            <w:tcW w:w="9570"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3"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国内</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810,931,712.54</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68.66%</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932,592,440.59</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6"/>
              <w:jc w:val="right"/>
              <w:rPr>
                <w:rFonts w:ascii="Times New Roman" w:hAnsi="Times New Roman" w:cs="Times New Roman" w:eastAsia="Times New Roman" w:hint="default"/>
                <w:sz w:val="18"/>
                <w:szCs w:val="18"/>
              </w:rPr>
            </w:pPr>
            <w:r>
              <w:rPr>
                <w:rFonts w:ascii="Times New Roman"/>
                <w:spacing w:val="-1"/>
                <w:sz w:val="18"/>
              </w:rPr>
              <w:t>71.78%</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-13.05%</w:t>
            </w:r>
          </w:p>
        </w:tc>
      </w:tr>
      <w:tr>
        <w:trPr>
          <w:trHeight w:val="403"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国外</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370,074,841.07</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31.34%</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366,658,732.84</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6"/>
              <w:jc w:val="right"/>
              <w:rPr>
                <w:rFonts w:ascii="Times New Roman" w:hAnsi="Times New Roman" w:cs="Times New Roman" w:eastAsia="Times New Roman" w:hint="default"/>
                <w:sz w:val="18"/>
                <w:szCs w:val="18"/>
              </w:rPr>
            </w:pPr>
            <w:r>
              <w:rPr>
                <w:rFonts w:ascii="Times New Roman"/>
                <w:spacing w:val="-1"/>
                <w:sz w:val="18"/>
              </w:rPr>
              <w:t>28.22%</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0.93%</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2）占公司营业收入或营业利润10%以上的行业、产品或地区情况" w:id="29"/>
      <w:bookmarkEnd w:id="29"/>
      <w:r>
        <w:rPr>
          <w:b w:val="0"/>
          <w:bCs w:val="0"/>
        </w:rPr>
      </w:r>
      <w:r>
        <w:rPr/>
        <w:t>（</w:t>
      </w:r>
      <w:r>
        <w:rPr>
          <w:rFonts w:ascii="Times New Roman" w:hAnsi="Times New Roman" w:cs="Times New Roman" w:eastAsia="Times New Roman" w:hint="default"/>
        </w:rPr>
        <w:t>2</w:t>
      </w:r>
      <w:r>
        <w:rPr/>
        <w:t>）占公司营业收入或营业利润</w:t>
      </w:r>
      <w:r>
        <w:rPr>
          <w:spacing w:val="-51"/>
        </w:rPr>
        <w:t> </w:t>
      </w:r>
      <w:r>
        <w:rPr>
          <w:rFonts w:ascii="Times New Roman" w:hAnsi="Times New Roman" w:cs="Times New Roman" w:eastAsia="Times New Roman" w:hint="default"/>
        </w:rPr>
        <w:t>10%</w:t>
      </w:r>
      <w:r>
        <w:rPr/>
        <w:t>以上的行业、产品或地区情况</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pStyle w:val="BodyText"/>
        <w:spacing w:line="240" w:lineRule="auto" w:before="101"/>
        <w:ind w:left="0" w:right="1122"/>
        <w:jc w:val="right"/>
      </w:pPr>
      <w:r>
        <w:rPr>
          <w:spacing w:val="-2"/>
        </w:rPr>
        <w:t>单位：元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369"/>
        <w:gridCol w:w="1364"/>
        <w:gridCol w:w="1369"/>
        <w:gridCol w:w="1368"/>
        <w:gridCol w:w="1368"/>
        <w:gridCol w:w="1364"/>
        <w:gridCol w:w="1373"/>
      </w:tblGrid>
      <w:tr>
        <w:trPr>
          <w:trHeight w:val="713"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6"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4"/>
              <w:ind w:left="316" w:right="46" w:hanging="269"/>
              <w:jc w:val="left"/>
              <w:rPr>
                <w:rFonts w:ascii="宋体" w:hAnsi="宋体" w:cs="宋体" w:eastAsia="宋体" w:hint="default"/>
                <w:sz w:val="18"/>
                <w:szCs w:val="18"/>
              </w:rPr>
            </w:pPr>
            <w:r>
              <w:rPr>
                <w:rFonts w:ascii="宋体" w:hAnsi="宋体" w:cs="宋体" w:eastAsia="宋体" w:hint="default"/>
                <w:spacing w:val="-3"/>
                <w:sz w:val="18"/>
                <w:szCs w:val="18"/>
              </w:rPr>
              <w:t>营业收入比上年</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同期增减</w:t>
            </w:r>
          </w:p>
        </w:tc>
        <w:tc>
          <w:tcPr>
            <w:tcW w:w="1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4"/>
              <w:ind w:left="317" w:right="41" w:hanging="270"/>
              <w:jc w:val="left"/>
              <w:rPr>
                <w:rFonts w:ascii="宋体" w:hAnsi="宋体" w:cs="宋体" w:eastAsia="宋体" w:hint="default"/>
                <w:sz w:val="18"/>
                <w:szCs w:val="18"/>
              </w:rPr>
            </w:pPr>
            <w:r>
              <w:rPr>
                <w:rFonts w:ascii="宋体" w:hAnsi="宋体" w:cs="宋体" w:eastAsia="宋体" w:hint="default"/>
                <w:spacing w:val="-3"/>
                <w:sz w:val="18"/>
                <w:szCs w:val="18"/>
              </w:rPr>
              <w:t>营业成本比上年</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同期增减</w:t>
            </w:r>
          </w:p>
        </w:tc>
        <w:tc>
          <w:tcPr>
            <w:tcW w:w="1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4"/>
              <w:ind w:left="413" w:right="46" w:hanging="361"/>
              <w:jc w:val="left"/>
              <w:rPr>
                <w:rFonts w:ascii="宋体" w:hAnsi="宋体" w:cs="宋体" w:eastAsia="宋体" w:hint="default"/>
                <w:sz w:val="18"/>
                <w:szCs w:val="18"/>
              </w:rPr>
            </w:pPr>
            <w:r>
              <w:rPr>
                <w:rFonts w:ascii="宋体" w:hAnsi="宋体" w:cs="宋体" w:eastAsia="宋体" w:hint="default"/>
                <w:spacing w:val="-3"/>
                <w:sz w:val="18"/>
                <w:szCs w:val="18"/>
              </w:rPr>
              <w:t>毛利率比上年同</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期增减</w:t>
            </w:r>
          </w:p>
        </w:tc>
      </w:tr>
      <w:tr>
        <w:trPr>
          <w:trHeight w:val="401" w:hRule="exact"/>
        </w:trPr>
        <w:tc>
          <w:tcPr>
            <w:tcW w:w="9575"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金融信息化</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172,038,475.59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103,119,202.03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40.06%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-43.78%</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-45.53%</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1.93%</w:t>
            </w:r>
          </w:p>
        </w:tc>
      </w:tr>
      <w:tr>
        <w:trPr>
          <w:trHeight w:val="404"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移动信息服务</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633,002,221.67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470,840,999.47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25.62%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3.31%</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6.97%</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2"/>
                <w:sz w:val="18"/>
              </w:rPr>
              <w:t>-2.54%</w:t>
            </w:r>
          </w:p>
        </w:tc>
      </w:tr>
      <w:tr>
        <w:trPr>
          <w:trHeight w:val="401"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电子商务</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375,965,856.35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235,446,738.48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37.38%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2"/>
                <w:sz w:val="18"/>
              </w:rPr>
              <w:t>-0.05%</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2"/>
                <w:sz w:val="18"/>
              </w:rPr>
              <w:t>-7.13%</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4.78%</w:t>
            </w:r>
          </w:p>
        </w:tc>
      </w:tr>
      <w:tr>
        <w:trPr>
          <w:trHeight w:val="401" w:hRule="exact"/>
        </w:trPr>
        <w:tc>
          <w:tcPr>
            <w:tcW w:w="9575"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分产品</w:t>
            </w:r>
          </w:p>
        </w:tc>
      </w:tr>
    </w:tbl>
    <w:p>
      <w:pPr>
        <w:spacing w:after="0" w:line="240" w:lineRule="auto"/>
        <w:jc w:val="left"/>
        <w:rPr>
          <w:rFonts w:ascii="宋体" w:hAnsi="宋体" w:cs="宋体" w:eastAsia="宋体" w:hint="default"/>
          <w:sz w:val="18"/>
          <w:szCs w:val="18"/>
        </w:rPr>
        <w:sectPr>
          <w:pgSz w:w="11910" w:h="16840"/>
          <w:pgMar w:header="871" w:footer="1186" w:top="1100" w:bottom="1380" w:left="980" w:right="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1369"/>
        <w:gridCol w:w="1364"/>
        <w:gridCol w:w="1369"/>
        <w:gridCol w:w="1368"/>
        <w:gridCol w:w="1368"/>
        <w:gridCol w:w="1364"/>
        <w:gridCol w:w="1373"/>
      </w:tblGrid>
      <w:tr>
        <w:trPr>
          <w:trHeight w:val="403"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金融软件</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92,635,671.12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52,799,071.46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43.00%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79.59%</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91.60%</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2"/>
                <w:sz w:val="18"/>
              </w:rPr>
              <w:t>-3.57%</w:t>
            </w:r>
          </w:p>
        </w:tc>
      </w:tr>
      <w:tr>
        <w:trPr>
          <w:trHeight w:val="398"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金融专用设备</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79,402,804.47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50,320,130.57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36.63%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-68.79%</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-68.89%</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0.21%</w:t>
            </w:r>
          </w:p>
        </w:tc>
      </w:tr>
      <w:tr>
        <w:trPr>
          <w:trHeight w:val="404"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3"/>
                <w:sz w:val="18"/>
                <w:szCs w:val="18"/>
              </w:rPr>
              <w:t>短彩信通讯服务</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514,035,746.91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442,220,705.17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13.97%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2"/>
                <w:sz w:val="18"/>
              </w:rPr>
              <w:t>-2.94%</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4"/>
              <w:jc w:val="right"/>
              <w:rPr>
                <w:rFonts w:ascii="Times New Roman" w:hAnsi="Times New Roman" w:cs="Times New Roman" w:eastAsia="Times New Roman" w:hint="default"/>
                <w:sz w:val="18"/>
                <w:szCs w:val="18"/>
              </w:rPr>
            </w:pPr>
            <w:r>
              <w:rPr>
                <w:rFonts w:ascii="Times New Roman"/>
                <w:spacing w:val="-1"/>
                <w:sz w:val="18"/>
              </w:rPr>
              <w:t>4.99%</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2"/>
                <w:sz w:val="18"/>
              </w:rPr>
              <w:t>-6.50%</w:t>
            </w:r>
          </w:p>
        </w:tc>
      </w:tr>
      <w:tr>
        <w:trPr>
          <w:trHeight w:val="715"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4" w:right="70"/>
              <w:jc w:val="left"/>
              <w:rPr>
                <w:rFonts w:ascii="宋体" w:hAnsi="宋体" w:cs="宋体" w:eastAsia="宋体" w:hint="default"/>
                <w:sz w:val="18"/>
                <w:szCs w:val="18"/>
              </w:rPr>
            </w:pPr>
            <w:r>
              <w:rPr>
                <w:rFonts w:ascii="宋体" w:hAnsi="宋体" w:cs="宋体" w:eastAsia="宋体" w:hint="default"/>
                <w:spacing w:val="-3"/>
                <w:sz w:val="18"/>
                <w:szCs w:val="18"/>
              </w:rPr>
              <w:t>移动互联网应用</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服务</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2"/>
                <w:sz w:val="18"/>
              </w:rPr>
              <w:t>118,966,474.76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28,620,294.30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75.94%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3"/>
                <w:sz w:val="18"/>
              </w:rPr>
              <w:t>43.11%</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50.95%</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2"/>
                <w:sz w:val="18"/>
              </w:rPr>
              <w:t>-1.25%</w:t>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电子商务</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375,965,856.35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235,446,738.48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37.38%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2"/>
                <w:sz w:val="18"/>
              </w:rPr>
              <w:t>-0.05%</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2"/>
                <w:sz w:val="18"/>
              </w:rPr>
              <w:t>-7.13%</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4.78%</w:t>
            </w:r>
          </w:p>
        </w:tc>
      </w:tr>
      <w:tr>
        <w:trPr>
          <w:trHeight w:val="398" w:hRule="exact"/>
        </w:trPr>
        <w:tc>
          <w:tcPr>
            <w:tcW w:w="9575"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4"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sz w:val="18"/>
                <w:szCs w:val="18"/>
              </w:rPr>
              <w:t>国内</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3"/>
              <w:jc w:val="right"/>
              <w:rPr>
                <w:rFonts w:ascii="Times New Roman" w:hAnsi="Times New Roman" w:cs="Times New Roman" w:eastAsia="Times New Roman" w:hint="default"/>
                <w:sz w:val="18"/>
                <w:szCs w:val="18"/>
              </w:rPr>
            </w:pPr>
            <w:r>
              <w:rPr>
                <w:rFonts w:ascii="Times New Roman"/>
                <w:spacing w:val="-1"/>
                <w:sz w:val="18"/>
              </w:rPr>
              <w:t>810,931,712.54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8"/>
              <w:jc w:val="right"/>
              <w:rPr>
                <w:rFonts w:ascii="Times New Roman" w:hAnsi="Times New Roman" w:cs="Times New Roman" w:eastAsia="Times New Roman" w:hint="default"/>
                <w:sz w:val="18"/>
                <w:szCs w:val="18"/>
              </w:rPr>
            </w:pPr>
            <w:r>
              <w:rPr>
                <w:rFonts w:ascii="Times New Roman"/>
                <w:spacing w:val="-1"/>
                <w:sz w:val="18"/>
              </w:rPr>
              <w:t>548,230,237.44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9"/>
              <w:jc w:val="right"/>
              <w:rPr>
                <w:rFonts w:ascii="Times New Roman" w:hAnsi="Times New Roman" w:cs="Times New Roman" w:eastAsia="Times New Roman" w:hint="default"/>
                <w:sz w:val="18"/>
                <w:szCs w:val="18"/>
              </w:rPr>
            </w:pPr>
            <w:r>
              <w:rPr>
                <w:rFonts w:ascii="Times New Roman"/>
                <w:spacing w:val="-1"/>
                <w:sz w:val="18"/>
              </w:rPr>
              <w:t>32.40%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9"/>
              <w:jc w:val="right"/>
              <w:rPr>
                <w:rFonts w:ascii="Times New Roman" w:hAnsi="Times New Roman" w:cs="Times New Roman" w:eastAsia="Times New Roman" w:hint="default"/>
                <w:sz w:val="18"/>
                <w:szCs w:val="18"/>
              </w:rPr>
            </w:pPr>
            <w:r>
              <w:rPr>
                <w:rFonts w:ascii="Times New Roman"/>
                <w:spacing w:val="-1"/>
                <w:sz w:val="18"/>
              </w:rPr>
              <w:t>-12.64%</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4"/>
              <w:jc w:val="right"/>
              <w:rPr>
                <w:rFonts w:ascii="Times New Roman" w:hAnsi="Times New Roman" w:cs="Times New Roman" w:eastAsia="Times New Roman" w:hint="default"/>
                <w:sz w:val="18"/>
                <w:szCs w:val="18"/>
              </w:rPr>
            </w:pPr>
            <w:r>
              <w:rPr>
                <w:rFonts w:ascii="Times New Roman"/>
                <w:spacing w:val="-2"/>
                <w:sz w:val="18"/>
              </w:rPr>
              <w:t>-7.78%</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9"/>
              <w:jc w:val="right"/>
              <w:rPr>
                <w:rFonts w:ascii="Times New Roman" w:hAnsi="Times New Roman" w:cs="Times New Roman" w:eastAsia="Times New Roman" w:hint="default"/>
                <w:sz w:val="18"/>
                <w:szCs w:val="18"/>
              </w:rPr>
            </w:pPr>
            <w:r>
              <w:rPr>
                <w:rFonts w:ascii="Times New Roman"/>
                <w:spacing w:val="-2"/>
                <w:sz w:val="18"/>
              </w:rPr>
              <w:t>-3.55%</w:t>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国外</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370,074,841.07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261,176,702.54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29.43%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0.93%</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2"/>
                <w:sz w:val="18"/>
              </w:rPr>
              <w:t>-9.47%</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8.12%</w:t>
            </w:r>
          </w:p>
        </w:tc>
      </w:tr>
    </w:tbl>
    <w:p>
      <w:pPr>
        <w:pStyle w:val="BodyText"/>
        <w:spacing w:line="240" w:lineRule="auto" w:before="53"/>
        <w:ind w:right="0"/>
        <w:jc w:val="left"/>
      </w:pPr>
      <w:r>
        <w:rPr>
          <w:spacing w:val="-3"/>
        </w:rPr>
        <w:t>公司主营业务数据统计口径在报告期发生调整的情况下，公司最近 </w:t>
      </w:r>
      <w:r>
        <w:rPr>
          <w:rFonts w:ascii="Times New Roman" w:hAnsi="Times New Roman" w:cs="Times New Roman" w:eastAsia="Times New Roman" w:hint="default"/>
        </w:rPr>
        <w:t>1  </w:t>
      </w:r>
      <w:r>
        <w:rPr>
          <w:rFonts w:ascii="Times New Roman" w:hAnsi="Times New Roman" w:cs="Times New Roman" w:eastAsia="Times New Roman" w:hint="default"/>
          <w:spacing w:val="5"/>
        </w:rPr>
        <w:t> </w:t>
      </w:r>
      <w:r>
        <w:rPr>
          <w:spacing w:val="-3"/>
        </w:rPr>
        <w:t>年按报告期末口径调整后的主营业务数据</w:t>
      </w:r>
    </w:p>
    <w:p>
      <w:pPr>
        <w:pStyle w:val="BodyText"/>
        <w:spacing w:line="240" w:lineRule="auto" w:before="106"/>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4"/>
        <w:rPr>
          <w:rFonts w:ascii="宋体" w:hAnsi="宋体" w:cs="宋体" w:eastAsia="宋体" w:hint="default"/>
          <w:sz w:val="25"/>
          <w:szCs w:val="25"/>
        </w:rPr>
      </w:pPr>
    </w:p>
    <w:p>
      <w:pPr>
        <w:pStyle w:val="Heading3"/>
        <w:spacing w:line="240" w:lineRule="auto"/>
        <w:ind w:right="0"/>
        <w:jc w:val="left"/>
        <w:rPr>
          <w:b w:val="0"/>
          <w:bCs w:val="0"/>
        </w:rPr>
      </w:pPr>
      <w:bookmarkStart w:name="（3）公司实物销售收入是否大于劳务收入" w:id="30"/>
      <w:bookmarkEnd w:id="30"/>
      <w:r>
        <w:rPr>
          <w:b w:val="0"/>
          <w:bCs w:val="0"/>
        </w:rPr>
      </w:r>
      <w:r>
        <w:rPr/>
        <w:t>（</w:t>
      </w:r>
      <w:r>
        <w:rPr>
          <w:rFonts w:ascii="Times New Roman" w:hAnsi="Times New Roman" w:cs="Times New Roman" w:eastAsia="Times New Roman" w:hint="default"/>
        </w:rPr>
        <w:t>3</w:t>
      </w:r>
      <w:r>
        <w:rPr/>
        <w:t>）公司实物销售收入是否大于劳务收入</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3"/>
        <w:rPr>
          <w:rFonts w:ascii="宋体" w:hAnsi="宋体" w:cs="宋体" w:eastAsia="宋体" w:hint="default"/>
          <w:sz w:val="25"/>
          <w:szCs w:val="25"/>
        </w:rPr>
      </w:pPr>
    </w:p>
    <w:p>
      <w:pPr>
        <w:pStyle w:val="Heading3"/>
        <w:spacing w:line="240" w:lineRule="auto"/>
        <w:ind w:right="0"/>
        <w:jc w:val="left"/>
        <w:rPr>
          <w:b w:val="0"/>
          <w:bCs w:val="0"/>
        </w:rPr>
      </w:pPr>
      <w:bookmarkStart w:name="（4）公司已签订的重大销售合同截至本报告期的履行情况" w:id="31"/>
      <w:bookmarkEnd w:id="31"/>
      <w:r>
        <w:rPr>
          <w:b w:val="0"/>
          <w:bCs w:val="0"/>
        </w:rPr>
      </w:r>
      <w:r>
        <w:rPr/>
        <w:t>（</w:t>
      </w:r>
      <w:r>
        <w:rPr>
          <w:rFonts w:ascii="Times New Roman" w:hAnsi="Times New Roman" w:cs="Times New Roman" w:eastAsia="Times New Roman" w:hint="default"/>
        </w:rPr>
        <w:t>4</w:t>
      </w:r>
      <w:r>
        <w:rPr/>
        <w:t>）公司已签订的重大销售合同截至本报告期的履行情况</w:t>
      </w:r>
      <w:r>
        <w:rPr>
          <w:b w:val="0"/>
          <w:bCs w:val="0"/>
        </w:rPr>
      </w:r>
    </w:p>
    <w:p>
      <w:pPr>
        <w:spacing w:line="240" w:lineRule="auto" w:before="1"/>
        <w:rPr>
          <w:rFonts w:ascii="宋体" w:hAnsi="宋体" w:cs="宋体" w:eastAsia="宋体" w:hint="default"/>
          <w:b/>
          <w:bCs/>
          <w:sz w:val="27"/>
          <w:szCs w:val="27"/>
        </w:rPr>
      </w:pPr>
    </w:p>
    <w:p>
      <w:pPr>
        <w:pStyle w:val="BodyText"/>
        <w:spacing w:line="415" w:lineRule="auto"/>
        <w:ind w:left="513" w:right="1116" w:hanging="36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不适用</w:t>
      </w:r>
      <w:r>
        <w:rPr>
          <w:w w:val="101"/>
        </w:rPr>
        <w:t> </w:t>
      </w:r>
      <w:r>
        <w:rPr>
          <w:spacing w:val="-6"/>
        </w:rPr>
        <w:t>报告期内，公司中标中国工商银行行政印章用印机设备项目。截至报告期末，该项目已实施的合同总金额为  </w:t>
      </w:r>
      <w:r>
        <w:rPr>
          <w:rFonts w:ascii="Times New Roman" w:hAnsi="Times New Roman" w:cs="Times New Roman" w:eastAsia="Times New Roman" w:hint="default"/>
        </w:rPr>
        <w:t>6.64</w:t>
      </w:r>
      <w:r>
        <w:rPr>
          <w:rFonts w:ascii="Times New Roman" w:hAnsi="Times New Roman" w:cs="Times New Roman" w:eastAsia="Times New Roman" w:hint="default"/>
          <w:spacing w:val="34"/>
        </w:rPr>
        <w:t> </w:t>
      </w:r>
      <w:r>
        <w:rPr/>
        <w:t>万元。</w:t>
      </w:r>
    </w:p>
    <w:p>
      <w:pPr>
        <w:pStyle w:val="BodyText"/>
        <w:spacing w:line="240" w:lineRule="auto" w:before="71"/>
        <w:ind w:left="513" w:right="0"/>
        <w:jc w:val="left"/>
      </w:pPr>
      <w:r>
        <w:rPr>
          <w:spacing w:val="-3"/>
        </w:rPr>
        <w:t>报告期内，公司中标中国建设银行印控机采购项目。截至报告期末，该项目已实施的合同总金额为 </w:t>
      </w:r>
      <w:r>
        <w:rPr>
          <w:rFonts w:ascii="Times New Roman" w:hAnsi="Times New Roman" w:cs="Times New Roman" w:eastAsia="Times New Roman" w:hint="default"/>
        </w:rPr>
        <w:t>504.49 </w:t>
      </w:r>
      <w:r>
        <w:rPr>
          <w:rFonts w:ascii="Times New Roman" w:hAnsi="Times New Roman" w:cs="Times New Roman" w:eastAsia="Times New Roman" w:hint="default"/>
          <w:spacing w:val="37"/>
        </w:rPr>
        <w:t> </w:t>
      </w:r>
      <w:r>
        <w:rPr/>
        <w:t>万元。</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3"/>
          <w:szCs w:val="13"/>
        </w:rPr>
      </w:pPr>
    </w:p>
    <w:p>
      <w:pPr>
        <w:pStyle w:val="Heading3"/>
        <w:spacing w:line="240" w:lineRule="auto"/>
        <w:ind w:right="0"/>
        <w:jc w:val="left"/>
        <w:rPr>
          <w:b w:val="0"/>
          <w:bCs w:val="0"/>
        </w:rPr>
      </w:pPr>
      <w:bookmarkStart w:name="（5）营业成本构成" w:id="32"/>
      <w:bookmarkEnd w:id="32"/>
      <w:r>
        <w:rPr>
          <w:b w:val="0"/>
          <w:bCs w:val="0"/>
        </w:rPr>
      </w:r>
      <w:r>
        <w:rPr/>
        <w:t>（</w:t>
      </w:r>
      <w:r>
        <w:rPr>
          <w:rFonts w:ascii="Times New Roman" w:hAnsi="Times New Roman" w:cs="Times New Roman" w:eastAsia="Times New Roman" w:hint="default"/>
        </w:rPr>
        <w:t>5</w:t>
      </w:r>
      <w:r>
        <w:rPr/>
        <w:t>）营业成本构成</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right="0"/>
        <w:jc w:val="left"/>
      </w:pPr>
      <w:r>
        <w:rPr/>
        <w:t>产品分类</w:t>
      </w:r>
    </w:p>
    <w:p>
      <w:pPr>
        <w:pStyle w:val="BodyText"/>
        <w:spacing w:line="240" w:lineRule="auto" w:before="115"/>
        <w:ind w:left="0" w:right="1122"/>
        <w:jc w:val="right"/>
      </w:pPr>
      <w:r>
        <w:rPr>
          <w:spacing w:val="-2"/>
        </w:rPr>
        <w:t>单位：元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369"/>
        <w:gridCol w:w="1368"/>
        <w:gridCol w:w="1369"/>
        <w:gridCol w:w="1368"/>
        <w:gridCol w:w="1364"/>
        <w:gridCol w:w="1369"/>
        <w:gridCol w:w="1369"/>
      </w:tblGrid>
      <w:tr>
        <w:trPr>
          <w:trHeight w:val="399" w:hRule="exact"/>
        </w:trPr>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产品分类</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3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273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9"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3" w:hRule="exact"/>
        </w:trPr>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46"/>
              <w:jc w:val="right"/>
              <w:rPr>
                <w:rFonts w:ascii="宋体" w:hAnsi="宋体" w:cs="宋体" w:eastAsia="宋体" w:hint="default"/>
                <w:sz w:val="18"/>
                <w:szCs w:val="18"/>
              </w:rPr>
            </w:pPr>
            <w:r>
              <w:rPr>
                <w:rFonts w:ascii="宋体" w:hAnsi="宋体" w:cs="宋体" w:eastAsia="宋体" w:hint="default"/>
                <w:spacing w:val="-3"/>
                <w:sz w:val="18"/>
                <w:szCs w:val="18"/>
              </w:rPr>
              <w:t>占营业成本比重</w:t>
            </w:r>
          </w:p>
        </w:tc>
        <w:tc>
          <w:tcPr>
            <w:tcW w:w="1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46"/>
              <w:jc w:val="right"/>
              <w:rPr>
                <w:rFonts w:ascii="宋体" w:hAnsi="宋体" w:cs="宋体" w:eastAsia="宋体" w:hint="default"/>
                <w:sz w:val="18"/>
                <w:szCs w:val="18"/>
              </w:rPr>
            </w:pPr>
            <w:r>
              <w:rPr>
                <w:rFonts w:ascii="宋体" w:hAnsi="宋体" w:cs="宋体" w:eastAsia="宋体" w:hint="default"/>
                <w:spacing w:val="-3"/>
                <w:sz w:val="18"/>
                <w:szCs w:val="18"/>
              </w:rPr>
              <w:t>占营业成本比重</w:t>
            </w:r>
          </w:p>
        </w:tc>
        <w:tc>
          <w:tcPr>
            <w:tcW w:w="1369"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金融软件</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产品成本</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3,398,229.73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0.42%</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6,145,733.03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0.70%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-44.71%</w:t>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金融软件</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人工费</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49,400,841.73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6.10%</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2"/>
                <w:sz w:val="18"/>
              </w:rPr>
              <w:t>21,411,749.02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2.42%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2"/>
                <w:sz w:val="18"/>
              </w:rPr>
              <w:t>130.72%</w:t>
            </w:r>
          </w:p>
        </w:tc>
      </w:tr>
      <w:tr>
        <w:trPr>
          <w:trHeight w:val="399"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金融专用设备</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产品成本</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46,545,807.60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5.75%</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159,220,091.23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18.01%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-70.77%</w:t>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金融专用设备</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人工费</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3,774,322.97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0.47%</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2,549,229.03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0.29%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48.06%</w:t>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短彩信通讯服务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运营商成本</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442,220,705.17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54.64%</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421,202,625.88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47.65%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4.99%</w:t>
            </w:r>
          </w:p>
        </w:tc>
      </w:tr>
      <w:tr>
        <w:trPr>
          <w:trHeight w:val="715"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70"/>
              <w:jc w:val="left"/>
              <w:rPr>
                <w:rFonts w:ascii="宋体" w:hAnsi="宋体" w:cs="宋体" w:eastAsia="宋体" w:hint="default"/>
                <w:sz w:val="18"/>
                <w:szCs w:val="18"/>
              </w:rPr>
            </w:pPr>
            <w:r>
              <w:rPr>
                <w:rFonts w:ascii="宋体" w:hAnsi="宋体" w:cs="宋体" w:eastAsia="宋体" w:hint="default"/>
                <w:spacing w:val="-3"/>
                <w:sz w:val="18"/>
                <w:szCs w:val="18"/>
              </w:rPr>
              <w:t>移动互联网应用</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服务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人工费</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28,620,294.30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3.54%</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18,959,530.12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50.95%</w:t>
            </w:r>
          </w:p>
        </w:tc>
      </w:tr>
      <w:tr>
        <w:trPr>
          <w:trHeight w:val="399"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电子商务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商品成本</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235,446,738.48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29.09%</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253,527,629.47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28.68%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2"/>
                <w:sz w:val="18"/>
              </w:rPr>
              <w:t>-7.13%</w:t>
            </w:r>
          </w:p>
        </w:tc>
      </w:tr>
    </w:tbl>
    <w:p>
      <w:pPr>
        <w:spacing w:after="0" w:line="240" w:lineRule="auto"/>
        <w:jc w:val="right"/>
        <w:rPr>
          <w:rFonts w:ascii="Times New Roman" w:hAnsi="Times New Roman" w:cs="Times New Roman" w:eastAsia="Times New Roman" w:hint="default"/>
          <w:sz w:val="18"/>
          <w:szCs w:val="18"/>
        </w:rPr>
        <w:sectPr>
          <w:pgSz w:w="11910" w:h="16840"/>
          <w:pgMar w:header="871" w:footer="1186" w:top="1100" w:bottom="1380" w:left="980" w:right="0"/>
        </w:sectPr>
      </w:pPr>
    </w:p>
    <w:p>
      <w:pPr>
        <w:spacing w:line="240" w:lineRule="auto" w:before="0"/>
        <w:rPr>
          <w:rFonts w:ascii="宋体" w:hAnsi="宋体" w:cs="宋体" w:eastAsia="宋体" w:hint="default"/>
          <w:sz w:val="21"/>
          <w:szCs w:val="21"/>
        </w:rPr>
      </w:pPr>
    </w:p>
    <w:p>
      <w:pPr>
        <w:pStyle w:val="Heading3"/>
        <w:spacing w:line="240" w:lineRule="auto" w:before="36"/>
        <w:ind w:right="0"/>
        <w:jc w:val="left"/>
        <w:rPr>
          <w:b w:val="0"/>
          <w:bCs w:val="0"/>
        </w:rPr>
      </w:pPr>
      <w:bookmarkStart w:name="（6）报告期内合并范围是否发生变动" w:id="33"/>
      <w:bookmarkEnd w:id="33"/>
      <w:r>
        <w:rPr>
          <w:b w:val="0"/>
          <w:bCs w:val="0"/>
        </w:rPr>
      </w:r>
      <w:r>
        <w:rPr/>
        <w:t>（</w:t>
      </w:r>
      <w:r>
        <w:rPr>
          <w:rFonts w:ascii="Times New Roman" w:hAnsi="Times New Roman" w:cs="Times New Roman" w:eastAsia="Times New Roman" w:hint="default"/>
        </w:rPr>
        <w:t>6</w:t>
      </w:r>
      <w:r>
        <w:rPr/>
        <w:t>）报告期内合并范围是否发生变动</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w:t>
      </w:r>
    </w:p>
    <w:p>
      <w:pPr>
        <w:spacing w:line="240" w:lineRule="auto" w:before="9"/>
        <w:rPr>
          <w:rFonts w:ascii="宋体" w:hAnsi="宋体" w:cs="宋体" w:eastAsia="宋体" w:hint="default"/>
          <w:sz w:val="13"/>
          <w:szCs w:val="13"/>
        </w:rPr>
      </w:pPr>
    </w:p>
    <w:p>
      <w:pPr>
        <w:pStyle w:val="BodyText"/>
        <w:spacing w:line="453" w:lineRule="auto"/>
        <w:ind w:right="0" w:firstLine="360"/>
        <w:jc w:val="left"/>
      </w:pPr>
      <w:r>
        <w:rPr>
          <w:spacing w:val="-5"/>
        </w:rPr>
        <w:t>报告期内，本公司以自有资金 </w:t>
      </w:r>
      <w:r>
        <w:rPr>
          <w:rFonts w:ascii="Times New Roman" w:hAnsi="Times New Roman" w:cs="Times New Roman" w:eastAsia="Times New Roman" w:hint="default"/>
        </w:rPr>
        <w:t>550 </w:t>
      </w:r>
      <w:r>
        <w:rPr>
          <w:spacing w:val="-4"/>
        </w:rPr>
        <w:t>万元增资杰智融，增资完成后公司持有杰智融</w:t>
      </w:r>
      <w:r>
        <w:rPr>
          <w:spacing w:val="-15"/>
        </w:rPr>
        <w:t> </w:t>
      </w:r>
      <w:r>
        <w:rPr>
          <w:rFonts w:ascii="Times New Roman" w:hAnsi="Times New Roman" w:cs="Times New Roman" w:eastAsia="Times New Roman" w:hint="default"/>
          <w:spacing w:val="-5"/>
        </w:rPr>
        <w:t>55%</w:t>
      </w:r>
      <w:r>
        <w:rPr>
          <w:spacing w:val="-5"/>
        </w:rPr>
        <w:t>的股权，杰智融成为公司的控股子</w:t>
      </w:r>
      <w:r>
        <w:rPr>
          <w:w w:val="101"/>
        </w:rPr>
        <w:t> </w:t>
      </w:r>
      <w:r>
        <w:rPr>
          <w:spacing w:val="-3"/>
        </w:rPr>
        <w:t>公司，因此本报告期内合并报表范围增加 </w:t>
      </w:r>
      <w:r>
        <w:rPr>
          <w:rFonts w:ascii="Times New Roman" w:hAnsi="Times New Roman" w:cs="Times New Roman" w:eastAsia="Times New Roman" w:hint="default"/>
        </w:rPr>
        <w:t>1</w:t>
      </w:r>
      <w:r>
        <w:rPr>
          <w:rFonts w:ascii="Times New Roman" w:hAnsi="Times New Roman" w:cs="Times New Roman" w:eastAsia="Times New Roman" w:hint="default"/>
          <w:spacing w:val="8"/>
        </w:rPr>
        <w:t> </w:t>
      </w:r>
      <w:r>
        <w:rPr/>
        <w:t>户。</w:t>
      </w:r>
    </w:p>
    <w:p>
      <w:pPr>
        <w:spacing w:line="240" w:lineRule="auto" w:before="12"/>
        <w:rPr>
          <w:rFonts w:ascii="宋体" w:hAnsi="宋体" w:cs="宋体" w:eastAsia="宋体" w:hint="default"/>
          <w:sz w:val="17"/>
          <w:szCs w:val="17"/>
        </w:rPr>
      </w:pPr>
    </w:p>
    <w:p>
      <w:pPr>
        <w:pStyle w:val="Heading3"/>
        <w:spacing w:line="240" w:lineRule="auto"/>
        <w:ind w:right="0"/>
        <w:jc w:val="left"/>
        <w:rPr>
          <w:b w:val="0"/>
          <w:bCs w:val="0"/>
        </w:rPr>
      </w:pPr>
      <w:bookmarkStart w:name="（7）公司报告期内业务、产品或服务发生重大变化或调整有关情况" w:id="34"/>
      <w:bookmarkEnd w:id="34"/>
      <w:r>
        <w:rPr>
          <w:b w:val="0"/>
          <w:bCs w:val="0"/>
        </w:rPr>
      </w:r>
      <w:r>
        <w:rPr/>
        <w:t>（</w:t>
      </w:r>
      <w:r>
        <w:rPr>
          <w:rFonts w:ascii="Times New Roman" w:hAnsi="Times New Roman" w:cs="Times New Roman" w:eastAsia="Times New Roman" w:hint="default"/>
        </w:rPr>
        <w:t>7</w:t>
      </w:r>
      <w:r>
        <w:rPr/>
        <w:t>）公司报告期内业务、产品或服务发生重大变化或调整有关情况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8"/>
        <w:rPr>
          <w:rFonts w:ascii="宋体" w:hAnsi="宋体" w:cs="宋体" w:eastAsia="宋体" w:hint="default"/>
          <w:sz w:val="25"/>
          <w:szCs w:val="25"/>
        </w:rPr>
      </w:pPr>
    </w:p>
    <w:p>
      <w:pPr>
        <w:pStyle w:val="Heading3"/>
        <w:spacing w:line="240" w:lineRule="auto"/>
        <w:ind w:right="0"/>
        <w:jc w:val="left"/>
        <w:rPr>
          <w:b w:val="0"/>
          <w:bCs w:val="0"/>
        </w:rPr>
      </w:pPr>
      <w:bookmarkStart w:name="（8）主要销售客户和主要供应商情况" w:id="35"/>
      <w:bookmarkEnd w:id="35"/>
      <w:r>
        <w:rPr>
          <w:b w:val="0"/>
          <w:bCs w:val="0"/>
        </w:rPr>
      </w:r>
      <w:r>
        <w:rPr/>
        <w:t>（</w:t>
      </w:r>
      <w:r>
        <w:rPr>
          <w:rFonts w:ascii="Times New Roman" w:hAnsi="Times New Roman" w:cs="Times New Roman" w:eastAsia="Times New Roman" w:hint="default"/>
        </w:rPr>
        <w:t>8</w:t>
      </w:r>
      <w:r>
        <w:rPr/>
        <w:t>）主要销售客户和主要供应商情况</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right="0"/>
        <w:jc w:val="left"/>
      </w:pPr>
      <w:r>
        <w:rPr/>
        <w:t>公司主要销售客户情况</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4247"/>
        <w:gridCol w:w="5323"/>
      </w:tblGrid>
      <w:tr>
        <w:trPr>
          <w:trHeight w:val="404" w:hRule="exact"/>
        </w:trPr>
        <w:tc>
          <w:tcPr>
            <w:tcW w:w="42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pacing w:val="-3"/>
                <w:sz w:val="18"/>
                <w:szCs w:val="18"/>
              </w:rPr>
              <w:t>前五名客户合计销售金额（元）</w:t>
            </w:r>
          </w:p>
        </w:tc>
        <w:tc>
          <w:tcPr>
            <w:tcW w:w="53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177,884,253.93</w:t>
            </w:r>
          </w:p>
        </w:tc>
      </w:tr>
      <w:tr>
        <w:trPr>
          <w:trHeight w:val="401" w:hRule="exact"/>
        </w:trPr>
        <w:tc>
          <w:tcPr>
            <w:tcW w:w="42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前五名客户合计销售金额占年度销售总额比例</w:t>
            </w:r>
          </w:p>
        </w:tc>
        <w:tc>
          <w:tcPr>
            <w:tcW w:w="53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14.22%</w:t>
            </w:r>
          </w:p>
        </w:tc>
      </w:tr>
      <w:tr>
        <w:trPr>
          <w:trHeight w:val="713" w:hRule="exact"/>
        </w:trPr>
        <w:tc>
          <w:tcPr>
            <w:tcW w:w="42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6"/>
              <w:ind w:left="24" w:right="68"/>
              <w:jc w:val="left"/>
              <w:rPr>
                <w:rFonts w:ascii="宋体" w:hAnsi="宋体" w:cs="宋体" w:eastAsia="宋体" w:hint="default"/>
                <w:sz w:val="18"/>
                <w:szCs w:val="18"/>
              </w:rPr>
            </w:pPr>
            <w:r>
              <w:rPr>
                <w:rFonts w:ascii="宋体" w:hAnsi="宋体" w:cs="宋体" w:eastAsia="宋体" w:hint="default"/>
                <w:spacing w:val="-3"/>
                <w:sz w:val="18"/>
                <w:szCs w:val="18"/>
              </w:rPr>
              <w:t>前五名客户销售额中关联方销售额占年度销售总额比</w:t>
            </w:r>
            <w:r>
              <w:rPr>
                <w:rFonts w:ascii="宋体" w:hAnsi="宋体" w:cs="宋体" w:eastAsia="宋体" w:hint="default"/>
                <w:spacing w:val="-21"/>
                <w:sz w:val="18"/>
                <w:szCs w:val="18"/>
              </w:rPr>
              <w:t> </w:t>
            </w:r>
            <w:r>
              <w:rPr>
                <w:rFonts w:ascii="宋体" w:hAnsi="宋体" w:cs="宋体" w:eastAsia="宋体" w:hint="default"/>
                <w:spacing w:val="-21"/>
                <w:sz w:val="18"/>
                <w:szCs w:val="18"/>
              </w:rPr>
            </w:r>
            <w:r>
              <w:rPr>
                <w:rFonts w:ascii="宋体" w:hAnsi="宋体" w:cs="宋体" w:eastAsia="宋体" w:hint="default"/>
                <w:sz w:val="18"/>
                <w:szCs w:val="18"/>
              </w:rPr>
              <w:t>例</w:t>
            </w:r>
          </w:p>
        </w:tc>
        <w:tc>
          <w:tcPr>
            <w:tcW w:w="53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0.00%</w:t>
            </w:r>
          </w:p>
        </w:tc>
      </w:tr>
    </w:tbl>
    <w:p>
      <w:pPr>
        <w:pStyle w:val="BodyText"/>
        <w:spacing w:line="240" w:lineRule="auto" w:before="54"/>
        <w:ind w:right="0"/>
        <w:jc w:val="left"/>
      </w:pPr>
      <w:r>
        <w:rPr/>
        <w:t>公司前</w:t>
      </w:r>
      <w:r>
        <w:rPr>
          <w:spacing w:val="-42"/>
        </w:rPr>
        <w:t> </w:t>
      </w:r>
      <w:r>
        <w:rPr>
          <w:rFonts w:ascii="Times New Roman" w:hAnsi="Times New Roman" w:cs="Times New Roman" w:eastAsia="Times New Roman" w:hint="default"/>
        </w:rPr>
        <w:t>5</w:t>
      </w:r>
      <w:r>
        <w:rPr>
          <w:rFonts w:ascii="Times New Roman" w:hAnsi="Times New Roman" w:cs="Times New Roman" w:eastAsia="Times New Roman" w:hint="default"/>
          <w:spacing w:val="-3"/>
        </w:rPr>
        <w:t> </w:t>
      </w:r>
      <w:r>
        <w:rPr/>
        <w:t>大客户资料</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778"/>
        <w:gridCol w:w="3315"/>
        <w:gridCol w:w="2324"/>
        <w:gridCol w:w="3140"/>
      </w:tblGrid>
      <w:tr>
        <w:trPr>
          <w:trHeight w:val="403" w:hRule="exact"/>
        </w:trPr>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03"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3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6"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14"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58" w:right="0"/>
              <w:jc w:val="left"/>
              <w:rPr>
                <w:rFonts w:ascii="宋体" w:hAnsi="宋体" w:cs="宋体" w:eastAsia="宋体" w:hint="default"/>
                <w:sz w:val="18"/>
                <w:szCs w:val="18"/>
              </w:rPr>
            </w:pPr>
            <w:r>
              <w:rPr>
                <w:rFonts w:ascii="宋体" w:hAnsi="宋体" w:cs="宋体" w:eastAsia="宋体" w:hint="default"/>
                <w:spacing w:val="-3"/>
                <w:sz w:val="18"/>
                <w:szCs w:val="18"/>
              </w:rPr>
              <w:t>占年度销售总额比例</w:t>
            </w:r>
          </w:p>
        </w:tc>
      </w:tr>
      <w:tr>
        <w:trPr>
          <w:trHeight w:val="398" w:hRule="exact"/>
        </w:trPr>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11" w:right="0"/>
              <w:jc w:val="lef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tc>
        <w:tc>
          <w:tcPr>
            <w:tcW w:w="331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63,461,803.56</w:t>
            </w:r>
          </w:p>
        </w:tc>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5.07%</w:t>
            </w:r>
          </w:p>
        </w:tc>
      </w:tr>
      <w:tr>
        <w:trPr>
          <w:trHeight w:val="403" w:hRule="exact"/>
        </w:trPr>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0"/>
              <w:ind w:left="11" w:right="0"/>
              <w:jc w:val="lef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tc>
        <w:tc>
          <w:tcPr>
            <w:tcW w:w="331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32,022,443.29</w:t>
            </w:r>
          </w:p>
        </w:tc>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4"/>
              <w:jc w:val="right"/>
              <w:rPr>
                <w:rFonts w:ascii="Times New Roman" w:hAnsi="Times New Roman" w:cs="Times New Roman" w:eastAsia="Times New Roman" w:hint="default"/>
                <w:sz w:val="18"/>
                <w:szCs w:val="18"/>
              </w:rPr>
            </w:pPr>
            <w:r>
              <w:rPr>
                <w:rFonts w:ascii="Times New Roman"/>
                <w:spacing w:val="-1"/>
                <w:sz w:val="18"/>
              </w:rPr>
              <w:t>2.56%</w:t>
            </w:r>
          </w:p>
        </w:tc>
      </w:tr>
      <w:tr>
        <w:trPr>
          <w:trHeight w:val="404" w:hRule="exact"/>
        </w:trPr>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11" w:right="0"/>
              <w:jc w:val="lef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tc>
        <w:tc>
          <w:tcPr>
            <w:tcW w:w="331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28,645,279.60</w:t>
            </w:r>
          </w:p>
        </w:tc>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2.29%</w:t>
            </w:r>
          </w:p>
        </w:tc>
      </w:tr>
      <w:tr>
        <w:trPr>
          <w:trHeight w:val="403" w:hRule="exact"/>
        </w:trPr>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11" w:right="0"/>
              <w:jc w:val="lef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tc>
        <w:tc>
          <w:tcPr>
            <w:tcW w:w="331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28,624,724.68</w:t>
            </w:r>
          </w:p>
        </w:tc>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2.29%</w:t>
            </w:r>
          </w:p>
        </w:tc>
      </w:tr>
      <w:tr>
        <w:trPr>
          <w:trHeight w:val="398" w:hRule="exact"/>
        </w:trPr>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11" w:right="0"/>
              <w:jc w:val="lef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tc>
        <w:tc>
          <w:tcPr>
            <w:tcW w:w="331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25,130,002.80</w:t>
            </w:r>
          </w:p>
        </w:tc>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2.01%</w:t>
            </w:r>
          </w:p>
        </w:tc>
      </w:tr>
      <w:tr>
        <w:trPr>
          <w:trHeight w:val="403" w:hRule="exact"/>
        </w:trPr>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3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0"/>
              <w:ind w:left="2"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232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177,884,253.93</w:t>
            </w:r>
          </w:p>
        </w:tc>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4"/>
              <w:jc w:val="right"/>
              <w:rPr>
                <w:rFonts w:ascii="Times New Roman" w:hAnsi="Times New Roman" w:cs="Times New Roman" w:eastAsia="Times New Roman" w:hint="default"/>
                <w:sz w:val="18"/>
                <w:szCs w:val="18"/>
              </w:rPr>
            </w:pPr>
            <w:r>
              <w:rPr>
                <w:rFonts w:ascii="Times New Roman"/>
                <w:spacing w:val="-1"/>
                <w:sz w:val="18"/>
              </w:rPr>
              <w:t>14.22%</w:t>
            </w:r>
          </w:p>
        </w:tc>
      </w:tr>
    </w:tbl>
    <w:p>
      <w:pPr>
        <w:pStyle w:val="BodyText"/>
        <w:spacing w:line="240" w:lineRule="auto" w:before="53"/>
        <w:ind w:right="0"/>
        <w:jc w:val="left"/>
      </w:pPr>
      <w:r>
        <w:rPr/>
        <w:t>主要客户其他情况说明</w:t>
      </w:r>
    </w:p>
    <w:p>
      <w:pPr>
        <w:pStyle w:val="BodyText"/>
        <w:spacing w:line="240" w:lineRule="auto" w:before="120"/>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8"/>
        <w:rPr>
          <w:rFonts w:ascii="宋体" w:hAnsi="宋体" w:cs="宋体" w:eastAsia="宋体" w:hint="default"/>
          <w:sz w:val="13"/>
          <w:szCs w:val="13"/>
        </w:rPr>
      </w:pPr>
    </w:p>
    <w:p>
      <w:pPr>
        <w:pStyle w:val="BodyText"/>
        <w:spacing w:line="453" w:lineRule="auto"/>
        <w:ind w:right="0" w:firstLine="360"/>
        <w:jc w:val="left"/>
      </w:pPr>
      <w:r>
        <w:rPr/>
        <w:t>公司前 </w:t>
      </w:r>
      <w:r>
        <w:rPr>
          <w:rFonts w:ascii="Times New Roman" w:hAnsi="Times New Roman" w:cs="Times New Roman" w:eastAsia="Times New Roman" w:hint="default"/>
        </w:rPr>
        <w:t>5 </w:t>
      </w:r>
      <w:r>
        <w:rPr>
          <w:spacing w:val="-3"/>
        </w:rPr>
        <w:t>大客户与公司不存在关联关系，公司董事、监事、高级管理人员、核心技术人员、持股</w:t>
      </w:r>
      <w:r>
        <w:rPr>
          <w:spacing w:val="-16"/>
        </w:rPr>
        <w:t> </w:t>
      </w:r>
      <w:r>
        <w:rPr>
          <w:rFonts w:ascii="Times New Roman" w:hAnsi="Times New Roman" w:cs="Times New Roman" w:eastAsia="Times New Roman" w:hint="default"/>
          <w:spacing w:val="-3"/>
        </w:rPr>
        <w:t>5%</w:t>
      </w:r>
      <w:r>
        <w:rPr>
          <w:spacing w:val="-3"/>
        </w:rPr>
        <w:t>以上股东、实际控</w:t>
      </w:r>
      <w:r>
        <w:rPr>
          <w:w w:val="101"/>
        </w:rPr>
        <w:t> </w:t>
      </w:r>
      <w:r>
        <w:rPr>
          <w:spacing w:val="-3"/>
        </w:rPr>
        <w:t>制人和其他关联方在主要客户中未直接或间接拥有权益。</w:t>
      </w:r>
    </w:p>
    <w:p>
      <w:pPr>
        <w:pStyle w:val="BodyText"/>
        <w:spacing w:line="240" w:lineRule="auto" w:before="31"/>
        <w:ind w:right="0"/>
        <w:jc w:val="left"/>
      </w:pPr>
      <w:r>
        <w:rPr>
          <w:spacing w:val="-3"/>
        </w:rPr>
        <w:t>公司主要供应商情况</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4247"/>
        <w:gridCol w:w="5323"/>
      </w:tblGrid>
      <w:tr>
        <w:trPr>
          <w:trHeight w:val="403" w:hRule="exact"/>
        </w:trPr>
        <w:tc>
          <w:tcPr>
            <w:tcW w:w="42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前五名供应商合计采购金额（元）</w:t>
            </w:r>
          </w:p>
        </w:tc>
        <w:tc>
          <w:tcPr>
            <w:tcW w:w="53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433,209,626.16</w:t>
            </w:r>
          </w:p>
        </w:tc>
      </w:tr>
      <w:tr>
        <w:trPr>
          <w:trHeight w:val="401" w:hRule="exact"/>
        </w:trPr>
        <w:tc>
          <w:tcPr>
            <w:tcW w:w="42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前五名供应商合计采购金额占年度采购总额比例</w:t>
            </w:r>
          </w:p>
        </w:tc>
        <w:tc>
          <w:tcPr>
            <w:tcW w:w="53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48.24%</w:t>
            </w:r>
          </w:p>
        </w:tc>
      </w:tr>
      <w:tr>
        <w:trPr>
          <w:trHeight w:val="713" w:hRule="exact"/>
        </w:trPr>
        <w:tc>
          <w:tcPr>
            <w:tcW w:w="42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6"/>
              <w:ind w:left="24" w:right="68"/>
              <w:jc w:val="left"/>
              <w:rPr>
                <w:rFonts w:ascii="宋体" w:hAnsi="宋体" w:cs="宋体" w:eastAsia="宋体" w:hint="default"/>
                <w:sz w:val="18"/>
                <w:szCs w:val="18"/>
              </w:rPr>
            </w:pPr>
            <w:r>
              <w:rPr>
                <w:rFonts w:ascii="宋体" w:hAnsi="宋体" w:cs="宋体" w:eastAsia="宋体" w:hint="default"/>
                <w:spacing w:val="-3"/>
                <w:sz w:val="18"/>
                <w:szCs w:val="18"/>
              </w:rPr>
              <w:t>前五名供应商采购额中关联方采购额占年度采购总额</w:t>
            </w:r>
            <w:r>
              <w:rPr>
                <w:rFonts w:ascii="宋体" w:hAnsi="宋体" w:cs="宋体" w:eastAsia="宋体" w:hint="default"/>
                <w:spacing w:val="-21"/>
                <w:sz w:val="18"/>
                <w:szCs w:val="18"/>
              </w:rPr>
              <w:t> </w:t>
            </w:r>
            <w:r>
              <w:rPr>
                <w:rFonts w:ascii="宋体" w:hAnsi="宋体" w:cs="宋体" w:eastAsia="宋体" w:hint="default"/>
                <w:spacing w:val="-21"/>
                <w:sz w:val="18"/>
                <w:szCs w:val="18"/>
              </w:rPr>
            </w:r>
            <w:r>
              <w:rPr>
                <w:rFonts w:ascii="宋体" w:hAnsi="宋体" w:cs="宋体" w:eastAsia="宋体" w:hint="default"/>
                <w:sz w:val="18"/>
                <w:szCs w:val="18"/>
              </w:rPr>
              <w:t>比例</w:t>
            </w:r>
          </w:p>
        </w:tc>
        <w:tc>
          <w:tcPr>
            <w:tcW w:w="53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0.00%</w:t>
            </w:r>
          </w:p>
        </w:tc>
      </w:tr>
    </w:tbl>
    <w:p>
      <w:pPr>
        <w:pStyle w:val="BodyText"/>
        <w:spacing w:line="240" w:lineRule="auto" w:before="54"/>
        <w:ind w:right="0"/>
        <w:jc w:val="left"/>
      </w:pPr>
      <w:r>
        <w:rPr/>
        <w:t>公司前</w:t>
      </w:r>
      <w:r>
        <w:rPr>
          <w:spacing w:val="-41"/>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名供应商资料</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913"/>
        <w:gridCol w:w="3181"/>
        <w:gridCol w:w="2324"/>
        <w:gridCol w:w="3140"/>
      </w:tblGrid>
      <w:tr>
        <w:trPr>
          <w:trHeight w:val="403" w:hRule="exact"/>
        </w:trPr>
        <w:tc>
          <w:tcPr>
            <w:tcW w:w="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71"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14"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58" w:right="0"/>
              <w:jc w:val="left"/>
              <w:rPr>
                <w:rFonts w:ascii="宋体" w:hAnsi="宋体" w:cs="宋体" w:eastAsia="宋体" w:hint="default"/>
                <w:sz w:val="18"/>
                <w:szCs w:val="18"/>
              </w:rPr>
            </w:pPr>
            <w:r>
              <w:rPr>
                <w:rFonts w:ascii="宋体" w:hAnsi="宋体" w:cs="宋体" w:eastAsia="宋体" w:hint="default"/>
                <w:spacing w:val="-3"/>
                <w:sz w:val="18"/>
                <w:szCs w:val="18"/>
              </w:rPr>
              <w:t>占年度采购总额比例</w:t>
            </w:r>
          </w:p>
        </w:tc>
      </w:tr>
      <w:tr>
        <w:trPr>
          <w:trHeight w:val="403" w:hRule="exact"/>
        </w:trPr>
        <w:tc>
          <w:tcPr>
            <w:tcW w:w="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11" w:right="0"/>
              <w:jc w:val="lef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166" w:right="0"/>
              <w:jc w:val="left"/>
              <w:rPr>
                <w:rFonts w:ascii="Times New Roman" w:hAnsi="Times New Roman" w:cs="Times New Roman" w:eastAsia="Times New Roman" w:hint="default"/>
                <w:sz w:val="18"/>
                <w:szCs w:val="18"/>
              </w:rPr>
            </w:pPr>
            <w:r>
              <w:rPr>
                <w:rFonts w:ascii="Times New Roman"/>
                <w:sz w:val="18"/>
              </w:rPr>
              <w:t>161,816,392.55</w:t>
            </w:r>
          </w:p>
        </w:tc>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18.02%</w:t>
            </w:r>
          </w:p>
        </w:tc>
      </w:tr>
    </w:tbl>
    <w:p>
      <w:pPr>
        <w:spacing w:after="0" w:line="240" w:lineRule="auto"/>
        <w:jc w:val="right"/>
        <w:rPr>
          <w:rFonts w:ascii="Times New Roman" w:hAnsi="Times New Roman" w:cs="Times New Roman" w:eastAsia="Times New Roman" w:hint="default"/>
          <w:sz w:val="18"/>
          <w:szCs w:val="18"/>
        </w:rPr>
        <w:sectPr>
          <w:pgSz w:w="11910" w:h="16840"/>
          <w:pgMar w:header="871" w:footer="1186" w:top="1100" w:bottom="1380" w:left="980" w:right="0"/>
        </w:sectPr>
      </w:pPr>
    </w:p>
    <w:p>
      <w:pPr>
        <w:spacing w:line="240" w:lineRule="auto" w:before="8"/>
        <w:rPr>
          <w:rFonts w:ascii="宋体" w:hAnsi="宋体" w:cs="宋体" w:eastAsia="宋体" w:hint="default"/>
          <w:sz w:val="24"/>
          <w:szCs w:val="24"/>
        </w:rPr>
      </w:pPr>
    </w:p>
    <w:tbl>
      <w:tblPr>
        <w:tblW w:w="0" w:type="auto"/>
        <w:jc w:val="left"/>
        <w:tblInd w:w="160" w:type="dxa"/>
        <w:tblLayout w:type="fixed"/>
        <w:tblCellMar>
          <w:top w:w="0" w:type="dxa"/>
          <w:left w:w="0" w:type="dxa"/>
          <w:bottom w:w="0" w:type="dxa"/>
          <w:right w:w="0" w:type="dxa"/>
        </w:tblCellMar>
        <w:tblLook w:val="01E0"/>
      </w:tblPr>
      <w:tblGrid>
        <w:gridCol w:w="913"/>
        <w:gridCol w:w="3181"/>
        <w:gridCol w:w="2324"/>
        <w:gridCol w:w="3140"/>
      </w:tblGrid>
      <w:tr>
        <w:trPr>
          <w:trHeight w:val="403" w:hRule="exact"/>
        </w:trPr>
        <w:tc>
          <w:tcPr>
            <w:tcW w:w="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11" w:right="0"/>
              <w:jc w:val="lef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90,000,068.41</w:t>
            </w:r>
          </w:p>
        </w:tc>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10.02%</w:t>
            </w:r>
          </w:p>
        </w:tc>
      </w:tr>
      <w:tr>
        <w:trPr>
          <w:trHeight w:val="398" w:hRule="exact"/>
        </w:trPr>
        <w:tc>
          <w:tcPr>
            <w:tcW w:w="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11" w:right="0"/>
              <w:jc w:val="lef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76,344,611.07</w:t>
            </w:r>
          </w:p>
        </w:tc>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8.50%</w:t>
            </w:r>
          </w:p>
        </w:tc>
      </w:tr>
      <w:tr>
        <w:trPr>
          <w:trHeight w:val="404" w:hRule="exact"/>
        </w:trPr>
        <w:tc>
          <w:tcPr>
            <w:tcW w:w="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0"/>
              <w:ind w:left="11" w:right="0"/>
              <w:jc w:val="lef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66,953,158.86</w:t>
            </w:r>
          </w:p>
        </w:tc>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4"/>
              <w:jc w:val="right"/>
              <w:rPr>
                <w:rFonts w:ascii="Times New Roman" w:hAnsi="Times New Roman" w:cs="Times New Roman" w:eastAsia="Times New Roman" w:hint="default"/>
                <w:sz w:val="18"/>
                <w:szCs w:val="18"/>
              </w:rPr>
            </w:pPr>
            <w:r>
              <w:rPr>
                <w:rFonts w:ascii="Times New Roman"/>
                <w:spacing w:val="-1"/>
                <w:sz w:val="18"/>
              </w:rPr>
              <w:t>7.46%</w:t>
            </w:r>
          </w:p>
        </w:tc>
      </w:tr>
      <w:tr>
        <w:trPr>
          <w:trHeight w:val="403" w:hRule="exact"/>
        </w:trPr>
        <w:tc>
          <w:tcPr>
            <w:tcW w:w="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11" w:right="0"/>
              <w:jc w:val="lef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38,095,395.27</w:t>
            </w:r>
          </w:p>
        </w:tc>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4.24%</w:t>
            </w:r>
          </w:p>
        </w:tc>
      </w:tr>
      <w:tr>
        <w:trPr>
          <w:trHeight w:val="403" w:hRule="exact"/>
        </w:trPr>
        <w:tc>
          <w:tcPr>
            <w:tcW w:w="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2"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232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433,209,626.16</w:t>
            </w:r>
          </w:p>
        </w:tc>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48.24%</w:t>
            </w:r>
          </w:p>
        </w:tc>
      </w:tr>
    </w:tbl>
    <w:p>
      <w:pPr>
        <w:pStyle w:val="BodyText"/>
        <w:spacing w:line="240" w:lineRule="auto" w:before="53"/>
        <w:ind w:right="0"/>
        <w:jc w:val="left"/>
      </w:pPr>
      <w:r>
        <w:rPr>
          <w:spacing w:val="-3"/>
        </w:rPr>
        <w:t>主要供应商其他情况说明</w:t>
      </w:r>
    </w:p>
    <w:p>
      <w:pPr>
        <w:pStyle w:val="BodyText"/>
        <w:spacing w:line="240" w:lineRule="auto" w:before="115"/>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0"/>
        <w:rPr>
          <w:rFonts w:ascii="宋体" w:hAnsi="宋体" w:cs="宋体" w:eastAsia="宋体" w:hint="default"/>
          <w:sz w:val="14"/>
          <w:szCs w:val="14"/>
        </w:rPr>
      </w:pPr>
    </w:p>
    <w:p>
      <w:pPr>
        <w:pStyle w:val="BodyText"/>
        <w:spacing w:line="448" w:lineRule="auto"/>
        <w:ind w:right="0" w:firstLine="360"/>
        <w:jc w:val="left"/>
      </w:pPr>
      <w:r>
        <w:rPr/>
        <w:t>公司前 </w:t>
      </w:r>
      <w:r>
        <w:rPr>
          <w:rFonts w:ascii="Times New Roman" w:hAnsi="Times New Roman" w:cs="Times New Roman" w:eastAsia="Times New Roman" w:hint="default"/>
        </w:rPr>
        <w:t>5 </w:t>
      </w:r>
      <w:r>
        <w:rPr>
          <w:spacing w:val="-3"/>
        </w:rPr>
        <w:t>名供应商与公司不存在关联关系，公司董事、监事、高级管理人员、核心技术人员、持股</w:t>
      </w:r>
      <w:r>
        <w:rPr>
          <w:spacing w:val="-21"/>
        </w:rPr>
        <w:t> </w:t>
      </w:r>
      <w:r>
        <w:rPr>
          <w:rFonts w:ascii="Times New Roman" w:hAnsi="Times New Roman" w:cs="Times New Roman" w:eastAsia="Times New Roman" w:hint="default"/>
          <w:spacing w:val="-3"/>
        </w:rPr>
        <w:t>5%</w:t>
      </w:r>
      <w:r>
        <w:rPr>
          <w:spacing w:val="-3"/>
        </w:rPr>
        <w:t>以上股东、实际</w:t>
      </w:r>
      <w:r>
        <w:rPr>
          <w:w w:val="101"/>
        </w:rPr>
        <w:t> </w:t>
      </w:r>
      <w:r>
        <w:rPr>
          <w:spacing w:val="-3"/>
        </w:rPr>
        <w:t>控制人和其他关联方在主要供应商中未直接或间接拥有权益。</w:t>
      </w:r>
    </w:p>
    <w:p>
      <w:pPr>
        <w:spacing w:line="240" w:lineRule="auto" w:before="12"/>
        <w:rPr>
          <w:rFonts w:ascii="宋体" w:hAnsi="宋体" w:cs="宋体" w:eastAsia="宋体" w:hint="default"/>
          <w:sz w:val="20"/>
          <w:szCs w:val="20"/>
        </w:rPr>
      </w:pPr>
    </w:p>
    <w:p>
      <w:pPr>
        <w:pStyle w:val="Heading3"/>
        <w:spacing w:line="240" w:lineRule="auto"/>
        <w:ind w:right="0"/>
        <w:jc w:val="left"/>
        <w:rPr>
          <w:b w:val="0"/>
          <w:bCs w:val="0"/>
        </w:rPr>
      </w:pPr>
      <w:bookmarkStart w:name="3、费用" w:id="36"/>
      <w:bookmarkEnd w:id="36"/>
      <w:r>
        <w:rPr>
          <w:b w:val="0"/>
          <w:bCs w:val="0"/>
        </w:rPr>
      </w:r>
      <w:r>
        <w:rPr>
          <w:rFonts w:ascii="Times New Roman" w:hAnsi="Times New Roman" w:cs="Times New Roman" w:eastAsia="Times New Roman" w:hint="default"/>
        </w:rPr>
        <w:t>3</w:t>
      </w:r>
      <w:r>
        <w:rPr/>
        <w:t>、费用</w:t>
      </w:r>
      <w:r>
        <w:rPr>
          <w:b w:val="0"/>
          <w:bCs w:val="0"/>
        </w:rPr>
      </w:r>
    </w:p>
    <w:p>
      <w:pPr>
        <w:spacing w:line="240" w:lineRule="auto" w:before="10"/>
        <w:rPr>
          <w:rFonts w:ascii="宋体" w:hAnsi="宋体" w:cs="宋体" w:eastAsia="宋体" w:hint="default"/>
          <w:b/>
          <w:bCs/>
          <w:sz w:val="26"/>
          <w:szCs w:val="26"/>
        </w:rPr>
      </w:pPr>
    </w:p>
    <w:p>
      <w:pPr>
        <w:pStyle w:val="BodyText"/>
        <w:spacing w:line="240" w:lineRule="auto"/>
        <w:ind w:left="0" w:right="1122"/>
        <w:jc w:val="right"/>
      </w:pPr>
      <w:r>
        <w:rPr>
          <w:spacing w:val="-2"/>
        </w:rPr>
        <w:t>单位：元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16"/>
        <w:gridCol w:w="1638"/>
        <w:gridCol w:w="1637"/>
        <w:gridCol w:w="1460"/>
        <w:gridCol w:w="2919"/>
      </w:tblGrid>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51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51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1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64"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912"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6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192,201,122.27</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207,524,481.69</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2"/>
                <w:sz w:val="18"/>
              </w:rPr>
              <w:t>-7.38%</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6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62,058,606.69</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67,658,400.68</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2"/>
                <w:sz w:val="18"/>
              </w:rPr>
              <w:t>-8.28%</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6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17,032,847.87</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18,986,935.76</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-10.29%</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16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68,812,204.30</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56,734,133.61</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4"/>
              <w:jc w:val="right"/>
              <w:rPr>
                <w:rFonts w:ascii="Times New Roman" w:hAnsi="Times New Roman" w:cs="Times New Roman" w:eastAsia="Times New Roman" w:hint="default"/>
                <w:sz w:val="18"/>
                <w:szCs w:val="18"/>
              </w:rPr>
            </w:pPr>
            <w:r>
              <w:rPr>
                <w:rFonts w:ascii="Times New Roman"/>
                <w:spacing w:val="-1"/>
                <w:sz w:val="18"/>
              </w:rPr>
              <w:t>21.29%</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1,379,402.26</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4,125,026.87</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-66.56%</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3" w:right="17"/>
              <w:jc w:val="left"/>
              <w:rPr>
                <w:rFonts w:ascii="宋体" w:hAnsi="宋体" w:cs="宋体" w:eastAsia="宋体" w:hint="default"/>
                <w:sz w:val="18"/>
                <w:szCs w:val="18"/>
              </w:rPr>
            </w:pPr>
            <w:r>
              <w:rPr>
                <w:rFonts w:ascii="宋体" w:hAnsi="宋体" w:cs="宋体" w:eastAsia="宋体" w:hint="default"/>
                <w:spacing w:val="-3"/>
                <w:sz w:val="18"/>
                <w:szCs w:val="18"/>
              </w:rPr>
              <w:t>主要原因系报告期内公司营业收入</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4"/>
                <w:sz w:val="18"/>
                <w:szCs w:val="18"/>
              </w:rPr>
              <w:t>下降引起的，及公司子公司亿美软通</w:t>
            </w:r>
            <w:r>
              <w:rPr>
                <w:rFonts w:ascii="宋体" w:hAnsi="宋体" w:cs="宋体" w:eastAsia="宋体" w:hint="default"/>
                <w:spacing w:val="-43"/>
                <w:sz w:val="18"/>
                <w:szCs w:val="18"/>
              </w:rPr>
              <w:t> </w:t>
            </w:r>
            <w:r>
              <w:rPr>
                <w:rFonts w:ascii="宋体" w:hAnsi="宋体" w:cs="宋体" w:eastAsia="宋体" w:hint="default"/>
                <w:spacing w:val="-43"/>
                <w:sz w:val="18"/>
                <w:szCs w:val="18"/>
              </w:rPr>
            </w:r>
            <w:r>
              <w:rPr>
                <w:rFonts w:ascii="宋体" w:hAnsi="宋体" w:cs="宋体" w:eastAsia="宋体" w:hint="default"/>
                <w:spacing w:val="-3"/>
                <w:sz w:val="18"/>
                <w:szCs w:val="18"/>
              </w:rPr>
              <w:t>税收优惠增加所致。</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-801,245.61</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11,673,592.72</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-106.86%</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信用减值损失</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-15,542,518.98</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0.00</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-100.00%</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1652"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投资收益</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-17,004,282.14</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2"/>
                <w:sz w:val="18"/>
              </w:rPr>
              <w:t>-62,411,753.54</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-72.75%</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8"/>
              <w:ind w:left="23" w:right="17"/>
              <w:jc w:val="left"/>
              <w:rPr>
                <w:rFonts w:ascii="宋体" w:hAnsi="宋体" w:cs="宋体" w:eastAsia="宋体" w:hint="default"/>
                <w:sz w:val="18"/>
                <w:szCs w:val="18"/>
              </w:rPr>
            </w:pPr>
            <w:r>
              <w:rPr>
                <w:rFonts w:ascii="宋体" w:hAnsi="宋体" w:cs="宋体" w:eastAsia="宋体" w:hint="default"/>
                <w:spacing w:val="-3"/>
                <w:sz w:val="18"/>
                <w:szCs w:val="18"/>
              </w:rPr>
              <w:t>主要原因系报告期内公司对外投资</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4"/>
                <w:sz w:val="18"/>
                <w:szCs w:val="18"/>
              </w:rPr>
              <w:t>的票联金服、智帆金科因持股比例被</w:t>
            </w:r>
            <w:r>
              <w:rPr>
                <w:rFonts w:ascii="宋体" w:hAnsi="宋体" w:cs="宋体" w:eastAsia="宋体" w:hint="default"/>
                <w:spacing w:val="-43"/>
                <w:sz w:val="18"/>
                <w:szCs w:val="18"/>
              </w:rPr>
              <w:t> </w:t>
            </w:r>
            <w:r>
              <w:rPr>
                <w:rFonts w:ascii="宋体" w:hAnsi="宋体" w:cs="宋体" w:eastAsia="宋体" w:hint="default"/>
                <w:spacing w:val="-43"/>
                <w:sz w:val="18"/>
                <w:szCs w:val="18"/>
              </w:rPr>
            </w:r>
            <w:r>
              <w:rPr>
                <w:rFonts w:ascii="宋体" w:hAnsi="宋体" w:cs="宋体" w:eastAsia="宋体" w:hint="default"/>
                <w:spacing w:val="-3"/>
                <w:sz w:val="18"/>
                <w:szCs w:val="18"/>
              </w:rPr>
              <w:t>动稀释而终止权益法核算产生的投</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3"/>
                <w:sz w:val="18"/>
                <w:szCs w:val="18"/>
              </w:rPr>
              <w:t>资收益以及报告期内参股公司东亚</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3"/>
                <w:sz w:val="18"/>
                <w:szCs w:val="18"/>
              </w:rPr>
              <w:t>前海证券业绩转好所致。</w:t>
            </w:r>
          </w:p>
        </w:tc>
      </w:tr>
      <w:tr>
        <w:trPr>
          <w:trHeight w:val="715"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资产处置收益</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-15,688.52</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35,462,882.06</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-100.04%</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3" w:right="182"/>
              <w:jc w:val="left"/>
              <w:rPr>
                <w:rFonts w:ascii="宋体" w:hAnsi="宋体" w:cs="宋体" w:eastAsia="宋体" w:hint="default"/>
                <w:sz w:val="18"/>
                <w:szCs w:val="18"/>
              </w:rPr>
            </w:pPr>
            <w:r>
              <w:rPr>
                <w:rFonts w:ascii="宋体" w:hAnsi="宋体" w:cs="宋体" w:eastAsia="宋体" w:hint="default"/>
                <w:spacing w:val="-3"/>
                <w:sz w:val="18"/>
                <w:szCs w:val="18"/>
              </w:rPr>
              <w:t>主要原因系上期公司有出售房产的</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z w:val="18"/>
                <w:szCs w:val="18"/>
              </w:rPr>
              <w:t>因素所致。</w:t>
            </w:r>
          </w:p>
        </w:tc>
      </w:tr>
      <w:tr>
        <w:trPr>
          <w:trHeight w:val="404"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8,176,569.93</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8,180,393.80</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2"/>
                <w:sz w:val="18"/>
              </w:rPr>
              <w:t>-0.05%</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1335"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3"/>
                <w:sz w:val="18"/>
              </w:rPr>
              <w:t>123,111.14</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3,723,070.21</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-96.69%</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主要原因系公司子公司亿美软通上</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3"/>
                <w:sz w:val="18"/>
                <w:szCs w:val="18"/>
              </w:rPr>
              <w:t>期收到侵权员工损失偿赔而本期未</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3"/>
                <w:sz w:val="18"/>
                <w:szCs w:val="18"/>
              </w:rPr>
              <w:t>发生此类收入和公司子公司安科创</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3"/>
                <w:sz w:val="18"/>
                <w:szCs w:val="18"/>
              </w:rPr>
              <w:t>新本期收到平台索赔收入减少所致。</w:t>
            </w:r>
          </w:p>
        </w:tc>
      </w:tr>
      <w:tr>
        <w:trPr>
          <w:trHeight w:val="715"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营业外支出</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599,928.97</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895,980.64</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-33.04%</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3" w:right="0"/>
              <w:jc w:val="left"/>
              <w:rPr>
                <w:rFonts w:ascii="宋体" w:hAnsi="宋体" w:cs="宋体" w:eastAsia="宋体" w:hint="default"/>
                <w:sz w:val="18"/>
                <w:szCs w:val="18"/>
              </w:rPr>
            </w:pPr>
            <w:r>
              <w:rPr>
                <w:rFonts w:ascii="宋体" w:hAnsi="宋体" w:cs="宋体" w:eastAsia="宋体" w:hint="default"/>
                <w:spacing w:val="-4"/>
                <w:sz w:val="18"/>
                <w:szCs w:val="18"/>
              </w:rPr>
              <w:t>主要原因系与本期相比，公司上期因</w:t>
            </w:r>
            <w:r>
              <w:rPr>
                <w:rFonts w:ascii="宋体" w:hAnsi="宋体" w:cs="宋体" w:eastAsia="宋体" w:hint="default"/>
                <w:spacing w:val="-43"/>
                <w:sz w:val="18"/>
                <w:szCs w:val="18"/>
              </w:rPr>
              <w:t> </w:t>
            </w:r>
            <w:r>
              <w:rPr>
                <w:rFonts w:ascii="宋体" w:hAnsi="宋体" w:cs="宋体" w:eastAsia="宋体" w:hint="default"/>
                <w:spacing w:val="-43"/>
                <w:sz w:val="18"/>
                <w:szCs w:val="18"/>
              </w:rPr>
            </w:r>
            <w:r>
              <w:rPr>
                <w:rFonts w:ascii="宋体" w:hAnsi="宋体" w:cs="宋体" w:eastAsia="宋体" w:hint="default"/>
                <w:spacing w:val="-3"/>
                <w:sz w:val="18"/>
                <w:szCs w:val="18"/>
              </w:rPr>
              <w:t>提前退租产生押金损失的因素所致。</w:t>
            </w:r>
          </w:p>
        </w:tc>
      </w:tr>
    </w:tbl>
    <w:p>
      <w:pPr>
        <w:spacing w:after="0" w:line="321" w:lineRule="auto"/>
        <w:jc w:val="left"/>
        <w:rPr>
          <w:rFonts w:ascii="宋体" w:hAnsi="宋体" w:cs="宋体" w:eastAsia="宋体" w:hint="default"/>
          <w:sz w:val="18"/>
          <w:szCs w:val="18"/>
        </w:rPr>
        <w:sectPr>
          <w:pgSz w:w="11910" w:h="16840"/>
          <w:pgMar w:header="871" w:footer="1186" w:top="1100" w:bottom="1380" w:left="980" w:right="0"/>
        </w:sectPr>
      </w:pPr>
    </w:p>
    <w:p>
      <w:pPr>
        <w:spacing w:line="240" w:lineRule="auto" w:before="0"/>
        <w:rPr>
          <w:rFonts w:ascii="宋体" w:hAnsi="宋体" w:cs="宋体" w:eastAsia="宋体" w:hint="default"/>
          <w:sz w:val="21"/>
          <w:szCs w:val="21"/>
        </w:rPr>
      </w:pPr>
    </w:p>
    <w:p>
      <w:pPr>
        <w:pStyle w:val="Heading3"/>
        <w:spacing w:line="240" w:lineRule="auto" w:before="36"/>
        <w:ind w:right="0"/>
        <w:jc w:val="both"/>
        <w:rPr>
          <w:b w:val="0"/>
          <w:bCs w:val="0"/>
        </w:rPr>
      </w:pPr>
      <w:bookmarkStart w:name="4、研发投入" w:id="37"/>
      <w:bookmarkEnd w:id="37"/>
      <w:r>
        <w:rPr>
          <w:b w:val="0"/>
          <w:bCs w:val="0"/>
        </w:rPr>
      </w:r>
      <w:r>
        <w:rPr>
          <w:rFonts w:ascii="Times New Roman" w:hAnsi="Times New Roman" w:cs="Times New Roman" w:eastAsia="Times New Roman" w:hint="default"/>
        </w:rPr>
        <w:t>4</w:t>
      </w:r>
      <w:r>
        <w:rPr/>
        <w:t>、研发投入</w:t>
      </w:r>
      <w:r>
        <w:rPr>
          <w:b w:val="0"/>
          <w:bCs w:val="0"/>
        </w:rPr>
      </w:r>
    </w:p>
    <w:p>
      <w:pPr>
        <w:spacing w:line="240" w:lineRule="auto" w:before="9"/>
        <w:rPr>
          <w:rFonts w:ascii="宋体" w:hAnsi="宋体" w:cs="宋体" w:eastAsia="宋体" w:hint="default"/>
          <w:b/>
          <w:bCs/>
          <w:sz w:val="26"/>
          <w:szCs w:val="26"/>
        </w:rPr>
      </w:pPr>
    </w:p>
    <w:p>
      <w:pPr>
        <w:pStyle w:val="BodyText"/>
        <w:spacing w:line="412" w:lineRule="auto"/>
        <w:ind w:left="513" w:right="1029" w:hanging="36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4"/>
        </w:rPr>
        <w:t>金融行业业务创新层出不穷，市场需求日新月异。作为金融信息化和新兴金融服务领域的高新技术企业，公司一直十分</w:t>
      </w:r>
    </w:p>
    <w:p>
      <w:pPr>
        <w:pStyle w:val="BodyText"/>
        <w:spacing w:line="477" w:lineRule="auto" w:before="105"/>
        <w:ind w:right="1124"/>
        <w:jc w:val="both"/>
      </w:pPr>
      <w:r>
        <w:rPr>
          <w:spacing w:val="-4"/>
        </w:rPr>
        <w:t>重视研发投入，坚持以客户需求为导向，走自主创新的产品研发道路。为公司进一步丰富综合金融生态服务体系的产品和服</w:t>
      </w:r>
      <w:r>
        <w:rPr>
          <w:spacing w:val="43"/>
        </w:rPr>
        <w:t> </w:t>
      </w:r>
      <w:r>
        <w:rPr>
          <w:spacing w:val="43"/>
        </w:rPr>
      </w:r>
      <w:r>
        <w:rPr>
          <w:spacing w:val="-4"/>
        </w:rPr>
        <w:t>务，提升金融科技的服务能力和竞争能力。公司一方面努力做好提高、完善现有产品的各项技术和功能，另一方面不断丰富</w:t>
      </w:r>
      <w:r>
        <w:rPr>
          <w:spacing w:val="40"/>
        </w:rPr>
        <w:t> </w:t>
      </w:r>
      <w:r>
        <w:rPr>
          <w:spacing w:val="40"/>
        </w:rPr>
      </w:r>
      <w:r>
        <w:rPr>
          <w:spacing w:val="-3"/>
        </w:rPr>
        <w:t>研发人员的知识储备，密切关注创新业务的动态与潜在需求，加大新产品的研发力度、提升新兴业务的服务能力。</w:t>
      </w:r>
    </w:p>
    <w:p>
      <w:pPr>
        <w:pStyle w:val="BodyText"/>
        <w:spacing w:line="240" w:lineRule="auto" w:before="52"/>
        <w:ind w:left="513" w:right="0"/>
        <w:jc w:val="left"/>
      </w:pPr>
      <w:r>
        <w:rPr>
          <w:spacing w:val="-5"/>
        </w:rPr>
        <w:t>截至报告期末，公司及控股子公司已获得软件著作权</w:t>
      </w:r>
      <w:r>
        <w:rPr>
          <w:spacing w:val="-26"/>
        </w:rPr>
        <w:t> </w:t>
      </w:r>
      <w:r>
        <w:rPr>
          <w:rFonts w:ascii="Times New Roman" w:hAnsi="Times New Roman" w:cs="Times New Roman" w:eastAsia="Times New Roman" w:hint="default"/>
        </w:rPr>
        <w:t>224</w:t>
      </w:r>
      <w:r>
        <w:rPr>
          <w:rFonts w:ascii="Times New Roman" w:hAnsi="Times New Roman" w:cs="Times New Roman" w:eastAsia="Times New Roman" w:hint="default"/>
          <w:spacing w:val="3"/>
        </w:rPr>
        <w:t> </w:t>
      </w:r>
      <w:r>
        <w:rPr>
          <w:spacing w:val="-12"/>
        </w:rPr>
        <w:t>项、专利授权</w:t>
      </w:r>
      <w:r>
        <w:rPr>
          <w:spacing w:val="-27"/>
        </w:rPr>
        <w:t> </w:t>
      </w:r>
      <w:r>
        <w:rPr>
          <w:rFonts w:ascii="Times New Roman" w:hAnsi="Times New Roman" w:cs="Times New Roman" w:eastAsia="Times New Roman" w:hint="default"/>
          <w:spacing w:val="-3"/>
        </w:rPr>
        <w:t>84</w:t>
      </w:r>
      <w:r>
        <w:rPr>
          <w:rFonts w:ascii="Times New Roman" w:hAnsi="Times New Roman" w:cs="Times New Roman" w:eastAsia="Times New Roman" w:hint="default"/>
          <w:spacing w:val="10"/>
        </w:rPr>
        <w:t> </w:t>
      </w:r>
      <w:r>
        <w:rPr>
          <w:spacing w:val="-10"/>
        </w:rPr>
        <w:t>项（其中发明专利</w:t>
      </w:r>
      <w:r>
        <w:rPr>
          <w:spacing w:val="-35"/>
        </w:rPr>
        <w:t> </w:t>
      </w:r>
      <w:r>
        <w:rPr>
          <w:rFonts w:ascii="Times New Roman" w:hAnsi="Times New Roman" w:cs="Times New Roman" w:eastAsia="Times New Roman" w:hint="default"/>
        </w:rPr>
        <w:t>9</w:t>
      </w:r>
      <w:r>
        <w:rPr>
          <w:rFonts w:ascii="Times New Roman" w:hAnsi="Times New Roman" w:cs="Times New Roman" w:eastAsia="Times New Roman" w:hint="default"/>
          <w:spacing w:val="10"/>
        </w:rPr>
        <w:t> </w:t>
      </w:r>
      <w:r>
        <w:rPr>
          <w:spacing w:val="-10"/>
        </w:rPr>
        <w:t>项、实用新型专利</w:t>
      </w:r>
      <w:r>
        <w:rPr>
          <w:spacing w:val="-35"/>
        </w:rPr>
        <w:t> </w:t>
      </w:r>
      <w:r>
        <w:rPr>
          <w:rFonts w:ascii="Times New Roman" w:hAnsi="Times New Roman" w:cs="Times New Roman" w:eastAsia="Times New Roman" w:hint="default"/>
        </w:rPr>
        <w:t>22</w:t>
      </w:r>
      <w:r>
        <w:rPr>
          <w:rFonts w:ascii="Times New Roman" w:hAnsi="Times New Roman" w:cs="Times New Roman" w:eastAsia="Times New Roman" w:hint="default"/>
          <w:spacing w:val="3"/>
        </w:rPr>
        <w:t> </w:t>
      </w:r>
      <w:r>
        <w:rPr/>
        <w:t>项、</w:t>
      </w:r>
    </w:p>
    <w:p>
      <w:pPr>
        <w:spacing w:line="240" w:lineRule="auto" w:before="12"/>
        <w:rPr>
          <w:rFonts w:ascii="宋体" w:hAnsi="宋体" w:cs="宋体" w:eastAsia="宋体" w:hint="default"/>
          <w:sz w:val="16"/>
          <w:szCs w:val="16"/>
        </w:rPr>
      </w:pPr>
    </w:p>
    <w:p>
      <w:pPr>
        <w:pStyle w:val="BodyText"/>
        <w:spacing w:line="410" w:lineRule="auto"/>
        <w:ind w:right="6680"/>
        <w:jc w:val="left"/>
      </w:pPr>
      <w:r>
        <w:rPr/>
        <w:pict>
          <v:shape style="position:absolute;margin-left:57.023998pt;margin-top:38.351704pt;width:478.65pt;height:192.55pt;mso-position-horizontal-relative:page;mso-position-vertical-relative:paragraph;z-index:107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370"/>
                    <w:gridCol w:w="2406"/>
                    <w:gridCol w:w="2391"/>
                    <w:gridCol w:w="2391"/>
                  </w:tblGrid>
                  <w:tr>
                    <w:trPr>
                      <w:trHeight w:val="404" w:hRule="exact"/>
                    </w:trPr>
                    <w:tc>
                      <w:tcPr>
                        <w:tcW w:w="237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r>
                  <w:tr>
                    <w:trPr>
                      <w:trHeight w:val="398" w:hRule="exact"/>
                    </w:trPr>
                    <w:tc>
                      <w:tcPr>
                        <w:tcW w:w="2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研发人员数量（人）</w:t>
                        </w:r>
                      </w:p>
                    </w:tc>
                    <w:tc>
                      <w:tcPr>
                        <w:tcW w:w="240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532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z w:val="18"/>
                          </w:rPr>
                          <w:t>369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z w:val="18"/>
                          </w:rPr>
                          <w:t>397</w:t>
                        </w:r>
                      </w:p>
                    </w:tc>
                  </w:tr>
                  <w:tr>
                    <w:trPr>
                      <w:trHeight w:val="403" w:hRule="exact"/>
                    </w:trPr>
                    <w:tc>
                      <w:tcPr>
                        <w:tcW w:w="2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研发人员数量占比</w:t>
                        </w:r>
                      </w:p>
                    </w:tc>
                    <w:tc>
                      <w:tcPr>
                        <w:tcW w:w="240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56.96%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49.73%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45.48%</w:t>
                        </w:r>
                      </w:p>
                    </w:tc>
                  </w:tr>
                  <w:tr>
                    <w:trPr>
                      <w:trHeight w:val="403" w:hRule="exact"/>
                    </w:trPr>
                    <w:tc>
                      <w:tcPr>
                        <w:tcW w:w="2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研发投入金额（元）</w:t>
                        </w:r>
                      </w:p>
                    </w:tc>
                    <w:tc>
                      <w:tcPr>
                        <w:tcW w:w="240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81,340,235.97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60,807,075.77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2"/>
                            <w:sz w:val="18"/>
                          </w:rPr>
                          <w:t>53,883,716.11</w:t>
                        </w:r>
                      </w:p>
                    </w:tc>
                  </w:tr>
                  <w:tr>
                    <w:trPr>
                      <w:trHeight w:val="404" w:hRule="exact"/>
                    </w:trPr>
                    <w:tc>
                      <w:tcPr>
                        <w:tcW w:w="2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研发投入占营业收入比例</w:t>
                        </w:r>
                      </w:p>
                    </w:tc>
                    <w:tc>
                      <w:tcPr>
                        <w:tcW w:w="240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6.89%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4.68%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4.70%</w:t>
                        </w:r>
                      </w:p>
                    </w:tc>
                  </w:tr>
                  <w:tr>
                    <w:trPr>
                      <w:trHeight w:val="398" w:hRule="exact"/>
                    </w:trPr>
                    <w:tc>
                      <w:tcPr>
                        <w:tcW w:w="2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2"/>
                            <w:sz w:val="18"/>
                            <w:szCs w:val="18"/>
                          </w:rPr>
                          <w:t>研发支出资本化的金额（元）</w:t>
                        </w:r>
                      </w:p>
                    </w:tc>
                    <w:tc>
                      <w:tcPr>
                        <w:tcW w:w="240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10,628,538.27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6,621,427.99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2"/>
                            <w:sz w:val="18"/>
                          </w:rPr>
                          <w:t>11,358,185.74</w:t>
                        </w:r>
                      </w:p>
                    </w:tc>
                  </w:tr>
                  <w:tr>
                    <w:trPr>
                      <w:trHeight w:val="715" w:hRule="exact"/>
                    </w:trPr>
                    <w:tc>
                      <w:tcPr>
                        <w:tcW w:w="2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11" w:right="181"/>
                          <w:jc w:val="left"/>
                          <w:rPr>
                            <w:rFonts w:ascii="宋体" w:hAnsi="宋体" w:cs="宋体" w:eastAsia="宋体" w:hint="default"/>
                            <w:sz w:val="18"/>
                            <w:szCs w:val="18"/>
                          </w:rPr>
                        </w:pPr>
                        <w:r>
                          <w:rPr>
                            <w:rFonts w:ascii="宋体" w:hAnsi="宋体" w:cs="宋体" w:eastAsia="宋体" w:hint="default"/>
                            <w:spacing w:val="-3"/>
                            <w:sz w:val="18"/>
                            <w:szCs w:val="18"/>
                          </w:rPr>
                          <w:t>资本化研发支出占研发投入</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的比例</w:t>
                        </w:r>
                      </w:p>
                    </w:tc>
                    <w:tc>
                      <w:tcPr>
                        <w:tcW w:w="240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13.07%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10.89%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21.08%</w:t>
                        </w:r>
                      </w:p>
                    </w:tc>
                  </w:tr>
                  <w:tr>
                    <w:trPr>
                      <w:trHeight w:val="716" w:hRule="exact"/>
                    </w:trPr>
                    <w:tc>
                      <w:tcPr>
                        <w:tcW w:w="2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11" w:right="181"/>
                          <w:jc w:val="left"/>
                          <w:rPr>
                            <w:rFonts w:ascii="宋体" w:hAnsi="宋体" w:cs="宋体" w:eastAsia="宋体" w:hint="default"/>
                            <w:sz w:val="18"/>
                            <w:szCs w:val="18"/>
                          </w:rPr>
                        </w:pPr>
                        <w:r>
                          <w:rPr>
                            <w:rFonts w:ascii="宋体" w:hAnsi="宋体" w:cs="宋体" w:eastAsia="宋体" w:hint="default"/>
                            <w:spacing w:val="-3"/>
                            <w:sz w:val="18"/>
                            <w:szCs w:val="18"/>
                          </w:rPr>
                          <w:t>资本化研发支出占当期净利</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润的比重</w:t>
                        </w:r>
                      </w:p>
                    </w:tc>
                    <w:tc>
                      <w:tcPr>
                        <w:tcW w:w="240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2"/>
                            <w:sz w:val="18"/>
                          </w:rPr>
                          <w:t>216.12%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18.52%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51.07%</w:t>
                        </w:r>
                      </w:p>
                    </w:tc>
                  </w:tr>
                </w:tbl>
                <w:p>
                  <w:pPr/>
                </w:p>
              </w:txbxContent>
            </v:textbox>
            <w10:wrap type="none"/>
          </v:shape>
        </w:pict>
      </w:r>
      <w:r>
        <w:rPr>
          <w:spacing w:val="-2"/>
          <w:w w:val="101"/>
        </w:rPr>
        <w:t>外观设计专利</w:t>
      </w:r>
      <w:r>
        <w:rPr>
          <w:spacing w:val="-49"/>
          <w:w w:val="101"/>
        </w:rPr>
        <w:t> </w:t>
      </w:r>
      <w:r>
        <w:rPr>
          <w:rFonts w:ascii="Times New Roman" w:hAnsi="Times New Roman" w:cs="Times New Roman" w:eastAsia="Times New Roman" w:hint="default"/>
          <w:spacing w:val="-3"/>
          <w:w w:val="101"/>
        </w:rPr>
        <w:t>53</w:t>
      </w:r>
      <w:r>
        <w:rPr>
          <w:rFonts w:ascii="Times New Roman" w:hAnsi="Times New Roman" w:cs="Times New Roman" w:eastAsia="Times New Roman" w:hint="default"/>
          <w:spacing w:val="-8"/>
          <w:w w:val="101"/>
        </w:rPr>
        <w:t> </w:t>
      </w:r>
      <w:r>
        <w:rPr>
          <w:spacing w:val="-32"/>
          <w:w w:val="101"/>
        </w:rPr>
        <w:t>项）。</w:t>
      </w:r>
      <w:r>
        <w:rPr>
          <w:spacing w:val="-89"/>
          <w:w w:val="101"/>
        </w:rPr>
        <w:t> </w:t>
      </w:r>
      <w:r>
        <w:rPr>
          <w:spacing w:val="-89"/>
          <w:w w:val="101"/>
        </w:rPr>
      </w:r>
      <w:r>
        <w:rPr>
          <w:spacing w:val="-3"/>
        </w:rPr>
        <w:t>近三年公司研发投入金额及占营业收入的比例</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6"/>
          <w:szCs w:val="16"/>
        </w:rPr>
      </w:pPr>
    </w:p>
    <w:p>
      <w:pPr>
        <w:pStyle w:val="BodyText"/>
        <w:spacing w:line="240" w:lineRule="auto"/>
        <w:ind w:right="0"/>
        <w:jc w:val="left"/>
      </w:pPr>
      <w:r>
        <w:rPr>
          <w:spacing w:val="-3"/>
        </w:rPr>
        <w:t>研发投入总额占营业收入的比重较上年发生显著变化的原因</w:t>
      </w:r>
    </w:p>
    <w:p>
      <w:pPr>
        <w:pStyle w:val="BodyText"/>
        <w:spacing w:line="338" w:lineRule="auto" w:before="119"/>
        <w:ind w:right="668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3"/>
        </w:rPr>
        <w:t>研发投入资本化率大幅变动的原因及其合理性说明</w:t>
      </w:r>
    </w:p>
    <w:p>
      <w:pPr>
        <w:pStyle w:val="BodyText"/>
        <w:spacing w:line="240" w:lineRule="auto" w:before="41"/>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8"/>
        <w:rPr>
          <w:rFonts w:ascii="宋体" w:hAnsi="宋体" w:cs="宋体" w:eastAsia="宋体" w:hint="default"/>
          <w:sz w:val="25"/>
          <w:szCs w:val="25"/>
        </w:rPr>
      </w:pPr>
    </w:p>
    <w:p>
      <w:pPr>
        <w:pStyle w:val="Heading3"/>
        <w:spacing w:line="240" w:lineRule="auto"/>
        <w:ind w:right="0"/>
        <w:jc w:val="left"/>
        <w:rPr>
          <w:b w:val="0"/>
          <w:bCs w:val="0"/>
        </w:rPr>
      </w:pPr>
      <w:bookmarkStart w:name="5、现金流" w:id="38"/>
      <w:bookmarkEnd w:id="38"/>
      <w:r>
        <w:rPr>
          <w:b w:val="0"/>
          <w:bCs w:val="0"/>
        </w:rPr>
      </w:r>
      <w:r>
        <w:rPr>
          <w:rFonts w:ascii="Times New Roman" w:hAnsi="Times New Roman" w:cs="Times New Roman" w:eastAsia="Times New Roman" w:hint="default"/>
        </w:rPr>
        <w:t>5</w:t>
      </w:r>
      <w:r>
        <w:rPr/>
        <w:t>、现金流</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1122"/>
        <w:jc w:val="right"/>
      </w:pPr>
      <w:r>
        <w:rPr>
          <w:spacing w:val="-2"/>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370"/>
        <w:gridCol w:w="2406"/>
        <w:gridCol w:w="2391"/>
        <w:gridCol w:w="2391"/>
      </w:tblGrid>
      <w:tr>
        <w:trPr>
          <w:trHeight w:val="403" w:hRule="exact"/>
        </w:trPr>
        <w:tc>
          <w:tcPr>
            <w:tcW w:w="2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399" w:hRule="exact"/>
        </w:trPr>
        <w:tc>
          <w:tcPr>
            <w:tcW w:w="2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40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1,204,220,144.02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1,339,685,937.60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4"/>
              <w:jc w:val="right"/>
              <w:rPr>
                <w:rFonts w:ascii="Times New Roman" w:hAnsi="Times New Roman" w:cs="Times New Roman" w:eastAsia="Times New Roman" w:hint="default"/>
                <w:sz w:val="18"/>
                <w:szCs w:val="18"/>
              </w:rPr>
            </w:pPr>
            <w:r>
              <w:rPr>
                <w:rFonts w:ascii="Times New Roman"/>
                <w:spacing w:val="-1"/>
                <w:sz w:val="18"/>
              </w:rPr>
              <w:t>-10.11%</w:t>
            </w:r>
          </w:p>
        </w:tc>
      </w:tr>
      <w:tr>
        <w:trPr>
          <w:trHeight w:val="403" w:hRule="exact"/>
        </w:trPr>
        <w:tc>
          <w:tcPr>
            <w:tcW w:w="2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40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1,257,645,817.81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1,242,500,077.17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4"/>
              <w:jc w:val="right"/>
              <w:rPr>
                <w:rFonts w:ascii="Times New Roman" w:hAnsi="Times New Roman" w:cs="Times New Roman" w:eastAsia="Times New Roman" w:hint="default"/>
                <w:sz w:val="18"/>
                <w:szCs w:val="18"/>
              </w:rPr>
            </w:pPr>
            <w:r>
              <w:rPr>
                <w:rFonts w:ascii="Times New Roman"/>
                <w:spacing w:val="-1"/>
                <w:sz w:val="18"/>
              </w:rPr>
              <w:t>1.22%</w:t>
            </w:r>
          </w:p>
        </w:tc>
      </w:tr>
      <w:tr>
        <w:trPr>
          <w:trHeight w:val="715" w:hRule="exact"/>
        </w:trPr>
        <w:tc>
          <w:tcPr>
            <w:tcW w:w="2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 w:right="181"/>
              <w:jc w:val="left"/>
              <w:rPr>
                <w:rFonts w:ascii="宋体" w:hAnsi="宋体" w:cs="宋体" w:eastAsia="宋体" w:hint="default"/>
                <w:sz w:val="18"/>
                <w:szCs w:val="18"/>
              </w:rPr>
            </w:pPr>
            <w:r>
              <w:rPr>
                <w:rFonts w:ascii="宋体" w:hAnsi="宋体" w:cs="宋体" w:eastAsia="宋体" w:hint="default"/>
                <w:spacing w:val="-3"/>
                <w:sz w:val="18"/>
                <w:szCs w:val="18"/>
              </w:rPr>
              <w:t>经营活动产生的现金流量净</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额</w:t>
            </w:r>
          </w:p>
        </w:tc>
        <w:tc>
          <w:tcPr>
            <w:tcW w:w="240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-53,425,673.79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97,185,860.43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-154.97%</w:t>
            </w:r>
          </w:p>
        </w:tc>
      </w:tr>
      <w:tr>
        <w:trPr>
          <w:trHeight w:val="404" w:hRule="exact"/>
        </w:trPr>
        <w:tc>
          <w:tcPr>
            <w:tcW w:w="2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40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543,806,742.83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484,570,617.60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pacing w:val="-1"/>
                <w:sz w:val="18"/>
              </w:rPr>
              <w:t>12.22%</w:t>
            </w:r>
          </w:p>
        </w:tc>
      </w:tr>
      <w:tr>
        <w:trPr>
          <w:trHeight w:val="398" w:hRule="exact"/>
        </w:trPr>
        <w:tc>
          <w:tcPr>
            <w:tcW w:w="2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40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541,209,647.73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427,814,397.50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4"/>
              <w:jc w:val="right"/>
              <w:rPr>
                <w:rFonts w:ascii="Times New Roman" w:hAnsi="Times New Roman" w:cs="Times New Roman" w:eastAsia="Times New Roman" w:hint="default"/>
                <w:sz w:val="18"/>
                <w:szCs w:val="18"/>
              </w:rPr>
            </w:pPr>
            <w:r>
              <w:rPr>
                <w:rFonts w:ascii="Times New Roman"/>
                <w:spacing w:val="-1"/>
                <w:sz w:val="18"/>
              </w:rPr>
              <w:t>26.51%</w:t>
            </w:r>
          </w:p>
        </w:tc>
      </w:tr>
      <w:tr>
        <w:trPr>
          <w:trHeight w:val="403" w:hRule="exact"/>
        </w:trPr>
        <w:tc>
          <w:tcPr>
            <w:tcW w:w="2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pacing w:val="-3"/>
                <w:sz w:val="18"/>
                <w:szCs w:val="18"/>
              </w:rPr>
              <w:t>投资活动产生的现金流量净</w:t>
            </w:r>
          </w:p>
        </w:tc>
        <w:tc>
          <w:tcPr>
            <w:tcW w:w="240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2,597,095.10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56,756,220.10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-95.42%</w:t>
            </w:r>
          </w:p>
        </w:tc>
      </w:tr>
    </w:tbl>
    <w:p>
      <w:pPr>
        <w:spacing w:after="0" w:line="240" w:lineRule="auto"/>
        <w:jc w:val="right"/>
        <w:rPr>
          <w:rFonts w:ascii="Times New Roman" w:hAnsi="Times New Roman" w:cs="Times New Roman" w:eastAsia="Times New Roman" w:hint="default"/>
          <w:sz w:val="18"/>
          <w:szCs w:val="18"/>
        </w:rPr>
        <w:sectPr>
          <w:pgSz w:w="11910" w:h="16840"/>
          <w:pgMar w:header="871" w:footer="1186" w:top="1100" w:bottom="1380" w:left="980" w:right="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2391"/>
        <w:gridCol w:w="2396"/>
        <w:gridCol w:w="2391"/>
        <w:gridCol w:w="2391"/>
      </w:tblGrid>
      <w:tr>
        <w:trPr>
          <w:trHeight w:val="360"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left="24" w:right="0"/>
              <w:jc w:val="left"/>
              <w:rPr>
                <w:rFonts w:ascii="宋体" w:hAnsi="宋体" w:cs="宋体" w:eastAsia="宋体" w:hint="default"/>
                <w:sz w:val="18"/>
                <w:szCs w:val="18"/>
              </w:rPr>
            </w:pPr>
            <w:r>
              <w:rPr>
                <w:rFonts w:ascii="宋体" w:hAnsi="宋体" w:cs="宋体" w:eastAsia="宋体" w:hint="default"/>
                <w:w w:val="101"/>
                <w:sz w:val="18"/>
                <w:szCs w:val="18"/>
              </w:rPr>
              <w:t>额</w:t>
            </w:r>
            <w:r>
              <w:rPr>
                <w:rFonts w:ascii="宋体" w:hAnsi="宋体" w:cs="宋体" w:eastAsia="宋体" w:hint="default"/>
                <w:sz w:val="18"/>
                <w:szCs w:val="18"/>
              </w:rPr>
            </w:r>
          </w:p>
        </w:tc>
        <w:tc>
          <w:tcPr>
            <w:tcW w:w="2396"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425,950,000.00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392,276,396.63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4"/>
              <w:jc w:val="right"/>
              <w:rPr>
                <w:rFonts w:ascii="Times New Roman" w:hAnsi="Times New Roman" w:cs="Times New Roman" w:eastAsia="Times New Roman" w:hint="default"/>
                <w:sz w:val="18"/>
                <w:szCs w:val="18"/>
              </w:rPr>
            </w:pPr>
            <w:r>
              <w:rPr>
                <w:rFonts w:ascii="Times New Roman"/>
                <w:spacing w:val="-1"/>
                <w:sz w:val="18"/>
              </w:rPr>
              <w:t>8.58%</w:t>
            </w:r>
          </w:p>
        </w:tc>
      </w:tr>
      <w:tr>
        <w:trPr>
          <w:trHeight w:val="404"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481,757,268.82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467,234,796.28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4"/>
              <w:jc w:val="right"/>
              <w:rPr>
                <w:rFonts w:ascii="Times New Roman" w:hAnsi="Times New Roman" w:cs="Times New Roman" w:eastAsia="Times New Roman" w:hint="default"/>
                <w:sz w:val="18"/>
                <w:szCs w:val="18"/>
              </w:rPr>
            </w:pPr>
            <w:r>
              <w:rPr>
                <w:rFonts w:ascii="Times New Roman"/>
                <w:spacing w:val="-1"/>
                <w:sz w:val="18"/>
              </w:rPr>
              <w:t>3.11%</w:t>
            </w:r>
          </w:p>
        </w:tc>
      </w:tr>
      <w:tr>
        <w:trPr>
          <w:trHeight w:val="715"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190"/>
              <w:jc w:val="left"/>
              <w:rPr>
                <w:rFonts w:ascii="宋体" w:hAnsi="宋体" w:cs="宋体" w:eastAsia="宋体" w:hint="default"/>
                <w:sz w:val="18"/>
                <w:szCs w:val="18"/>
              </w:rPr>
            </w:pPr>
            <w:r>
              <w:rPr>
                <w:rFonts w:ascii="宋体" w:hAnsi="宋体" w:cs="宋体" w:eastAsia="宋体" w:hint="default"/>
                <w:spacing w:val="-3"/>
                <w:sz w:val="18"/>
                <w:szCs w:val="18"/>
              </w:rPr>
              <w:t>筹资活动产生的现金流量净</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额</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-55,807,268.82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-74,958,399.65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-25.55%</w:t>
            </w:r>
          </w:p>
        </w:tc>
      </w:tr>
      <w:tr>
        <w:trPr>
          <w:trHeight w:val="398"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现金及现金等价物净增加额</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-106,735,322.48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76,591,706.86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-239.36%</w:t>
            </w:r>
          </w:p>
        </w:tc>
      </w:tr>
    </w:tbl>
    <w:p>
      <w:pPr>
        <w:pStyle w:val="BodyText"/>
        <w:spacing w:line="240" w:lineRule="auto" w:before="53"/>
        <w:ind w:right="0"/>
        <w:jc w:val="left"/>
      </w:pPr>
      <w:r>
        <w:rPr>
          <w:spacing w:val="-3"/>
        </w:rPr>
        <w:t>相关数据同比发生重大变动的主要影响因素说明</w:t>
      </w:r>
    </w:p>
    <w:p>
      <w:pPr>
        <w:pStyle w:val="BodyText"/>
        <w:spacing w:line="240" w:lineRule="auto" w:before="120"/>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8"/>
        <w:rPr>
          <w:rFonts w:ascii="宋体" w:hAnsi="宋体" w:cs="宋体" w:eastAsia="宋体" w:hint="default"/>
          <w:sz w:val="13"/>
          <w:szCs w:val="13"/>
        </w:rPr>
      </w:pPr>
    </w:p>
    <w:p>
      <w:pPr>
        <w:pStyle w:val="BodyText"/>
        <w:spacing w:line="453" w:lineRule="auto"/>
        <w:ind w:left="513" w:right="1117"/>
        <w:jc w:val="left"/>
      </w:pPr>
      <w:r>
        <w:rPr/>
        <w:t>报告期内，经营活动现金流入减少</w:t>
      </w:r>
      <w:r>
        <w:rPr>
          <w:spacing w:val="-35"/>
        </w:rPr>
        <w:t> </w:t>
      </w:r>
      <w:r>
        <w:rPr>
          <w:rFonts w:ascii="Times New Roman" w:hAnsi="Times New Roman" w:cs="Times New Roman" w:eastAsia="Times New Roman" w:hint="default"/>
        </w:rPr>
        <w:t>13,546.58</w:t>
      </w:r>
      <w:r>
        <w:rPr>
          <w:rFonts w:ascii="Times New Roman" w:hAnsi="Times New Roman" w:cs="Times New Roman" w:eastAsia="Times New Roman" w:hint="default"/>
          <w:spacing w:val="22"/>
        </w:rPr>
        <w:t> </w:t>
      </w:r>
      <w:r>
        <w:rPr/>
        <w:t>万元，下降</w:t>
      </w:r>
      <w:r>
        <w:rPr>
          <w:spacing w:val="-35"/>
        </w:rPr>
        <w:t> </w:t>
      </w:r>
      <w:r>
        <w:rPr>
          <w:rFonts w:ascii="Times New Roman" w:hAnsi="Times New Roman" w:cs="Times New Roman" w:eastAsia="Times New Roman" w:hint="default"/>
          <w:spacing w:val="-3"/>
        </w:rPr>
        <w:t>10.11%</w:t>
      </w:r>
      <w:r>
        <w:rPr>
          <w:spacing w:val="-3"/>
        </w:rPr>
        <w:t>，主要原因系报告期内公司收取销售款项减少所致。</w:t>
      </w:r>
      <w:r>
        <w:rPr>
          <w:spacing w:val="-58"/>
        </w:rPr>
        <w:t> </w:t>
      </w:r>
      <w:r>
        <w:rPr>
          <w:spacing w:val="-58"/>
        </w:rPr>
      </w:r>
      <w:r>
        <w:rPr>
          <w:spacing w:val="-4"/>
        </w:rPr>
        <w:t>报告期内，经营活动现金流出增加 </w:t>
      </w:r>
      <w:r>
        <w:rPr>
          <w:rFonts w:ascii="Times New Roman" w:hAnsi="Times New Roman" w:cs="Times New Roman" w:eastAsia="Times New Roman" w:hint="default"/>
        </w:rPr>
        <w:t>1,514.57  </w:t>
      </w:r>
      <w:r>
        <w:rPr>
          <w:spacing w:val="-5"/>
        </w:rPr>
        <w:t>万元，增长</w:t>
      </w:r>
      <w:r>
        <w:rPr>
          <w:spacing w:val="-12"/>
        </w:rPr>
        <w:t> </w:t>
      </w:r>
      <w:r>
        <w:rPr>
          <w:rFonts w:ascii="Times New Roman" w:hAnsi="Times New Roman" w:cs="Times New Roman" w:eastAsia="Times New Roman" w:hint="default"/>
          <w:spacing w:val="-3"/>
        </w:rPr>
        <w:t>1.22%</w:t>
      </w:r>
      <w:r>
        <w:rPr>
          <w:spacing w:val="-3"/>
        </w:rPr>
        <w:t>，报告期内公司子公司亿美软通预付特定电信运营商的通</w:t>
      </w:r>
    </w:p>
    <w:p>
      <w:pPr>
        <w:pStyle w:val="BodyText"/>
        <w:spacing w:line="240" w:lineRule="auto" w:before="39"/>
        <w:ind w:right="0"/>
        <w:jc w:val="left"/>
      </w:pPr>
      <w:r>
        <w:rPr>
          <w:spacing w:val="-3"/>
        </w:rPr>
        <w:t>讯服务运营成本增加所致。</w:t>
      </w:r>
    </w:p>
    <w:p>
      <w:pPr>
        <w:spacing w:line="240" w:lineRule="auto" w:before="13"/>
        <w:rPr>
          <w:rFonts w:ascii="宋体" w:hAnsi="宋体" w:cs="宋体" w:eastAsia="宋体" w:hint="default"/>
          <w:sz w:val="17"/>
          <w:szCs w:val="17"/>
        </w:rPr>
      </w:pPr>
    </w:p>
    <w:p>
      <w:pPr>
        <w:pStyle w:val="BodyText"/>
        <w:spacing w:line="448" w:lineRule="auto"/>
        <w:ind w:right="1029" w:firstLine="360"/>
        <w:jc w:val="left"/>
      </w:pPr>
      <w:r>
        <w:rPr>
          <w:spacing w:val="-3"/>
        </w:rPr>
        <w:t>报告期内，投资活动现金流入增加 </w:t>
      </w:r>
      <w:r>
        <w:rPr>
          <w:rFonts w:ascii="Times New Roman" w:hAnsi="Times New Roman" w:cs="Times New Roman" w:eastAsia="Times New Roman" w:hint="default"/>
        </w:rPr>
        <w:t>5,923.61 </w:t>
      </w:r>
      <w:r>
        <w:rPr/>
        <w:t>万元，增长</w:t>
      </w:r>
      <w:r>
        <w:rPr>
          <w:spacing w:val="-20"/>
        </w:rPr>
        <w:t> </w:t>
      </w:r>
      <w:r>
        <w:rPr>
          <w:rFonts w:ascii="Times New Roman" w:hAnsi="Times New Roman" w:cs="Times New Roman" w:eastAsia="Times New Roman" w:hint="default"/>
          <w:spacing w:val="-3"/>
        </w:rPr>
        <w:t>12.22%</w:t>
      </w:r>
      <w:r>
        <w:rPr>
          <w:spacing w:val="-3"/>
        </w:rPr>
        <w:t>，主要原因系报告期内公司募集资金现金管理赎回增加</w:t>
      </w:r>
      <w:r>
        <w:rPr>
          <w:w w:val="101"/>
        </w:rPr>
        <w:t> </w:t>
      </w:r>
      <w:r>
        <w:rPr/>
        <w:t>所致。</w:t>
      </w:r>
    </w:p>
    <w:p>
      <w:pPr>
        <w:pStyle w:val="BodyText"/>
        <w:spacing w:line="448" w:lineRule="auto" w:before="78"/>
        <w:ind w:right="0" w:firstLine="360"/>
        <w:jc w:val="left"/>
      </w:pPr>
      <w:r>
        <w:rPr>
          <w:spacing w:val="-3"/>
        </w:rPr>
        <w:t>报告期内，投资活动现金流出增加 </w:t>
      </w:r>
      <w:r>
        <w:rPr>
          <w:rFonts w:ascii="Times New Roman" w:hAnsi="Times New Roman" w:cs="Times New Roman" w:eastAsia="Times New Roman" w:hint="default"/>
        </w:rPr>
        <w:t>11,339.53 </w:t>
      </w:r>
      <w:r>
        <w:rPr>
          <w:spacing w:val="-5"/>
        </w:rPr>
        <w:t>万元，增长</w:t>
      </w:r>
      <w:r>
        <w:rPr>
          <w:spacing w:val="-44"/>
        </w:rPr>
        <w:t> </w:t>
      </w:r>
      <w:r>
        <w:rPr>
          <w:rFonts w:ascii="Times New Roman" w:hAnsi="Times New Roman" w:cs="Times New Roman" w:eastAsia="Times New Roman" w:hint="default"/>
          <w:spacing w:val="-3"/>
        </w:rPr>
        <w:t>26.51%</w:t>
      </w:r>
      <w:r>
        <w:rPr>
          <w:spacing w:val="-3"/>
        </w:rPr>
        <w:t>，主要原因是报告期内公司使用暂时闲置募集资金进行</w:t>
      </w:r>
      <w:r>
        <w:rPr>
          <w:w w:val="101"/>
        </w:rPr>
        <w:t> </w:t>
      </w:r>
      <w:r>
        <w:rPr>
          <w:spacing w:val="-3"/>
        </w:rPr>
        <w:t>现金管理增加所致。</w:t>
      </w:r>
    </w:p>
    <w:p>
      <w:pPr>
        <w:pStyle w:val="BodyText"/>
        <w:spacing w:line="448" w:lineRule="auto" w:before="78"/>
        <w:ind w:right="0" w:firstLine="360"/>
        <w:jc w:val="left"/>
      </w:pPr>
      <w:r>
        <w:rPr/>
        <w:t>报告期内，筹资活动现金流入增加 </w:t>
      </w:r>
      <w:r>
        <w:rPr>
          <w:rFonts w:ascii="Times New Roman" w:hAnsi="Times New Roman" w:cs="Times New Roman" w:eastAsia="Times New Roman" w:hint="default"/>
        </w:rPr>
        <w:t>3,367.36 </w:t>
      </w:r>
      <w:r>
        <w:rPr/>
        <w:t>万元，增长</w:t>
      </w:r>
      <w:r>
        <w:rPr>
          <w:spacing w:val="-62"/>
        </w:rPr>
        <w:t> </w:t>
      </w:r>
      <w:r>
        <w:rPr>
          <w:rFonts w:ascii="Times New Roman" w:hAnsi="Times New Roman" w:cs="Times New Roman" w:eastAsia="Times New Roman" w:hint="default"/>
          <w:spacing w:val="-3"/>
        </w:rPr>
        <w:t>8.58%</w:t>
      </w:r>
      <w:r>
        <w:rPr>
          <w:spacing w:val="-3"/>
        </w:rPr>
        <w:t>，主要原因系报告期内公司取得一年内的银行信用借款</w:t>
      </w:r>
      <w:r>
        <w:rPr>
          <w:w w:val="101"/>
        </w:rPr>
        <w:t> </w:t>
      </w:r>
      <w:r>
        <w:rPr/>
        <w:t>较上期增加所致。</w:t>
      </w:r>
    </w:p>
    <w:p>
      <w:pPr>
        <w:pStyle w:val="BodyText"/>
        <w:spacing w:line="448" w:lineRule="auto" w:before="78"/>
        <w:ind w:right="0" w:firstLine="360"/>
        <w:jc w:val="left"/>
      </w:pPr>
      <w:r>
        <w:rPr>
          <w:spacing w:val="-3"/>
        </w:rPr>
        <w:t>报告期内，筹资活动现金流出增加 </w:t>
      </w:r>
      <w:r>
        <w:rPr>
          <w:rFonts w:ascii="Times New Roman" w:hAnsi="Times New Roman" w:cs="Times New Roman" w:eastAsia="Times New Roman" w:hint="default"/>
        </w:rPr>
        <w:t>1,452.25 </w:t>
      </w:r>
      <w:r>
        <w:rPr>
          <w:spacing w:val="-5"/>
        </w:rPr>
        <w:t>万元，增长</w:t>
      </w:r>
      <w:r>
        <w:rPr>
          <w:spacing w:val="-21"/>
        </w:rPr>
        <w:t> </w:t>
      </w:r>
      <w:r>
        <w:rPr>
          <w:rFonts w:ascii="Times New Roman" w:hAnsi="Times New Roman" w:cs="Times New Roman" w:eastAsia="Times New Roman" w:hint="default"/>
          <w:spacing w:val="-4"/>
        </w:rPr>
        <w:t>3.11%</w:t>
      </w:r>
      <w:r>
        <w:rPr>
          <w:spacing w:val="-4"/>
        </w:rPr>
        <w:t>，主要原因系报告期内公司股利分配以及支付银行承兑汇</w:t>
      </w:r>
      <w:r>
        <w:rPr>
          <w:w w:val="101"/>
        </w:rPr>
        <w:t> </w:t>
      </w:r>
      <w:r>
        <w:rPr>
          <w:spacing w:val="-3"/>
        </w:rPr>
        <w:t>票保证金较上期增加所致。</w:t>
      </w: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0"/>
          <w:szCs w:val="20"/>
        </w:rPr>
      </w:pPr>
    </w:p>
    <w:p>
      <w:pPr>
        <w:pStyle w:val="BodyText"/>
        <w:spacing w:line="240" w:lineRule="auto"/>
        <w:ind w:right="0"/>
        <w:jc w:val="left"/>
      </w:pPr>
      <w:r>
        <w:rPr>
          <w:spacing w:val="-3"/>
        </w:rPr>
        <w:t>报告期内公司经营活动产生的现金净流量与本年度净利润存在重大差异的原因说明</w:t>
      </w:r>
    </w:p>
    <w:p>
      <w:pPr>
        <w:pStyle w:val="BodyText"/>
        <w:spacing w:line="240" w:lineRule="auto" w:before="119"/>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9"/>
        <w:rPr>
          <w:rFonts w:ascii="宋体" w:hAnsi="宋体" w:cs="宋体" w:eastAsia="宋体" w:hint="default"/>
          <w:sz w:val="13"/>
          <w:szCs w:val="13"/>
        </w:rPr>
      </w:pPr>
    </w:p>
    <w:p>
      <w:pPr>
        <w:pStyle w:val="BodyText"/>
        <w:spacing w:line="240" w:lineRule="auto"/>
        <w:ind w:left="513" w:right="0"/>
        <w:jc w:val="left"/>
      </w:pPr>
      <w:r>
        <w:rPr>
          <w:spacing w:val="-3"/>
        </w:rPr>
        <w:t>报告期内，公司经营活动的现金流量较本年度净利润减少 </w:t>
      </w:r>
      <w:r>
        <w:rPr>
          <w:rFonts w:ascii="Times New Roman" w:hAnsi="Times New Roman" w:cs="Times New Roman" w:eastAsia="Times New Roman" w:hint="default"/>
        </w:rPr>
        <w:t>6,082.73 </w:t>
      </w:r>
      <w:r>
        <w:rPr>
          <w:rFonts w:ascii="Times New Roman" w:hAnsi="Times New Roman" w:cs="Times New Roman" w:eastAsia="Times New Roman" w:hint="default"/>
          <w:spacing w:val="10"/>
        </w:rPr>
        <w:t> </w:t>
      </w:r>
      <w:r>
        <w:rPr>
          <w:spacing w:val="-3"/>
        </w:rPr>
        <w:t>万元，主要原因是：</w:t>
      </w:r>
    </w:p>
    <w:p>
      <w:pPr>
        <w:spacing w:line="240" w:lineRule="auto" w:before="12"/>
        <w:rPr>
          <w:rFonts w:ascii="宋体" w:hAnsi="宋体" w:cs="宋体" w:eastAsia="宋体" w:hint="default"/>
          <w:sz w:val="16"/>
          <w:szCs w:val="16"/>
        </w:rPr>
      </w:pPr>
    </w:p>
    <w:p>
      <w:pPr>
        <w:pStyle w:val="BodyText"/>
        <w:spacing w:line="240" w:lineRule="auto"/>
        <w:ind w:left="513" w:right="0"/>
        <w:jc w:val="left"/>
      </w:pPr>
      <w:r>
        <w:rPr>
          <w:rFonts w:ascii="Times New Roman" w:hAnsi="Times New Roman" w:cs="Times New Roman" w:eastAsia="Times New Roman" w:hint="default"/>
          <w:spacing w:val="-3"/>
        </w:rPr>
        <w:t>1</w:t>
      </w:r>
      <w:r>
        <w:rPr>
          <w:spacing w:val="-3"/>
        </w:rPr>
        <w:t>、报告期内公司子公司亿美软通预付特定电信运营商的通讯服务运营成本增加所致。</w:t>
      </w:r>
    </w:p>
    <w:p>
      <w:pPr>
        <w:spacing w:line="240" w:lineRule="auto" w:before="7"/>
        <w:rPr>
          <w:rFonts w:ascii="宋体" w:hAnsi="宋体" w:cs="宋体" w:eastAsia="宋体" w:hint="default"/>
          <w:sz w:val="16"/>
          <w:szCs w:val="16"/>
        </w:rPr>
      </w:pPr>
    </w:p>
    <w:p>
      <w:pPr>
        <w:pStyle w:val="BodyText"/>
        <w:spacing w:line="240" w:lineRule="auto"/>
        <w:ind w:left="513" w:right="0"/>
        <w:jc w:val="left"/>
      </w:pPr>
      <w:r>
        <w:rPr>
          <w:rFonts w:ascii="Times New Roman" w:hAnsi="Times New Roman" w:cs="Times New Roman" w:eastAsia="Times New Roman" w:hint="default"/>
          <w:spacing w:val="-3"/>
        </w:rPr>
        <w:t>2</w:t>
      </w:r>
      <w:r>
        <w:rPr>
          <w:spacing w:val="-3"/>
        </w:rPr>
        <w:t>、报告期内公司实现的营业收入在当期收款较少，导致公司经营活动现金流入减少所致。</w:t>
      </w:r>
    </w:p>
    <w:p>
      <w:pPr>
        <w:spacing w:line="240" w:lineRule="auto" w:before="0"/>
        <w:rPr>
          <w:rFonts w:ascii="宋体" w:hAnsi="宋体" w:cs="宋体" w:eastAsia="宋体" w:hint="default"/>
          <w:sz w:val="18"/>
          <w:szCs w:val="18"/>
        </w:rPr>
      </w:pPr>
    </w:p>
    <w:p>
      <w:pPr>
        <w:pStyle w:val="Heading2"/>
        <w:spacing w:line="240" w:lineRule="auto" w:before="151"/>
        <w:ind w:right="0"/>
        <w:jc w:val="left"/>
        <w:rPr>
          <w:b w:val="0"/>
          <w:bCs w:val="0"/>
        </w:rPr>
      </w:pPr>
      <w:bookmarkStart w:name="三、非主营业务情况" w:id="39"/>
      <w:bookmarkEnd w:id="39"/>
      <w:r>
        <w:rPr>
          <w:b w:val="0"/>
          <w:bCs w:val="0"/>
        </w:rPr>
      </w:r>
      <w:r>
        <w:rPr/>
        <w:t>三、非主营业务情况</w:t>
      </w:r>
      <w:r>
        <w:rPr>
          <w:b w:val="0"/>
          <w:bCs w:val="0"/>
        </w:rPr>
      </w:r>
    </w:p>
    <w:p>
      <w:pPr>
        <w:spacing w:line="240" w:lineRule="auto" w:before="9"/>
        <w:rPr>
          <w:rFonts w:ascii="宋体" w:hAnsi="宋体" w:cs="宋体" w:eastAsia="宋体" w:hint="default"/>
          <w:b/>
          <w:bCs/>
          <w:sz w:val="23"/>
          <w:szCs w:val="23"/>
        </w:rPr>
      </w:pPr>
    </w:p>
    <w:p>
      <w:pPr>
        <w:pStyle w:val="BodyText"/>
        <w:spacing w:line="240" w:lineRule="auto" w:before="46"/>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pStyle w:val="BodyText"/>
        <w:spacing w:line="240" w:lineRule="auto" w:before="106"/>
        <w:ind w:left="0" w:right="1122"/>
        <w:jc w:val="right"/>
      </w:pPr>
      <w:r>
        <w:rPr>
          <w:spacing w:val="-2"/>
        </w:rPr>
        <w:t>单位：元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501"/>
        <w:gridCol w:w="1926"/>
        <w:gridCol w:w="1628"/>
        <w:gridCol w:w="2166"/>
        <w:gridCol w:w="2338"/>
      </w:tblGrid>
      <w:tr>
        <w:trPr>
          <w:trHeight w:val="403" w:hRule="exact"/>
        </w:trPr>
        <w:tc>
          <w:tcPr>
            <w:tcW w:w="150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4"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6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82" w:right="0"/>
              <w:jc w:val="left"/>
              <w:rPr>
                <w:rFonts w:ascii="宋体" w:hAnsi="宋体" w:cs="宋体" w:eastAsia="宋体" w:hint="default"/>
                <w:sz w:val="18"/>
                <w:szCs w:val="18"/>
              </w:rPr>
            </w:pPr>
            <w:r>
              <w:rPr>
                <w:rFonts w:ascii="宋体" w:hAnsi="宋体" w:cs="宋体" w:eastAsia="宋体" w:hint="default"/>
                <w:spacing w:val="-3"/>
                <w:sz w:val="18"/>
                <w:szCs w:val="18"/>
              </w:rPr>
              <w:t>占利润总额比例</w:t>
            </w:r>
          </w:p>
        </w:tc>
        <w:tc>
          <w:tcPr>
            <w:tcW w:w="2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37" w:right="0"/>
              <w:jc w:val="left"/>
              <w:rPr>
                <w:rFonts w:ascii="宋体" w:hAnsi="宋体" w:cs="宋体" w:eastAsia="宋体" w:hint="default"/>
                <w:sz w:val="18"/>
                <w:szCs w:val="18"/>
              </w:rPr>
            </w:pPr>
            <w:r>
              <w:rPr>
                <w:rFonts w:ascii="宋体" w:hAnsi="宋体" w:cs="宋体" w:eastAsia="宋体" w:hint="default"/>
                <w:sz w:val="18"/>
                <w:szCs w:val="18"/>
              </w:rPr>
              <w:t>形成原因说明</w:t>
            </w:r>
          </w:p>
        </w:tc>
        <w:tc>
          <w:tcPr>
            <w:tcW w:w="23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46" w:right="0"/>
              <w:jc w:val="left"/>
              <w:rPr>
                <w:rFonts w:ascii="宋体" w:hAnsi="宋体" w:cs="宋体" w:eastAsia="宋体" w:hint="default"/>
                <w:sz w:val="18"/>
                <w:szCs w:val="18"/>
              </w:rPr>
            </w:pPr>
            <w:r>
              <w:rPr>
                <w:rFonts w:ascii="宋体" w:hAnsi="宋体" w:cs="宋体" w:eastAsia="宋体" w:hint="default"/>
                <w:sz w:val="18"/>
                <w:szCs w:val="18"/>
              </w:rPr>
              <w:t>是否具有可持续性</w:t>
            </w:r>
          </w:p>
        </w:tc>
      </w:tr>
      <w:tr>
        <w:trPr>
          <w:trHeight w:val="399" w:hRule="exact"/>
        </w:trPr>
        <w:tc>
          <w:tcPr>
            <w:tcW w:w="15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z w:val="18"/>
                <w:szCs w:val="18"/>
              </w:rPr>
              <w:t>投资收益</w:t>
            </w:r>
          </w:p>
        </w:tc>
        <w:tc>
          <w:tcPr>
            <w:tcW w:w="192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-17,004,282.14</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-386.37%</w:t>
            </w:r>
          </w:p>
        </w:tc>
        <w:tc>
          <w:tcPr>
            <w:tcW w:w="2166" w:type="dxa"/>
            <w:tcBorders>
              <w:top w:val="single" w:sz="4" w:space="0" w:color="000000"/>
              <w:left w:val="single" w:sz="4" w:space="0" w:color="000000"/>
              <w:bottom w:val="single" w:sz="4" w:space="0" w:color="000000"/>
              <w:right w:val="single" w:sz="10" w:space="0" w:color="FFFFFF"/>
            </w:tcBorders>
          </w:tcPr>
          <w:p>
            <w:pPr>
              <w:pStyle w:val="TableParagraph"/>
              <w:spacing w:line="240" w:lineRule="auto" w:before="54"/>
              <w:ind w:left="23" w:right="-41"/>
              <w:jc w:val="left"/>
              <w:rPr>
                <w:rFonts w:ascii="宋体" w:hAnsi="宋体" w:cs="宋体" w:eastAsia="宋体" w:hint="default"/>
                <w:sz w:val="18"/>
                <w:szCs w:val="18"/>
              </w:rPr>
            </w:pPr>
            <w:r>
              <w:rPr>
                <w:rFonts w:ascii="宋体" w:hAnsi="宋体" w:cs="宋体" w:eastAsia="宋体" w:hint="default"/>
                <w:spacing w:val="-3"/>
                <w:sz w:val="18"/>
                <w:szCs w:val="18"/>
              </w:rPr>
              <w:t>公司对外投资形成的损益。</w:t>
            </w:r>
          </w:p>
        </w:tc>
        <w:tc>
          <w:tcPr>
            <w:tcW w:w="2338" w:type="dxa"/>
            <w:tcBorders>
              <w:top w:val="single" w:sz="4" w:space="0" w:color="000000"/>
              <w:left w:val="single" w:sz="10" w:space="0" w:color="FFFFFF"/>
              <w:bottom w:val="single" w:sz="4" w:space="0" w:color="000000"/>
              <w:right w:val="single" w:sz="4" w:space="0" w:color="000000"/>
            </w:tcBorders>
          </w:tcPr>
          <w:p>
            <w:pPr>
              <w:pStyle w:val="TableParagraph"/>
              <w:spacing w:line="240" w:lineRule="auto" w:before="54"/>
              <w:ind w:left="16"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403" w:hRule="exact"/>
        </w:trPr>
        <w:tc>
          <w:tcPr>
            <w:tcW w:w="15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公允价值变动损益</w:t>
            </w:r>
          </w:p>
        </w:tc>
        <w:tc>
          <w:tcPr>
            <w:tcW w:w="192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-50,455.50</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-1.15%</w:t>
            </w:r>
          </w:p>
        </w:tc>
        <w:tc>
          <w:tcPr>
            <w:tcW w:w="2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远期外汇交易</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bl>
    <w:p>
      <w:pPr>
        <w:spacing w:after="0" w:line="240" w:lineRule="auto"/>
        <w:jc w:val="left"/>
        <w:rPr>
          <w:rFonts w:ascii="宋体" w:hAnsi="宋体" w:cs="宋体" w:eastAsia="宋体" w:hint="default"/>
          <w:sz w:val="18"/>
          <w:szCs w:val="18"/>
        </w:rPr>
        <w:sectPr>
          <w:pgSz w:w="11910" w:h="16840"/>
          <w:pgMar w:header="871" w:footer="1186" w:top="1100" w:bottom="1380" w:left="980" w:right="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1522"/>
        <w:gridCol w:w="1916"/>
        <w:gridCol w:w="1628"/>
        <w:gridCol w:w="2166"/>
        <w:gridCol w:w="2338"/>
      </w:tblGrid>
      <w:tr>
        <w:trPr>
          <w:trHeight w:val="403" w:hRule="exact"/>
        </w:trPr>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资产减值</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-801,245.61</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-18.21%</w:t>
            </w:r>
          </w:p>
        </w:tc>
        <w:tc>
          <w:tcPr>
            <w:tcW w:w="2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存货所计提的减值准备。</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1023" w:hRule="exact"/>
        </w:trPr>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3"/>
                <w:sz w:val="18"/>
              </w:rPr>
              <w:t>123,111.14</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2.80%</w:t>
            </w:r>
          </w:p>
        </w:tc>
        <w:tc>
          <w:tcPr>
            <w:tcW w:w="21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3" w:right="147"/>
              <w:jc w:val="both"/>
              <w:rPr>
                <w:rFonts w:ascii="宋体" w:hAnsi="宋体" w:cs="宋体" w:eastAsia="宋体" w:hint="default"/>
                <w:sz w:val="18"/>
                <w:szCs w:val="18"/>
              </w:rPr>
            </w:pPr>
            <w:r>
              <w:rPr>
                <w:rFonts w:ascii="宋体" w:hAnsi="宋体" w:cs="宋体" w:eastAsia="宋体" w:hint="default"/>
                <w:spacing w:val="-3"/>
                <w:sz w:val="18"/>
                <w:szCs w:val="18"/>
              </w:rPr>
              <w:t>电商平台货物丢失赔偿款</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pacing w:val="-3"/>
                <w:sz w:val="18"/>
                <w:szCs w:val="18"/>
              </w:rPr>
              <w:t>及其他与企业经营无直接</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z w:val="18"/>
                <w:szCs w:val="18"/>
              </w:rPr>
              <w:t>联系的收入。</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1027" w:hRule="exact"/>
        </w:trPr>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5"/>
              <w:ind w:left="24" w:right="0"/>
              <w:jc w:val="left"/>
              <w:rPr>
                <w:rFonts w:ascii="宋体" w:hAnsi="宋体" w:cs="宋体" w:eastAsia="宋体" w:hint="default"/>
                <w:sz w:val="18"/>
                <w:szCs w:val="18"/>
              </w:rPr>
            </w:pPr>
            <w:r>
              <w:rPr>
                <w:rFonts w:ascii="宋体" w:hAnsi="宋体" w:cs="宋体" w:eastAsia="宋体" w:hint="default"/>
                <w:sz w:val="18"/>
                <w:szCs w:val="18"/>
              </w:rPr>
              <w:t>营业外支出</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599,928.97</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13.63%</w:t>
            </w:r>
          </w:p>
        </w:tc>
        <w:tc>
          <w:tcPr>
            <w:tcW w:w="21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23" w:right="147"/>
              <w:jc w:val="both"/>
              <w:rPr>
                <w:rFonts w:ascii="宋体" w:hAnsi="宋体" w:cs="宋体" w:eastAsia="宋体" w:hint="default"/>
                <w:sz w:val="18"/>
                <w:szCs w:val="18"/>
              </w:rPr>
            </w:pPr>
            <w:r>
              <w:rPr>
                <w:rFonts w:ascii="宋体" w:hAnsi="宋体" w:cs="宋体" w:eastAsia="宋体" w:hint="default"/>
                <w:spacing w:val="-3"/>
                <w:sz w:val="18"/>
                <w:szCs w:val="18"/>
              </w:rPr>
              <w:t>无法收回的房屋租赁押金</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pacing w:val="-3"/>
                <w:sz w:val="18"/>
                <w:szCs w:val="18"/>
              </w:rPr>
              <w:t>及其他与企业经营无直接</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z w:val="18"/>
                <w:szCs w:val="18"/>
              </w:rPr>
              <w:t>联系的支出。</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5"/>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6" w:hRule="exact"/>
        </w:trPr>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信用减值损失</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-15,542,518.98</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-353.16%</w:t>
            </w:r>
          </w:p>
        </w:tc>
        <w:tc>
          <w:tcPr>
            <w:tcW w:w="2166" w:type="dxa"/>
            <w:tcBorders>
              <w:top w:val="single" w:sz="4" w:space="0" w:color="000000"/>
              <w:left w:val="single" w:sz="4" w:space="0" w:color="000000"/>
              <w:bottom w:val="single" w:sz="4" w:space="0" w:color="000000"/>
              <w:right w:val="single" w:sz="4" w:space="0" w:color="000000"/>
            </w:tcBorders>
          </w:tcPr>
          <w:p>
            <w:pPr>
              <w:pStyle w:val="TableParagraph"/>
              <w:spacing w:line="324" w:lineRule="auto" w:before="53"/>
              <w:ind w:left="23" w:right="147"/>
              <w:jc w:val="left"/>
              <w:rPr>
                <w:rFonts w:ascii="宋体" w:hAnsi="宋体" w:cs="宋体" w:eastAsia="宋体" w:hint="default"/>
                <w:sz w:val="18"/>
                <w:szCs w:val="18"/>
              </w:rPr>
            </w:pPr>
            <w:r>
              <w:rPr>
                <w:rFonts w:ascii="宋体" w:hAnsi="宋体" w:cs="宋体" w:eastAsia="宋体" w:hint="default"/>
                <w:spacing w:val="-3"/>
                <w:sz w:val="18"/>
                <w:szCs w:val="18"/>
              </w:rPr>
              <w:t>应收及其他应收款项计提</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z w:val="18"/>
                <w:szCs w:val="18"/>
              </w:rPr>
              <w:t>的减值准备。</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bl>
    <w:p>
      <w:pPr>
        <w:spacing w:line="240" w:lineRule="auto" w:before="9"/>
        <w:rPr>
          <w:rFonts w:ascii="宋体" w:hAnsi="宋体" w:cs="宋体" w:eastAsia="宋体" w:hint="default"/>
          <w:sz w:val="17"/>
          <w:szCs w:val="17"/>
        </w:rPr>
      </w:pPr>
    </w:p>
    <w:p>
      <w:pPr>
        <w:pStyle w:val="Heading2"/>
        <w:spacing w:line="240" w:lineRule="auto" w:before="26"/>
        <w:ind w:right="0"/>
        <w:jc w:val="left"/>
        <w:rPr>
          <w:b w:val="0"/>
          <w:bCs w:val="0"/>
        </w:rPr>
      </w:pPr>
      <w:bookmarkStart w:name="四、资产及负债状况" w:id="40"/>
      <w:bookmarkEnd w:id="40"/>
      <w:r>
        <w:rPr>
          <w:b w:val="0"/>
          <w:bCs w:val="0"/>
        </w:rPr>
      </w:r>
      <w:r>
        <w:rPr/>
        <w:t>四、资产及负债状况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left"/>
        <w:rPr>
          <w:b w:val="0"/>
          <w:bCs w:val="0"/>
        </w:rPr>
      </w:pPr>
      <w:bookmarkStart w:name="1、资产构成重大变动情况" w:id="41"/>
      <w:bookmarkEnd w:id="41"/>
      <w:r>
        <w:rPr>
          <w:b w:val="0"/>
          <w:bCs w:val="0"/>
        </w:rPr>
      </w:r>
      <w:r>
        <w:rPr>
          <w:rFonts w:ascii="Times New Roman" w:hAnsi="Times New Roman" w:cs="Times New Roman" w:eastAsia="Times New Roman" w:hint="default"/>
        </w:rPr>
        <w:t>1</w:t>
      </w:r>
      <w:r>
        <w:rPr/>
        <w:t>、资产构成重大变动情况</w:t>
      </w:r>
      <w:r>
        <w:rPr>
          <w:b w:val="0"/>
          <w:bCs w:val="0"/>
        </w:rPr>
      </w:r>
    </w:p>
    <w:p>
      <w:pPr>
        <w:spacing w:line="240" w:lineRule="auto" w:before="7"/>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871" w:footer="1186" w:top="1100" w:bottom="1380" w:left="980" w:right="0"/>
        </w:sectPr>
      </w:pPr>
    </w:p>
    <w:p>
      <w:pPr>
        <w:pStyle w:val="BodyText"/>
        <w:spacing w:line="240" w:lineRule="auto" w:before="46"/>
        <w:ind w:right="-14"/>
        <w:jc w:val="left"/>
      </w:pPr>
      <w:r>
        <w:rPr/>
        <w:t>公司 </w:t>
      </w:r>
      <w:r>
        <w:rPr>
          <w:rFonts w:ascii="Times New Roman" w:hAnsi="Times New Roman" w:cs="Times New Roman" w:eastAsia="Times New Roman" w:hint="default"/>
        </w:rPr>
        <w:t>2019 </w:t>
      </w:r>
      <w:r>
        <w:rPr>
          <w:rFonts w:ascii="Times New Roman" w:hAnsi="Times New Roman" w:cs="Times New Roman" w:eastAsia="Times New Roman" w:hint="default"/>
          <w:spacing w:val="37"/>
        </w:rPr>
        <w:t> </w:t>
      </w:r>
      <w:r>
        <w:rPr>
          <w:spacing w:val="-3"/>
        </w:rPr>
        <w:t>年起首次执行新金融工具准则、新收入准则或新租赁准则且调整执行当年年初财务报表相关项目</w:t>
      </w:r>
    </w:p>
    <w:p>
      <w:pPr>
        <w:pStyle w:val="BodyText"/>
        <w:spacing w:line="240" w:lineRule="auto" w:before="101"/>
        <w:ind w:right="-14"/>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pStyle w:val="BodyText"/>
        <w:spacing w:line="240" w:lineRule="auto"/>
        <w:ind w:right="0"/>
        <w:jc w:val="left"/>
      </w:pPr>
      <w:r>
        <w:rPr/>
        <w:t>单位：元</w:t>
      </w:r>
    </w:p>
    <w:p>
      <w:pPr>
        <w:spacing w:after="0" w:line="240" w:lineRule="auto"/>
        <w:jc w:val="left"/>
        <w:sectPr>
          <w:type w:val="continuous"/>
          <w:pgSz w:w="11910" w:h="16840"/>
          <w:pgMar w:top="1580" w:bottom="700" w:left="980" w:right="0"/>
          <w:cols w:num="2" w:equalWidth="0">
            <w:col w:w="8531" w:space="390"/>
            <w:col w:w="2009"/>
          </w:cols>
        </w:sectPr>
      </w:pP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357"/>
        <w:gridCol w:w="1167"/>
        <w:gridCol w:w="1061"/>
        <w:gridCol w:w="1196"/>
        <w:gridCol w:w="1061"/>
        <w:gridCol w:w="802"/>
        <w:gridCol w:w="2920"/>
      </w:tblGrid>
      <w:tr>
        <w:trPr>
          <w:trHeight w:val="382" w:hRule="exact"/>
        </w:trPr>
        <w:tc>
          <w:tcPr>
            <w:tcW w:w="1357" w:type="dxa"/>
            <w:tcBorders>
              <w:top w:val="single" w:sz="4" w:space="0" w:color="000000"/>
              <w:left w:val="single" w:sz="4" w:space="0" w:color="000000"/>
              <w:bottom w:val="single" w:sz="14" w:space="0" w:color="FFFFFF"/>
              <w:right w:val="single" w:sz="4" w:space="0" w:color="000000"/>
            </w:tcBorders>
            <w:shd w:val="clear" w:color="auto" w:fill="D2D2D2"/>
          </w:tcPr>
          <w:p>
            <w:pPr/>
          </w:p>
        </w:tc>
        <w:tc>
          <w:tcPr>
            <w:tcW w:w="2228" w:type="dxa"/>
            <w:gridSpan w:val="2"/>
            <w:tcBorders>
              <w:top w:val="single" w:sz="4" w:space="0" w:color="000000"/>
              <w:left w:val="single" w:sz="4" w:space="0" w:color="000000"/>
              <w:bottom w:val="single" w:sz="14" w:space="0" w:color="FFFFFF"/>
              <w:right w:val="single" w:sz="4" w:space="0" w:color="000000"/>
            </w:tcBorders>
            <w:shd w:val="clear" w:color="auto" w:fill="D2D2D2"/>
          </w:tcPr>
          <w:p>
            <w:pPr>
              <w:pStyle w:val="TableParagraph"/>
              <w:spacing w:line="240" w:lineRule="auto" w:before="53"/>
              <w:ind w:left="72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7"/>
                <w:sz w:val="18"/>
                <w:szCs w:val="18"/>
              </w:rPr>
              <w:t> </w:t>
            </w:r>
            <w:r>
              <w:rPr>
                <w:rFonts w:ascii="宋体" w:hAnsi="宋体" w:cs="宋体" w:eastAsia="宋体" w:hint="default"/>
                <w:spacing w:val="-5"/>
                <w:sz w:val="18"/>
                <w:szCs w:val="18"/>
              </w:rPr>
              <w:t>年末</w:t>
            </w:r>
            <w:r>
              <w:rPr>
                <w:rFonts w:ascii="宋体" w:hAnsi="宋体" w:cs="宋体" w:eastAsia="宋体" w:hint="default"/>
                <w:sz w:val="18"/>
                <w:szCs w:val="18"/>
              </w:rPr>
            </w:r>
          </w:p>
        </w:tc>
        <w:tc>
          <w:tcPr>
            <w:tcW w:w="2257" w:type="dxa"/>
            <w:gridSpan w:val="2"/>
            <w:tcBorders>
              <w:top w:val="single" w:sz="4" w:space="0" w:color="000000"/>
              <w:left w:val="single" w:sz="4" w:space="0" w:color="000000"/>
              <w:bottom w:val="single" w:sz="14" w:space="0" w:color="FFFFFF"/>
              <w:right w:val="single" w:sz="4" w:space="0" w:color="000000"/>
            </w:tcBorders>
            <w:shd w:val="clear" w:color="auto" w:fill="D2D2D2"/>
          </w:tcPr>
          <w:p>
            <w:pPr>
              <w:pStyle w:val="TableParagraph"/>
              <w:spacing w:line="240" w:lineRule="auto" w:before="53"/>
              <w:ind w:left="74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7"/>
                <w:sz w:val="18"/>
                <w:szCs w:val="18"/>
              </w:rPr>
              <w:t> </w:t>
            </w:r>
            <w:r>
              <w:rPr>
                <w:rFonts w:ascii="宋体" w:hAnsi="宋体" w:cs="宋体" w:eastAsia="宋体" w:hint="default"/>
                <w:spacing w:val="-5"/>
                <w:sz w:val="18"/>
                <w:szCs w:val="18"/>
              </w:rPr>
              <w:t>年初</w:t>
            </w:r>
            <w:r>
              <w:rPr>
                <w:rFonts w:ascii="宋体" w:hAnsi="宋体" w:cs="宋体" w:eastAsia="宋体" w:hint="default"/>
                <w:sz w:val="18"/>
                <w:szCs w:val="18"/>
              </w:rPr>
            </w:r>
          </w:p>
        </w:tc>
        <w:tc>
          <w:tcPr>
            <w:tcW w:w="802" w:type="dxa"/>
            <w:tcBorders>
              <w:top w:val="single" w:sz="4" w:space="0" w:color="000000"/>
              <w:left w:val="single" w:sz="4" w:space="0" w:color="000000"/>
              <w:bottom w:val="single" w:sz="14" w:space="0" w:color="FFFFFF"/>
              <w:right w:val="single" w:sz="4" w:space="0" w:color="000000"/>
            </w:tcBorders>
            <w:shd w:val="clear" w:color="auto" w:fill="D2D2D2"/>
          </w:tcPr>
          <w:p>
            <w:pPr/>
          </w:p>
        </w:tc>
        <w:tc>
          <w:tcPr>
            <w:tcW w:w="2920" w:type="dxa"/>
            <w:tcBorders>
              <w:top w:val="single" w:sz="4" w:space="0" w:color="000000"/>
              <w:left w:val="single" w:sz="4" w:space="0" w:color="000000"/>
              <w:bottom w:val="single" w:sz="14" w:space="0" w:color="FFFFFF"/>
              <w:right w:val="single" w:sz="4" w:space="0" w:color="000000"/>
            </w:tcBorders>
            <w:shd w:val="clear" w:color="auto" w:fill="D2D2D2"/>
          </w:tcPr>
          <w:p>
            <w:pPr/>
          </w:p>
        </w:tc>
      </w:tr>
      <w:tr>
        <w:trPr>
          <w:trHeight w:val="180" w:hRule="exact"/>
        </w:trPr>
        <w:tc>
          <w:tcPr>
            <w:tcW w:w="1357" w:type="dxa"/>
            <w:vMerge w:val="restart"/>
            <w:tcBorders>
              <w:top w:val="single" w:sz="14" w:space="0" w:color="FFFFFF"/>
              <w:left w:val="single" w:sz="4" w:space="0" w:color="000000"/>
              <w:right w:val="single" w:sz="4" w:space="0" w:color="000000"/>
            </w:tcBorders>
            <w:shd w:val="clear" w:color="auto" w:fill="D2D2D2"/>
          </w:tcPr>
          <w:p>
            <w:pPr/>
          </w:p>
        </w:tc>
        <w:tc>
          <w:tcPr>
            <w:tcW w:w="1167" w:type="dxa"/>
            <w:tcBorders>
              <w:top w:val="single" w:sz="14" w:space="0" w:color="FFFFFF"/>
              <w:left w:val="single" w:sz="4" w:space="0" w:color="000000"/>
              <w:bottom w:val="nil" w:sz="6" w:space="0" w:color="auto"/>
              <w:right w:val="single" w:sz="4" w:space="0" w:color="000000"/>
            </w:tcBorders>
            <w:shd w:val="clear" w:color="auto" w:fill="D2D2D2"/>
          </w:tcPr>
          <w:p>
            <w:pPr/>
          </w:p>
        </w:tc>
        <w:tc>
          <w:tcPr>
            <w:tcW w:w="1061" w:type="dxa"/>
            <w:vMerge w:val="restart"/>
            <w:tcBorders>
              <w:top w:val="single" w:sz="14" w:space="0" w:color="FFFFFF"/>
              <w:left w:val="single" w:sz="4" w:space="0" w:color="000000"/>
              <w:right w:val="single" w:sz="4" w:space="0" w:color="000000"/>
            </w:tcBorders>
            <w:shd w:val="clear" w:color="auto" w:fill="D2D2D2"/>
          </w:tcPr>
          <w:p>
            <w:pPr>
              <w:pStyle w:val="TableParagraph"/>
              <w:spacing w:line="316" w:lineRule="auto" w:before="63"/>
              <w:ind w:left="436" w:right="70" w:hanging="360"/>
              <w:jc w:val="left"/>
              <w:rPr>
                <w:rFonts w:ascii="宋体" w:hAnsi="宋体" w:cs="宋体" w:eastAsia="宋体" w:hint="default"/>
                <w:sz w:val="18"/>
                <w:szCs w:val="18"/>
              </w:rPr>
            </w:pPr>
            <w:r>
              <w:rPr>
                <w:rFonts w:ascii="宋体" w:hAnsi="宋体" w:cs="宋体" w:eastAsia="宋体" w:hint="default"/>
                <w:spacing w:val="-2"/>
                <w:sz w:val="18"/>
                <w:szCs w:val="18"/>
              </w:rPr>
              <w:t>占总资产比</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例</w:t>
            </w:r>
          </w:p>
        </w:tc>
        <w:tc>
          <w:tcPr>
            <w:tcW w:w="1196" w:type="dxa"/>
            <w:tcBorders>
              <w:top w:val="single" w:sz="14" w:space="0" w:color="FFFFFF"/>
              <w:left w:val="single" w:sz="4" w:space="0" w:color="000000"/>
              <w:bottom w:val="nil" w:sz="6" w:space="0" w:color="auto"/>
              <w:right w:val="single" w:sz="4" w:space="0" w:color="000000"/>
            </w:tcBorders>
            <w:shd w:val="clear" w:color="auto" w:fill="D2D2D2"/>
          </w:tcPr>
          <w:p>
            <w:pPr/>
          </w:p>
        </w:tc>
        <w:tc>
          <w:tcPr>
            <w:tcW w:w="1061" w:type="dxa"/>
            <w:vMerge w:val="restart"/>
            <w:tcBorders>
              <w:top w:val="single" w:sz="14" w:space="0" w:color="FFFFFF"/>
              <w:left w:val="single" w:sz="4" w:space="0" w:color="000000"/>
              <w:right w:val="single" w:sz="4" w:space="0" w:color="000000"/>
            </w:tcBorders>
            <w:shd w:val="clear" w:color="auto" w:fill="D2D2D2"/>
          </w:tcPr>
          <w:p>
            <w:pPr>
              <w:pStyle w:val="TableParagraph"/>
              <w:spacing w:line="316" w:lineRule="auto" w:before="63"/>
              <w:ind w:left="436" w:right="70" w:hanging="360"/>
              <w:jc w:val="left"/>
              <w:rPr>
                <w:rFonts w:ascii="宋体" w:hAnsi="宋体" w:cs="宋体" w:eastAsia="宋体" w:hint="default"/>
                <w:sz w:val="18"/>
                <w:szCs w:val="18"/>
              </w:rPr>
            </w:pPr>
            <w:r>
              <w:rPr>
                <w:rFonts w:ascii="宋体" w:hAnsi="宋体" w:cs="宋体" w:eastAsia="宋体" w:hint="default"/>
                <w:spacing w:val="-2"/>
                <w:sz w:val="18"/>
                <w:szCs w:val="18"/>
              </w:rPr>
              <w:t>占总资产比</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例</w:t>
            </w:r>
          </w:p>
        </w:tc>
        <w:tc>
          <w:tcPr>
            <w:tcW w:w="802" w:type="dxa"/>
            <w:vMerge w:val="restart"/>
            <w:tcBorders>
              <w:top w:val="single" w:sz="14" w:space="0" w:color="FFFFFF"/>
              <w:left w:val="single" w:sz="4" w:space="0" w:color="000000"/>
              <w:right w:val="single" w:sz="4" w:space="0" w:color="000000"/>
            </w:tcBorders>
            <w:shd w:val="clear" w:color="auto" w:fill="D2D2D2"/>
          </w:tcPr>
          <w:p>
            <w:pPr>
              <w:pStyle w:val="TableParagraph"/>
              <w:spacing w:line="240" w:lineRule="auto" w:before="20"/>
              <w:ind w:left="33"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2920" w:type="dxa"/>
            <w:vMerge w:val="restart"/>
            <w:tcBorders>
              <w:top w:val="single" w:sz="14" w:space="0" w:color="FFFFFF"/>
              <w:left w:val="single" w:sz="4" w:space="0" w:color="000000"/>
              <w:right w:val="single" w:sz="4" w:space="0" w:color="000000"/>
            </w:tcBorders>
            <w:shd w:val="clear" w:color="auto" w:fill="D2D2D2"/>
          </w:tcPr>
          <w:p>
            <w:pPr>
              <w:pStyle w:val="TableParagraph"/>
              <w:spacing w:line="240" w:lineRule="auto" w:before="20"/>
              <w:ind w:left="912"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92" w:hRule="exact"/>
        </w:trPr>
        <w:tc>
          <w:tcPr>
            <w:tcW w:w="1357" w:type="dxa"/>
            <w:vMerge/>
            <w:tcBorders>
              <w:left w:val="single" w:sz="4" w:space="0" w:color="000000"/>
              <w:bottom w:val="nil" w:sz="6" w:space="0" w:color="auto"/>
              <w:right w:val="single" w:sz="4" w:space="0" w:color="000000"/>
            </w:tcBorders>
            <w:shd w:val="clear" w:color="auto" w:fill="D2D2D2"/>
          </w:tcPr>
          <w:p>
            <w:pPr/>
          </w:p>
        </w:tc>
        <w:tc>
          <w:tcPr>
            <w:tcW w:w="116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1" w:type="dxa"/>
            <w:vMerge/>
            <w:tcBorders>
              <w:left w:val="single" w:sz="4" w:space="0" w:color="000000"/>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1" w:type="dxa"/>
            <w:vMerge/>
            <w:tcBorders>
              <w:left w:val="single" w:sz="4" w:space="0" w:color="000000"/>
              <w:right w:val="single" w:sz="4" w:space="0" w:color="000000"/>
            </w:tcBorders>
            <w:shd w:val="clear" w:color="auto" w:fill="D2D2D2"/>
          </w:tcPr>
          <w:p>
            <w:pPr/>
          </w:p>
        </w:tc>
        <w:tc>
          <w:tcPr>
            <w:tcW w:w="802" w:type="dxa"/>
            <w:vMerge/>
            <w:tcBorders>
              <w:left w:val="single" w:sz="4" w:space="0" w:color="000000"/>
              <w:bottom w:val="nil" w:sz="6" w:space="0" w:color="auto"/>
              <w:right w:val="single" w:sz="4" w:space="0" w:color="000000"/>
            </w:tcBorders>
            <w:shd w:val="clear" w:color="auto" w:fill="D2D2D2"/>
          </w:tcPr>
          <w:p>
            <w:pPr/>
          </w:p>
        </w:tc>
        <w:tc>
          <w:tcPr>
            <w:tcW w:w="2920"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357" w:type="dxa"/>
            <w:vMerge w:val="restart"/>
            <w:tcBorders>
              <w:top w:val="nil" w:sz="6" w:space="0" w:color="auto"/>
              <w:left w:val="single" w:sz="4" w:space="0" w:color="000000"/>
              <w:right w:val="single" w:sz="4" w:space="0" w:color="000000"/>
            </w:tcBorders>
            <w:shd w:val="clear" w:color="auto" w:fill="D2D2D2"/>
          </w:tcPr>
          <w:p>
            <w:pPr/>
          </w:p>
        </w:tc>
        <w:tc>
          <w:tcPr>
            <w:tcW w:w="1167" w:type="dxa"/>
            <w:vMerge/>
            <w:tcBorders>
              <w:left w:val="single" w:sz="4" w:space="0" w:color="000000"/>
              <w:bottom w:val="nil" w:sz="6" w:space="0" w:color="auto"/>
              <w:right w:val="single" w:sz="4" w:space="0" w:color="000000"/>
            </w:tcBorders>
            <w:shd w:val="clear" w:color="auto" w:fill="D2D2D2"/>
          </w:tcPr>
          <w:p>
            <w:pPr/>
          </w:p>
        </w:tc>
        <w:tc>
          <w:tcPr>
            <w:tcW w:w="1061"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061" w:type="dxa"/>
            <w:vMerge/>
            <w:tcBorders>
              <w:left w:val="single" w:sz="4" w:space="0" w:color="000000"/>
              <w:right w:val="single" w:sz="4" w:space="0" w:color="000000"/>
            </w:tcBorders>
            <w:shd w:val="clear" w:color="auto" w:fill="D2D2D2"/>
          </w:tcPr>
          <w:p>
            <w:pPr/>
          </w:p>
        </w:tc>
        <w:tc>
          <w:tcPr>
            <w:tcW w:w="802" w:type="dxa"/>
            <w:vMerge w:val="restart"/>
            <w:tcBorders>
              <w:top w:val="nil" w:sz="6" w:space="0" w:color="auto"/>
              <w:left w:val="single" w:sz="4" w:space="0" w:color="000000"/>
              <w:right w:val="single" w:sz="4" w:space="0" w:color="000000"/>
            </w:tcBorders>
            <w:shd w:val="clear" w:color="auto" w:fill="D2D2D2"/>
          </w:tcPr>
          <w:p>
            <w:pPr/>
          </w:p>
        </w:tc>
        <w:tc>
          <w:tcPr>
            <w:tcW w:w="2920" w:type="dxa"/>
            <w:vMerge w:val="restart"/>
            <w:tcBorders>
              <w:top w:val="nil" w:sz="6" w:space="0" w:color="auto"/>
              <w:left w:val="single" w:sz="4" w:space="0" w:color="000000"/>
              <w:right w:val="single" w:sz="4" w:space="0" w:color="000000"/>
            </w:tcBorders>
            <w:shd w:val="clear" w:color="auto" w:fill="D2D2D2"/>
          </w:tcPr>
          <w:p>
            <w:pPr/>
          </w:p>
        </w:tc>
      </w:tr>
      <w:tr>
        <w:trPr>
          <w:trHeight w:val="163" w:hRule="exact"/>
        </w:trPr>
        <w:tc>
          <w:tcPr>
            <w:tcW w:w="1357" w:type="dxa"/>
            <w:vMerge/>
            <w:tcBorders>
              <w:left w:val="single" w:sz="4" w:space="0" w:color="000000"/>
              <w:bottom w:val="single" w:sz="4" w:space="0" w:color="000000"/>
              <w:right w:val="single" w:sz="4" w:space="0" w:color="000000"/>
            </w:tcBorders>
            <w:shd w:val="clear" w:color="auto" w:fill="D2D2D2"/>
          </w:tcPr>
          <w:p>
            <w:pPr/>
          </w:p>
        </w:tc>
        <w:tc>
          <w:tcPr>
            <w:tcW w:w="1167"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1" w:type="dxa"/>
            <w:vMerge/>
            <w:tcBorders>
              <w:left w:val="single" w:sz="4" w:space="0" w:color="000000"/>
              <w:bottom w:val="single" w:sz="4" w:space="0" w:color="000000"/>
              <w:right w:val="single" w:sz="4" w:space="0" w:color="000000"/>
            </w:tcBorders>
            <w:shd w:val="clear" w:color="auto" w:fill="D2D2D2"/>
          </w:tcPr>
          <w:p>
            <w:pPr/>
          </w:p>
        </w:tc>
        <w:tc>
          <w:tcPr>
            <w:tcW w:w="11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1" w:type="dxa"/>
            <w:vMerge/>
            <w:tcBorders>
              <w:left w:val="single" w:sz="4" w:space="0" w:color="000000"/>
              <w:bottom w:val="single" w:sz="4" w:space="0" w:color="000000"/>
              <w:right w:val="single" w:sz="4" w:space="0" w:color="000000"/>
            </w:tcBorders>
            <w:shd w:val="clear" w:color="auto" w:fill="D2D2D2"/>
          </w:tcPr>
          <w:p>
            <w:pPr/>
          </w:p>
        </w:tc>
        <w:tc>
          <w:tcPr>
            <w:tcW w:w="802" w:type="dxa"/>
            <w:vMerge/>
            <w:tcBorders>
              <w:left w:val="single" w:sz="4" w:space="0" w:color="000000"/>
              <w:bottom w:val="single" w:sz="4" w:space="0" w:color="000000"/>
              <w:right w:val="single" w:sz="4" w:space="0" w:color="000000"/>
            </w:tcBorders>
            <w:shd w:val="clear" w:color="auto" w:fill="D2D2D2"/>
          </w:tcPr>
          <w:p>
            <w:pPr/>
          </w:p>
        </w:tc>
        <w:tc>
          <w:tcPr>
            <w:tcW w:w="2920" w:type="dxa"/>
            <w:vMerge/>
            <w:tcBorders>
              <w:left w:val="single" w:sz="4" w:space="0" w:color="000000"/>
              <w:bottom w:val="single" w:sz="4" w:space="0" w:color="000000"/>
              <w:right w:val="single" w:sz="4" w:space="0" w:color="000000"/>
            </w:tcBorders>
            <w:shd w:val="clear" w:color="auto" w:fill="D2D2D2"/>
          </w:tcPr>
          <w:p>
            <w:pPr/>
          </w:p>
        </w:tc>
      </w:tr>
      <w:tr>
        <w:trPr>
          <w:trHeight w:val="470"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7" w:type="dxa"/>
            <w:vMerge w:val="restart"/>
            <w:tcBorders>
              <w:top w:val="single" w:sz="4" w:space="0" w:color="000000"/>
              <w:left w:val="single" w:sz="10"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282,192,104.7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tc>
        <w:tc>
          <w:tcPr>
            <w:tcW w:w="106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13.47%</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390,114,584.93</w:t>
            </w:r>
          </w:p>
        </w:tc>
        <w:tc>
          <w:tcPr>
            <w:tcW w:w="106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18.13%</w:t>
            </w:r>
          </w:p>
        </w:tc>
        <w:tc>
          <w:tcPr>
            <w:tcW w:w="80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244" w:right="0"/>
              <w:jc w:val="left"/>
              <w:rPr>
                <w:rFonts w:ascii="Times New Roman" w:hAnsi="Times New Roman" w:cs="Times New Roman" w:eastAsia="Times New Roman" w:hint="default"/>
                <w:sz w:val="18"/>
                <w:szCs w:val="18"/>
              </w:rPr>
            </w:pPr>
            <w:r>
              <w:rPr>
                <w:rFonts w:ascii="Times New Roman"/>
                <w:sz w:val="18"/>
              </w:rPr>
              <w:t>-4.66%</w:t>
            </w:r>
          </w:p>
        </w:tc>
        <w:tc>
          <w:tcPr>
            <w:tcW w:w="2920" w:type="dxa"/>
            <w:vMerge w:val="restart"/>
            <w:tcBorders>
              <w:top w:val="single" w:sz="4" w:space="0" w:color="000000"/>
              <w:left w:val="single" w:sz="4" w:space="0" w:color="000000"/>
              <w:right w:val="single" w:sz="4" w:space="0" w:color="000000"/>
            </w:tcBorders>
          </w:tcPr>
          <w:p>
            <w:pPr>
              <w:pStyle w:val="TableParagraph"/>
              <w:spacing w:line="319" w:lineRule="auto" w:before="53"/>
              <w:ind w:left="23" w:right="17"/>
              <w:jc w:val="left"/>
              <w:rPr>
                <w:rFonts w:ascii="宋体" w:hAnsi="宋体" w:cs="宋体" w:eastAsia="宋体" w:hint="default"/>
                <w:sz w:val="18"/>
                <w:szCs w:val="18"/>
              </w:rPr>
            </w:pPr>
            <w:r>
              <w:rPr>
                <w:rFonts w:ascii="宋体" w:hAnsi="宋体" w:cs="宋体" w:eastAsia="宋体" w:hint="default"/>
                <w:spacing w:val="-3"/>
                <w:sz w:val="18"/>
                <w:szCs w:val="18"/>
              </w:rPr>
              <w:t>主要原因系报告期内公司兑付上年</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4"/>
                <w:sz w:val="18"/>
                <w:szCs w:val="18"/>
              </w:rPr>
              <w:t>度开具的银行承兑汇票、偿还银行借</w:t>
            </w:r>
            <w:r>
              <w:rPr>
                <w:rFonts w:ascii="宋体" w:hAnsi="宋体" w:cs="宋体" w:eastAsia="宋体" w:hint="default"/>
                <w:spacing w:val="-43"/>
                <w:sz w:val="18"/>
                <w:szCs w:val="18"/>
              </w:rPr>
              <w:t> </w:t>
            </w:r>
            <w:r>
              <w:rPr>
                <w:rFonts w:ascii="宋体" w:hAnsi="宋体" w:cs="宋体" w:eastAsia="宋体" w:hint="default"/>
                <w:spacing w:val="-43"/>
                <w:sz w:val="18"/>
                <w:szCs w:val="18"/>
              </w:rPr>
            </w:r>
            <w:r>
              <w:rPr>
                <w:rFonts w:ascii="宋体" w:hAnsi="宋体" w:cs="宋体" w:eastAsia="宋体" w:hint="default"/>
                <w:spacing w:val="-4"/>
                <w:sz w:val="18"/>
                <w:szCs w:val="18"/>
              </w:rPr>
              <w:t>款、股利分配、及销售收入下降引起</w:t>
            </w:r>
            <w:r>
              <w:rPr>
                <w:rFonts w:ascii="宋体" w:hAnsi="宋体" w:cs="宋体" w:eastAsia="宋体" w:hint="default"/>
                <w:spacing w:val="-43"/>
                <w:sz w:val="18"/>
                <w:szCs w:val="18"/>
              </w:rPr>
              <w:t> </w:t>
            </w:r>
            <w:r>
              <w:rPr>
                <w:rFonts w:ascii="宋体" w:hAnsi="宋体" w:cs="宋体" w:eastAsia="宋体" w:hint="default"/>
                <w:spacing w:val="-43"/>
                <w:sz w:val="18"/>
                <w:szCs w:val="18"/>
              </w:rPr>
            </w:r>
            <w:r>
              <w:rPr>
                <w:rFonts w:ascii="宋体" w:hAnsi="宋体" w:cs="宋体" w:eastAsia="宋体" w:hint="default"/>
                <w:spacing w:val="-3"/>
                <w:sz w:val="18"/>
                <w:szCs w:val="18"/>
              </w:rPr>
              <w:t>回款减少所致。</w:t>
            </w:r>
          </w:p>
        </w:tc>
      </w:tr>
      <w:tr>
        <w:trPr>
          <w:trHeight w:val="394" w:hRule="exact"/>
        </w:trPr>
        <w:tc>
          <w:tcPr>
            <w:tcW w:w="135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167" w:type="dxa"/>
            <w:vMerge/>
            <w:tcBorders>
              <w:left w:val="single" w:sz="10" w:space="0" w:color="D2D2D2"/>
              <w:right w:val="single" w:sz="4" w:space="0" w:color="000000"/>
            </w:tcBorders>
          </w:tcPr>
          <w:p>
            <w:pPr/>
          </w:p>
        </w:tc>
        <w:tc>
          <w:tcPr>
            <w:tcW w:w="1061"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1" w:type="dxa"/>
            <w:vMerge/>
            <w:tcBorders>
              <w:left w:val="single" w:sz="4" w:space="0" w:color="000000"/>
              <w:right w:val="single" w:sz="4" w:space="0" w:color="000000"/>
            </w:tcBorders>
          </w:tcPr>
          <w:p>
            <w:pPr/>
          </w:p>
        </w:tc>
        <w:tc>
          <w:tcPr>
            <w:tcW w:w="802" w:type="dxa"/>
            <w:vMerge/>
            <w:tcBorders>
              <w:left w:val="single" w:sz="4" w:space="0" w:color="000000"/>
              <w:right w:val="single" w:sz="4" w:space="0" w:color="000000"/>
            </w:tcBorders>
          </w:tcPr>
          <w:p>
            <w:pPr/>
          </w:p>
        </w:tc>
        <w:tc>
          <w:tcPr>
            <w:tcW w:w="2920" w:type="dxa"/>
            <w:vMerge/>
            <w:tcBorders>
              <w:left w:val="single" w:sz="4" w:space="0" w:color="000000"/>
              <w:right w:val="single" w:sz="4" w:space="0" w:color="000000"/>
            </w:tcBorders>
          </w:tcPr>
          <w:p>
            <w:pPr/>
          </w:p>
        </w:tc>
      </w:tr>
      <w:tr>
        <w:trPr>
          <w:trHeight w:val="471"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7" w:type="dxa"/>
            <w:vMerge/>
            <w:tcBorders>
              <w:left w:val="single" w:sz="10" w:space="0" w:color="D2D2D2"/>
              <w:bottom w:val="single" w:sz="4" w:space="0" w:color="000000"/>
              <w:right w:val="single" w:sz="4" w:space="0" w:color="000000"/>
            </w:tcBorders>
          </w:tcPr>
          <w:p>
            <w:pPr/>
          </w:p>
        </w:tc>
        <w:tc>
          <w:tcPr>
            <w:tcW w:w="1061"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1" w:type="dxa"/>
            <w:vMerge/>
            <w:tcBorders>
              <w:left w:val="single" w:sz="4" w:space="0" w:color="000000"/>
              <w:bottom w:val="single" w:sz="4" w:space="0" w:color="000000"/>
              <w:right w:val="single" w:sz="4" w:space="0" w:color="000000"/>
            </w:tcBorders>
          </w:tcPr>
          <w:p>
            <w:pPr/>
          </w:p>
        </w:tc>
        <w:tc>
          <w:tcPr>
            <w:tcW w:w="802" w:type="dxa"/>
            <w:vMerge/>
            <w:tcBorders>
              <w:left w:val="single" w:sz="4" w:space="0" w:color="000000"/>
              <w:bottom w:val="single" w:sz="4" w:space="0" w:color="000000"/>
              <w:right w:val="single" w:sz="4" w:space="0" w:color="000000"/>
            </w:tcBorders>
          </w:tcPr>
          <w:p>
            <w:pPr/>
          </w:p>
        </w:tc>
        <w:tc>
          <w:tcPr>
            <w:tcW w:w="2920" w:type="dxa"/>
            <w:vMerge/>
            <w:tcBorders>
              <w:left w:val="single" w:sz="4" w:space="0" w:color="000000"/>
              <w:bottom w:val="single" w:sz="4" w:space="0" w:color="000000"/>
              <w:right w:val="single" w:sz="4" w:space="0" w:color="000000"/>
            </w:tcBorders>
          </w:tcPr>
          <w:p>
            <w:pPr/>
          </w:p>
        </w:tc>
      </w:tr>
      <w:tr>
        <w:trPr>
          <w:trHeight w:val="163"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7" w:type="dxa"/>
            <w:vMerge w:val="restart"/>
            <w:tcBorders>
              <w:top w:val="single" w:sz="4" w:space="0" w:color="000000"/>
              <w:left w:val="single" w:sz="10" w:space="0" w:color="D2D2D2"/>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406,195,706.4</w:t>
            </w:r>
          </w:p>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tc>
        <w:tc>
          <w:tcPr>
            <w:tcW w:w="1061"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19.39%</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382,283,310.31</w:t>
            </w:r>
          </w:p>
        </w:tc>
        <w:tc>
          <w:tcPr>
            <w:tcW w:w="1061"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17.76%</w:t>
            </w:r>
          </w:p>
        </w:tc>
        <w:tc>
          <w:tcPr>
            <w:tcW w:w="802"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302" w:right="0"/>
              <w:jc w:val="left"/>
              <w:rPr>
                <w:rFonts w:ascii="Times New Roman" w:hAnsi="Times New Roman" w:cs="Times New Roman" w:eastAsia="Times New Roman" w:hint="default"/>
                <w:sz w:val="18"/>
                <w:szCs w:val="18"/>
              </w:rPr>
            </w:pPr>
            <w:r>
              <w:rPr>
                <w:rFonts w:ascii="Times New Roman"/>
                <w:sz w:val="18"/>
              </w:rPr>
              <w:t>1.63%</w:t>
            </w:r>
          </w:p>
        </w:tc>
        <w:tc>
          <w:tcPr>
            <w:tcW w:w="2920" w:type="dxa"/>
            <w:vMerge w:val="restart"/>
            <w:tcBorders>
              <w:top w:val="single" w:sz="4" w:space="0" w:color="000000"/>
              <w:left w:val="single" w:sz="4" w:space="0" w:color="000000"/>
              <w:right w:val="single" w:sz="4" w:space="0" w:color="000000"/>
            </w:tcBorders>
          </w:tcPr>
          <w:p>
            <w:pPr>
              <w:pStyle w:val="TableParagraph"/>
              <w:spacing w:line="321" w:lineRule="auto" w:before="53"/>
              <w:ind w:left="23" w:right="182"/>
              <w:jc w:val="left"/>
              <w:rPr>
                <w:rFonts w:ascii="宋体" w:hAnsi="宋体" w:cs="宋体" w:eastAsia="宋体" w:hint="default"/>
                <w:sz w:val="18"/>
                <w:szCs w:val="18"/>
              </w:rPr>
            </w:pPr>
            <w:r>
              <w:rPr>
                <w:rFonts w:ascii="宋体" w:hAnsi="宋体" w:cs="宋体" w:eastAsia="宋体" w:hint="default"/>
                <w:spacing w:val="-3"/>
                <w:sz w:val="18"/>
                <w:szCs w:val="18"/>
              </w:rPr>
              <w:t>主要原因系公司子公司亿美软通移</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3"/>
                <w:sz w:val="18"/>
                <w:szCs w:val="18"/>
              </w:rPr>
              <w:t>动信息服务业务增长所致。</w:t>
            </w:r>
          </w:p>
        </w:tc>
      </w:tr>
      <w:tr>
        <w:trPr>
          <w:trHeight w:val="394" w:hRule="exact"/>
        </w:trPr>
        <w:tc>
          <w:tcPr>
            <w:tcW w:w="135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167" w:type="dxa"/>
            <w:vMerge/>
            <w:tcBorders>
              <w:left w:val="single" w:sz="10" w:space="0" w:color="D2D2D2"/>
              <w:right w:val="single" w:sz="4" w:space="0" w:color="000000"/>
            </w:tcBorders>
          </w:tcPr>
          <w:p>
            <w:pPr/>
          </w:p>
        </w:tc>
        <w:tc>
          <w:tcPr>
            <w:tcW w:w="1061"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1" w:type="dxa"/>
            <w:vMerge/>
            <w:tcBorders>
              <w:left w:val="single" w:sz="4" w:space="0" w:color="000000"/>
              <w:right w:val="single" w:sz="4" w:space="0" w:color="000000"/>
            </w:tcBorders>
          </w:tcPr>
          <w:p>
            <w:pPr/>
          </w:p>
        </w:tc>
        <w:tc>
          <w:tcPr>
            <w:tcW w:w="802" w:type="dxa"/>
            <w:vMerge/>
            <w:tcBorders>
              <w:left w:val="single" w:sz="4" w:space="0" w:color="000000"/>
              <w:right w:val="single" w:sz="4" w:space="0" w:color="000000"/>
            </w:tcBorders>
          </w:tcPr>
          <w:p>
            <w:pPr/>
          </w:p>
        </w:tc>
        <w:tc>
          <w:tcPr>
            <w:tcW w:w="2920" w:type="dxa"/>
            <w:vMerge/>
            <w:tcBorders>
              <w:left w:val="single" w:sz="4" w:space="0" w:color="000000"/>
              <w:right w:val="single" w:sz="4" w:space="0" w:color="000000"/>
            </w:tcBorders>
          </w:tcPr>
          <w:p>
            <w:pPr/>
          </w:p>
        </w:tc>
      </w:tr>
      <w:tr>
        <w:trPr>
          <w:trHeight w:val="158"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7" w:type="dxa"/>
            <w:vMerge/>
            <w:tcBorders>
              <w:left w:val="single" w:sz="10" w:space="0" w:color="D2D2D2"/>
              <w:bottom w:val="single" w:sz="4" w:space="0" w:color="000000"/>
              <w:right w:val="single" w:sz="4" w:space="0" w:color="000000"/>
            </w:tcBorders>
          </w:tcPr>
          <w:p>
            <w:pPr/>
          </w:p>
        </w:tc>
        <w:tc>
          <w:tcPr>
            <w:tcW w:w="1061"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1" w:type="dxa"/>
            <w:vMerge/>
            <w:tcBorders>
              <w:left w:val="single" w:sz="4" w:space="0" w:color="000000"/>
              <w:bottom w:val="single" w:sz="4" w:space="0" w:color="000000"/>
              <w:right w:val="single" w:sz="4" w:space="0" w:color="000000"/>
            </w:tcBorders>
          </w:tcPr>
          <w:p>
            <w:pPr/>
          </w:p>
        </w:tc>
        <w:tc>
          <w:tcPr>
            <w:tcW w:w="802" w:type="dxa"/>
            <w:vMerge/>
            <w:tcBorders>
              <w:left w:val="single" w:sz="4" w:space="0" w:color="000000"/>
              <w:bottom w:val="single" w:sz="4" w:space="0" w:color="000000"/>
              <w:right w:val="single" w:sz="4" w:space="0" w:color="000000"/>
            </w:tcBorders>
          </w:tcPr>
          <w:p>
            <w:pPr/>
          </w:p>
        </w:tc>
        <w:tc>
          <w:tcPr>
            <w:tcW w:w="2920" w:type="dxa"/>
            <w:vMerge/>
            <w:tcBorders>
              <w:left w:val="single" w:sz="4" w:space="0" w:color="000000"/>
              <w:bottom w:val="single" w:sz="4" w:space="0" w:color="000000"/>
              <w:right w:val="single" w:sz="4" w:space="0" w:color="000000"/>
            </w:tcBorders>
          </w:tcPr>
          <w:p>
            <w:pPr/>
          </w:p>
        </w:tc>
      </w:tr>
      <w:tr>
        <w:trPr>
          <w:trHeight w:val="163"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7" w:type="dxa"/>
            <w:vMerge w:val="restart"/>
            <w:tcBorders>
              <w:top w:val="single" w:sz="4" w:space="0" w:color="000000"/>
              <w:left w:val="single" w:sz="10" w:space="0" w:color="D2D2D2"/>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100,871,874.9</w:t>
            </w:r>
          </w:p>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tc>
        <w:tc>
          <w:tcPr>
            <w:tcW w:w="1061"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566" w:right="0"/>
              <w:jc w:val="left"/>
              <w:rPr>
                <w:rFonts w:ascii="Times New Roman" w:hAnsi="Times New Roman" w:cs="Times New Roman" w:eastAsia="Times New Roman" w:hint="default"/>
                <w:sz w:val="18"/>
                <w:szCs w:val="18"/>
              </w:rPr>
            </w:pPr>
            <w:r>
              <w:rPr>
                <w:rFonts w:ascii="Times New Roman"/>
                <w:sz w:val="18"/>
              </w:rPr>
              <w:t>4.82%</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127,534,000.88</w:t>
            </w:r>
          </w:p>
        </w:tc>
        <w:tc>
          <w:tcPr>
            <w:tcW w:w="1061"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566" w:right="0"/>
              <w:jc w:val="left"/>
              <w:rPr>
                <w:rFonts w:ascii="Times New Roman" w:hAnsi="Times New Roman" w:cs="Times New Roman" w:eastAsia="Times New Roman" w:hint="default"/>
                <w:sz w:val="18"/>
                <w:szCs w:val="18"/>
              </w:rPr>
            </w:pPr>
            <w:r>
              <w:rPr>
                <w:rFonts w:ascii="Times New Roman"/>
                <w:sz w:val="18"/>
              </w:rPr>
              <w:t>5.93%</w:t>
            </w:r>
          </w:p>
        </w:tc>
        <w:tc>
          <w:tcPr>
            <w:tcW w:w="802"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249" w:right="0"/>
              <w:jc w:val="left"/>
              <w:rPr>
                <w:rFonts w:ascii="Times New Roman" w:hAnsi="Times New Roman" w:cs="Times New Roman" w:eastAsia="Times New Roman" w:hint="default"/>
                <w:sz w:val="18"/>
                <w:szCs w:val="18"/>
              </w:rPr>
            </w:pPr>
            <w:r>
              <w:rPr>
                <w:rFonts w:ascii="Times New Roman"/>
                <w:spacing w:val="-3"/>
                <w:sz w:val="18"/>
              </w:rPr>
              <w:t>-1.11%</w:t>
            </w:r>
          </w:p>
        </w:tc>
        <w:tc>
          <w:tcPr>
            <w:tcW w:w="2920" w:type="dxa"/>
            <w:vMerge w:val="restart"/>
            <w:tcBorders>
              <w:top w:val="single" w:sz="4" w:space="0" w:color="000000"/>
              <w:left w:val="single" w:sz="4" w:space="0" w:color="000000"/>
              <w:right w:val="single" w:sz="4" w:space="0" w:color="000000"/>
            </w:tcBorders>
          </w:tcPr>
          <w:p>
            <w:pPr/>
          </w:p>
        </w:tc>
      </w:tr>
      <w:tr>
        <w:trPr>
          <w:trHeight w:val="389" w:hRule="exact"/>
        </w:trPr>
        <w:tc>
          <w:tcPr>
            <w:tcW w:w="135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167" w:type="dxa"/>
            <w:vMerge/>
            <w:tcBorders>
              <w:left w:val="single" w:sz="10" w:space="0" w:color="D2D2D2"/>
              <w:right w:val="single" w:sz="4" w:space="0" w:color="000000"/>
            </w:tcBorders>
          </w:tcPr>
          <w:p>
            <w:pPr/>
          </w:p>
        </w:tc>
        <w:tc>
          <w:tcPr>
            <w:tcW w:w="1061"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1" w:type="dxa"/>
            <w:vMerge/>
            <w:tcBorders>
              <w:left w:val="single" w:sz="4" w:space="0" w:color="000000"/>
              <w:right w:val="single" w:sz="4" w:space="0" w:color="000000"/>
            </w:tcBorders>
          </w:tcPr>
          <w:p>
            <w:pPr/>
          </w:p>
        </w:tc>
        <w:tc>
          <w:tcPr>
            <w:tcW w:w="802" w:type="dxa"/>
            <w:vMerge/>
            <w:tcBorders>
              <w:left w:val="single" w:sz="4" w:space="0" w:color="000000"/>
              <w:right w:val="single" w:sz="4" w:space="0" w:color="000000"/>
            </w:tcBorders>
          </w:tcPr>
          <w:p>
            <w:pPr/>
          </w:p>
        </w:tc>
        <w:tc>
          <w:tcPr>
            <w:tcW w:w="2920" w:type="dxa"/>
            <w:vMerge/>
            <w:tcBorders>
              <w:left w:val="single" w:sz="4" w:space="0" w:color="000000"/>
              <w:right w:val="single" w:sz="4" w:space="0" w:color="000000"/>
            </w:tcBorders>
          </w:tcPr>
          <w:p>
            <w:pPr/>
          </w:p>
        </w:tc>
      </w:tr>
      <w:tr>
        <w:trPr>
          <w:trHeight w:val="164"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7" w:type="dxa"/>
            <w:vMerge/>
            <w:tcBorders>
              <w:left w:val="single" w:sz="10" w:space="0" w:color="D2D2D2"/>
              <w:bottom w:val="single" w:sz="4" w:space="0" w:color="000000"/>
              <w:right w:val="single" w:sz="4" w:space="0" w:color="000000"/>
            </w:tcBorders>
          </w:tcPr>
          <w:p>
            <w:pPr/>
          </w:p>
        </w:tc>
        <w:tc>
          <w:tcPr>
            <w:tcW w:w="1061"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1" w:type="dxa"/>
            <w:vMerge/>
            <w:tcBorders>
              <w:left w:val="single" w:sz="4" w:space="0" w:color="000000"/>
              <w:bottom w:val="single" w:sz="4" w:space="0" w:color="000000"/>
              <w:right w:val="single" w:sz="4" w:space="0" w:color="000000"/>
            </w:tcBorders>
          </w:tcPr>
          <w:p>
            <w:pPr/>
          </w:p>
        </w:tc>
        <w:tc>
          <w:tcPr>
            <w:tcW w:w="802" w:type="dxa"/>
            <w:vMerge/>
            <w:tcBorders>
              <w:left w:val="single" w:sz="4" w:space="0" w:color="000000"/>
              <w:bottom w:val="single" w:sz="4" w:space="0" w:color="000000"/>
              <w:right w:val="single" w:sz="4" w:space="0" w:color="000000"/>
            </w:tcBorders>
          </w:tcPr>
          <w:p>
            <w:pPr/>
          </w:p>
        </w:tc>
        <w:tc>
          <w:tcPr>
            <w:tcW w:w="2920" w:type="dxa"/>
            <w:vMerge/>
            <w:tcBorders>
              <w:left w:val="single" w:sz="4" w:space="0" w:color="000000"/>
              <w:bottom w:val="single" w:sz="4" w:space="0" w:color="000000"/>
              <w:right w:val="single" w:sz="4" w:space="0" w:color="000000"/>
            </w:tcBorders>
          </w:tcPr>
          <w:p>
            <w:pPr/>
          </w:p>
        </w:tc>
      </w:tr>
      <w:tr>
        <w:trPr>
          <w:trHeight w:val="317"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7" w:type="dxa"/>
            <w:vMerge w:val="restart"/>
            <w:tcBorders>
              <w:top w:val="single" w:sz="4" w:space="0" w:color="000000"/>
              <w:left w:val="single" w:sz="10" w:space="0" w:color="D2D2D2"/>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481,429,465.0</w:t>
            </w:r>
          </w:p>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tc>
        <w:tc>
          <w:tcPr>
            <w:tcW w:w="106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22.98%</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537,239,732.07</w:t>
            </w:r>
          </w:p>
        </w:tc>
        <w:tc>
          <w:tcPr>
            <w:tcW w:w="106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24.96%</w:t>
            </w:r>
          </w:p>
        </w:tc>
        <w:tc>
          <w:tcPr>
            <w:tcW w:w="80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244" w:right="0"/>
              <w:jc w:val="left"/>
              <w:rPr>
                <w:rFonts w:ascii="Times New Roman" w:hAnsi="Times New Roman" w:cs="Times New Roman" w:eastAsia="Times New Roman" w:hint="default"/>
                <w:sz w:val="18"/>
                <w:szCs w:val="18"/>
              </w:rPr>
            </w:pPr>
            <w:r>
              <w:rPr>
                <w:rFonts w:ascii="Times New Roman"/>
                <w:sz w:val="18"/>
              </w:rPr>
              <w:t>-1.98%</w:t>
            </w:r>
          </w:p>
        </w:tc>
        <w:tc>
          <w:tcPr>
            <w:tcW w:w="2920" w:type="dxa"/>
            <w:vMerge w:val="restart"/>
            <w:tcBorders>
              <w:top w:val="single" w:sz="4" w:space="0" w:color="000000"/>
              <w:left w:val="single" w:sz="4" w:space="0" w:color="000000"/>
              <w:right w:val="single" w:sz="4" w:space="0" w:color="000000"/>
            </w:tcBorders>
          </w:tcPr>
          <w:p>
            <w:pPr>
              <w:pStyle w:val="TableParagraph"/>
              <w:spacing w:line="316" w:lineRule="auto" w:before="53"/>
              <w:ind w:left="23" w:right="182"/>
              <w:jc w:val="both"/>
              <w:rPr>
                <w:rFonts w:ascii="宋体" w:hAnsi="宋体" w:cs="宋体" w:eastAsia="宋体" w:hint="default"/>
                <w:sz w:val="18"/>
                <w:szCs w:val="18"/>
              </w:rPr>
            </w:pPr>
            <w:r>
              <w:rPr>
                <w:rFonts w:ascii="宋体" w:hAnsi="宋体" w:cs="宋体" w:eastAsia="宋体" w:hint="default"/>
                <w:spacing w:val="-3"/>
                <w:sz w:val="18"/>
                <w:szCs w:val="18"/>
              </w:rPr>
              <w:t>主要原因系报告期内公司投资的票</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3"/>
                <w:sz w:val="18"/>
                <w:szCs w:val="18"/>
              </w:rPr>
              <w:t>联金服以及智帆金科因股权稀释而</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3"/>
                <w:sz w:val="18"/>
                <w:szCs w:val="18"/>
              </w:rPr>
              <w:t>调整会计核算方式所致。</w:t>
            </w:r>
          </w:p>
        </w:tc>
      </w:tr>
      <w:tr>
        <w:trPr>
          <w:trHeight w:val="394" w:hRule="exact"/>
        </w:trPr>
        <w:tc>
          <w:tcPr>
            <w:tcW w:w="135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167" w:type="dxa"/>
            <w:vMerge/>
            <w:tcBorders>
              <w:left w:val="single" w:sz="10" w:space="0" w:color="D2D2D2"/>
              <w:right w:val="single" w:sz="4" w:space="0" w:color="000000"/>
            </w:tcBorders>
          </w:tcPr>
          <w:p>
            <w:pPr/>
          </w:p>
        </w:tc>
        <w:tc>
          <w:tcPr>
            <w:tcW w:w="1061"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1" w:type="dxa"/>
            <w:vMerge/>
            <w:tcBorders>
              <w:left w:val="single" w:sz="4" w:space="0" w:color="000000"/>
              <w:right w:val="single" w:sz="4" w:space="0" w:color="000000"/>
            </w:tcBorders>
          </w:tcPr>
          <w:p>
            <w:pPr/>
          </w:p>
        </w:tc>
        <w:tc>
          <w:tcPr>
            <w:tcW w:w="802" w:type="dxa"/>
            <w:vMerge/>
            <w:tcBorders>
              <w:left w:val="single" w:sz="4" w:space="0" w:color="000000"/>
              <w:right w:val="single" w:sz="4" w:space="0" w:color="000000"/>
            </w:tcBorders>
          </w:tcPr>
          <w:p>
            <w:pPr/>
          </w:p>
        </w:tc>
        <w:tc>
          <w:tcPr>
            <w:tcW w:w="2920" w:type="dxa"/>
            <w:vMerge/>
            <w:tcBorders>
              <w:left w:val="single" w:sz="4" w:space="0" w:color="000000"/>
              <w:right w:val="single" w:sz="4" w:space="0" w:color="000000"/>
            </w:tcBorders>
          </w:tcPr>
          <w:p>
            <w:pPr/>
          </w:p>
        </w:tc>
      </w:tr>
      <w:tr>
        <w:trPr>
          <w:trHeight w:val="317"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7" w:type="dxa"/>
            <w:vMerge/>
            <w:tcBorders>
              <w:left w:val="single" w:sz="10" w:space="0" w:color="D2D2D2"/>
              <w:bottom w:val="single" w:sz="4" w:space="0" w:color="000000"/>
              <w:right w:val="single" w:sz="4" w:space="0" w:color="000000"/>
            </w:tcBorders>
          </w:tcPr>
          <w:p>
            <w:pPr/>
          </w:p>
        </w:tc>
        <w:tc>
          <w:tcPr>
            <w:tcW w:w="1061"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1" w:type="dxa"/>
            <w:vMerge/>
            <w:tcBorders>
              <w:left w:val="single" w:sz="4" w:space="0" w:color="000000"/>
              <w:bottom w:val="single" w:sz="4" w:space="0" w:color="000000"/>
              <w:right w:val="single" w:sz="4" w:space="0" w:color="000000"/>
            </w:tcBorders>
          </w:tcPr>
          <w:p>
            <w:pPr/>
          </w:p>
        </w:tc>
        <w:tc>
          <w:tcPr>
            <w:tcW w:w="802" w:type="dxa"/>
            <w:vMerge/>
            <w:tcBorders>
              <w:left w:val="single" w:sz="4" w:space="0" w:color="000000"/>
              <w:bottom w:val="single" w:sz="4" w:space="0" w:color="000000"/>
              <w:right w:val="single" w:sz="4" w:space="0" w:color="000000"/>
            </w:tcBorders>
          </w:tcPr>
          <w:p>
            <w:pPr/>
          </w:p>
        </w:tc>
        <w:tc>
          <w:tcPr>
            <w:tcW w:w="2920" w:type="dxa"/>
            <w:vMerge/>
            <w:tcBorders>
              <w:left w:val="single" w:sz="4" w:space="0" w:color="000000"/>
              <w:bottom w:val="single" w:sz="4" w:space="0" w:color="000000"/>
              <w:right w:val="single" w:sz="4" w:space="0" w:color="000000"/>
            </w:tcBorders>
          </w:tcPr>
          <w:p>
            <w:pPr/>
          </w:p>
        </w:tc>
      </w:tr>
      <w:tr>
        <w:trPr>
          <w:trHeight w:val="398"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16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left="83" w:right="0"/>
              <w:jc w:val="left"/>
              <w:rPr>
                <w:rFonts w:ascii="Times New Roman" w:hAnsi="Times New Roman" w:cs="Times New Roman" w:eastAsia="Times New Roman" w:hint="default"/>
                <w:sz w:val="18"/>
                <w:szCs w:val="18"/>
              </w:rPr>
            </w:pPr>
            <w:r>
              <w:rPr>
                <w:rFonts w:ascii="Times New Roman"/>
                <w:sz w:val="18"/>
              </w:rPr>
              <w:t>17,315,049.28</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0.83%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13,570,998.25</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0.63%</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0.20%</w:t>
            </w:r>
          </w:p>
        </w:tc>
        <w:tc>
          <w:tcPr>
            <w:tcW w:w="2920" w:type="dxa"/>
            <w:tcBorders>
              <w:top w:val="single" w:sz="4" w:space="0" w:color="000000"/>
              <w:left w:val="single" w:sz="4" w:space="0" w:color="000000"/>
              <w:bottom w:val="single" w:sz="4" w:space="0" w:color="000000"/>
              <w:right w:val="single" w:sz="4" w:space="0" w:color="000000"/>
            </w:tcBorders>
          </w:tcPr>
          <w:p>
            <w:pPr/>
          </w:p>
        </w:tc>
      </w:tr>
      <w:tr>
        <w:trPr>
          <w:trHeight w:val="164"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7" w:type="dxa"/>
            <w:vMerge w:val="restart"/>
            <w:tcBorders>
              <w:top w:val="single" w:sz="4" w:space="0" w:color="000000"/>
              <w:left w:val="single" w:sz="10" w:space="0" w:color="D2D2D2"/>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330,456,086.2</w:t>
            </w:r>
          </w:p>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tc>
        <w:tc>
          <w:tcPr>
            <w:tcW w:w="1061"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15.77%</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288,247,329.17</w:t>
            </w:r>
          </w:p>
        </w:tc>
        <w:tc>
          <w:tcPr>
            <w:tcW w:w="1061"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13.39%</w:t>
            </w:r>
          </w:p>
        </w:tc>
        <w:tc>
          <w:tcPr>
            <w:tcW w:w="802"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302" w:right="0"/>
              <w:jc w:val="left"/>
              <w:rPr>
                <w:rFonts w:ascii="Times New Roman" w:hAnsi="Times New Roman" w:cs="Times New Roman" w:eastAsia="Times New Roman" w:hint="default"/>
                <w:sz w:val="18"/>
                <w:szCs w:val="18"/>
              </w:rPr>
            </w:pPr>
            <w:r>
              <w:rPr>
                <w:rFonts w:ascii="Times New Roman"/>
                <w:sz w:val="18"/>
              </w:rPr>
              <w:t>2.38%</w:t>
            </w:r>
          </w:p>
        </w:tc>
        <w:tc>
          <w:tcPr>
            <w:tcW w:w="2920" w:type="dxa"/>
            <w:vMerge w:val="restart"/>
            <w:tcBorders>
              <w:top w:val="single" w:sz="4" w:space="0" w:color="000000"/>
              <w:left w:val="single" w:sz="4" w:space="0" w:color="000000"/>
              <w:right w:val="single" w:sz="4" w:space="0" w:color="000000"/>
            </w:tcBorders>
          </w:tcPr>
          <w:p>
            <w:pPr>
              <w:pStyle w:val="TableParagraph"/>
              <w:spacing w:line="321" w:lineRule="auto" w:before="54"/>
              <w:ind w:left="23" w:right="182"/>
              <w:jc w:val="left"/>
              <w:rPr>
                <w:rFonts w:ascii="宋体" w:hAnsi="宋体" w:cs="宋体" w:eastAsia="宋体" w:hint="default"/>
                <w:sz w:val="18"/>
                <w:szCs w:val="18"/>
              </w:rPr>
            </w:pPr>
            <w:r>
              <w:rPr>
                <w:rFonts w:ascii="宋体" w:hAnsi="宋体" w:cs="宋体" w:eastAsia="宋体" w:hint="default"/>
                <w:spacing w:val="-3"/>
                <w:sz w:val="18"/>
                <w:szCs w:val="18"/>
              </w:rPr>
              <w:t>主要原因系报告期内公司一年期以</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3"/>
                <w:sz w:val="18"/>
                <w:szCs w:val="18"/>
              </w:rPr>
              <w:t>内的银行贷款增加所致。</w:t>
            </w:r>
          </w:p>
        </w:tc>
      </w:tr>
      <w:tr>
        <w:trPr>
          <w:trHeight w:val="394" w:hRule="exact"/>
        </w:trPr>
        <w:tc>
          <w:tcPr>
            <w:tcW w:w="135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167" w:type="dxa"/>
            <w:vMerge/>
            <w:tcBorders>
              <w:left w:val="single" w:sz="10" w:space="0" w:color="D2D2D2"/>
              <w:right w:val="single" w:sz="4" w:space="0" w:color="000000"/>
            </w:tcBorders>
          </w:tcPr>
          <w:p>
            <w:pPr/>
          </w:p>
        </w:tc>
        <w:tc>
          <w:tcPr>
            <w:tcW w:w="1061"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1" w:type="dxa"/>
            <w:vMerge/>
            <w:tcBorders>
              <w:left w:val="single" w:sz="4" w:space="0" w:color="000000"/>
              <w:right w:val="single" w:sz="4" w:space="0" w:color="000000"/>
            </w:tcBorders>
          </w:tcPr>
          <w:p>
            <w:pPr/>
          </w:p>
        </w:tc>
        <w:tc>
          <w:tcPr>
            <w:tcW w:w="802" w:type="dxa"/>
            <w:vMerge/>
            <w:tcBorders>
              <w:left w:val="single" w:sz="4" w:space="0" w:color="000000"/>
              <w:right w:val="single" w:sz="4" w:space="0" w:color="000000"/>
            </w:tcBorders>
          </w:tcPr>
          <w:p>
            <w:pPr/>
          </w:p>
        </w:tc>
        <w:tc>
          <w:tcPr>
            <w:tcW w:w="2920" w:type="dxa"/>
            <w:vMerge/>
            <w:tcBorders>
              <w:left w:val="single" w:sz="4" w:space="0" w:color="000000"/>
              <w:right w:val="single" w:sz="4" w:space="0" w:color="000000"/>
            </w:tcBorders>
          </w:tcPr>
          <w:p>
            <w:pPr/>
          </w:p>
        </w:tc>
      </w:tr>
      <w:tr>
        <w:trPr>
          <w:trHeight w:val="158"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7" w:type="dxa"/>
            <w:vMerge/>
            <w:tcBorders>
              <w:left w:val="single" w:sz="10" w:space="0" w:color="D2D2D2"/>
              <w:bottom w:val="single" w:sz="4" w:space="0" w:color="000000"/>
              <w:right w:val="single" w:sz="4" w:space="0" w:color="000000"/>
            </w:tcBorders>
          </w:tcPr>
          <w:p>
            <w:pPr/>
          </w:p>
        </w:tc>
        <w:tc>
          <w:tcPr>
            <w:tcW w:w="1061"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1" w:type="dxa"/>
            <w:vMerge/>
            <w:tcBorders>
              <w:left w:val="single" w:sz="4" w:space="0" w:color="000000"/>
              <w:bottom w:val="single" w:sz="4" w:space="0" w:color="000000"/>
              <w:right w:val="single" w:sz="4" w:space="0" w:color="000000"/>
            </w:tcBorders>
          </w:tcPr>
          <w:p>
            <w:pPr/>
          </w:p>
        </w:tc>
        <w:tc>
          <w:tcPr>
            <w:tcW w:w="802" w:type="dxa"/>
            <w:vMerge/>
            <w:tcBorders>
              <w:left w:val="single" w:sz="4" w:space="0" w:color="000000"/>
              <w:bottom w:val="single" w:sz="4" w:space="0" w:color="000000"/>
              <w:right w:val="single" w:sz="4" w:space="0" w:color="000000"/>
            </w:tcBorders>
          </w:tcPr>
          <w:p>
            <w:pPr/>
          </w:p>
        </w:tc>
        <w:tc>
          <w:tcPr>
            <w:tcW w:w="2920" w:type="dxa"/>
            <w:vMerge/>
            <w:tcBorders>
              <w:left w:val="single" w:sz="4" w:space="0" w:color="000000"/>
              <w:bottom w:val="single" w:sz="4" w:space="0" w:color="000000"/>
              <w:right w:val="single" w:sz="4" w:space="0" w:color="000000"/>
            </w:tcBorders>
          </w:tcPr>
          <w:p>
            <w:pPr/>
          </w:p>
        </w:tc>
      </w:tr>
      <w:tr>
        <w:trPr>
          <w:trHeight w:val="317"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7" w:type="dxa"/>
            <w:vMerge w:val="restart"/>
            <w:tcBorders>
              <w:top w:val="single" w:sz="4" w:space="0" w:color="000000"/>
              <w:left w:val="single" w:sz="10"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0.00</w:t>
            </w:r>
          </w:p>
        </w:tc>
        <w:tc>
          <w:tcPr>
            <w:tcW w:w="106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566" w:right="0"/>
              <w:jc w:val="left"/>
              <w:rPr>
                <w:rFonts w:ascii="Times New Roman" w:hAnsi="Times New Roman" w:cs="Times New Roman" w:eastAsia="Times New Roman" w:hint="default"/>
                <w:sz w:val="18"/>
                <w:szCs w:val="18"/>
              </w:rPr>
            </w:pPr>
            <w:r>
              <w:rPr>
                <w:rFonts w:ascii="Times New Roman"/>
                <w:sz w:val="18"/>
              </w:rPr>
              <w:t>0.00%</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170,321,905.54</w:t>
            </w:r>
          </w:p>
        </w:tc>
        <w:tc>
          <w:tcPr>
            <w:tcW w:w="106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566" w:right="0"/>
              <w:jc w:val="left"/>
              <w:rPr>
                <w:rFonts w:ascii="Times New Roman" w:hAnsi="Times New Roman" w:cs="Times New Roman" w:eastAsia="Times New Roman" w:hint="default"/>
                <w:sz w:val="18"/>
                <w:szCs w:val="18"/>
              </w:rPr>
            </w:pPr>
            <w:r>
              <w:rPr>
                <w:rFonts w:ascii="Times New Roman"/>
                <w:sz w:val="18"/>
              </w:rPr>
              <w:t>7.91%</w:t>
            </w:r>
          </w:p>
        </w:tc>
        <w:tc>
          <w:tcPr>
            <w:tcW w:w="80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244" w:right="0"/>
              <w:jc w:val="left"/>
              <w:rPr>
                <w:rFonts w:ascii="Times New Roman" w:hAnsi="Times New Roman" w:cs="Times New Roman" w:eastAsia="Times New Roman" w:hint="default"/>
                <w:sz w:val="18"/>
                <w:szCs w:val="18"/>
              </w:rPr>
            </w:pPr>
            <w:r>
              <w:rPr>
                <w:rFonts w:ascii="Times New Roman"/>
                <w:sz w:val="18"/>
              </w:rPr>
              <w:t>-7.91%</w:t>
            </w:r>
          </w:p>
        </w:tc>
        <w:tc>
          <w:tcPr>
            <w:tcW w:w="2920" w:type="dxa"/>
            <w:vMerge w:val="restart"/>
            <w:tcBorders>
              <w:top w:val="single" w:sz="4" w:space="0" w:color="000000"/>
              <w:left w:val="single" w:sz="4" w:space="0" w:color="000000"/>
              <w:right w:val="single" w:sz="4" w:space="0" w:color="000000"/>
            </w:tcBorders>
          </w:tcPr>
          <w:p>
            <w:pPr>
              <w:pStyle w:val="TableParagraph"/>
              <w:spacing w:line="319" w:lineRule="auto" w:before="53"/>
              <w:ind w:left="23" w:right="182"/>
              <w:jc w:val="both"/>
              <w:rPr>
                <w:rFonts w:ascii="宋体" w:hAnsi="宋体" w:cs="宋体" w:eastAsia="宋体" w:hint="default"/>
                <w:sz w:val="18"/>
                <w:szCs w:val="18"/>
              </w:rPr>
            </w:pPr>
            <w:r>
              <w:rPr>
                <w:rFonts w:ascii="宋体" w:hAnsi="宋体" w:cs="宋体" w:eastAsia="宋体" w:hint="default"/>
                <w:spacing w:val="-3"/>
                <w:sz w:val="18"/>
                <w:szCs w:val="18"/>
              </w:rPr>
              <w:t>主要原因系报告期内公司长期借款</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3"/>
                <w:sz w:val="18"/>
                <w:szCs w:val="18"/>
              </w:rPr>
              <w:t>将在一年内到期重分类至一年内到</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3"/>
                <w:sz w:val="18"/>
                <w:szCs w:val="18"/>
              </w:rPr>
              <w:t>期的非流动负债报表项目所致。</w:t>
            </w:r>
          </w:p>
        </w:tc>
      </w:tr>
      <w:tr>
        <w:trPr>
          <w:trHeight w:val="394" w:hRule="exact"/>
        </w:trPr>
        <w:tc>
          <w:tcPr>
            <w:tcW w:w="135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167" w:type="dxa"/>
            <w:vMerge/>
            <w:tcBorders>
              <w:left w:val="single" w:sz="10" w:space="0" w:color="D2D2D2"/>
              <w:right w:val="single" w:sz="4" w:space="0" w:color="000000"/>
            </w:tcBorders>
          </w:tcPr>
          <w:p>
            <w:pPr/>
          </w:p>
        </w:tc>
        <w:tc>
          <w:tcPr>
            <w:tcW w:w="1061"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1" w:type="dxa"/>
            <w:vMerge/>
            <w:tcBorders>
              <w:left w:val="single" w:sz="4" w:space="0" w:color="000000"/>
              <w:right w:val="single" w:sz="4" w:space="0" w:color="000000"/>
            </w:tcBorders>
          </w:tcPr>
          <w:p>
            <w:pPr/>
          </w:p>
        </w:tc>
        <w:tc>
          <w:tcPr>
            <w:tcW w:w="802" w:type="dxa"/>
            <w:vMerge/>
            <w:tcBorders>
              <w:left w:val="single" w:sz="4" w:space="0" w:color="000000"/>
              <w:right w:val="single" w:sz="4" w:space="0" w:color="000000"/>
            </w:tcBorders>
          </w:tcPr>
          <w:p>
            <w:pPr/>
          </w:p>
        </w:tc>
        <w:tc>
          <w:tcPr>
            <w:tcW w:w="2920" w:type="dxa"/>
            <w:vMerge/>
            <w:tcBorders>
              <w:left w:val="single" w:sz="4" w:space="0" w:color="000000"/>
              <w:right w:val="single" w:sz="4" w:space="0" w:color="000000"/>
            </w:tcBorders>
          </w:tcPr>
          <w:p>
            <w:pPr/>
          </w:p>
        </w:tc>
      </w:tr>
      <w:tr>
        <w:trPr>
          <w:trHeight w:val="317"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7" w:type="dxa"/>
            <w:vMerge/>
            <w:tcBorders>
              <w:left w:val="single" w:sz="10" w:space="0" w:color="D2D2D2"/>
              <w:bottom w:val="single" w:sz="4" w:space="0" w:color="000000"/>
              <w:right w:val="single" w:sz="4" w:space="0" w:color="000000"/>
            </w:tcBorders>
          </w:tcPr>
          <w:p>
            <w:pPr/>
          </w:p>
        </w:tc>
        <w:tc>
          <w:tcPr>
            <w:tcW w:w="1061"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1" w:type="dxa"/>
            <w:vMerge/>
            <w:tcBorders>
              <w:left w:val="single" w:sz="4" w:space="0" w:color="000000"/>
              <w:bottom w:val="single" w:sz="4" w:space="0" w:color="000000"/>
              <w:right w:val="single" w:sz="4" w:space="0" w:color="000000"/>
            </w:tcBorders>
          </w:tcPr>
          <w:p>
            <w:pPr/>
          </w:p>
        </w:tc>
        <w:tc>
          <w:tcPr>
            <w:tcW w:w="802" w:type="dxa"/>
            <w:vMerge/>
            <w:tcBorders>
              <w:left w:val="single" w:sz="4" w:space="0" w:color="000000"/>
              <w:bottom w:val="single" w:sz="4" w:space="0" w:color="000000"/>
              <w:right w:val="single" w:sz="4" w:space="0" w:color="000000"/>
            </w:tcBorders>
          </w:tcPr>
          <w:p>
            <w:pPr/>
          </w:p>
        </w:tc>
        <w:tc>
          <w:tcPr>
            <w:tcW w:w="2920" w:type="dxa"/>
            <w:vMerge/>
            <w:tcBorders>
              <w:left w:val="single" w:sz="4" w:space="0" w:color="000000"/>
              <w:bottom w:val="single" w:sz="4" w:space="0" w:color="000000"/>
              <w:right w:val="single" w:sz="4" w:space="0" w:color="000000"/>
            </w:tcBorders>
          </w:tcPr>
          <w:p>
            <w:pPr/>
          </w:p>
        </w:tc>
      </w:tr>
      <w:tr>
        <w:trPr>
          <w:trHeight w:val="985" w:hRule="exact"/>
        </w:trPr>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left="1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191,369,361.1</w:t>
            </w:r>
          </w:p>
          <w:p>
            <w:pPr>
              <w:pStyle w:val="TableParagraph"/>
              <w:spacing w:line="240" w:lineRule="auto" w:before="109"/>
              <w:ind w:right="23"/>
              <w:jc w:val="righ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4"/>
              <w:ind w:right="14"/>
              <w:jc w:val="right"/>
              <w:rPr>
                <w:rFonts w:ascii="Times New Roman" w:hAnsi="Times New Roman" w:cs="Times New Roman" w:eastAsia="Times New Roman" w:hint="default"/>
                <w:sz w:val="18"/>
                <w:szCs w:val="18"/>
              </w:rPr>
            </w:pPr>
            <w:r>
              <w:rPr>
                <w:rFonts w:ascii="Times New Roman"/>
                <w:spacing w:val="-1"/>
                <w:sz w:val="18"/>
              </w:rPr>
              <w:t>9.14%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4"/>
              <w:ind w:right="17"/>
              <w:jc w:val="right"/>
              <w:rPr>
                <w:rFonts w:ascii="Times New Roman" w:hAnsi="Times New Roman" w:cs="Times New Roman" w:eastAsia="Times New Roman" w:hint="default"/>
                <w:sz w:val="18"/>
                <w:szCs w:val="18"/>
              </w:rPr>
            </w:pPr>
            <w:r>
              <w:rPr>
                <w:rFonts w:ascii="Times New Roman"/>
                <w:spacing w:val="-1"/>
                <w:sz w:val="18"/>
              </w:rPr>
              <w:t>121,317,967.75</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4"/>
              <w:ind w:right="14"/>
              <w:jc w:val="right"/>
              <w:rPr>
                <w:rFonts w:ascii="Times New Roman" w:hAnsi="Times New Roman" w:cs="Times New Roman" w:eastAsia="Times New Roman" w:hint="default"/>
                <w:sz w:val="18"/>
                <w:szCs w:val="18"/>
              </w:rPr>
            </w:pPr>
            <w:r>
              <w:rPr>
                <w:rFonts w:ascii="Times New Roman"/>
                <w:spacing w:val="-1"/>
                <w:sz w:val="18"/>
              </w:rPr>
              <w:t>5.64%</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4"/>
              <w:ind w:right="19"/>
              <w:jc w:val="right"/>
              <w:rPr>
                <w:rFonts w:ascii="Times New Roman" w:hAnsi="Times New Roman" w:cs="Times New Roman" w:eastAsia="Times New Roman" w:hint="default"/>
                <w:sz w:val="18"/>
                <w:szCs w:val="18"/>
              </w:rPr>
            </w:pPr>
            <w:r>
              <w:rPr>
                <w:rFonts w:ascii="Times New Roman"/>
                <w:spacing w:val="-1"/>
                <w:sz w:val="18"/>
              </w:rPr>
              <w:t>3.50%</w:t>
            </w:r>
          </w:p>
        </w:tc>
        <w:tc>
          <w:tcPr>
            <w:tcW w:w="292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4"/>
              <w:ind w:left="23" w:right="182"/>
              <w:jc w:val="both"/>
              <w:rPr>
                <w:rFonts w:ascii="宋体" w:hAnsi="宋体" w:cs="宋体" w:eastAsia="宋体" w:hint="default"/>
                <w:sz w:val="18"/>
                <w:szCs w:val="18"/>
              </w:rPr>
            </w:pPr>
            <w:r>
              <w:rPr>
                <w:rFonts w:ascii="宋体" w:hAnsi="宋体" w:cs="宋体" w:eastAsia="宋体" w:hint="default"/>
                <w:spacing w:val="-3"/>
                <w:sz w:val="18"/>
                <w:szCs w:val="18"/>
              </w:rPr>
              <w:t>主要原因系报告期内公司金融信息</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3"/>
                <w:sz w:val="18"/>
                <w:szCs w:val="18"/>
              </w:rPr>
              <w:t>化业务支付的货款和公司子公司亿</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3"/>
                <w:sz w:val="18"/>
                <w:szCs w:val="18"/>
              </w:rPr>
              <w:t>美软通预付特定电信运营商的通讯</w:t>
            </w:r>
          </w:p>
        </w:tc>
      </w:tr>
    </w:tbl>
    <w:p>
      <w:pPr>
        <w:spacing w:after="0" w:line="314" w:lineRule="auto"/>
        <w:jc w:val="both"/>
        <w:rPr>
          <w:rFonts w:ascii="宋体" w:hAnsi="宋体" w:cs="宋体" w:eastAsia="宋体" w:hint="default"/>
          <w:sz w:val="18"/>
          <w:szCs w:val="18"/>
        </w:rPr>
        <w:sectPr>
          <w:type w:val="continuous"/>
          <w:pgSz w:w="11910" w:h="16840"/>
          <w:pgMar w:top="1580" w:bottom="700" w:left="980" w:right="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1369"/>
        <w:gridCol w:w="1167"/>
        <w:gridCol w:w="1061"/>
        <w:gridCol w:w="1196"/>
        <w:gridCol w:w="1061"/>
        <w:gridCol w:w="802"/>
        <w:gridCol w:w="2920"/>
      </w:tblGrid>
      <w:tr>
        <w:trPr>
          <w:trHeight w:val="360" w:hRule="exact"/>
        </w:trPr>
        <w:tc>
          <w:tcPr>
            <w:tcW w:w="1369"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2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23" w:right="0"/>
              <w:jc w:val="left"/>
              <w:rPr>
                <w:rFonts w:ascii="宋体" w:hAnsi="宋体" w:cs="宋体" w:eastAsia="宋体" w:hint="default"/>
                <w:sz w:val="18"/>
                <w:szCs w:val="18"/>
              </w:rPr>
            </w:pPr>
            <w:r>
              <w:rPr>
                <w:rFonts w:ascii="宋体" w:hAnsi="宋体" w:cs="宋体" w:eastAsia="宋体" w:hint="default"/>
                <w:spacing w:val="-3"/>
                <w:sz w:val="18"/>
                <w:szCs w:val="18"/>
              </w:rPr>
              <w:t>服务运营成本增加所致。</w:t>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47,794,136.39</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2.28%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45,770,457.72</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2.13%</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0.15%</w:t>
            </w:r>
          </w:p>
        </w:tc>
        <w:tc>
          <w:tcPr>
            <w:tcW w:w="2920"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161,140,756.9</w:t>
            </w:r>
          </w:p>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7.69%</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172,573,173.29</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8.02%</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2"/>
                <w:sz w:val="18"/>
              </w:rPr>
              <w:t>-0.33%</w:t>
            </w:r>
          </w:p>
        </w:tc>
        <w:tc>
          <w:tcPr>
            <w:tcW w:w="2920" w:type="dxa"/>
            <w:tcBorders>
              <w:top w:val="single" w:sz="4" w:space="0" w:color="000000"/>
              <w:left w:val="single" w:sz="4" w:space="0" w:color="000000"/>
              <w:bottom w:val="single" w:sz="4" w:space="0" w:color="000000"/>
              <w:right w:val="single" w:sz="4" w:space="0" w:color="000000"/>
            </w:tcBorders>
          </w:tcPr>
          <w:p>
            <w:pPr/>
          </w:p>
        </w:tc>
      </w:tr>
      <w:tr>
        <w:trPr>
          <w:trHeight w:val="1340"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30"/>
              <w:ind w:left="24" w:right="70"/>
              <w:jc w:val="left"/>
              <w:rPr>
                <w:rFonts w:ascii="宋体" w:hAnsi="宋体" w:cs="宋体" w:eastAsia="宋体" w:hint="default"/>
                <w:sz w:val="18"/>
                <w:szCs w:val="18"/>
              </w:rPr>
            </w:pPr>
            <w:r>
              <w:rPr>
                <w:rFonts w:ascii="宋体" w:hAnsi="宋体" w:cs="宋体" w:eastAsia="宋体" w:hint="default"/>
                <w:spacing w:val="-3"/>
                <w:sz w:val="18"/>
                <w:szCs w:val="18"/>
              </w:rPr>
              <w:t>其他权益工具投</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资</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72,250,014.54</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3.45%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30,000,000.00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1.39%</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2.06%</w:t>
            </w:r>
          </w:p>
        </w:tc>
        <w:tc>
          <w:tcPr>
            <w:tcW w:w="292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17"/>
              <w:jc w:val="left"/>
              <w:rPr>
                <w:rFonts w:ascii="宋体" w:hAnsi="宋体" w:cs="宋体" w:eastAsia="宋体" w:hint="default"/>
                <w:sz w:val="18"/>
                <w:szCs w:val="18"/>
              </w:rPr>
            </w:pPr>
            <w:r>
              <w:rPr>
                <w:rFonts w:ascii="宋体" w:hAnsi="宋体" w:cs="宋体" w:eastAsia="宋体" w:hint="default"/>
                <w:spacing w:val="-3"/>
                <w:sz w:val="18"/>
                <w:szCs w:val="18"/>
              </w:rPr>
              <w:t>主要原因系报告期内公司对外投资</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4"/>
                <w:sz w:val="18"/>
                <w:szCs w:val="18"/>
              </w:rPr>
              <w:t>的票联金服、智帆金科因持股比例被</w:t>
            </w:r>
            <w:r>
              <w:rPr>
                <w:rFonts w:ascii="宋体" w:hAnsi="宋体" w:cs="宋体" w:eastAsia="宋体" w:hint="default"/>
                <w:spacing w:val="-43"/>
                <w:sz w:val="18"/>
                <w:szCs w:val="18"/>
              </w:rPr>
              <w:t> </w:t>
            </w:r>
            <w:r>
              <w:rPr>
                <w:rFonts w:ascii="宋体" w:hAnsi="宋体" w:cs="宋体" w:eastAsia="宋体" w:hint="default"/>
                <w:spacing w:val="-43"/>
                <w:sz w:val="18"/>
                <w:szCs w:val="18"/>
              </w:rPr>
            </w:r>
            <w:r>
              <w:rPr>
                <w:rFonts w:ascii="宋体" w:hAnsi="宋体" w:cs="宋体" w:eastAsia="宋体" w:hint="default"/>
                <w:spacing w:val="-3"/>
                <w:sz w:val="18"/>
                <w:szCs w:val="18"/>
              </w:rPr>
              <w:t>动稀释而由长期股权投资权益法核</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3"/>
                <w:sz w:val="18"/>
                <w:szCs w:val="18"/>
              </w:rPr>
              <w:t>算调整为以金融工具核算所致。</w:t>
            </w:r>
          </w:p>
        </w:tc>
      </w:tr>
      <w:tr>
        <w:trPr>
          <w:trHeight w:val="398"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55,483,496.17</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2.65%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52,398,706.48</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2.43%</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0.22%</w:t>
            </w:r>
          </w:p>
        </w:tc>
        <w:tc>
          <w:tcPr>
            <w:tcW w:w="292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12,759,968.70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0.61%</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7,052,562.82</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0.33%</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0.28%</w:t>
            </w:r>
          </w:p>
        </w:tc>
        <w:tc>
          <w:tcPr>
            <w:tcW w:w="292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递延所得税资产</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45,008,942.71</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2.15%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31,443,857.83</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1.46%</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0.69%</w:t>
            </w:r>
          </w:p>
        </w:tc>
        <w:tc>
          <w:tcPr>
            <w:tcW w:w="292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其他非流动资产</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0.00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11,527,148.00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0.54%</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2"/>
                <w:sz w:val="18"/>
              </w:rPr>
              <w:t>-0.54%</w:t>
            </w:r>
          </w:p>
        </w:tc>
        <w:tc>
          <w:tcPr>
            <w:tcW w:w="2920" w:type="dxa"/>
            <w:tcBorders>
              <w:top w:val="single" w:sz="4" w:space="0" w:color="000000"/>
              <w:left w:val="single" w:sz="4" w:space="0" w:color="000000"/>
              <w:bottom w:val="single" w:sz="4" w:space="0" w:color="000000"/>
              <w:right w:val="single" w:sz="4" w:space="0" w:color="000000"/>
            </w:tcBorders>
          </w:tcPr>
          <w:p>
            <w:pPr/>
          </w:p>
        </w:tc>
      </w:tr>
      <w:tr>
        <w:trPr>
          <w:trHeight w:val="1023"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left="24"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25,159,856.89</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1.20%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55,722,833.97</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2.59%</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2"/>
                <w:sz w:val="18"/>
              </w:rPr>
              <w:t>-1.39%</w:t>
            </w:r>
          </w:p>
        </w:tc>
        <w:tc>
          <w:tcPr>
            <w:tcW w:w="292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4"/>
              <w:ind w:left="23" w:right="182"/>
              <w:jc w:val="both"/>
              <w:rPr>
                <w:rFonts w:ascii="宋体" w:hAnsi="宋体" w:cs="宋体" w:eastAsia="宋体" w:hint="default"/>
                <w:sz w:val="18"/>
                <w:szCs w:val="18"/>
              </w:rPr>
            </w:pPr>
            <w:r>
              <w:rPr>
                <w:rFonts w:ascii="宋体" w:hAnsi="宋体" w:cs="宋体" w:eastAsia="宋体" w:hint="default"/>
                <w:spacing w:val="-3"/>
                <w:sz w:val="18"/>
                <w:szCs w:val="18"/>
              </w:rPr>
              <w:t>主要原因系报告期内公司兑付上年</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3"/>
                <w:sz w:val="18"/>
                <w:szCs w:val="18"/>
              </w:rPr>
              <w:t>度期末的银行承兑汇票与本报告期</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3"/>
                <w:sz w:val="18"/>
                <w:szCs w:val="18"/>
              </w:rPr>
              <w:t>开具的银行承兑汇票的差额所致。</w:t>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58,497,226.90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2.79%</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45,562,442.24</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2.12%</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0.67%</w:t>
            </w:r>
          </w:p>
        </w:tc>
        <w:tc>
          <w:tcPr>
            <w:tcW w:w="2920"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15,365,076.46</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0.73%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8,477,706.20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0.39%</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0.34%</w:t>
            </w:r>
          </w:p>
        </w:tc>
        <w:tc>
          <w:tcPr>
            <w:tcW w:w="292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76,298,939.41</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3.64%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80,029,952.37</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3.72%</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2"/>
                <w:sz w:val="18"/>
              </w:rPr>
              <w:t>-0.08%</w:t>
            </w:r>
          </w:p>
        </w:tc>
        <w:tc>
          <w:tcPr>
            <w:tcW w:w="2920" w:type="dxa"/>
            <w:tcBorders>
              <w:top w:val="single" w:sz="4" w:space="0" w:color="000000"/>
              <w:left w:val="single" w:sz="4" w:space="0" w:color="000000"/>
              <w:bottom w:val="single" w:sz="4" w:space="0" w:color="000000"/>
              <w:right w:val="single" w:sz="4" w:space="0" w:color="000000"/>
            </w:tcBorders>
          </w:tcPr>
          <w:p>
            <w:pPr/>
          </w:p>
        </w:tc>
      </w:tr>
      <w:tr>
        <w:trPr>
          <w:trHeight w:val="102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21" w:lineRule="auto"/>
              <w:ind w:left="24" w:right="70"/>
              <w:jc w:val="left"/>
              <w:rPr>
                <w:rFonts w:ascii="宋体" w:hAnsi="宋体" w:cs="宋体" w:eastAsia="宋体" w:hint="default"/>
                <w:sz w:val="18"/>
                <w:szCs w:val="18"/>
              </w:rPr>
            </w:pPr>
            <w:r>
              <w:rPr>
                <w:rFonts w:ascii="宋体" w:hAnsi="宋体" w:cs="宋体" w:eastAsia="宋体" w:hint="default"/>
                <w:spacing w:val="-3"/>
                <w:sz w:val="18"/>
                <w:szCs w:val="18"/>
              </w:rPr>
              <w:t>一年内到期的非</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流动负债</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2"/>
                <w:sz w:val="18"/>
              </w:rPr>
              <w:t>110,169,897.3</w:t>
            </w:r>
          </w:p>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5.26%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0.00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0.00%</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5.26%</w:t>
            </w:r>
          </w:p>
        </w:tc>
        <w:tc>
          <w:tcPr>
            <w:tcW w:w="292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182"/>
              <w:jc w:val="both"/>
              <w:rPr>
                <w:rFonts w:ascii="宋体" w:hAnsi="宋体" w:cs="宋体" w:eastAsia="宋体" w:hint="default"/>
                <w:sz w:val="18"/>
                <w:szCs w:val="18"/>
              </w:rPr>
            </w:pPr>
            <w:r>
              <w:rPr>
                <w:rFonts w:ascii="宋体" w:hAnsi="宋体" w:cs="宋体" w:eastAsia="宋体" w:hint="default"/>
                <w:spacing w:val="-3"/>
                <w:sz w:val="18"/>
                <w:szCs w:val="18"/>
              </w:rPr>
              <w:t>主要原因系报告期内公司长期借款</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3"/>
                <w:sz w:val="18"/>
                <w:szCs w:val="18"/>
              </w:rPr>
              <w:t>将在一年内到期重分类至一年内到</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3"/>
                <w:sz w:val="18"/>
                <w:szCs w:val="18"/>
              </w:rPr>
              <w:t>期的非流动负债报表项目所致。</w:t>
            </w:r>
          </w:p>
        </w:tc>
      </w:tr>
      <w:tr>
        <w:trPr>
          <w:trHeight w:val="716"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389,366,482.1</w:t>
            </w:r>
          </w:p>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18.59%</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375,979,751.20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17.47%</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1.12%</w:t>
            </w:r>
          </w:p>
        </w:tc>
        <w:tc>
          <w:tcPr>
            <w:tcW w:w="292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2、以公允价值计量的资产和负债" w:id="42"/>
      <w:bookmarkEnd w:id="42"/>
      <w:r>
        <w:rPr>
          <w:b w:val="0"/>
          <w:bCs w:val="0"/>
        </w:rPr>
      </w:r>
      <w:r>
        <w:rPr>
          <w:rFonts w:ascii="Times New Roman" w:hAnsi="Times New Roman" w:cs="Times New Roman" w:eastAsia="Times New Roman" w:hint="default"/>
        </w:rPr>
        <w:t>2</w:t>
      </w:r>
      <w:r>
        <w:rPr/>
        <w:t>、以公允价值计量的资产和负债</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6"/>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pStyle w:val="BodyText"/>
        <w:spacing w:line="240" w:lineRule="auto" w:before="101"/>
        <w:ind w:left="0" w:right="1122"/>
        <w:jc w:val="right"/>
      </w:pPr>
      <w:r>
        <w:rPr>
          <w:spacing w:val="-2"/>
        </w:rPr>
        <w:t>单位：元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968"/>
        <w:gridCol w:w="1024"/>
        <w:gridCol w:w="1056"/>
        <w:gridCol w:w="1195"/>
        <w:gridCol w:w="926"/>
        <w:gridCol w:w="1208"/>
        <w:gridCol w:w="1051"/>
        <w:gridCol w:w="922"/>
        <w:gridCol w:w="1215"/>
      </w:tblGrid>
      <w:tr>
        <w:trPr>
          <w:trHeight w:val="163" w:hRule="exact"/>
        </w:trPr>
        <w:tc>
          <w:tcPr>
            <w:tcW w:w="968" w:type="dxa"/>
            <w:vMerge w:val="restart"/>
            <w:tcBorders>
              <w:top w:val="single" w:sz="4" w:space="0" w:color="000000"/>
              <w:left w:val="single" w:sz="4" w:space="0" w:color="000000"/>
              <w:right w:val="single" w:sz="4" w:space="0" w:color="000000"/>
            </w:tcBorders>
            <w:shd w:val="clear" w:color="auto" w:fill="D2D2D2"/>
          </w:tcPr>
          <w:p>
            <w:pPr/>
          </w:p>
        </w:tc>
        <w:tc>
          <w:tcPr>
            <w:tcW w:w="1024" w:type="dxa"/>
            <w:vMerge w:val="restart"/>
            <w:tcBorders>
              <w:top w:val="single" w:sz="4" w:space="0" w:color="000000"/>
              <w:left w:val="single" w:sz="4" w:space="0" w:color="000000"/>
              <w:right w:val="single" w:sz="4" w:space="0" w:color="000000"/>
            </w:tcBorders>
            <w:shd w:val="clear" w:color="auto" w:fill="D2D2D2"/>
          </w:tcPr>
          <w:p>
            <w:pPr/>
          </w:p>
        </w:tc>
        <w:tc>
          <w:tcPr>
            <w:tcW w:w="105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3"/>
              <w:ind w:left="51" w:right="46"/>
              <w:jc w:val="center"/>
              <w:rPr>
                <w:rFonts w:ascii="宋体" w:hAnsi="宋体" w:cs="宋体" w:eastAsia="宋体" w:hint="default"/>
                <w:sz w:val="18"/>
                <w:szCs w:val="18"/>
              </w:rPr>
            </w:pPr>
            <w:r>
              <w:rPr>
                <w:rFonts w:ascii="宋体" w:hAnsi="宋体" w:cs="宋体" w:eastAsia="宋体" w:hint="default"/>
                <w:spacing w:val="-2"/>
                <w:sz w:val="18"/>
                <w:szCs w:val="18"/>
              </w:rPr>
              <w:t>计入权益的累</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2"/>
                <w:sz w:val="18"/>
                <w:szCs w:val="18"/>
              </w:rPr>
              <w:t>计公允价值变</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动</w:t>
            </w:r>
          </w:p>
        </w:tc>
        <w:tc>
          <w:tcPr>
            <w:tcW w:w="926" w:type="dxa"/>
            <w:tcBorders>
              <w:top w:val="single" w:sz="4" w:space="0" w:color="000000"/>
              <w:left w:val="single" w:sz="4" w:space="0" w:color="000000"/>
              <w:bottom w:val="nil" w:sz="6" w:space="0" w:color="auto"/>
              <w:right w:val="single" w:sz="4" w:space="0" w:color="000000"/>
            </w:tcBorders>
            <w:shd w:val="clear" w:color="auto" w:fill="D2D2D2"/>
          </w:tcPr>
          <w:p>
            <w:pPr/>
          </w:p>
        </w:tc>
        <w:tc>
          <w:tcPr>
            <w:tcW w:w="1208" w:type="dxa"/>
            <w:vMerge w:val="restart"/>
            <w:tcBorders>
              <w:top w:val="single" w:sz="4" w:space="0" w:color="000000"/>
              <w:left w:val="single" w:sz="4" w:space="0" w:color="000000"/>
              <w:right w:val="single" w:sz="4" w:space="0" w:color="000000"/>
            </w:tcBorders>
            <w:shd w:val="clear" w:color="auto" w:fill="D2D2D2"/>
          </w:tcPr>
          <w:p>
            <w:pPr/>
          </w:p>
        </w:tc>
        <w:tc>
          <w:tcPr>
            <w:tcW w:w="1051" w:type="dxa"/>
            <w:tcBorders>
              <w:top w:val="single" w:sz="4" w:space="0" w:color="000000"/>
              <w:left w:val="single" w:sz="4" w:space="0" w:color="000000"/>
              <w:bottom w:val="nil" w:sz="6" w:space="0" w:color="auto"/>
              <w:right w:val="single" w:sz="4" w:space="0" w:color="000000"/>
            </w:tcBorders>
            <w:shd w:val="clear" w:color="auto" w:fill="D2D2D2"/>
          </w:tcPr>
          <w:p>
            <w:pPr/>
          </w:p>
        </w:tc>
        <w:tc>
          <w:tcPr>
            <w:tcW w:w="922" w:type="dxa"/>
            <w:vMerge w:val="restart"/>
            <w:tcBorders>
              <w:top w:val="single" w:sz="4" w:space="0" w:color="000000"/>
              <w:left w:val="single" w:sz="4" w:space="0" w:color="000000"/>
              <w:right w:val="single" w:sz="4" w:space="0" w:color="000000"/>
            </w:tcBorders>
            <w:shd w:val="clear" w:color="auto" w:fill="D2D2D2"/>
          </w:tcPr>
          <w:p>
            <w:pPr/>
          </w:p>
        </w:tc>
        <w:tc>
          <w:tcPr>
            <w:tcW w:w="1215" w:type="dxa"/>
            <w:vMerge w:val="restart"/>
            <w:tcBorders>
              <w:top w:val="single" w:sz="4" w:space="0" w:color="000000"/>
              <w:left w:val="single" w:sz="4" w:space="0" w:color="000000"/>
              <w:right w:val="single" w:sz="4" w:space="0" w:color="000000"/>
            </w:tcBorders>
            <w:shd w:val="clear" w:color="auto" w:fill="D2D2D2"/>
          </w:tcPr>
          <w:p>
            <w:pPr/>
          </w:p>
        </w:tc>
      </w:tr>
      <w:tr>
        <w:trPr>
          <w:trHeight w:val="154" w:hRule="exact"/>
        </w:trPr>
        <w:tc>
          <w:tcPr>
            <w:tcW w:w="968" w:type="dxa"/>
            <w:vMerge/>
            <w:tcBorders>
              <w:left w:val="single" w:sz="4" w:space="0" w:color="000000"/>
              <w:bottom w:val="nil" w:sz="6" w:space="0" w:color="auto"/>
              <w:right w:val="single" w:sz="4" w:space="0" w:color="000000"/>
            </w:tcBorders>
            <w:shd w:val="clear" w:color="auto" w:fill="D2D2D2"/>
          </w:tcPr>
          <w:p>
            <w:pPr/>
          </w:p>
        </w:tc>
        <w:tc>
          <w:tcPr>
            <w:tcW w:w="1024" w:type="dxa"/>
            <w:vMerge/>
            <w:tcBorders>
              <w:left w:val="single" w:sz="4" w:space="0" w:color="000000"/>
              <w:bottom w:val="nil" w:sz="6" w:space="0" w:color="auto"/>
              <w:right w:val="single" w:sz="4" w:space="0" w:color="000000"/>
            </w:tcBorders>
            <w:shd w:val="clear" w:color="auto" w:fill="D2D2D2"/>
          </w:tcPr>
          <w:p>
            <w:pPr/>
          </w:p>
        </w:tc>
        <w:tc>
          <w:tcPr>
            <w:tcW w:w="105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3"/>
              <w:ind w:left="71" w:right="71"/>
              <w:jc w:val="left"/>
              <w:rPr>
                <w:rFonts w:ascii="宋体" w:hAnsi="宋体" w:cs="宋体" w:eastAsia="宋体" w:hint="default"/>
                <w:sz w:val="18"/>
                <w:szCs w:val="18"/>
              </w:rPr>
            </w:pPr>
            <w:r>
              <w:rPr>
                <w:rFonts w:ascii="宋体" w:hAnsi="宋体" w:cs="宋体" w:eastAsia="宋体" w:hint="default"/>
                <w:spacing w:val="-2"/>
                <w:sz w:val="18"/>
                <w:szCs w:val="18"/>
              </w:rPr>
              <w:t>本期公允价</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值变动损益</w:t>
            </w:r>
          </w:p>
        </w:tc>
        <w:tc>
          <w:tcPr>
            <w:tcW w:w="1195" w:type="dxa"/>
            <w:vMerge/>
            <w:tcBorders>
              <w:left w:val="single" w:sz="4" w:space="0" w:color="000000"/>
              <w:right w:val="single" w:sz="4" w:space="0" w:color="000000"/>
            </w:tcBorders>
            <w:shd w:val="clear" w:color="auto" w:fill="D2D2D2"/>
          </w:tcPr>
          <w:p>
            <w:pPr/>
          </w:p>
        </w:tc>
        <w:tc>
          <w:tcPr>
            <w:tcW w:w="92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3"/>
              <w:ind w:left="192" w:right="88" w:hanging="92"/>
              <w:jc w:val="left"/>
              <w:rPr>
                <w:rFonts w:ascii="宋体" w:hAnsi="宋体" w:cs="宋体" w:eastAsia="宋体" w:hint="default"/>
                <w:sz w:val="18"/>
                <w:szCs w:val="18"/>
              </w:rPr>
            </w:pPr>
            <w:r>
              <w:rPr>
                <w:rFonts w:ascii="宋体" w:hAnsi="宋体" w:cs="宋体" w:eastAsia="宋体" w:hint="default"/>
                <w:sz w:val="18"/>
                <w:szCs w:val="18"/>
              </w:rPr>
              <w:t>本期计提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的减值</w:t>
            </w:r>
          </w:p>
        </w:tc>
        <w:tc>
          <w:tcPr>
            <w:tcW w:w="1208" w:type="dxa"/>
            <w:vMerge/>
            <w:tcBorders>
              <w:left w:val="single" w:sz="4" w:space="0" w:color="000000"/>
              <w:bottom w:val="nil" w:sz="6" w:space="0" w:color="auto"/>
              <w:right w:val="single" w:sz="4" w:space="0" w:color="000000"/>
            </w:tcBorders>
            <w:shd w:val="clear" w:color="auto" w:fill="D2D2D2"/>
          </w:tcPr>
          <w:p>
            <w:pPr/>
          </w:p>
        </w:tc>
        <w:tc>
          <w:tcPr>
            <w:tcW w:w="1051"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3"/>
              <w:ind w:left="430" w:right="65" w:hanging="360"/>
              <w:jc w:val="left"/>
              <w:rPr>
                <w:rFonts w:ascii="宋体" w:hAnsi="宋体" w:cs="宋体" w:eastAsia="宋体" w:hint="default"/>
                <w:sz w:val="18"/>
                <w:szCs w:val="18"/>
              </w:rPr>
            </w:pPr>
            <w:r>
              <w:rPr>
                <w:rFonts w:ascii="宋体" w:hAnsi="宋体" w:cs="宋体" w:eastAsia="宋体" w:hint="default"/>
                <w:spacing w:val="-2"/>
                <w:sz w:val="18"/>
                <w:szCs w:val="18"/>
              </w:rPr>
              <w:t>本期出售金</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额</w:t>
            </w:r>
          </w:p>
        </w:tc>
        <w:tc>
          <w:tcPr>
            <w:tcW w:w="922" w:type="dxa"/>
            <w:vMerge/>
            <w:tcBorders>
              <w:left w:val="single" w:sz="4" w:space="0" w:color="000000"/>
              <w:bottom w:val="nil" w:sz="6" w:space="0" w:color="auto"/>
              <w:right w:val="single" w:sz="4" w:space="0" w:color="000000"/>
            </w:tcBorders>
            <w:shd w:val="clear" w:color="auto" w:fill="D2D2D2"/>
          </w:tcPr>
          <w:p>
            <w:pPr/>
          </w:p>
        </w:tc>
        <w:tc>
          <w:tcPr>
            <w:tcW w:w="1215" w:type="dxa"/>
            <w:vMerge/>
            <w:tcBorders>
              <w:left w:val="single" w:sz="4" w:space="0" w:color="000000"/>
              <w:bottom w:val="nil" w:sz="6" w:space="0" w:color="auto"/>
              <w:right w:val="single" w:sz="4" w:space="0" w:color="000000"/>
            </w:tcBorders>
            <w:shd w:val="clear" w:color="auto" w:fill="D2D2D2"/>
          </w:tcPr>
          <w:p>
            <w:pPr/>
          </w:p>
        </w:tc>
      </w:tr>
      <w:tr>
        <w:trPr>
          <w:trHeight w:val="394" w:hRule="exact"/>
        </w:trPr>
        <w:tc>
          <w:tcPr>
            <w:tcW w:w="96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295"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02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235"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056"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c>
          <w:tcPr>
            <w:tcW w:w="926" w:type="dxa"/>
            <w:vMerge/>
            <w:tcBorders>
              <w:left w:val="single" w:sz="4" w:space="0" w:color="000000"/>
              <w:right w:val="single" w:sz="4" w:space="0" w:color="000000"/>
            </w:tcBorders>
            <w:shd w:val="clear" w:color="auto" w:fill="D2D2D2"/>
          </w:tcPr>
          <w:p>
            <w:pPr/>
          </w:p>
        </w:tc>
        <w:tc>
          <w:tcPr>
            <w:tcW w:w="120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本期购买金额</w:t>
            </w:r>
          </w:p>
        </w:tc>
        <w:tc>
          <w:tcPr>
            <w:tcW w:w="1051" w:type="dxa"/>
            <w:vMerge/>
            <w:tcBorders>
              <w:left w:val="single" w:sz="4" w:space="0" w:color="000000"/>
              <w:right w:val="single" w:sz="4" w:space="0" w:color="000000"/>
            </w:tcBorders>
            <w:shd w:val="clear" w:color="auto" w:fill="D2D2D2"/>
          </w:tcPr>
          <w:p>
            <w:pPr/>
          </w:p>
        </w:tc>
        <w:tc>
          <w:tcPr>
            <w:tcW w:w="92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96"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2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331"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154" w:hRule="exact"/>
        </w:trPr>
        <w:tc>
          <w:tcPr>
            <w:tcW w:w="968" w:type="dxa"/>
            <w:vMerge w:val="restart"/>
            <w:tcBorders>
              <w:top w:val="nil" w:sz="6" w:space="0" w:color="auto"/>
              <w:left w:val="single" w:sz="4" w:space="0" w:color="000000"/>
              <w:right w:val="single" w:sz="4" w:space="0" w:color="000000"/>
            </w:tcBorders>
            <w:shd w:val="clear" w:color="auto" w:fill="D2D2D2"/>
          </w:tcPr>
          <w:p>
            <w:pPr/>
          </w:p>
        </w:tc>
        <w:tc>
          <w:tcPr>
            <w:tcW w:w="1024" w:type="dxa"/>
            <w:vMerge w:val="restart"/>
            <w:tcBorders>
              <w:top w:val="nil" w:sz="6" w:space="0" w:color="auto"/>
              <w:left w:val="single" w:sz="4" w:space="0" w:color="000000"/>
              <w:right w:val="single" w:sz="4" w:space="0" w:color="000000"/>
            </w:tcBorders>
            <w:shd w:val="clear" w:color="auto" w:fill="D2D2D2"/>
          </w:tcPr>
          <w:p>
            <w:pPr/>
          </w:p>
        </w:tc>
        <w:tc>
          <w:tcPr>
            <w:tcW w:w="1056" w:type="dxa"/>
            <w:vMerge/>
            <w:tcBorders>
              <w:left w:val="single" w:sz="4" w:space="0" w:color="000000"/>
              <w:bottom w:val="nil" w:sz="6" w:space="0" w:color="auto"/>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c>
          <w:tcPr>
            <w:tcW w:w="926" w:type="dxa"/>
            <w:vMerge/>
            <w:tcBorders>
              <w:left w:val="single" w:sz="4" w:space="0" w:color="000000"/>
              <w:bottom w:val="nil" w:sz="6" w:space="0" w:color="auto"/>
              <w:right w:val="single" w:sz="4" w:space="0" w:color="000000"/>
            </w:tcBorders>
            <w:shd w:val="clear" w:color="auto" w:fill="D2D2D2"/>
          </w:tcPr>
          <w:p>
            <w:pPr/>
          </w:p>
        </w:tc>
        <w:tc>
          <w:tcPr>
            <w:tcW w:w="1208" w:type="dxa"/>
            <w:vMerge w:val="restart"/>
            <w:tcBorders>
              <w:top w:val="nil" w:sz="6" w:space="0" w:color="auto"/>
              <w:left w:val="single" w:sz="4" w:space="0" w:color="000000"/>
              <w:right w:val="single" w:sz="4" w:space="0" w:color="000000"/>
            </w:tcBorders>
            <w:shd w:val="clear" w:color="auto" w:fill="D2D2D2"/>
          </w:tcPr>
          <w:p>
            <w:pPr/>
          </w:p>
        </w:tc>
        <w:tc>
          <w:tcPr>
            <w:tcW w:w="1051" w:type="dxa"/>
            <w:vMerge/>
            <w:tcBorders>
              <w:left w:val="single" w:sz="4" w:space="0" w:color="000000"/>
              <w:bottom w:val="nil" w:sz="6" w:space="0" w:color="auto"/>
              <w:right w:val="single" w:sz="4" w:space="0" w:color="000000"/>
            </w:tcBorders>
            <w:shd w:val="clear" w:color="auto" w:fill="D2D2D2"/>
          </w:tcPr>
          <w:p>
            <w:pPr/>
          </w:p>
        </w:tc>
        <w:tc>
          <w:tcPr>
            <w:tcW w:w="922" w:type="dxa"/>
            <w:vMerge w:val="restart"/>
            <w:tcBorders>
              <w:top w:val="nil" w:sz="6" w:space="0" w:color="auto"/>
              <w:left w:val="single" w:sz="4" w:space="0" w:color="000000"/>
              <w:right w:val="single" w:sz="4" w:space="0" w:color="000000"/>
            </w:tcBorders>
            <w:shd w:val="clear" w:color="auto" w:fill="D2D2D2"/>
          </w:tcPr>
          <w:p>
            <w:pPr/>
          </w:p>
        </w:tc>
        <w:tc>
          <w:tcPr>
            <w:tcW w:w="1215" w:type="dxa"/>
            <w:vMerge w:val="restart"/>
            <w:tcBorders>
              <w:top w:val="nil" w:sz="6" w:space="0" w:color="auto"/>
              <w:left w:val="single" w:sz="4" w:space="0" w:color="000000"/>
              <w:right w:val="single" w:sz="4" w:space="0" w:color="000000"/>
            </w:tcBorders>
            <w:shd w:val="clear" w:color="auto" w:fill="D2D2D2"/>
          </w:tcPr>
          <w:p>
            <w:pPr/>
          </w:p>
        </w:tc>
      </w:tr>
      <w:tr>
        <w:trPr>
          <w:trHeight w:val="168" w:hRule="exact"/>
        </w:trPr>
        <w:tc>
          <w:tcPr>
            <w:tcW w:w="968" w:type="dxa"/>
            <w:vMerge/>
            <w:tcBorders>
              <w:left w:val="single" w:sz="4" w:space="0" w:color="000000"/>
              <w:bottom w:val="single" w:sz="4" w:space="0" w:color="000000"/>
              <w:right w:val="single" w:sz="4" w:space="0" w:color="000000"/>
            </w:tcBorders>
            <w:shd w:val="clear" w:color="auto" w:fill="D2D2D2"/>
          </w:tcPr>
          <w:p>
            <w:pPr/>
          </w:p>
        </w:tc>
        <w:tc>
          <w:tcPr>
            <w:tcW w:w="1024" w:type="dxa"/>
            <w:vMerge/>
            <w:tcBorders>
              <w:left w:val="single" w:sz="4" w:space="0" w:color="000000"/>
              <w:bottom w:val="single" w:sz="4" w:space="0" w:color="000000"/>
              <w:right w:val="single" w:sz="4" w:space="0" w:color="000000"/>
            </w:tcBorders>
            <w:shd w:val="clear" w:color="auto" w:fill="D2D2D2"/>
          </w:tcPr>
          <w:p>
            <w:pPr/>
          </w:p>
        </w:tc>
        <w:tc>
          <w:tcPr>
            <w:tcW w:w="105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926"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8" w:type="dxa"/>
            <w:vMerge/>
            <w:tcBorders>
              <w:left w:val="single" w:sz="4" w:space="0" w:color="000000"/>
              <w:bottom w:val="single" w:sz="4" w:space="0" w:color="000000"/>
              <w:right w:val="single" w:sz="4" w:space="0" w:color="000000"/>
            </w:tcBorders>
            <w:shd w:val="clear" w:color="auto" w:fill="D2D2D2"/>
          </w:tcPr>
          <w:p>
            <w:pPr/>
          </w:p>
        </w:tc>
        <w:tc>
          <w:tcPr>
            <w:tcW w:w="1051" w:type="dxa"/>
            <w:tcBorders>
              <w:top w:val="nil" w:sz="6" w:space="0" w:color="auto"/>
              <w:left w:val="single" w:sz="4" w:space="0" w:color="000000"/>
              <w:bottom w:val="single" w:sz="4" w:space="0" w:color="000000"/>
              <w:right w:val="single" w:sz="4" w:space="0" w:color="000000"/>
            </w:tcBorders>
            <w:shd w:val="clear" w:color="auto" w:fill="D2D2D2"/>
          </w:tcPr>
          <w:p>
            <w:pPr/>
          </w:p>
        </w:tc>
        <w:tc>
          <w:tcPr>
            <w:tcW w:w="922" w:type="dxa"/>
            <w:vMerge/>
            <w:tcBorders>
              <w:left w:val="single" w:sz="4" w:space="0" w:color="000000"/>
              <w:bottom w:val="single" w:sz="4" w:space="0" w:color="000000"/>
              <w:right w:val="single" w:sz="4" w:space="0" w:color="000000"/>
            </w:tcBorders>
            <w:shd w:val="clear" w:color="auto" w:fill="D2D2D2"/>
          </w:tcPr>
          <w:p>
            <w:pPr/>
          </w:p>
        </w:tc>
        <w:tc>
          <w:tcPr>
            <w:tcW w:w="1215" w:type="dxa"/>
            <w:vMerge/>
            <w:tcBorders>
              <w:left w:val="single" w:sz="4" w:space="0" w:color="000000"/>
              <w:bottom w:val="single" w:sz="4" w:space="0" w:color="000000"/>
              <w:right w:val="single" w:sz="4" w:space="0" w:color="000000"/>
            </w:tcBorders>
            <w:shd w:val="clear" w:color="auto" w:fill="D2D2D2"/>
          </w:tcPr>
          <w:p>
            <w:pPr/>
          </w:p>
        </w:tc>
      </w:tr>
      <w:tr>
        <w:trPr>
          <w:trHeight w:val="399" w:hRule="exact"/>
        </w:trPr>
        <w:tc>
          <w:tcPr>
            <w:tcW w:w="9563"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金融资产</w:t>
            </w:r>
          </w:p>
        </w:tc>
      </w:tr>
      <w:tr>
        <w:trPr>
          <w:trHeight w:val="1334" w:hRule="exact"/>
        </w:trPr>
        <w:tc>
          <w:tcPr>
            <w:tcW w:w="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3"/>
              <w:ind w:left="11" w:right="41"/>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交易性金</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2"/>
                <w:sz w:val="18"/>
                <w:szCs w:val="18"/>
              </w:rPr>
              <w:t>融资产（不</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含衍生金融</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资产）</w:t>
            </w:r>
          </w:p>
        </w:tc>
        <w:tc>
          <w:tcPr>
            <w:tcW w:w="102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67,000,000.0</w:t>
            </w:r>
          </w:p>
          <w:p>
            <w:pPr>
              <w:pStyle w:val="TableParagraph"/>
              <w:spacing w:line="240" w:lineRule="auto" w:before="105"/>
              <w:ind w:right="28"/>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05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28" w:right="0"/>
              <w:jc w:val="center"/>
              <w:rPr>
                <w:rFonts w:ascii="Times New Roman" w:hAnsi="Times New Roman" w:cs="Times New Roman" w:eastAsia="Times New Roman" w:hint="default"/>
                <w:sz w:val="18"/>
                <w:szCs w:val="18"/>
              </w:rPr>
            </w:pPr>
            <w:r>
              <w:rPr>
                <w:rFonts w:ascii="Times New Roman"/>
                <w:sz w:val="18"/>
              </w:rPr>
              <w:t>120,000,000.00</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0"/>
              <w:jc w:val="right"/>
              <w:rPr>
                <w:rFonts w:ascii="Times New Roman" w:hAnsi="Times New Roman" w:cs="Times New Roman" w:eastAsia="Times New Roman" w:hint="default"/>
                <w:sz w:val="18"/>
                <w:szCs w:val="18"/>
              </w:rPr>
            </w:pPr>
            <w:r>
              <w:rPr>
                <w:rFonts w:ascii="Times New Roman"/>
                <w:spacing w:val="-1"/>
                <w:sz w:val="18"/>
              </w:rPr>
              <w:t>127,000,000.</w:t>
            </w:r>
          </w:p>
          <w:p>
            <w:pPr>
              <w:pStyle w:val="TableParagraph"/>
              <w:spacing w:line="240" w:lineRule="auto" w:before="105"/>
              <w:ind w:right="7"/>
              <w:jc w:val="right"/>
              <w:rPr>
                <w:rFonts w:ascii="Times New Roman" w:hAnsi="Times New Roman" w:cs="Times New Roman" w:eastAsia="Times New Roman" w:hint="default"/>
                <w:sz w:val="18"/>
                <w:szCs w:val="18"/>
              </w:rPr>
            </w:pPr>
            <w:r>
              <w:rPr>
                <w:rFonts w:ascii="Times New Roman"/>
                <w:sz w:val="18"/>
              </w:rPr>
              <w:t>00</w:t>
            </w:r>
          </w:p>
        </w:tc>
        <w:tc>
          <w:tcPr>
            <w:tcW w:w="922" w:type="dxa"/>
            <w:tcBorders>
              <w:top w:val="single" w:sz="4" w:space="0" w:color="000000"/>
              <w:left w:val="single" w:sz="4" w:space="0" w:color="000000"/>
              <w:bottom w:val="single" w:sz="4" w:space="0" w:color="000000"/>
              <w:right w:val="single" w:sz="4" w:space="0" w:color="000000"/>
            </w:tcBorders>
          </w:tcPr>
          <w:p>
            <w:pP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60,000,000.00</w:t>
            </w:r>
          </w:p>
        </w:tc>
      </w:tr>
      <w:tr>
        <w:trPr>
          <w:trHeight w:val="164" w:hRule="exact"/>
        </w:trPr>
        <w:tc>
          <w:tcPr>
            <w:tcW w:w="968" w:type="dxa"/>
            <w:tcBorders>
              <w:top w:val="single" w:sz="4" w:space="0" w:color="000000"/>
              <w:left w:val="single" w:sz="4" w:space="0" w:color="000000"/>
              <w:bottom w:val="nil" w:sz="6" w:space="0" w:color="auto"/>
              <w:right w:val="single" w:sz="4" w:space="0" w:color="000000"/>
            </w:tcBorders>
            <w:shd w:val="clear" w:color="auto" w:fill="D2D2D2"/>
          </w:tcPr>
          <w:p>
            <w:pPr/>
          </w:p>
        </w:tc>
        <w:tc>
          <w:tcPr>
            <w:tcW w:w="1024" w:type="dxa"/>
            <w:vMerge w:val="restart"/>
            <w:tcBorders>
              <w:top w:val="single" w:sz="4" w:space="0" w:color="000000"/>
              <w:left w:val="single" w:sz="10" w:space="0" w:color="D2D2D2"/>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pacing w:val="-1"/>
                <w:sz w:val="18"/>
              </w:rPr>
              <w:t>67,000,000.0</w:t>
            </w:r>
          </w:p>
          <w:p>
            <w:pPr>
              <w:pStyle w:val="TableParagraph"/>
              <w:spacing w:line="240" w:lineRule="auto" w:before="110"/>
              <w:ind w:right="28"/>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056" w:type="dxa"/>
            <w:vMerge w:val="restart"/>
            <w:tcBorders>
              <w:top w:val="single" w:sz="4" w:space="0" w:color="000000"/>
              <w:left w:val="single" w:sz="4" w:space="0" w:color="000000"/>
              <w:right w:val="single" w:sz="4" w:space="0" w:color="000000"/>
            </w:tcBorders>
          </w:tcPr>
          <w:p>
            <w:pPr/>
          </w:p>
        </w:tc>
        <w:tc>
          <w:tcPr>
            <w:tcW w:w="1195" w:type="dxa"/>
            <w:vMerge w:val="restart"/>
            <w:tcBorders>
              <w:top w:val="single" w:sz="4" w:space="0" w:color="000000"/>
              <w:left w:val="single" w:sz="4" w:space="0" w:color="000000"/>
              <w:right w:val="single" w:sz="4" w:space="0" w:color="000000"/>
            </w:tcBorders>
          </w:tcPr>
          <w:p>
            <w:pPr/>
          </w:p>
        </w:tc>
        <w:tc>
          <w:tcPr>
            <w:tcW w:w="926" w:type="dxa"/>
            <w:vMerge w:val="restart"/>
            <w:tcBorders>
              <w:top w:val="single" w:sz="4" w:space="0" w:color="000000"/>
              <w:left w:val="single" w:sz="4" w:space="0" w:color="000000"/>
              <w:right w:val="single" w:sz="4" w:space="0" w:color="000000"/>
            </w:tcBorders>
          </w:tcPr>
          <w:p>
            <w:pPr/>
          </w:p>
        </w:tc>
        <w:tc>
          <w:tcPr>
            <w:tcW w:w="1208"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49" w:right="0"/>
              <w:jc w:val="left"/>
              <w:rPr>
                <w:rFonts w:ascii="Times New Roman" w:hAnsi="Times New Roman" w:cs="Times New Roman" w:eastAsia="Times New Roman" w:hint="default"/>
                <w:sz w:val="18"/>
                <w:szCs w:val="18"/>
              </w:rPr>
            </w:pPr>
            <w:r>
              <w:rPr>
                <w:rFonts w:ascii="Times New Roman"/>
                <w:sz w:val="18"/>
              </w:rPr>
              <w:t>120,000,000.00</w:t>
            </w:r>
          </w:p>
        </w:tc>
        <w:tc>
          <w:tcPr>
            <w:tcW w:w="1051" w:type="dxa"/>
            <w:vMerge w:val="restart"/>
            <w:tcBorders>
              <w:top w:val="single" w:sz="4" w:space="0" w:color="000000"/>
              <w:left w:val="single" w:sz="4" w:space="0" w:color="000000"/>
              <w:right w:val="single" w:sz="4" w:space="0" w:color="000000"/>
            </w:tcBorders>
          </w:tcPr>
          <w:p>
            <w:pPr>
              <w:pStyle w:val="TableParagraph"/>
              <w:spacing w:line="240" w:lineRule="auto" w:before="96"/>
              <w:ind w:right="10"/>
              <w:jc w:val="right"/>
              <w:rPr>
                <w:rFonts w:ascii="Times New Roman" w:hAnsi="Times New Roman" w:cs="Times New Roman" w:eastAsia="Times New Roman" w:hint="default"/>
                <w:sz w:val="18"/>
                <w:szCs w:val="18"/>
              </w:rPr>
            </w:pPr>
            <w:r>
              <w:rPr>
                <w:rFonts w:ascii="Times New Roman"/>
                <w:spacing w:val="-1"/>
                <w:sz w:val="18"/>
              </w:rPr>
              <w:t>127,000,000.</w:t>
            </w:r>
          </w:p>
          <w:p>
            <w:pPr>
              <w:pStyle w:val="TableParagraph"/>
              <w:spacing w:line="240" w:lineRule="auto" w:before="110"/>
              <w:ind w:right="7"/>
              <w:jc w:val="right"/>
              <w:rPr>
                <w:rFonts w:ascii="Times New Roman" w:hAnsi="Times New Roman" w:cs="Times New Roman" w:eastAsia="Times New Roman" w:hint="default"/>
                <w:sz w:val="18"/>
                <w:szCs w:val="18"/>
              </w:rPr>
            </w:pPr>
            <w:r>
              <w:rPr>
                <w:rFonts w:ascii="Times New Roman"/>
                <w:sz w:val="18"/>
              </w:rPr>
              <w:t>00</w:t>
            </w:r>
          </w:p>
        </w:tc>
        <w:tc>
          <w:tcPr>
            <w:tcW w:w="922" w:type="dxa"/>
            <w:vMerge w:val="restart"/>
            <w:tcBorders>
              <w:top w:val="single" w:sz="4" w:space="0" w:color="000000"/>
              <w:left w:val="single" w:sz="4" w:space="0" w:color="000000"/>
              <w:right w:val="single" w:sz="4" w:space="0" w:color="000000"/>
            </w:tcBorders>
          </w:tcPr>
          <w:p>
            <w:pPr/>
          </w:p>
        </w:tc>
        <w:tc>
          <w:tcPr>
            <w:tcW w:w="121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143" w:right="0"/>
              <w:jc w:val="left"/>
              <w:rPr>
                <w:rFonts w:ascii="Times New Roman" w:hAnsi="Times New Roman" w:cs="Times New Roman" w:eastAsia="Times New Roman" w:hint="default"/>
                <w:sz w:val="18"/>
                <w:szCs w:val="18"/>
              </w:rPr>
            </w:pPr>
            <w:r>
              <w:rPr>
                <w:rFonts w:ascii="Times New Roman"/>
                <w:sz w:val="18"/>
              </w:rPr>
              <w:t>60,000,000.00</w:t>
            </w:r>
          </w:p>
        </w:tc>
      </w:tr>
      <w:tr>
        <w:trPr>
          <w:trHeight w:val="394" w:hRule="exact"/>
        </w:trPr>
        <w:tc>
          <w:tcPr>
            <w:tcW w:w="96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上述合计</w:t>
            </w:r>
          </w:p>
        </w:tc>
        <w:tc>
          <w:tcPr>
            <w:tcW w:w="1024" w:type="dxa"/>
            <w:vMerge/>
            <w:tcBorders>
              <w:left w:val="single" w:sz="10" w:space="0" w:color="D2D2D2"/>
              <w:right w:val="single" w:sz="4" w:space="0" w:color="000000"/>
            </w:tcBorders>
          </w:tcPr>
          <w:p>
            <w:pPr/>
          </w:p>
        </w:tc>
        <w:tc>
          <w:tcPr>
            <w:tcW w:w="1056"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c>
          <w:tcPr>
            <w:tcW w:w="926" w:type="dxa"/>
            <w:vMerge/>
            <w:tcBorders>
              <w:left w:val="single" w:sz="4" w:space="0" w:color="000000"/>
              <w:right w:val="single" w:sz="4" w:space="0" w:color="000000"/>
            </w:tcBorders>
          </w:tcPr>
          <w:p>
            <w:pPr/>
          </w:p>
        </w:tc>
        <w:tc>
          <w:tcPr>
            <w:tcW w:w="1208" w:type="dxa"/>
            <w:vMerge/>
            <w:tcBorders>
              <w:left w:val="single" w:sz="4" w:space="0" w:color="000000"/>
              <w:right w:val="single" w:sz="4" w:space="0" w:color="000000"/>
            </w:tcBorders>
          </w:tcPr>
          <w:p>
            <w:pPr/>
          </w:p>
        </w:tc>
        <w:tc>
          <w:tcPr>
            <w:tcW w:w="1051" w:type="dxa"/>
            <w:vMerge/>
            <w:tcBorders>
              <w:left w:val="single" w:sz="4" w:space="0" w:color="000000"/>
              <w:right w:val="single" w:sz="4" w:space="0" w:color="000000"/>
            </w:tcBorders>
          </w:tcPr>
          <w:p>
            <w:pPr/>
          </w:p>
        </w:tc>
        <w:tc>
          <w:tcPr>
            <w:tcW w:w="922" w:type="dxa"/>
            <w:vMerge/>
            <w:tcBorders>
              <w:left w:val="single" w:sz="4" w:space="0" w:color="000000"/>
              <w:right w:val="single" w:sz="4" w:space="0" w:color="000000"/>
            </w:tcBorders>
          </w:tcPr>
          <w:p>
            <w:pPr/>
          </w:p>
        </w:tc>
        <w:tc>
          <w:tcPr>
            <w:tcW w:w="1215" w:type="dxa"/>
            <w:vMerge/>
            <w:tcBorders>
              <w:left w:val="single" w:sz="4" w:space="0" w:color="000000"/>
              <w:right w:val="single" w:sz="4" w:space="0" w:color="000000"/>
            </w:tcBorders>
          </w:tcPr>
          <w:p>
            <w:pPr/>
          </w:p>
        </w:tc>
      </w:tr>
      <w:tr>
        <w:trPr>
          <w:trHeight w:val="158" w:hRule="exact"/>
        </w:trPr>
        <w:tc>
          <w:tcPr>
            <w:tcW w:w="9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024" w:type="dxa"/>
            <w:vMerge/>
            <w:tcBorders>
              <w:left w:val="single" w:sz="10" w:space="0" w:color="D2D2D2"/>
              <w:bottom w:val="single" w:sz="4" w:space="0" w:color="000000"/>
              <w:right w:val="single" w:sz="4" w:space="0" w:color="000000"/>
            </w:tcBorders>
          </w:tcPr>
          <w:p>
            <w:pPr/>
          </w:p>
        </w:tc>
        <w:tc>
          <w:tcPr>
            <w:tcW w:w="1056"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c>
          <w:tcPr>
            <w:tcW w:w="926" w:type="dxa"/>
            <w:vMerge/>
            <w:tcBorders>
              <w:left w:val="single" w:sz="4" w:space="0" w:color="000000"/>
              <w:bottom w:val="single" w:sz="4" w:space="0" w:color="000000"/>
              <w:right w:val="single" w:sz="4" w:space="0" w:color="000000"/>
            </w:tcBorders>
          </w:tcPr>
          <w:p>
            <w:pPr/>
          </w:p>
        </w:tc>
        <w:tc>
          <w:tcPr>
            <w:tcW w:w="1208" w:type="dxa"/>
            <w:vMerge/>
            <w:tcBorders>
              <w:left w:val="single" w:sz="4" w:space="0" w:color="000000"/>
              <w:bottom w:val="single" w:sz="4" w:space="0" w:color="000000"/>
              <w:right w:val="single" w:sz="4" w:space="0" w:color="000000"/>
            </w:tcBorders>
          </w:tcPr>
          <w:p>
            <w:pPr/>
          </w:p>
        </w:tc>
        <w:tc>
          <w:tcPr>
            <w:tcW w:w="1051" w:type="dxa"/>
            <w:vMerge/>
            <w:tcBorders>
              <w:left w:val="single" w:sz="4" w:space="0" w:color="000000"/>
              <w:bottom w:val="single" w:sz="4" w:space="0" w:color="000000"/>
              <w:right w:val="single" w:sz="4" w:space="0" w:color="000000"/>
            </w:tcBorders>
          </w:tcPr>
          <w:p>
            <w:pPr/>
          </w:p>
        </w:tc>
        <w:tc>
          <w:tcPr>
            <w:tcW w:w="922" w:type="dxa"/>
            <w:vMerge/>
            <w:tcBorders>
              <w:left w:val="single" w:sz="4" w:space="0" w:color="000000"/>
              <w:bottom w:val="single" w:sz="4" w:space="0" w:color="000000"/>
              <w:right w:val="single" w:sz="4" w:space="0" w:color="000000"/>
            </w:tcBorders>
          </w:tcPr>
          <w:p>
            <w:pPr/>
          </w:p>
        </w:tc>
        <w:tc>
          <w:tcPr>
            <w:tcW w:w="1215" w:type="dxa"/>
            <w:vMerge/>
            <w:tcBorders>
              <w:left w:val="single" w:sz="4" w:space="0" w:color="000000"/>
              <w:bottom w:val="single" w:sz="4" w:space="0" w:color="000000"/>
              <w:right w:val="single" w:sz="4" w:space="0" w:color="000000"/>
            </w:tcBorders>
          </w:tcPr>
          <w:p>
            <w:pPr/>
          </w:p>
        </w:tc>
      </w:tr>
      <w:tr>
        <w:trPr>
          <w:trHeight w:val="403" w:hRule="exact"/>
        </w:trPr>
        <w:tc>
          <w:tcPr>
            <w:tcW w:w="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金融负债</w:t>
            </w:r>
          </w:p>
        </w:tc>
        <w:tc>
          <w:tcPr>
            <w:tcW w:w="102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left="660" w:right="0"/>
              <w:jc w:val="left"/>
              <w:rPr>
                <w:rFonts w:ascii="Times New Roman" w:hAnsi="Times New Roman" w:cs="Times New Roman" w:eastAsia="Times New Roman" w:hint="default"/>
                <w:sz w:val="18"/>
                <w:szCs w:val="18"/>
              </w:rPr>
            </w:pPr>
            <w:r>
              <w:rPr>
                <w:rFonts w:ascii="Times New Roman"/>
                <w:sz w:val="18"/>
              </w:rPr>
              <w:t>0.00</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48" w:right="0"/>
              <w:jc w:val="left"/>
              <w:rPr>
                <w:rFonts w:ascii="Times New Roman" w:hAnsi="Times New Roman" w:cs="Times New Roman" w:eastAsia="Times New Roman" w:hint="default"/>
                <w:sz w:val="18"/>
                <w:szCs w:val="18"/>
              </w:rPr>
            </w:pPr>
            <w:r>
              <w:rPr>
                <w:rFonts w:ascii="Times New Roman"/>
                <w:sz w:val="18"/>
              </w:rPr>
              <w:t>-50,455.50</w:t>
            </w:r>
          </w:p>
        </w:tc>
        <w:tc>
          <w:tcPr>
            <w:tcW w:w="1195"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-50,455.50</w:t>
            </w:r>
          </w:p>
        </w:tc>
      </w:tr>
    </w:tbl>
    <w:p>
      <w:pPr>
        <w:spacing w:after="0" w:line="240" w:lineRule="auto"/>
        <w:jc w:val="right"/>
        <w:rPr>
          <w:rFonts w:ascii="Times New Roman" w:hAnsi="Times New Roman" w:cs="Times New Roman" w:eastAsia="Times New Roman" w:hint="default"/>
          <w:sz w:val="18"/>
          <w:szCs w:val="18"/>
        </w:rPr>
        <w:sectPr>
          <w:pgSz w:w="11910" w:h="16840"/>
          <w:pgMar w:header="871" w:footer="1186" w:top="1100" w:bottom="1380" w:left="980" w:right="0"/>
        </w:sectPr>
      </w:pPr>
    </w:p>
    <w:p>
      <w:pPr>
        <w:spacing w:line="240" w:lineRule="auto" w:before="3"/>
        <w:rPr>
          <w:rFonts w:ascii="宋体" w:hAnsi="宋体" w:cs="宋体" w:eastAsia="宋体" w:hint="default"/>
          <w:sz w:val="22"/>
          <w:szCs w:val="22"/>
        </w:rPr>
      </w:pPr>
    </w:p>
    <w:p>
      <w:pPr>
        <w:pStyle w:val="BodyText"/>
        <w:spacing w:line="357" w:lineRule="auto" w:before="46"/>
        <w:ind w:right="6680"/>
        <w:jc w:val="left"/>
      </w:pPr>
      <w:r>
        <w:rPr>
          <w:spacing w:val="-3"/>
        </w:rPr>
        <w:t>其他变动的内容</w:t>
      </w:r>
      <w:r>
        <w:rPr>
          <w:spacing w:val="-68"/>
        </w:rPr>
        <w:t> </w:t>
      </w:r>
      <w:r>
        <w:rPr>
          <w:spacing w:val="-68"/>
        </w:rPr>
      </w:r>
      <w:r>
        <w:rPr>
          <w:spacing w:val="-3"/>
        </w:rPr>
        <w:t>报告期内公司主要资产计量属性是否发生重大变化</w:t>
      </w:r>
    </w:p>
    <w:p>
      <w:pPr>
        <w:pStyle w:val="BodyText"/>
        <w:spacing w:line="240" w:lineRule="auto" w:before="31"/>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4"/>
        <w:rPr>
          <w:rFonts w:ascii="宋体" w:hAnsi="宋体" w:cs="宋体" w:eastAsia="宋体" w:hint="default"/>
          <w:sz w:val="25"/>
          <w:szCs w:val="25"/>
        </w:rPr>
      </w:pPr>
    </w:p>
    <w:p>
      <w:pPr>
        <w:pStyle w:val="Heading3"/>
        <w:spacing w:line="240" w:lineRule="auto"/>
        <w:ind w:right="0"/>
        <w:jc w:val="left"/>
        <w:rPr>
          <w:b w:val="0"/>
          <w:bCs w:val="0"/>
        </w:rPr>
      </w:pPr>
      <w:bookmarkStart w:name="3、截至报告期末的资产权利受限情况" w:id="43"/>
      <w:bookmarkEnd w:id="43"/>
      <w:r>
        <w:rPr>
          <w:b w:val="0"/>
          <w:bCs w:val="0"/>
        </w:rPr>
      </w:r>
      <w:r>
        <w:rPr>
          <w:rFonts w:ascii="Times New Roman" w:hAnsi="Times New Roman" w:cs="Times New Roman" w:eastAsia="Times New Roman" w:hint="default"/>
        </w:rPr>
        <w:t>3</w:t>
      </w:r>
      <w:r>
        <w:rPr/>
        <w:t>、截至报告期末的资产权利受限情况</w:t>
      </w:r>
      <w:r>
        <w:rPr>
          <w:b w:val="0"/>
          <w:bCs w:val="0"/>
        </w:rPr>
      </w:r>
    </w:p>
    <w:p>
      <w:pPr>
        <w:spacing w:line="240" w:lineRule="auto" w:before="2"/>
        <w:rPr>
          <w:rFonts w:ascii="宋体" w:hAnsi="宋体" w:cs="宋体" w:eastAsia="宋体" w:hint="default"/>
          <w:b/>
          <w:bCs/>
          <w:sz w:val="27"/>
          <w:szCs w:val="27"/>
        </w:rPr>
      </w:pPr>
    </w:p>
    <w:tbl>
      <w:tblPr>
        <w:tblW w:w="0" w:type="auto"/>
        <w:jc w:val="left"/>
        <w:tblInd w:w="143" w:type="dxa"/>
        <w:tblLayout w:type="fixed"/>
        <w:tblCellMar>
          <w:top w:w="0" w:type="dxa"/>
          <w:left w:w="0" w:type="dxa"/>
          <w:bottom w:w="0" w:type="dxa"/>
          <w:right w:w="0" w:type="dxa"/>
        </w:tblCellMar>
        <w:tblLook w:val="01E0"/>
      </w:tblPr>
      <w:tblGrid>
        <w:gridCol w:w="3188"/>
        <w:gridCol w:w="3193"/>
        <w:gridCol w:w="3193"/>
      </w:tblGrid>
      <w:tr>
        <w:trPr>
          <w:trHeight w:val="410" w:hRule="exact"/>
        </w:trPr>
        <w:tc>
          <w:tcPr>
            <w:tcW w:w="31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6"/>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6"/>
              <w:ind w:left="1051" w:right="0"/>
              <w:jc w:val="left"/>
              <w:rPr>
                <w:rFonts w:ascii="宋体" w:hAnsi="宋体" w:cs="宋体" w:eastAsia="宋体" w:hint="default"/>
                <w:sz w:val="18"/>
                <w:szCs w:val="18"/>
              </w:rPr>
            </w:pPr>
            <w:r>
              <w:rPr>
                <w:rFonts w:ascii="宋体" w:hAnsi="宋体" w:cs="宋体" w:eastAsia="宋体" w:hint="default"/>
                <w:sz w:val="18"/>
                <w:szCs w:val="18"/>
              </w:rPr>
              <w:t>期末账面净值</w:t>
            </w:r>
          </w:p>
        </w:tc>
        <w:tc>
          <w:tcPr>
            <w:tcW w:w="319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6"/>
              <w:ind w:left="5" w:right="0"/>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346" w:hRule="exact"/>
        </w:trPr>
        <w:tc>
          <w:tcPr>
            <w:tcW w:w="31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1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5"/>
              <w:jc w:val="right"/>
              <w:rPr>
                <w:rFonts w:ascii="Times New Roman" w:hAnsi="Times New Roman" w:cs="Times New Roman" w:eastAsia="Times New Roman" w:hint="default"/>
                <w:sz w:val="18"/>
                <w:szCs w:val="18"/>
              </w:rPr>
            </w:pPr>
            <w:r>
              <w:rPr>
                <w:rFonts w:ascii="Times New Roman"/>
                <w:spacing w:val="-1"/>
                <w:sz w:val="18"/>
              </w:rPr>
              <w:t>8,560,186.29</w:t>
            </w:r>
          </w:p>
        </w:tc>
        <w:tc>
          <w:tcPr>
            <w:tcW w:w="31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pacing w:val="-3"/>
                <w:sz w:val="18"/>
                <w:szCs w:val="18"/>
              </w:rPr>
              <w:t>银行承兑汇票保证金</w:t>
            </w:r>
          </w:p>
        </w:tc>
      </w:tr>
      <w:tr>
        <w:trPr>
          <w:trHeight w:val="346" w:hRule="exact"/>
        </w:trPr>
        <w:tc>
          <w:tcPr>
            <w:tcW w:w="31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1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5"/>
              <w:jc w:val="right"/>
              <w:rPr>
                <w:rFonts w:ascii="Times New Roman" w:hAnsi="Times New Roman" w:cs="Times New Roman" w:eastAsia="Times New Roman" w:hint="default"/>
                <w:sz w:val="18"/>
                <w:szCs w:val="18"/>
              </w:rPr>
            </w:pPr>
            <w:r>
              <w:rPr>
                <w:rFonts w:ascii="Times New Roman"/>
                <w:spacing w:val="-1"/>
                <w:sz w:val="18"/>
              </w:rPr>
              <w:t>2,092,860.00</w:t>
            </w:r>
          </w:p>
        </w:tc>
        <w:tc>
          <w:tcPr>
            <w:tcW w:w="31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企业信用卡保证金</w:t>
            </w:r>
          </w:p>
        </w:tc>
      </w:tr>
      <w:tr>
        <w:trPr>
          <w:trHeight w:val="350" w:hRule="exact"/>
        </w:trPr>
        <w:tc>
          <w:tcPr>
            <w:tcW w:w="31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1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right="-5"/>
              <w:jc w:val="right"/>
              <w:rPr>
                <w:rFonts w:ascii="Times New Roman" w:hAnsi="Times New Roman" w:cs="Times New Roman" w:eastAsia="Times New Roman" w:hint="default"/>
                <w:sz w:val="18"/>
                <w:szCs w:val="18"/>
              </w:rPr>
            </w:pPr>
            <w:r>
              <w:rPr>
                <w:rFonts w:ascii="Times New Roman"/>
                <w:spacing w:val="-1"/>
                <w:sz w:val="18"/>
              </w:rPr>
              <w:t>665,508.00</w:t>
            </w:r>
          </w:p>
        </w:tc>
        <w:tc>
          <w:tcPr>
            <w:tcW w:w="31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4" w:right="0"/>
              <w:jc w:val="left"/>
              <w:rPr>
                <w:rFonts w:ascii="宋体" w:hAnsi="宋体" w:cs="宋体" w:eastAsia="宋体" w:hint="default"/>
                <w:sz w:val="18"/>
                <w:szCs w:val="18"/>
              </w:rPr>
            </w:pPr>
            <w:r>
              <w:rPr>
                <w:rFonts w:ascii="宋体" w:hAnsi="宋体" w:cs="宋体" w:eastAsia="宋体" w:hint="default"/>
                <w:spacing w:val="-3"/>
                <w:sz w:val="18"/>
                <w:szCs w:val="18"/>
              </w:rPr>
              <w:t>履约保函保证金</w:t>
            </w:r>
          </w:p>
        </w:tc>
      </w:tr>
      <w:tr>
        <w:trPr>
          <w:trHeight w:val="346" w:hRule="exact"/>
        </w:trPr>
        <w:tc>
          <w:tcPr>
            <w:tcW w:w="31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1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5"/>
              <w:jc w:val="right"/>
              <w:rPr>
                <w:rFonts w:ascii="Times New Roman" w:hAnsi="Times New Roman" w:cs="Times New Roman" w:eastAsia="Times New Roman" w:hint="default"/>
                <w:sz w:val="18"/>
                <w:szCs w:val="18"/>
              </w:rPr>
            </w:pPr>
            <w:r>
              <w:rPr>
                <w:rFonts w:ascii="Times New Roman"/>
                <w:spacing w:val="-2"/>
                <w:sz w:val="18"/>
              </w:rPr>
              <w:t>209,411.01</w:t>
            </w:r>
          </w:p>
        </w:tc>
        <w:tc>
          <w:tcPr>
            <w:tcW w:w="31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pacing w:val="-3"/>
                <w:sz w:val="18"/>
                <w:szCs w:val="18"/>
              </w:rPr>
              <w:t>外汇业务保证金</w:t>
            </w:r>
          </w:p>
        </w:tc>
      </w:tr>
      <w:tr>
        <w:trPr>
          <w:trHeight w:val="346" w:hRule="exact"/>
        </w:trPr>
        <w:tc>
          <w:tcPr>
            <w:tcW w:w="31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1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4"/>
              <w:jc w:val="right"/>
              <w:rPr>
                <w:rFonts w:ascii="Times New Roman" w:hAnsi="Times New Roman" w:cs="Times New Roman" w:eastAsia="Times New Roman" w:hint="default"/>
                <w:sz w:val="18"/>
                <w:szCs w:val="18"/>
              </w:rPr>
            </w:pPr>
            <w:r>
              <w:rPr>
                <w:rFonts w:ascii="Times New Roman"/>
                <w:spacing w:val="-1"/>
                <w:sz w:val="18"/>
              </w:rPr>
              <w:t>35,000,000.00</w:t>
            </w:r>
          </w:p>
        </w:tc>
        <w:tc>
          <w:tcPr>
            <w:tcW w:w="31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银行借款质押担保</w:t>
            </w:r>
          </w:p>
        </w:tc>
      </w:tr>
      <w:tr>
        <w:trPr>
          <w:trHeight w:val="351" w:hRule="exact"/>
        </w:trPr>
        <w:tc>
          <w:tcPr>
            <w:tcW w:w="31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right="-4"/>
              <w:jc w:val="right"/>
              <w:rPr>
                <w:rFonts w:ascii="Times New Roman" w:hAnsi="Times New Roman" w:cs="Times New Roman" w:eastAsia="Times New Roman" w:hint="default"/>
                <w:sz w:val="18"/>
                <w:szCs w:val="18"/>
              </w:rPr>
            </w:pPr>
            <w:r>
              <w:rPr>
                <w:rFonts w:ascii="Times New Roman"/>
                <w:spacing w:val="-1"/>
                <w:sz w:val="18"/>
              </w:rPr>
              <w:t>46,527,965.30</w:t>
            </w:r>
          </w:p>
        </w:tc>
        <w:tc>
          <w:tcPr>
            <w:tcW w:w="3193"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9"/>
        <w:rPr>
          <w:rFonts w:ascii="宋体" w:hAnsi="宋体" w:cs="宋体" w:eastAsia="宋体" w:hint="default"/>
          <w:b/>
          <w:bCs/>
          <w:sz w:val="17"/>
          <w:szCs w:val="17"/>
        </w:rPr>
      </w:pPr>
    </w:p>
    <w:p>
      <w:pPr>
        <w:pStyle w:val="Heading2"/>
        <w:spacing w:line="240" w:lineRule="auto" w:before="26"/>
        <w:ind w:right="0"/>
        <w:jc w:val="left"/>
        <w:rPr>
          <w:b w:val="0"/>
          <w:bCs w:val="0"/>
        </w:rPr>
      </w:pPr>
      <w:bookmarkStart w:name="五、投资状况分析" w:id="44"/>
      <w:bookmarkEnd w:id="44"/>
      <w:r>
        <w:rPr>
          <w:b w:val="0"/>
          <w:bCs w:val="0"/>
        </w:rPr>
      </w:r>
      <w:r>
        <w:rPr/>
        <w:t>五、投资状况分析</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left"/>
        <w:rPr>
          <w:b w:val="0"/>
          <w:bCs w:val="0"/>
        </w:rPr>
      </w:pPr>
      <w:bookmarkStart w:name="1、总体情况" w:id="45"/>
      <w:bookmarkEnd w:id="45"/>
      <w:r>
        <w:rPr>
          <w:b w:val="0"/>
          <w:bCs w:val="0"/>
        </w:rPr>
      </w:r>
      <w:r>
        <w:rPr>
          <w:rFonts w:ascii="Times New Roman" w:hAnsi="Times New Roman" w:cs="Times New Roman" w:eastAsia="Times New Roman" w:hint="default"/>
        </w:rPr>
        <w:t>1</w:t>
      </w:r>
      <w:r>
        <w:rPr/>
        <w:t>、总体情况</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7"/>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82" w:right="0"/>
              <w:jc w:val="left"/>
              <w:rPr>
                <w:rFonts w:ascii="宋体" w:hAnsi="宋体" w:cs="宋体" w:eastAsia="宋体" w:hint="default"/>
                <w:sz w:val="18"/>
                <w:szCs w:val="18"/>
              </w:rPr>
            </w:pPr>
            <w:r>
              <w:rPr>
                <w:rFonts w:ascii="宋体" w:hAnsi="宋体" w:cs="宋体" w:eastAsia="宋体" w:hint="default"/>
                <w:spacing w:val="-3"/>
                <w:sz w:val="18"/>
                <w:szCs w:val="18"/>
              </w:rPr>
              <w:t>报告期投资额（元）</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91" w:right="0"/>
              <w:jc w:val="left"/>
              <w:rPr>
                <w:rFonts w:ascii="宋体" w:hAnsi="宋体" w:cs="宋体" w:eastAsia="宋体" w:hint="default"/>
                <w:sz w:val="18"/>
                <w:szCs w:val="18"/>
              </w:rPr>
            </w:pPr>
            <w:r>
              <w:rPr>
                <w:rFonts w:ascii="宋体" w:hAnsi="宋体" w:cs="宋体" w:eastAsia="宋体" w:hint="default"/>
                <w:sz w:val="18"/>
                <w:szCs w:val="18"/>
              </w:rPr>
              <w:t>上年同期投资额（元）</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变动幅度</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2,750,000.00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2"/>
                <w:sz w:val="18"/>
              </w:rPr>
              <w:t>100.00%</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2、报告期内获取的重大的股权投资情况" w:id="46"/>
      <w:bookmarkEnd w:id="46"/>
      <w:r>
        <w:rPr>
          <w:b w:val="0"/>
          <w:bCs w:val="0"/>
        </w:rPr>
      </w:r>
      <w:r>
        <w:rPr>
          <w:rFonts w:ascii="Times New Roman" w:hAnsi="Times New Roman" w:cs="Times New Roman" w:eastAsia="Times New Roman" w:hint="default"/>
        </w:rPr>
        <w:t>2</w:t>
      </w:r>
      <w:r>
        <w:rPr/>
        <w:t>、报告期内获取的重大的股权投资情况</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pStyle w:val="BodyText"/>
        <w:spacing w:line="240" w:lineRule="auto" w:before="101"/>
        <w:ind w:left="0" w:right="1122"/>
        <w:jc w:val="right"/>
      </w:pPr>
      <w:r>
        <w:rPr>
          <w:spacing w:val="-2"/>
        </w:rPr>
        <w:t>单位：元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696"/>
        <w:gridCol w:w="692"/>
        <w:gridCol w:w="663"/>
        <w:gridCol w:w="662"/>
        <w:gridCol w:w="663"/>
        <w:gridCol w:w="662"/>
        <w:gridCol w:w="658"/>
        <w:gridCol w:w="653"/>
        <w:gridCol w:w="658"/>
        <w:gridCol w:w="629"/>
        <w:gridCol w:w="740"/>
        <w:gridCol w:w="734"/>
        <w:gridCol w:w="735"/>
        <w:gridCol w:w="725"/>
      </w:tblGrid>
      <w:tr>
        <w:trPr>
          <w:trHeight w:val="1023" w:hRule="exact"/>
        </w:trPr>
        <w:tc>
          <w:tcPr>
            <w:tcW w:w="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71" w:right="69"/>
              <w:jc w:val="center"/>
              <w:rPr>
                <w:rFonts w:ascii="宋体" w:hAnsi="宋体" w:cs="宋体" w:eastAsia="宋体" w:hint="default"/>
                <w:sz w:val="18"/>
                <w:szCs w:val="18"/>
              </w:rPr>
            </w:pPr>
            <w:r>
              <w:rPr>
                <w:rFonts w:ascii="宋体" w:hAnsi="宋体" w:cs="宋体" w:eastAsia="宋体" w:hint="default"/>
                <w:spacing w:val="-2"/>
                <w:sz w:val="18"/>
                <w:szCs w:val="18"/>
              </w:rPr>
              <w:t>被投资</w:t>
            </w:r>
            <w:r>
              <w:rPr>
                <w:rFonts w:ascii="宋体" w:hAnsi="宋体" w:cs="宋体" w:eastAsia="宋体" w:hint="default"/>
                <w:w w:val="101"/>
                <w:sz w:val="18"/>
                <w:szCs w:val="18"/>
              </w:rPr>
              <w:t> </w:t>
            </w:r>
            <w:r>
              <w:rPr>
                <w:rFonts w:ascii="宋体" w:hAnsi="宋体" w:cs="宋体" w:eastAsia="宋体" w:hint="default"/>
                <w:spacing w:val="-2"/>
                <w:sz w:val="18"/>
                <w:szCs w:val="18"/>
              </w:rPr>
              <w:t>公司名</w:t>
            </w:r>
            <w:r>
              <w:rPr>
                <w:rFonts w:ascii="宋体" w:hAnsi="宋体" w:cs="宋体" w:eastAsia="宋体" w:hint="default"/>
                <w:w w:val="101"/>
                <w:sz w:val="18"/>
                <w:szCs w:val="18"/>
              </w:rPr>
              <w:t> </w:t>
            </w:r>
            <w:r>
              <w:rPr>
                <w:rFonts w:ascii="宋体" w:hAnsi="宋体" w:cs="宋体" w:eastAsia="宋体" w:hint="default"/>
                <w:sz w:val="18"/>
                <w:szCs w:val="18"/>
              </w:rPr>
              <w:t>称</w:t>
            </w:r>
          </w:p>
        </w:tc>
        <w:tc>
          <w:tcPr>
            <w:tcW w:w="6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24" w:lineRule="auto"/>
              <w:ind w:left="254" w:right="65" w:hanging="183"/>
              <w:jc w:val="left"/>
              <w:rPr>
                <w:rFonts w:ascii="宋体" w:hAnsi="宋体" w:cs="宋体" w:eastAsia="宋体" w:hint="default"/>
                <w:sz w:val="18"/>
                <w:szCs w:val="18"/>
              </w:rPr>
            </w:pPr>
            <w:r>
              <w:rPr>
                <w:rFonts w:ascii="宋体" w:hAnsi="宋体" w:cs="宋体" w:eastAsia="宋体" w:hint="default"/>
                <w:sz w:val="18"/>
                <w:szCs w:val="18"/>
              </w:rPr>
              <w:t>主要业</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务</w:t>
            </w:r>
          </w:p>
        </w:tc>
        <w:tc>
          <w:tcPr>
            <w:tcW w:w="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24" w:lineRule="auto"/>
              <w:ind w:left="235" w:right="51" w:hanging="178"/>
              <w:jc w:val="left"/>
              <w:rPr>
                <w:rFonts w:ascii="宋体" w:hAnsi="宋体" w:cs="宋体" w:eastAsia="宋体" w:hint="default"/>
                <w:sz w:val="18"/>
                <w:szCs w:val="18"/>
              </w:rPr>
            </w:pPr>
            <w:r>
              <w:rPr>
                <w:rFonts w:ascii="宋体" w:hAnsi="宋体" w:cs="宋体" w:eastAsia="宋体" w:hint="default"/>
                <w:sz w:val="18"/>
                <w:szCs w:val="18"/>
              </w:rPr>
              <w:t>投资方</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式</w:t>
            </w:r>
          </w:p>
        </w:tc>
        <w:tc>
          <w:tcPr>
            <w:tcW w:w="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24" w:lineRule="auto"/>
              <w:ind w:left="235" w:right="50" w:hanging="178"/>
              <w:jc w:val="left"/>
              <w:rPr>
                <w:rFonts w:ascii="宋体" w:hAnsi="宋体" w:cs="宋体" w:eastAsia="宋体" w:hint="default"/>
                <w:sz w:val="18"/>
                <w:szCs w:val="18"/>
              </w:rPr>
            </w:pPr>
            <w:r>
              <w:rPr>
                <w:rFonts w:ascii="宋体" w:hAnsi="宋体" w:cs="宋体" w:eastAsia="宋体" w:hint="default"/>
                <w:sz w:val="18"/>
                <w:szCs w:val="18"/>
              </w:rPr>
              <w:t>投资金</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额</w:t>
            </w:r>
          </w:p>
        </w:tc>
        <w:tc>
          <w:tcPr>
            <w:tcW w:w="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24" w:lineRule="auto"/>
              <w:ind w:left="235" w:right="51" w:hanging="178"/>
              <w:jc w:val="left"/>
              <w:rPr>
                <w:rFonts w:ascii="宋体" w:hAnsi="宋体" w:cs="宋体" w:eastAsia="宋体" w:hint="default"/>
                <w:sz w:val="18"/>
                <w:szCs w:val="18"/>
              </w:rPr>
            </w:pPr>
            <w:r>
              <w:rPr>
                <w:rFonts w:ascii="宋体" w:hAnsi="宋体" w:cs="宋体" w:eastAsia="宋体" w:hint="default"/>
                <w:sz w:val="18"/>
                <w:szCs w:val="18"/>
              </w:rPr>
              <w:t>持股比</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例</w:t>
            </w:r>
          </w:p>
        </w:tc>
        <w:tc>
          <w:tcPr>
            <w:tcW w:w="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24" w:lineRule="auto"/>
              <w:ind w:left="235" w:right="50" w:hanging="178"/>
              <w:jc w:val="left"/>
              <w:rPr>
                <w:rFonts w:ascii="宋体" w:hAnsi="宋体" w:cs="宋体" w:eastAsia="宋体" w:hint="default"/>
                <w:sz w:val="18"/>
                <w:szCs w:val="18"/>
              </w:rPr>
            </w:pPr>
            <w:r>
              <w:rPr>
                <w:rFonts w:ascii="宋体" w:hAnsi="宋体" w:cs="宋体" w:eastAsia="宋体" w:hint="default"/>
                <w:sz w:val="18"/>
                <w:szCs w:val="18"/>
              </w:rPr>
              <w:t>资金来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源</w:t>
            </w:r>
          </w:p>
        </w:tc>
        <w:tc>
          <w:tcPr>
            <w:tcW w:w="6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right="0"/>
              <w:jc w:val="center"/>
              <w:rPr>
                <w:rFonts w:ascii="宋体" w:hAnsi="宋体" w:cs="宋体" w:eastAsia="宋体" w:hint="default"/>
                <w:sz w:val="18"/>
                <w:szCs w:val="18"/>
              </w:rPr>
            </w:pPr>
            <w:r>
              <w:rPr>
                <w:rFonts w:ascii="宋体" w:hAnsi="宋体" w:cs="宋体" w:eastAsia="宋体" w:hint="default"/>
                <w:sz w:val="18"/>
                <w:szCs w:val="18"/>
              </w:rPr>
              <w:t>合作方</w:t>
            </w:r>
          </w:p>
        </w:tc>
        <w:tc>
          <w:tcPr>
            <w:tcW w:w="6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24" w:lineRule="auto"/>
              <w:ind w:left="235" w:right="45" w:hanging="183"/>
              <w:jc w:val="left"/>
              <w:rPr>
                <w:rFonts w:ascii="宋体" w:hAnsi="宋体" w:cs="宋体" w:eastAsia="宋体" w:hint="default"/>
                <w:sz w:val="18"/>
                <w:szCs w:val="18"/>
              </w:rPr>
            </w:pPr>
            <w:r>
              <w:rPr>
                <w:rFonts w:ascii="宋体" w:hAnsi="宋体" w:cs="宋体" w:eastAsia="宋体" w:hint="default"/>
                <w:sz w:val="18"/>
                <w:szCs w:val="18"/>
              </w:rPr>
              <w:t>投资期</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限</w:t>
            </w:r>
          </w:p>
        </w:tc>
        <w:tc>
          <w:tcPr>
            <w:tcW w:w="6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24" w:lineRule="auto"/>
              <w:ind w:left="235" w:right="51" w:hanging="183"/>
              <w:jc w:val="left"/>
              <w:rPr>
                <w:rFonts w:ascii="宋体" w:hAnsi="宋体" w:cs="宋体" w:eastAsia="宋体" w:hint="default"/>
                <w:sz w:val="18"/>
                <w:szCs w:val="18"/>
              </w:rPr>
            </w:pPr>
            <w:r>
              <w:rPr>
                <w:rFonts w:ascii="宋体" w:hAnsi="宋体" w:cs="宋体" w:eastAsia="宋体" w:hint="default"/>
                <w:sz w:val="18"/>
                <w:szCs w:val="18"/>
              </w:rPr>
              <w:t>产品类</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型</w:t>
            </w:r>
          </w:p>
        </w:tc>
        <w:tc>
          <w:tcPr>
            <w:tcW w:w="6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24" w:lineRule="auto"/>
              <w:ind w:left="220" w:right="36" w:hanging="183"/>
              <w:jc w:val="left"/>
              <w:rPr>
                <w:rFonts w:ascii="宋体" w:hAnsi="宋体" w:cs="宋体" w:eastAsia="宋体" w:hint="default"/>
                <w:sz w:val="18"/>
                <w:szCs w:val="18"/>
              </w:rPr>
            </w:pPr>
            <w:r>
              <w:rPr>
                <w:rFonts w:ascii="宋体" w:hAnsi="宋体" w:cs="宋体" w:eastAsia="宋体" w:hint="default"/>
                <w:sz w:val="18"/>
                <w:szCs w:val="18"/>
              </w:rPr>
              <w:t>预计收</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益</w:t>
            </w:r>
          </w:p>
        </w:tc>
        <w:tc>
          <w:tcPr>
            <w:tcW w:w="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24" w:lineRule="auto"/>
              <w:ind w:left="95" w:right="89"/>
              <w:jc w:val="left"/>
              <w:rPr>
                <w:rFonts w:ascii="宋体" w:hAnsi="宋体" w:cs="宋体" w:eastAsia="宋体" w:hint="default"/>
                <w:sz w:val="18"/>
                <w:szCs w:val="18"/>
              </w:rPr>
            </w:pPr>
            <w:r>
              <w:rPr>
                <w:rFonts w:ascii="宋体" w:hAnsi="宋体" w:cs="宋体" w:eastAsia="宋体" w:hint="default"/>
                <w:sz w:val="18"/>
                <w:szCs w:val="18"/>
              </w:rPr>
              <w:t>本期投</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资盈亏</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24" w:lineRule="auto"/>
              <w:ind w:left="273" w:right="89" w:hanging="183"/>
              <w:jc w:val="left"/>
              <w:rPr>
                <w:rFonts w:ascii="宋体" w:hAnsi="宋体" w:cs="宋体" w:eastAsia="宋体" w:hint="default"/>
                <w:sz w:val="18"/>
                <w:szCs w:val="18"/>
              </w:rPr>
            </w:pPr>
            <w:r>
              <w:rPr>
                <w:rFonts w:ascii="宋体" w:hAnsi="宋体" w:cs="宋体" w:eastAsia="宋体" w:hint="default"/>
                <w:sz w:val="18"/>
                <w:szCs w:val="18"/>
              </w:rPr>
              <w:t>是否涉</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诉</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91" w:right="89"/>
              <w:jc w:val="both"/>
              <w:rPr>
                <w:rFonts w:ascii="宋体" w:hAnsi="宋体" w:cs="宋体" w:eastAsia="宋体" w:hint="default"/>
                <w:sz w:val="18"/>
                <w:szCs w:val="18"/>
              </w:rPr>
            </w:pPr>
            <w:r>
              <w:rPr>
                <w:rFonts w:ascii="宋体" w:hAnsi="宋体" w:cs="宋体" w:eastAsia="宋体" w:hint="default"/>
                <w:sz w:val="18"/>
                <w:szCs w:val="18"/>
              </w:rPr>
              <w:t>披露日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期（如</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有）</w:t>
            </w:r>
          </w:p>
        </w:tc>
        <w:tc>
          <w:tcPr>
            <w:tcW w:w="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86" w:right="84"/>
              <w:jc w:val="both"/>
              <w:rPr>
                <w:rFonts w:ascii="宋体" w:hAnsi="宋体" w:cs="宋体" w:eastAsia="宋体" w:hint="default"/>
                <w:sz w:val="18"/>
                <w:szCs w:val="18"/>
              </w:rPr>
            </w:pPr>
            <w:r>
              <w:rPr>
                <w:rFonts w:ascii="宋体" w:hAnsi="宋体" w:cs="宋体" w:eastAsia="宋体" w:hint="default"/>
                <w:sz w:val="18"/>
                <w:szCs w:val="18"/>
              </w:rPr>
              <w:t>披露索</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引（如</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有）</w:t>
            </w:r>
          </w:p>
        </w:tc>
      </w:tr>
      <w:tr>
        <w:trPr>
          <w:trHeight w:val="1652" w:hRule="exact"/>
        </w:trPr>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316" w:lineRule="auto"/>
              <w:ind w:left="24" w:right="117"/>
              <w:jc w:val="both"/>
              <w:rPr>
                <w:rFonts w:ascii="宋体" w:hAnsi="宋体" w:cs="宋体" w:eastAsia="宋体" w:hint="default"/>
                <w:sz w:val="18"/>
                <w:szCs w:val="18"/>
              </w:rPr>
            </w:pPr>
            <w:r>
              <w:rPr>
                <w:rFonts w:ascii="宋体" w:hAnsi="宋体" w:cs="宋体" w:eastAsia="宋体" w:hint="default"/>
                <w:sz w:val="18"/>
                <w:szCs w:val="18"/>
              </w:rPr>
              <w:t>北京杰</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智融软</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件有限</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公司</w:t>
            </w:r>
          </w:p>
        </w:tc>
        <w:tc>
          <w:tcPr>
            <w:tcW w:w="6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3" w:right="113"/>
              <w:jc w:val="both"/>
              <w:rPr>
                <w:rFonts w:ascii="宋体" w:hAnsi="宋体" w:cs="宋体" w:eastAsia="宋体" w:hint="default"/>
                <w:sz w:val="18"/>
                <w:szCs w:val="18"/>
              </w:rPr>
            </w:pPr>
            <w:r>
              <w:rPr>
                <w:rFonts w:ascii="宋体" w:hAnsi="宋体" w:cs="宋体" w:eastAsia="宋体" w:hint="default"/>
                <w:sz w:val="18"/>
                <w:szCs w:val="18"/>
              </w:rPr>
              <w:t>为金融</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行业提</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供数字</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金融解</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决方案</w:t>
            </w:r>
          </w:p>
        </w:tc>
        <w:tc>
          <w:tcPr>
            <w:tcW w:w="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62"/>
              <w:jc w:val="right"/>
              <w:rPr>
                <w:rFonts w:ascii="宋体" w:hAnsi="宋体" w:cs="宋体" w:eastAsia="宋体" w:hint="default"/>
                <w:sz w:val="18"/>
                <w:szCs w:val="18"/>
              </w:rPr>
            </w:pPr>
            <w:r>
              <w:rPr>
                <w:rFonts w:ascii="宋体" w:hAnsi="宋体" w:cs="宋体" w:eastAsia="宋体" w:hint="default"/>
                <w:sz w:val="18"/>
                <w:szCs w:val="18"/>
              </w:rPr>
              <w:t>增资</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left="71" w:right="0"/>
              <w:jc w:val="center"/>
              <w:rPr>
                <w:rFonts w:ascii="Times New Roman" w:hAnsi="Times New Roman" w:cs="Times New Roman" w:eastAsia="Times New Roman" w:hint="default"/>
                <w:sz w:val="18"/>
                <w:szCs w:val="18"/>
              </w:rPr>
            </w:pPr>
            <w:r>
              <w:rPr>
                <w:rFonts w:ascii="Times New Roman"/>
                <w:sz w:val="18"/>
              </w:rPr>
              <w:t>5,500,0</w:t>
            </w:r>
          </w:p>
          <w:p>
            <w:pPr>
              <w:pStyle w:val="TableParagraph"/>
              <w:spacing w:line="240" w:lineRule="auto" w:before="105"/>
              <w:ind w:left="206" w:right="0"/>
              <w:jc w:val="center"/>
              <w:rPr>
                <w:rFonts w:ascii="Times New Roman" w:hAnsi="Times New Roman" w:cs="Times New Roman" w:eastAsia="Times New Roman" w:hint="default"/>
                <w:sz w:val="18"/>
                <w:szCs w:val="18"/>
              </w:rPr>
            </w:pPr>
            <w:r>
              <w:rPr>
                <w:rFonts w:ascii="Times New Roman"/>
                <w:sz w:val="18"/>
              </w:rPr>
              <w:t>00.00</w:t>
            </w:r>
          </w:p>
        </w:tc>
        <w:tc>
          <w:tcPr>
            <w:tcW w:w="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55.00%</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316" w:lineRule="auto"/>
              <w:ind w:left="24" w:right="84"/>
              <w:jc w:val="left"/>
              <w:rPr>
                <w:rFonts w:ascii="宋体" w:hAnsi="宋体" w:cs="宋体" w:eastAsia="宋体" w:hint="default"/>
                <w:sz w:val="18"/>
                <w:szCs w:val="18"/>
              </w:rPr>
            </w:pPr>
            <w:r>
              <w:rPr>
                <w:rFonts w:ascii="宋体" w:hAnsi="宋体" w:cs="宋体" w:eastAsia="宋体" w:hint="default"/>
                <w:sz w:val="18"/>
                <w:szCs w:val="18"/>
              </w:rPr>
              <w:t>自有资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金</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55"/>
              <w:jc w:val="center"/>
              <w:rPr>
                <w:rFonts w:ascii="宋体" w:hAnsi="宋体" w:cs="宋体" w:eastAsia="宋体" w:hint="default"/>
                <w:sz w:val="18"/>
                <w:szCs w:val="18"/>
              </w:rPr>
            </w:pPr>
            <w:r>
              <w:rPr>
                <w:rFonts w:ascii="宋体" w:hAnsi="宋体" w:cs="宋体" w:eastAsia="宋体" w:hint="default"/>
                <w:sz w:val="18"/>
                <w:szCs w:val="18"/>
              </w:rPr>
              <w:t>不适用</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30"/>
              <w:ind w:left="23" w:right="79"/>
              <w:jc w:val="both"/>
              <w:rPr>
                <w:rFonts w:ascii="宋体" w:hAnsi="宋体" w:cs="宋体" w:eastAsia="宋体" w:hint="default"/>
                <w:sz w:val="18"/>
                <w:szCs w:val="18"/>
              </w:rPr>
            </w:pPr>
            <w:r>
              <w:rPr>
                <w:rFonts w:ascii="宋体" w:hAnsi="宋体" w:cs="宋体" w:eastAsia="宋体" w:hint="default"/>
                <w:sz w:val="18"/>
                <w:szCs w:val="18"/>
              </w:rPr>
              <w:t>数字金</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融解决</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方案</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7"/>
              <w:jc w:val="right"/>
              <w:rPr>
                <w:rFonts w:ascii="宋体" w:hAnsi="宋体" w:cs="宋体" w:eastAsia="宋体" w:hint="default"/>
                <w:sz w:val="18"/>
                <w:szCs w:val="18"/>
              </w:rPr>
            </w:pPr>
            <w:r>
              <w:rPr>
                <w:rFonts w:ascii="宋体" w:hAnsi="宋体" w:cs="宋体" w:eastAsia="宋体" w:hint="default"/>
                <w:spacing w:val="-2"/>
                <w:sz w:val="18"/>
                <w:szCs w:val="18"/>
              </w:rPr>
              <w:t>不适用</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138.15</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30</w:t>
            </w:r>
          </w:p>
          <w:p>
            <w:pPr>
              <w:pStyle w:val="TableParagraph"/>
              <w:spacing w:line="240" w:lineRule="auto" w:before="67"/>
              <w:ind w:left="24"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146"/>
              <w:jc w:val="both"/>
              <w:rPr>
                <w:rFonts w:ascii="宋体" w:hAnsi="宋体" w:cs="宋体" w:eastAsia="宋体" w:hint="default"/>
                <w:sz w:val="18"/>
                <w:szCs w:val="18"/>
              </w:rPr>
            </w:pPr>
            <w:r>
              <w:rPr>
                <w:rFonts w:ascii="宋体" w:hAnsi="宋体" w:cs="宋体" w:eastAsia="宋体" w:hint="default"/>
                <w:sz w:val="18"/>
                <w:szCs w:val="18"/>
              </w:rPr>
              <w:t>巨潮资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讯网</w:t>
            </w:r>
          </w:p>
          <w:p>
            <w:pPr>
              <w:pStyle w:val="TableParagraph"/>
              <w:spacing w:line="331" w:lineRule="auto" w:before="19"/>
              <w:ind w:left="23" w:right="65"/>
              <w:jc w:val="both"/>
              <w:rPr>
                <w:rFonts w:ascii="宋体" w:hAnsi="宋体" w:cs="宋体" w:eastAsia="宋体" w:hint="default"/>
                <w:sz w:val="18"/>
                <w:szCs w:val="18"/>
              </w:rPr>
            </w:pPr>
            <w:r>
              <w:rPr>
                <w:rFonts w:ascii="宋体" w:hAnsi="宋体" w:cs="宋体" w:eastAsia="宋体" w:hint="default"/>
                <w:spacing w:val="-4"/>
                <w:sz w:val="18"/>
                <w:szCs w:val="18"/>
              </w:rPr>
              <w:t>（</w:t>
            </w:r>
            <w:hyperlink r:id="rId17">
              <w:r>
                <w:rPr>
                  <w:rFonts w:ascii="Times New Roman" w:hAnsi="Times New Roman" w:cs="Times New Roman" w:eastAsia="Times New Roman" w:hint="default"/>
                  <w:spacing w:val="-4"/>
                  <w:sz w:val="18"/>
                  <w:szCs w:val="18"/>
                </w:rPr>
                <w:t>www.</w:t>
              </w:r>
            </w:hyperlink>
            <w:r>
              <w:rPr>
                <w:rFonts w:ascii="Times New Roman" w:hAnsi="Times New Roman" w:cs="Times New Roman" w:eastAsia="Times New Roman" w:hint="default"/>
                <w:spacing w:val="-33"/>
                <w:sz w:val="18"/>
                <w:szCs w:val="18"/>
              </w:rPr>
              <w:t> </w:t>
            </w:r>
            <w:r>
              <w:rPr>
                <w:rFonts w:ascii="Times New Roman" w:hAnsi="Times New Roman" w:cs="Times New Roman" w:eastAsia="Times New Roman" w:hint="default"/>
                <w:spacing w:val="-33"/>
                <w:sz w:val="18"/>
                <w:szCs w:val="18"/>
              </w:rPr>
            </w:r>
            <w:r>
              <w:rPr>
                <w:rFonts w:ascii="Times New Roman" w:hAnsi="Times New Roman" w:cs="Times New Roman" w:eastAsia="Times New Roman" w:hint="default"/>
                <w:sz w:val="18"/>
                <w:szCs w:val="18"/>
              </w:rPr>
              <w:t>cninfo.c</w:t>
            </w:r>
            <w:r>
              <w:rPr>
                <w:rFonts w:ascii="Times New Roman" w:hAnsi="Times New Roman" w:cs="Times New Roman" w:eastAsia="Times New Roman" w:hint="default"/>
                <w:w w:val="101"/>
                <w:sz w:val="18"/>
                <w:szCs w:val="18"/>
              </w:rPr>
              <w:t> </w:t>
            </w:r>
            <w:r>
              <w:rPr>
                <w:rFonts w:ascii="Times New Roman" w:hAnsi="Times New Roman" w:cs="Times New Roman" w:eastAsia="Times New Roman" w:hint="default"/>
                <w:spacing w:val="-2"/>
                <w:sz w:val="18"/>
                <w:szCs w:val="18"/>
              </w:rPr>
              <w:t>om.cn</w:t>
            </w:r>
            <w:r>
              <w:rPr>
                <w:rFonts w:ascii="宋体" w:hAnsi="宋体" w:cs="宋体" w:eastAsia="宋体" w:hint="default"/>
                <w:spacing w:val="-2"/>
                <w:sz w:val="18"/>
                <w:szCs w:val="18"/>
              </w:rPr>
              <w:t>）</w:t>
            </w:r>
          </w:p>
        </w:tc>
      </w:tr>
      <w:tr>
        <w:trPr>
          <w:trHeight w:val="715" w:hRule="exact"/>
        </w:trPr>
        <w:tc>
          <w:tcPr>
            <w:tcW w:w="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6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72"/>
              <w:jc w:val="right"/>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1" w:right="0"/>
              <w:jc w:val="center"/>
              <w:rPr>
                <w:rFonts w:ascii="Times New Roman" w:hAnsi="Times New Roman" w:cs="Times New Roman" w:eastAsia="Times New Roman" w:hint="default"/>
                <w:sz w:val="18"/>
                <w:szCs w:val="18"/>
              </w:rPr>
            </w:pPr>
            <w:r>
              <w:rPr>
                <w:rFonts w:ascii="Times New Roman"/>
                <w:sz w:val="18"/>
              </w:rPr>
              <w:t>5,500,0</w:t>
            </w:r>
          </w:p>
          <w:p>
            <w:pPr>
              <w:pStyle w:val="TableParagraph"/>
              <w:spacing w:line="240" w:lineRule="auto" w:before="110"/>
              <w:ind w:left="206" w:right="0"/>
              <w:jc w:val="center"/>
              <w:rPr>
                <w:rFonts w:ascii="Times New Roman" w:hAnsi="Times New Roman" w:cs="Times New Roman" w:eastAsia="Times New Roman" w:hint="default"/>
                <w:sz w:val="18"/>
                <w:szCs w:val="18"/>
              </w:rPr>
            </w:pPr>
            <w:r>
              <w:rPr>
                <w:rFonts w:ascii="Times New Roman"/>
                <w:sz w:val="18"/>
              </w:rPr>
              <w:t>00.00</w:t>
            </w:r>
          </w:p>
        </w:tc>
        <w:tc>
          <w:tcPr>
            <w:tcW w:w="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8"/>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7"/>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6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3"/>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6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6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3"/>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7"/>
              <w:jc w:val="right"/>
              <w:rPr>
                <w:rFonts w:ascii="宋体" w:hAnsi="宋体" w:cs="宋体" w:eastAsia="宋体" w:hint="default"/>
                <w:sz w:val="18"/>
                <w:szCs w:val="18"/>
              </w:rPr>
            </w:pPr>
            <w:r>
              <w:rPr>
                <w:rFonts w:ascii="宋体" w:hAnsi="宋体" w:cs="宋体" w:eastAsia="宋体" w:hint="default"/>
                <w:spacing w:val="-2"/>
                <w:sz w:val="18"/>
                <w:szCs w:val="18"/>
              </w:rPr>
              <w:t>不适用</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138.15</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3、报告期内正在进行的重大的非股权投资情况" w:id="47"/>
      <w:bookmarkEnd w:id="47"/>
      <w:r>
        <w:rPr>
          <w:b w:val="0"/>
          <w:bCs w:val="0"/>
        </w:rPr>
      </w:r>
      <w:r>
        <w:rPr>
          <w:rFonts w:ascii="Times New Roman" w:hAnsi="Times New Roman" w:cs="Times New Roman" w:eastAsia="Times New Roman" w:hint="default"/>
        </w:rPr>
        <w:t>3</w:t>
      </w:r>
      <w:r>
        <w:rPr/>
        <w:t>、报告期内正在进行的重大的非股权投资情况</w:t>
      </w:r>
      <w:r>
        <w:rPr>
          <w:b w:val="0"/>
          <w:bCs w:val="0"/>
        </w:rPr>
      </w:r>
    </w:p>
    <w:p>
      <w:pPr>
        <w:spacing w:line="240" w:lineRule="auto" w:before="10"/>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after="0" w:line="240" w:lineRule="auto"/>
        <w:jc w:val="left"/>
        <w:sectPr>
          <w:pgSz w:w="11910" w:h="16840"/>
          <w:pgMar w:header="871" w:footer="1186" w:top="1100" w:bottom="1380" w:left="980" w:right="0"/>
        </w:sectPr>
      </w:pPr>
    </w:p>
    <w:p>
      <w:pPr>
        <w:spacing w:line="240" w:lineRule="auto" w:before="9"/>
        <w:rPr>
          <w:rFonts w:ascii="宋体" w:hAnsi="宋体" w:cs="宋体" w:eastAsia="宋体" w:hint="default"/>
          <w:sz w:val="20"/>
          <w:szCs w:val="20"/>
        </w:rPr>
      </w:pPr>
    </w:p>
    <w:p>
      <w:pPr>
        <w:pStyle w:val="Heading3"/>
        <w:spacing w:line="240" w:lineRule="auto" w:before="36"/>
        <w:ind w:right="0"/>
        <w:jc w:val="left"/>
        <w:rPr>
          <w:b w:val="0"/>
          <w:bCs w:val="0"/>
        </w:rPr>
      </w:pPr>
      <w:bookmarkStart w:name="4、以公允价值计量的金融资产" w:id="48"/>
      <w:bookmarkEnd w:id="48"/>
      <w:r>
        <w:rPr>
          <w:b w:val="0"/>
          <w:bCs w:val="0"/>
        </w:rPr>
      </w:r>
      <w:r>
        <w:rPr>
          <w:rFonts w:ascii="Times New Roman" w:hAnsi="Times New Roman" w:cs="Times New Roman" w:eastAsia="Times New Roman" w:hint="default"/>
        </w:rPr>
        <w:t>4</w:t>
      </w:r>
      <w:r>
        <w:rPr/>
        <w:t>、以公允价值计量的金融资产</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4"/>
        <w:rPr>
          <w:rFonts w:ascii="宋体" w:hAnsi="宋体" w:cs="宋体" w:eastAsia="宋体" w:hint="default"/>
          <w:sz w:val="25"/>
          <w:szCs w:val="25"/>
        </w:rPr>
      </w:pPr>
    </w:p>
    <w:p>
      <w:pPr>
        <w:pStyle w:val="Heading3"/>
        <w:spacing w:line="240" w:lineRule="auto"/>
        <w:ind w:right="0"/>
        <w:jc w:val="left"/>
        <w:rPr>
          <w:b w:val="0"/>
          <w:bCs w:val="0"/>
        </w:rPr>
      </w:pPr>
      <w:bookmarkStart w:name="5、募集资金使用情况" w:id="49"/>
      <w:bookmarkEnd w:id="49"/>
      <w:r>
        <w:rPr>
          <w:b w:val="0"/>
          <w:bCs w:val="0"/>
        </w:rPr>
      </w:r>
      <w:r>
        <w:rPr>
          <w:rFonts w:ascii="Times New Roman" w:hAnsi="Times New Roman" w:cs="Times New Roman" w:eastAsia="Times New Roman" w:hint="default"/>
        </w:rPr>
        <w:t>5</w:t>
      </w:r>
      <w:r>
        <w:rPr/>
        <w:t>、募集资金使用情况</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3"/>
        <w:rPr>
          <w:rFonts w:ascii="宋体" w:hAnsi="宋体" w:cs="宋体" w:eastAsia="宋体" w:hint="default"/>
          <w:sz w:val="25"/>
          <w:szCs w:val="25"/>
        </w:rPr>
      </w:pPr>
    </w:p>
    <w:p>
      <w:pPr>
        <w:pStyle w:val="Heading3"/>
        <w:spacing w:line="240" w:lineRule="auto"/>
        <w:ind w:right="0"/>
        <w:jc w:val="left"/>
        <w:rPr>
          <w:b w:val="0"/>
          <w:bCs w:val="0"/>
        </w:rPr>
      </w:pPr>
      <w:bookmarkStart w:name="（1）募集资金总体使用情况" w:id="50"/>
      <w:bookmarkEnd w:id="50"/>
      <w:r>
        <w:rPr>
          <w:b w:val="0"/>
          <w:bCs w:val="0"/>
        </w:rPr>
      </w:r>
      <w:r>
        <w:rPr/>
        <w:t>（</w:t>
      </w:r>
      <w:r>
        <w:rPr>
          <w:rFonts w:ascii="Times New Roman" w:hAnsi="Times New Roman" w:cs="Times New Roman" w:eastAsia="Times New Roman" w:hint="default"/>
        </w:rPr>
        <w:t>1</w:t>
      </w:r>
      <w:r>
        <w:rPr/>
        <w:t>）募集资金总体使用情况</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6"/>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pStyle w:val="BodyText"/>
        <w:spacing w:line="240" w:lineRule="auto" w:before="106"/>
        <w:ind w:left="0" w:right="1122"/>
        <w:jc w:val="right"/>
      </w:pPr>
      <w:r>
        <w:rPr>
          <w:spacing w:val="-2"/>
        </w:rPr>
        <w:t>单位：万元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6"/>
          <w:szCs w:val="26"/>
        </w:rPr>
      </w:pPr>
    </w:p>
    <w:p>
      <w:pPr>
        <w:pStyle w:val="BodyText"/>
        <w:spacing w:line="240" w:lineRule="auto" w:before="46"/>
        <w:ind w:left="0" w:right="1137"/>
        <w:jc w:val="right"/>
      </w:pPr>
      <w:r>
        <w:rPr/>
        <w:pict>
          <v:shape style="position:absolute;margin-left:56.424pt;margin-top:-221.738266pt;width:479pt;height:467.95pt;mso-position-horizontal-relative:page;mso-position-vertical-relative:paragraph;z-index:109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864"/>
                    <w:gridCol w:w="869"/>
                    <w:gridCol w:w="874"/>
                    <w:gridCol w:w="869"/>
                    <w:gridCol w:w="869"/>
                    <w:gridCol w:w="869"/>
                    <w:gridCol w:w="874"/>
                    <w:gridCol w:w="869"/>
                    <w:gridCol w:w="869"/>
                    <w:gridCol w:w="869"/>
                    <w:gridCol w:w="869"/>
                  </w:tblGrid>
                  <w:tr>
                    <w:trPr>
                      <w:trHeight w:val="1340" w:hRule="exact"/>
                    </w:trPr>
                    <w:tc>
                      <w:tcPr>
                        <w:tcW w:w="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67" w:right="0"/>
                          <w:jc w:val="left"/>
                          <w:rPr>
                            <w:rFonts w:ascii="宋体" w:hAnsi="宋体" w:cs="宋体" w:eastAsia="宋体" w:hint="default"/>
                            <w:sz w:val="18"/>
                            <w:szCs w:val="18"/>
                          </w:rPr>
                        </w:pPr>
                        <w:r>
                          <w:rPr>
                            <w:rFonts w:ascii="宋体" w:hAnsi="宋体" w:cs="宋体" w:eastAsia="宋体" w:hint="default"/>
                            <w:sz w:val="18"/>
                            <w:szCs w:val="18"/>
                          </w:rPr>
                          <w:t>募集年份</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募集方式</w:t>
                        </w:r>
                      </w:p>
                    </w:tc>
                    <w:tc>
                      <w:tcPr>
                        <w:tcW w:w="8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30"/>
                          <w:ind w:left="254" w:right="60" w:hanging="178"/>
                          <w:jc w:val="left"/>
                          <w:rPr>
                            <w:rFonts w:ascii="宋体" w:hAnsi="宋体" w:cs="宋体" w:eastAsia="宋体" w:hint="default"/>
                            <w:sz w:val="18"/>
                            <w:szCs w:val="18"/>
                          </w:rPr>
                        </w:pPr>
                        <w:r>
                          <w:rPr>
                            <w:rFonts w:ascii="宋体" w:hAnsi="宋体" w:cs="宋体" w:eastAsia="宋体" w:hint="default"/>
                            <w:sz w:val="18"/>
                            <w:szCs w:val="18"/>
                          </w:rPr>
                          <w:t>募集资金</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总额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319" w:lineRule="auto"/>
                          <w:ind w:left="72" w:right="60"/>
                          <w:jc w:val="both"/>
                          <w:rPr>
                            <w:rFonts w:ascii="宋体" w:hAnsi="宋体" w:cs="宋体" w:eastAsia="宋体" w:hint="default"/>
                            <w:sz w:val="18"/>
                            <w:szCs w:val="18"/>
                          </w:rPr>
                        </w:pPr>
                        <w:r>
                          <w:rPr>
                            <w:rFonts w:ascii="宋体" w:hAnsi="宋体" w:cs="宋体" w:eastAsia="宋体" w:hint="default"/>
                            <w:sz w:val="18"/>
                            <w:szCs w:val="18"/>
                          </w:rPr>
                          <w:t>本期已使</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用募集资</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金总额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319" w:lineRule="auto"/>
                          <w:ind w:left="71" w:right="60"/>
                          <w:jc w:val="both"/>
                          <w:rPr>
                            <w:rFonts w:ascii="宋体" w:hAnsi="宋体" w:cs="宋体" w:eastAsia="宋体" w:hint="default"/>
                            <w:sz w:val="18"/>
                            <w:szCs w:val="18"/>
                          </w:rPr>
                        </w:pPr>
                        <w:r>
                          <w:rPr>
                            <w:rFonts w:ascii="宋体" w:hAnsi="宋体" w:cs="宋体" w:eastAsia="宋体" w:hint="default"/>
                            <w:sz w:val="18"/>
                            <w:szCs w:val="18"/>
                          </w:rPr>
                          <w:t>已累计使</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用募集资</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金总额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67" w:right="65"/>
                          <w:jc w:val="both"/>
                          <w:rPr>
                            <w:rFonts w:ascii="宋体" w:hAnsi="宋体" w:cs="宋体" w:eastAsia="宋体" w:hint="default"/>
                            <w:sz w:val="18"/>
                            <w:szCs w:val="18"/>
                          </w:rPr>
                        </w:pPr>
                        <w:r>
                          <w:rPr>
                            <w:rFonts w:ascii="宋体" w:hAnsi="宋体" w:cs="宋体" w:eastAsia="宋体" w:hint="default"/>
                            <w:sz w:val="18"/>
                            <w:szCs w:val="18"/>
                          </w:rPr>
                          <w:t>报告期内</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变更用途</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的募集资</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金总额</w:t>
                        </w:r>
                      </w:p>
                    </w:tc>
                    <w:tc>
                      <w:tcPr>
                        <w:tcW w:w="8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71" w:right="65"/>
                          <w:jc w:val="center"/>
                          <w:rPr>
                            <w:rFonts w:ascii="宋体" w:hAnsi="宋体" w:cs="宋体" w:eastAsia="宋体" w:hint="default"/>
                            <w:sz w:val="18"/>
                            <w:szCs w:val="18"/>
                          </w:rPr>
                        </w:pPr>
                        <w:r>
                          <w:rPr>
                            <w:rFonts w:ascii="宋体" w:hAnsi="宋体" w:cs="宋体" w:eastAsia="宋体" w:hint="default"/>
                            <w:spacing w:val="-2"/>
                            <w:sz w:val="18"/>
                            <w:szCs w:val="18"/>
                          </w:rPr>
                          <w:t>累计变更</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用途的募</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集资金总</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72" w:right="60"/>
                          <w:jc w:val="both"/>
                          <w:rPr>
                            <w:rFonts w:ascii="宋体" w:hAnsi="宋体" w:cs="宋体" w:eastAsia="宋体" w:hint="default"/>
                            <w:sz w:val="18"/>
                            <w:szCs w:val="18"/>
                          </w:rPr>
                        </w:pPr>
                        <w:r>
                          <w:rPr>
                            <w:rFonts w:ascii="宋体" w:hAnsi="宋体" w:cs="宋体" w:eastAsia="宋体" w:hint="default"/>
                            <w:sz w:val="18"/>
                            <w:szCs w:val="18"/>
                          </w:rPr>
                          <w:t>累计变更</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用途的募</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集资金总</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额比例</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319" w:lineRule="auto"/>
                          <w:ind w:left="72" w:right="60"/>
                          <w:jc w:val="center"/>
                          <w:rPr>
                            <w:rFonts w:ascii="宋体" w:hAnsi="宋体" w:cs="宋体" w:eastAsia="宋体" w:hint="default"/>
                            <w:sz w:val="18"/>
                            <w:szCs w:val="18"/>
                          </w:rPr>
                        </w:pPr>
                        <w:r>
                          <w:rPr>
                            <w:rFonts w:ascii="宋体" w:hAnsi="宋体" w:cs="宋体" w:eastAsia="宋体" w:hint="default"/>
                            <w:spacing w:val="-2"/>
                            <w:sz w:val="18"/>
                            <w:szCs w:val="18"/>
                          </w:rPr>
                          <w:t>尚未使用</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募集资金</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总额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71" w:right="60"/>
                          <w:jc w:val="center"/>
                          <w:rPr>
                            <w:rFonts w:ascii="宋体" w:hAnsi="宋体" w:cs="宋体" w:eastAsia="宋体" w:hint="default"/>
                            <w:sz w:val="18"/>
                            <w:szCs w:val="18"/>
                          </w:rPr>
                        </w:pPr>
                        <w:r>
                          <w:rPr>
                            <w:rFonts w:ascii="宋体" w:hAnsi="宋体" w:cs="宋体" w:eastAsia="宋体" w:hint="default"/>
                            <w:spacing w:val="-2"/>
                            <w:sz w:val="18"/>
                            <w:szCs w:val="18"/>
                          </w:rPr>
                          <w:t>尚未使用</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募集资金</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用途及去</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向</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319" w:lineRule="auto"/>
                          <w:ind w:left="67" w:right="65"/>
                          <w:jc w:val="both"/>
                          <w:rPr>
                            <w:rFonts w:ascii="宋体" w:hAnsi="宋体" w:cs="宋体" w:eastAsia="宋体" w:hint="default"/>
                            <w:sz w:val="18"/>
                            <w:szCs w:val="18"/>
                          </w:rPr>
                        </w:pPr>
                        <w:r>
                          <w:rPr>
                            <w:rFonts w:ascii="宋体" w:hAnsi="宋体" w:cs="宋体" w:eastAsia="宋体" w:hint="default"/>
                            <w:sz w:val="18"/>
                            <w:szCs w:val="18"/>
                          </w:rPr>
                          <w:t>闲置两年</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以上募集</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资金金额</w:t>
                        </w:r>
                      </w:p>
                    </w:tc>
                  </w:tr>
                  <w:tr>
                    <w:trPr>
                      <w:trHeight w:val="2271"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2017</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21" w:lineRule="auto" w:before="125"/>
                          <w:ind w:left="24" w:right="108"/>
                          <w:jc w:val="left"/>
                          <w:rPr>
                            <w:rFonts w:ascii="宋体" w:hAnsi="宋体" w:cs="宋体" w:eastAsia="宋体" w:hint="default"/>
                            <w:sz w:val="18"/>
                            <w:szCs w:val="18"/>
                          </w:rPr>
                        </w:pPr>
                        <w:r>
                          <w:rPr>
                            <w:rFonts w:ascii="宋体" w:hAnsi="宋体" w:cs="宋体" w:eastAsia="宋体" w:hint="default"/>
                            <w:sz w:val="18"/>
                            <w:szCs w:val="18"/>
                          </w:rPr>
                          <w:t>非公开发</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行股票</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34,489.21</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343.84</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9,159.73</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27,019.48</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12"/>
                          <w:jc w:val="left"/>
                          <w:rPr>
                            <w:rFonts w:ascii="宋体" w:hAnsi="宋体" w:cs="宋体" w:eastAsia="宋体" w:hint="default"/>
                            <w:sz w:val="18"/>
                            <w:szCs w:val="18"/>
                          </w:rPr>
                        </w:pPr>
                        <w:r>
                          <w:rPr>
                            <w:rFonts w:ascii="宋体" w:hAnsi="宋体" w:cs="宋体" w:eastAsia="宋体" w:hint="default"/>
                            <w:sz w:val="18"/>
                            <w:szCs w:val="18"/>
                          </w:rPr>
                          <w:t>进行现金</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9"/>
                            <w:w w:val="101"/>
                            <w:sz w:val="18"/>
                            <w:szCs w:val="18"/>
                          </w:rPr>
                          <w:t>管理、暂时</w:t>
                        </w:r>
                        <w:r>
                          <w:rPr>
                            <w:rFonts w:ascii="宋体" w:hAnsi="宋体" w:cs="宋体" w:eastAsia="宋体" w:hint="default"/>
                            <w:spacing w:val="-89"/>
                            <w:w w:val="101"/>
                            <w:sz w:val="18"/>
                            <w:szCs w:val="18"/>
                          </w:rPr>
                          <w:t> </w:t>
                        </w:r>
                        <w:r>
                          <w:rPr>
                            <w:rFonts w:ascii="宋体" w:hAnsi="宋体" w:cs="宋体" w:eastAsia="宋体" w:hint="default"/>
                            <w:spacing w:val="-89"/>
                            <w:w w:val="101"/>
                            <w:sz w:val="18"/>
                            <w:szCs w:val="18"/>
                          </w:rPr>
                        </w:r>
                        <w:r>
                          <w:rPr>
                            <w:rFonts w:ascii="宋体" w:hAnsi="宋体" w:cs="宋体" w:eastAsia="宋体" w:hint="default"/>
                            <w:sz w:val="18"/>
                            <w:szCs w:val="18"/>
                          </w:rPr>
                          <w:t>补充流动</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9"/>
                            <w:w w:val="101"/>
                            <w:sz w:val="18"/>
                            <w:szCs w:val="18"/>
                          </w:rPr>
                          <w:t>资金、存放</w:t>
                        </w:r>
                        <w:r>
                          <w:rPr>
                            <w:rFonts w:ascii="宋体" w:hAnsi="宋体" w:cs="宋体" w:eastAsia="宋体" w:hint="default"/>
                            <w:spacing w:val="-89"/>
                            <w:w w:val="101"/>
                            <w:sz w:val="18"/>
                            <w:szCs w:val="18"/>
                          </w:rPr>
                          <w:t> </w:t>
                        </w:r>
                        <w:r>
                          <w:rPr>
                            <w:rFonts w:ascii="宋体" w:hAnsi="宋体" w:cs="宋体" w:eastAsia="宋体" w:hint="default"/>
                            <w:spacing w:val="-89"/>
                            <w:w w:val="101"/>
                            <w:sz w:val="18"/>
                            <w:szCs w:val="18"/>
                          </w:rPr>
                        </w:r>
                        <w:r>
                          <w:rPr>
                            <w:rFonts w:ascii="宋体" w:hAnsi="宋体" w:cs="宋体" w:eastAsia="宋体" w:hint="default"/>
                            <w:sz w:val="18"/>
                            <w:szCs w:val="18"/>
                          </w:rPr>
                          <w:t>于募集资</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金专项账</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户</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95" w:right="0"/>
                          <w:jc w:val="center"/>
                          <w:rPr>
                            <w:rFonts w:ascii="Times New Roman" w:hAnsi="Times New Roman" w:cs="Times New Roman" w:eastAsia="Times New Roman" w:hint="default"/>
                            <w:sz w:val="18"/>
                            <w:szCs w:val="18"/>
                          </w:rPr>
                        </w:pPr>
                        <w:r>
                          <w:rPr>
                            <w:rFonts w:ascii="Times New Roman"/>
                            <w:sz w:val="18"/>
                          </w:rPr>
                          <w:t>27,019.48</w:t>
                        </w:r>
                      </w:p>
                    </w:tc>
                  </w:tr>
                  <w:tr>
                    <w:trPr>
                      <w:trHeight w:val="403" w:hRule="exact"/>
                    </w:trPr>
                    <w:tc>
                      <w:tcPr>
                        <w:tcW w:w="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0"/>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87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34,489.21</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343.84</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9,159.73</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4"/>
                          <w:jc w:val="right"/>
                          <w:rPr>
                            <w:rFonts w:ascii="Times New Roman" w:hAnsi="Times New Roman" w:cs="Times New Roman" w:eastAsia="Times New Roman" w:hint="default"/>
                            <w:sz w:val="18"/>
                            <w:szCs w:val="18"/>
                          </w:rPr>
                        </w:pPr>
                        <w:r>
                          <w:rPr>
                            <w:rFonts w:ascii="Times New Roman"/>
                            <w:spacing w:val="-1"/>
                            <w:sz w:val="18"/>
                          </w:rPr>
                          <w:t>0.00%</w:t>
                        </w:r>
                      </w:p>
                    </w:tc>
                    <w:tc>
                      <w:tcPr>
                        <w:tcW w:w="869"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100"/>
                          <w:ind w:right="5"/>
                          <w:jc w:val="right"/>
                          <w:rPr>
                            <w:rFonts w:ascii="Times New Roman" w:hAnsi="Times New Roman" w:cs="Times New Roman" w:eastAsia="Times New Roman" w:hint="default"/>
                            <w:sz w:val="18"/>
                            <w:szCs w:val="18"/>
                          </w:rPr>
                        </w:pPr>
                        <w:r>
                          <w:rPr>
                            <w:rFonts w:ascii="Times New Roman"/>
                            <w:spacing w:val="-1"/>
                            <w:sz w:val="18"/>
                          </w:rPr>
                          <w:t>27,019.48</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0"/>
                          <w:ind w:right="3"/>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86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00"/>
                          <w:ind w:left="86" w:right="0"/>
                          <w:jc w:val="center"/>
                          <w:rPr>
                            <w:rFonts w:ascii="Times New Roman" w:hAnsi="Times New Roman" w:cs="Times New Roman" w:eastAsia="Times New Roman" w:hint="default"/>
                            <w:sz w:val="18"/>
                            <w:szCs w:val="18"/>
                          </w:rPr>
                        </w:pPr>
                        <w:r>
                          <w:rPr>
                            <w:rFonts w:ascii="Times New Roman"/>
                            <w:sz w:val="18"/>
                          </w:rPr>
                          <w:t>27,019.48</w:t>
                        </w:r>
                      </w:p>
                    </w:tc>
                  </w:tr>
                  <w:tr>
                    <w:trPr>
                      <w:trHeight w:val="404" w:hRule="exact"/>
                    </w:trPr>
                    <w:tc>
                      <w:tcPr>
                        <w:tcW w:w="9565"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spacing w:val="-3"/>
                            <w:sz w:val="18"/>
                            <w:szCs w:val="18"/>
                          </w:rPr>
                          <w:t>募集资金总体使用情况说明</w:t>
                        </w:r>
                      </w:p>
                    </w:tc>
                  </w:tr>
                  <w:tr>
                    <w:trPr>
                      <w:trHeight w:val="4931" w:hRule="exact"/>
                    </w:trPr>
                    <w:tc>
                      <w:tcPr>
                        <w:tcW w:w="9565" w:type="dxa"/>
                        <w:gridSpan w:val="11"/>
                        <w:tcBorders>
                          <w:top w:val="single" w:sz="4" w:space="0" w:color="000000"/>
                          <w:left w:val="single" w:sz="4" w:space="0" w:color="000000"/>
                          <w:bottom w:val="single" w:sz="4" w:space="0" w:color="000000"/>
                          <w:right w:val="single" w:sz="4" w:space="0" w:color="000000"/>
                        </w:tcBorders>
                      </w:tcPr>
                      <w:p>
                        <w:pPr>
                          <w:pStyle w:val="TableParagraph"/>
                          <w:spacing w:line="297" w:lineRule="auto" w:before="53"/>
                          <w:ind w:left="24" w:right="75"/>
                          <w:jc w:val="left"/>
                          <w:rPr>
                            <w:rFonts w:ascii="宋体" w:hAnsi="宋体" w:cs="宋体" w:eastAsia="宋体" w:hint="default"/>
                            <w:sz w:val="18"/>
                            <w:szCs w:val="18"/>
                          </w:rPr>
                        </w:pPr>
                        <w:r>
                          <w:rPr>
                            <w:rFonts w:ascii="宋体" w:hAnsi="宋体" w:cs="宋体" w:eastAsia="宋体" w:hint="default"/>
                            <w:sz w:val="18"/>
                            <w:szCs w:val="18"/>
                          </w:rPr>
                          <w:t>经中国证券监督管理委员会</w:t>
                        </w:r>
                        <w:r>
                          <w:rPr>
                            <w:rFonts w:ascii="Times New Roman" w:hAnsi="Times New Roman" w:cs="Times New Roman" w:eastAsia="Times New Roman" w:hint="default"/>
                            <w:sz w:val="18"/>
                            <w:szCs w:val="18"/>
                          </w:rPr>
                          <w:t>“</w:t>
                        </w:r>
                        <w:r>
                          <w:rPr>
                            <w:rFonts w:ascii="宋体" w:hAnsi="宋体" w:cs="宋体" w:eastAsia="宋体" w:hint="default"/>
                            <w:sz w:val="18"/>
                            <w:szCs w:val="18"/>
                          </w:rPr>
                          <w:t>证监许可</w:t>
                        </w:r>
                        <w:r>
                          <w:rPr>
                            <w:rFonts w:ascii="Times New Roman" w:hAnsi="Times New Roman" w:cs="Times New Roman" w:eastAsia="Times New Roman" w:hint="default"/>
                            <w:sz w:val="18"/>
                            <w:szCs w:val="18"/>
                          </w:rPr>
                          <w:t>[2017]559 </w:t>
                        </w:r>
                        <w:r>
                          <w:rPr>
                            <w:rFonts w:ascii="宋体" w:hAnsi="宋体" w:cs="宋体" w:eastAsia="宋体" w:hint="default"/>
                            <w:spacing w:val="-9"/>
                            <w:sz w:val="18"/>
                            <w:szCs w:val="18"/>
                          </w:rPr>
                          <w:t>号</w:t>
                        </w:r>
                        <w:r>
                          <w:rPr>
                            <w:rFonts w:ascii="Times New Roman" w:hAnsi="Times New Roman" w:cs="Times New Roman" w:eastAsia="Times New Roman" w:hint="default"/>
                            <w:spacing w:val="-9"/>
                            <w:sz w:val="18"/>
                            <w:szCs w:val="18"/>
                          </w:rPr>
                          <w:t>”</w:t>
                        </w:r>
                        <w:r>
                          <w:rPr>
                            <w:rFonts w:ascii="宋体" w:hAnsi="宋体" w:cs="宋体" w:eastAsia="宋体" w:hint="default"/>
                            <w:spacing w:val="-9"/>
                            <w:sz w:val="18"/>
                            <w:szCs w:val="18"/>
                          </w:rPr>
                          <w:t>核准，公司向同方金融控股（深圳）有限公司、武汉亘星投资有限公司</w:t>
                        </w:r>
                        <w:r>
                          <w:rPr>
                            <w:rFonts w:ascii="宋体" w:hAnsi="宋体" w:cs="宋体" w:eastAsia="宋体" w:hint="default"/>
                            <w:spacing w:val="-27"/>
                            <w:sz w:val="18"/>
                            <w:szCs w:val="18"/>
                          </w:rPr>
                          <w:t> </w:t>
                        </w:r>
                        <w:r>
                          <w:rPr>
                            <w:rFonts w:ascii="宋体" w:hAnsi="宋体" w:cs="宋体" w:eastAsia="宋体" w:hint="default"/>
                            <w:spacing w:val="-27"/>
                            <w:sz w:val="18"/>
                            <w:szCs w:val="18"/>
                          </w:rPr>
                        </w:r>
                        <w:r>
                          <w:rPr>
                            <w:rFonts w:ascii="宋体" w:hAnsi="宋体" w:cs="宋体" w:eastAsia="宋体" w:hint="default"/>
                            <w:spacing w:val="-3"/>
                            <w:sz w:val="18"/>
                            <w:szCs w:val="18"/>
                          </w:rPr>
                          <w:t>财通基金管理有限公司非公开发行人民币普通股（</w:t>
                        </w:r>
                        <w:r>
                          <w:rPr>
                            <w:rFonts w:ascii="Times New Roman" w:hAnsi="Times New Roman" w:cs="Times New Roman" w:eastAsia="Times New Roman" w:hint="default"/>
                            <w:spacing w:val="-3"/>
                            <w:sz w:val="18"/>
                            <w:szCs w:val="18"/>
                          </w:rPr>
                          <w:t>A </w:t>
                        </w:r>
                        <w:r>
                          <w:rPr>
                            <w:rFonts w:ascii="宋体" w:hAnsi="宋体" w:cs="宋体" w:eastAsia="宋体" w:hint="default"/>
                            <w:sz w:val="18"/>
                            <w:szCs w:val="18"/>
                          </w:rPr>
                          <w:t>股）</w:t>
                        </w:r>
                        <w:r>
                          <w:rPr>
                            <w:rFonts w:ascii="Times New Roman" w:hAnsi="Times New Roman" w:cs="Times New Roman" w:eastAsia="Times New Roman" w:hint="default"/>
                            <w:sz w:val="18"/>
                            <w:szCs w:val="18"/>
                          </w:rPr>
                          <w:t>22,626,766 </w:t>
                        </w:r>
                        <w:r>
                          <w:rPr>
                            <w:rFonts w:ascii="宋体" w:hAnsi="宋体" w:cs="宋体" w:eastAsia="宋体" w:hint="default"/>
                            <w:sz w:val="18"/>
                            <w:szCs w:val="18"/>
                          </w:rPr>
                          <w:t>股，发行价格每股 </w:t>
                        </w:r>
                        <w:r>
                          <w:rPr>
                            <w:rFonts w:ascii="Times New Roman" w:hAnsi="Times New Roman" w:cs="Times New Roman" w:eastAsia="Times New Roman" w:hint="default"/>
                            <w:sz w:val="18"/>
                            <w:szCs w:val="18"/>
                          </w:rPr>
                          <w:t>15.99 </w:t>
                        </w:r>
                        <w:r>
                          <w:rPr>
                            <w:rFonts w:ascii="宋体" w:hAnsi="宋体" w:cs="宋体" w:eastAsia="宋体" w:hint="default"/>
                            <w:spacing w:val="-3"/>
                            <w:sz w:val="18"/>
                            <w:szCs w:val="18"/>
                          </w:rPr>
                          <w:t>元，募集资金总额为</w:t>
                        </w:r>
                        <w:r>
                          <w:rPr>
                            <w:rFonts w:ascii="宋体" w:hAnsi="宋体" w:cs="宋体" w:eastAsia="宋体" w:hint="default"/>
                            <w:spacing w:val="-48"/>
                            <w:sz w:val="18"/>
                            <w:szCs w:val="18"/>
                          </w:rPr>
                          <w:t> </w:t>
                        </w:r>
                        <w:r>
                          <w:rPr>
                            <w:rFonts w:ascii="宋体" w:hAnsi="宋体" w:cs="宋体" w:eastAsia="宋体" w:hint="default"/>
                            <w:spacing w:val="-48"/>
                            <w:sz w:val="18"/>
                            <w:szCs w:val="18"/>
                          </w:rPr>
                        </w:r>
                        <w:r>
                          <w:rPr>
                            <w:rFonts w:ascii="Times New Roman" w:hAnsi="Times New Roman" w:cs="Times New Roman" w:eastAsia="Times New Roman" w:hint="default"/>
                            <w:sz w:val="18"/>
                            <w:szCs w:val="18"/>
                          </w:rPr>
                          <w:t>361,801,988.34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元，扣除各项发行费用</w:t>
                        </w:r>
                        <w:r>
                          <w:rPr>
                            <w:rFonts w:ascii="宋体" w:hAnsi="宋体" w:cs="宋体" w:eastAsia="宋体" w:hint="default"/>
                            <w:spacing w:val="-36"/>
                            <w:sz w:val="18"/>
                            <w:szCs w:val="18"/>
                          </w:rPr>
                          <w:t> </w:t>
                        </w:r>
                        <w:r>
                          <w:rPr>
                            <w:rFonts w:ascii="Times New Roman" w:hAnsi="Times New Roman" w:cs="Times New Roman" w:eastAsia="Times New Roman" w:hint="default"/>
                            <w:sz w:val="18"/>
                            <w:szCs w:val="18"/>
                          </w:rPr>
                          <w:t>16,909,930.00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元，募集资金净额为</w:t>
                        </w:r>
                        <w:r>
                          <w:rPr>
                            <w:rFonts w:ascii="宋体" w:hAnsi="宋体" w:cs="宋体" w:eastAsia="宋体" w:hint="default"/>
                            <w:spacing w:val="-36"/>
                            <w:sz w:val="18"/>
                            <w:szCs w:val="18"/>
                          </w:rPr>
                          <w:t> </w:t>
                        </w:r>
                        <w:r>
                          <w:rPr>
                            <w:rFonts w:ascii="Times New Roman" w:hAnsi="Times New Roman" w:cs="Times New Roman" w:eastAsia="Times New Roman" w:hint="default"/>
                            <w:sz w:val="18"/>
                            <w:szCs w:val="18"/>
                          </w:rPr>
                          <w:t>344,892,058.34</w:t>
                        </w:r>
                        <w:r>
                          <w:rPr>
                            <w:rFonts w:ascii="Times New Roman" w:hAnsi="Times New Roman" w:cs="Times New Roman" w:eastAsia="Times New Roman" w:hint="default"/>
                            <w:spacing w:val="9"/>
                            <w:sz w:val="18"/>
                            <w:szCs w:val="18"/>
                          </w:rPr>
                          <w:t> </w:t>
                        </w:r>
                        <w:r>
                          <w:rPr>
                            <w:rFonts w:ascii="宋体" w:hAnsi="宋体" w:cs="宋体" w:eastAsia="宋体" w:hint="default"/>
                            <w:spacing w:val="-3"/>
                            <w:sz w:val="18"/>
                            <w:szCs w:val="18"/>
                          </w:rPr>
                          <w:t>元。该项募集资金用于银行数据</w:t>
                        </w:r>
                      </w:p>
                      <w:p>
                        <w:pPr>
                          <w:pStyle w:val="TableParagraph"/>
                          <w:spacing w:line="302" w:lineRule="auto" w:before="15"/>
                          <w:ind w:left="24" w:right="13"/>
                          <w:jc w:val="both"/>
                          <w:rPr>
                            <w:rFonts w:ascii="宋体" w:hAnsi="宋体" w:cs="宋体" w:eastAsia="宋体" w:hint="default"/>
                            <w:sz w:val="18"/>
                            <w:szCs w:val="18"/>
                          </w:rPr>
                        </w:pPr>
                        <w:r>
                          <w:rPr>
                            <w:rFonts w:ascii="宋体" w:hAnsi="宋体" w:cs="宋体" w:eastAsia="宋体" w:hint="default"/>
                            <w:spacing w:val="-3"/>
                            <w:sz w:val="18"/>
                            <w:szCs w:val="18"/>
                          </w:rPr>
                          <w:t>分析应用系统建设项目及补充流动资金。上述募集资金已于</w:t>
                        </w:r>
                        <w:r>
                          <w:rPr>
                            <w:rFonts w:ascii="宋体" w:hAnsi="宋体" w:cs="宋体" w:eastAsia="宋体" w:hint="default"/>
                            <w:spacing w:val="-24"/>
                            <w:sz w:val="18"/>
                            <w:szCs w:val="18"/>
                          </w:rPr>
                          <w:t> </w:t>
                        </w:r>
                        <w:r>
                          <w:rPr>
                            <w:rFonts w:ascii="Times New Roman" w:hAnsi="Times New Roman" w:cs="Times New Roman" w:eastAsia="Times New Roman" w:hint="default"/>
                            <w:spacing w:val="-3"/>
                            <w:sz w:val="18"/>
                            <w:szCs w:val="18"/>
                          </w:rPr>
                          <w:t>2017</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2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月</w:t>
                        </w:r>
                        <w:r>
                          <w:rPr>
                            <w:rFonts w:ascii="宋体" w:hAnsi="宋体" w:cs="宋体" w:eastAsia="宋体" w:hint="default"/>
                            <w:spacing w:val="-2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9"/>
                            <w:sz w:val="18"/>
                            <w:szCs w:val="18"/>
                          </w:rPr>
                          <w:t> </w:t>
                        </w:r>
                        <w:r>
                          <w:rPr>
                            <w:rFonts w:ascii="宋体" w:hAnsi="宋体" w:cs="宋体" w:eastAsia="宋体" w:hint="default"/>
                            <w:spacing w:val="-4"/>
                            <w:sz w:val="18"/>
                            <w:szCs w:val="18"/>
                          </w:rPr>
                          <w:t>日全部到位，资金到位情况已经瑞华会计师事</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3"/>
                            <w:sz w:val="18"/>
                            <w:szCs w:val="18"/>
                          </w:rPr>
                          <w:t>务所（特殊普通合伙）验证，并由其出具的瑞华验字</w:t>
                        </w:r>
                        <w:r>
                          <w:rPr>
                            <w:rFonts w:ascii="Times New Roman" w:hAnsi="Times New Roman" w:cs="Times New Roman" w:eastAsia="Times New Roman" w:hint="default"/>
                            <w:spacing w:val="-3"/>
                            <w:sz w:val="18"/>
                            <w:szCs w:val="18"/>
                          </w:rPr>
                          <w:t>[2017]48020003 </w:t>
                        </w:r>
                        <w:r>
                          <w:rPr>
                            <w:rFonts w:ascii="宋体" w:hAnsi="宋体" w:cs="宋体" w:eastAsia="宋体" w:hint="default"/>
                            <w:spacing w:val="-3"/>
                            <w:sz w:val="18"/>
                            <w:szCs w:val="18"/>
                          </w:rPr>
                          <w:t>号《验资报告》验证。公司对募集资金采取了专户存</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储制度。</w:t>
                        </w:r>
                      </w:p>
                      <w:p>
                        <w:pPr>
                          <w:pStyle w:val="TableParagraph"/>
                          <w:spacing w:line="240" w:lineRule="auto" w:before="7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 </w:t>
                        </w:r>
                        <w:r>
                          <w:rPr>
                            <w:rFonts w:ascii="Times New Roman" w:hAnsi="Times New Roman" w:cs="Times New Roman" w:eastAsia="Times New Roman" w:hint="default"/>
                            <w:sz w:val="18"/>
                            <w:szCs w:val="18"/>
                          </w:rPr>
                          <w:t>8 </w:t>
                        </w:r>
                        <w:r>
                          <w:rPr>
                            <w:rFonts w:ascii="宋体" w:hAnsi="宋体" w:cs="宋体" w:eastAsia="宋体" w:hint="default"/>
                            <w:sz w:val="18"/>
                            <w:szCs w:val="18"/>
                          </w:rPr>
                          <w:t>月 </w:t>
                        </w:r>
                        <w:r>
                          <w:rPr>
                            <w:rFonts w:ascii="Times New Roman" w:hAnsi="Times New Roman" w:cs="Times New Roman" w:eastAsia="Times New Roman" w:hint="default"/>
                            <w:sz w:val="18"/>
                            <w:szCs w:val="18"/>
                          </w:rPr>
                          <w:t>28 </w:t>
                        </w:r>
                        <w:r>
                          <w:rPr>
                            <w:rFonts w:ascii="宋体" w:hAnsi="宋体" w:cs="宋体" w:eastAsia="宋体" w:hint="default"/>
                            <w:spacing w:val="-3"/>
                            <w:sz w:val="18"/>
                            <w:szCs w:val="18"/>
                          </w:rPr>
                          <w:t>日，根据非公开发行股票募集资金投资计划，公司使用 </w:t>
                        </w:r>
                        <w:r>
                          <w:rPr>
                            <w:rFonts w:ascii="Times New Roman" w:hAnsi="Times New Roman" w:cs="Times New Roman" w:eastAsia="Times New Roman" w:hint="default"/>
                            <w:sz w:val="18"/>
                            <w:szCs w:val="18"/>
                          </w:rPr>
                          <w:t>8,300</w:t>
                        </w:r>
                        <w:r>
                          <w:rPr>
                            <w:rFonts w:ascii="Times New Roman" w:hAnsi="Times New Roman" w:cs="Times New Roman" w:eastAsia="Times New Roman" w:hint="default"/>
                            <w:spacing w:val="-20"/>
                            <w:sz w:val="18"/>
                            <w:szCs w:val="18"/>
                          </w:rPr>
                          <w:t> </w:t>
                        </w:r>
                        <w:r>
                          <w:rPr>
                            <w:rFonts w:ascii="宋体" w:hAnsi="宋体" w:cs="宋体" w:eastAsia="宋体" w:hint="default"/>
                            <w:spacing w:val="-3"/>
                            <w:sz w:val="18"/>
                            <w:szCs w:val="18"/>
                          </w:rPr>
                          <w:t>万元募集资金永久补充流动资金。</w:t>
                        </w:r>
                      </w:p>
                      <w:p>
                        <w:pPr>
                          <w:pStyle w:val="TableParagraph"/>
                          <w:spacing w:line="240" w:lineRule="auto" w:before="96"/>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37"/>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8"/>
                            <w:sz w:val="18"/>
                            <w:szCs w:val="18"/>
                          </w:rPr>
                          <w:t> </w:t>
                        </w:r>
                        <w:r>
                          <w:rPr>
                            <w:rFonts w:ascii="宋体" w:hAnsi="宋体" w:cs="宋体" w:eastAsia="宋体" w:hint="default"/>
                            <w:spacing w:val="-3"/>
                            <w:sz w:val="18"/>
                            <w:szCs w:val="18"/>
                          </w:rPr>
                          <w:t>月、</w:t>
                        </w:r>
                        <w:r>
                          <w:rPr>
                            <w:rFonts w:ascii="Times New Roman" w:hAnsi="Times New Roman" w:cs="Times New Roman" w:eastAsia="Times New Roman" w:hint="default"/>
                            <w:spacing w:val="-3"/>
                            <w:sz w:val="18"/>
                            <w:szCs w:val="18"/>
                          </w:rPr>
                          <w:t>2018</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37"/>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8"/>
                            <w:sz w:val="18"/>
                            <w:szCs w:val="18"/>
                          </w:rPr>
                          <w:t> </w:t>
                        </w:r>
                        <w:r>
                          <w:rPr>
                            <w:rFonts w:ascii="宋体" w:hAnsi="宋体" w:cs="宋体" w:eastAsia="宋体" w:hint="default"/>
                            <w:spacing w:val="-3"/>
                            <w:sz w:val="18"/>
                            <w:szCs w:val="18"/>
                          </w:rPr>
                          <w:t>月、</w:t>
                        </w:r>
                        <w:r>
                          <w:rPr>
                            <w:rFonts w:ascii="Times New Roman" w:hAnsi="Times New Roman" w:cs="Times New Roman" w:eastAsia="Times New Roman" w:hint="default"/>
                            <w:spacing w:val="-3"/>
                            <w:sz w:val="18"/>
                            <w:szCs w:val="18"/>
                          </w:rPr>
                          <w:t>2019</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3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8"/>
                            <w:sz w:val="18"/>
                            <w:szCs w:val="18"/>
                          </w:rPr>
                          <w:t> </w:t>
                        </w:r>
                        <w:r>
                          <w:rPr>
                            <w:rFonts w:ascii="宋体" w:hAnsi="宋体" w:cs="宋体" w:eastAsia="宋体" w:hint="default"/>
                            <w:spacing w:val="-3"/>
                            <w:sz w:val="18"/>
                            <w:szCs w:val="18"/>
                          </w:rPr>
                          <w:t>月、</w:t>
                        </w:r>
                        <w:r>
                          <w:rPr>
                            <w:rFonts w:ascii="Times New Roman" w:hAnsi="Times New Roman" w:cs="Times New Roman" w:eastAsia="Times New Roman" w:hint="default"/>
                            <w:spacing w:val="-3"/>
                            <w:sz w:val="18"/>
                            <w:szCs w:val="18"/>
                          </w:rPr>
                          <w:t>2019</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37"/>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8"/>
                            <w:sz w:val="18"/>
                            <w:szCs w:val="18"/>
                          </w:rPr>
                          <w:t> </w:t>
                        </w:r>
                        <w:r>
                          <w:rPr>
                            <w:rFonts w:ascii="宋体" w:hAnsi="宋体" w:cs="宋体" w:eastAsia="宋体" w:hint="default"/>
                            <w:spacing w:val="-3"/>
                            <w:sz w:val="18"/>
                            <w:szCs w:val="18"/>
                          </w:rPr>
                          <w:t>月，分别经公司第四届董事会第五次会议、第四届董事会第十三次会</w:t>
                        </w:r>
                      </w:p>
                      <w:p>
                        <w:pPr>
                          <w:pStyle w:val="TableParagraph"/>
                          <w:spacing w:line="304" w:lineRule="auto" w:before="63"/>
                          <w:ind w:left="24" w:right="75"/>
                          <w:jc w:val="left"/>
                          <w:rPr>
                            <w:rFonts w:ascii="宋体" w:hAnsi="宋体" w:cs="宋体" w:eastAsia="宋体" w:hint="default"/>
                            <w:sz w:val="18"/>
                            <w:szCs w:val="18"/>
                          </w:rPr>
                        </w:pPr>
                        <w:r>
                          <w:rPr>
                            <w:rFonts w:ascii="宋体" w:hAnsi="宋体" w:cs="宋体" w:eastAsia="宋体" w:hint="default"/>
                            <w:spacing w:val="-3"/>
                            <w:sz w:val="18"/>
                            <w:szCs w:val="18"/>
                          </w:rPr>
                          <w:t>议、第四届董事会第十六次会议、第四届董事会第十八次会议及 </w:t>
                        </w:r>
                        <w:r>
                          <w:rPr>
                            <w:rFonts w:ascii="Times New Roman" w:hAnsi="Times New Roman" w:cs="Times New Roman" w:eastAsia="Times New Roman" w:hint="default"/>
                            <w:sz w:val="18"/>
                            <w:szCs w:val="18"/>
                          </w:rPr>
                          <w:t>2019 </w:t>
                        </w:r>
                        <w:r>
                          <w:rPr>
                            <w:rFonts w:ascii="宋体" w:hAnsi="宋体" w:cs="宋体" w:eastAsia="宋体" w:hint="default"/>
                            <w:spacing w:val="-3"/>
                            <w:sz w:val="18"/>
                            <w:szCs w:val="18"/>
                          </w:rPr>
                          <w:t>年第一次临时股东大会审议通过，公司使用暂时闲</w:t>
                        </w:r>
                        <w:r>
                          <w:rPr>
                            <w:rFonts w:ascii="宋体" w:hAnsi="宋体" w:cs="宋体" w:eastAsia="宋体" w:hint="default"/>
                            <w:spacing w:val="-31"/>
                            <w:sz w:val="18"/>
                            <w:szCs w:val="18"/>
                          </w:rPr>
                          <w:t> </w:t>
                        </w:r>
                        <w:r>
                          <w:rPr>
                            <w:rFonts w:ascii="宋体" w:hAnsi="宋体" w:cs="宋体" w:eastAsia="宋体" w:hint="default"/>
                            <w:spacing w:val="-31"/>
                            <w:sz w:val="18"/>
                            <w:szCs w:val="18"/>
                          </w:rPr>
                        </w:r>
                        <w:r>
                          <w:rPr>
                            <w:rFonts w:ascii="宋体" w:hAnsi="宋体" w:cs="宋体" w:eastAsia="宋体" w:hint="default"/>
                            <w:spacing w:val="-3"/>
                            <w:sz w:val="18"/>
                            <w:szCs w:val="18"/>
                          </w:rPr>
                          <w:t>置募集资金进行现金管理。</w:t>
                        </w:r>
                      </w:p>
                      <w:p>
                        <w:pPr>
                          <w:pStyle w:val="TableParagraph"/>
                          <w:spacing w:line="304" w:lineRule="auto" w:before="61"/>
                          <w:ind w:left="24" w:right="71"/>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w:t>
                        </w:r>
                        <w:r>
                          <w:rPr>
                            <w:rFonts w:ascii="宋体" w:hAnsi="宋体" w:cs="宋体" w:eastAsia="宋体" w:hint="default"/>
                            <w:spacing w:val="-25"/>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w:t>
                        </w:r>
                        <w:r>
                          <w:rPr>
                            <w:rFonts w:ascii="宋体" w:hAnsi="宋体" w:cs="宋体" w:eastAsia="宋体" w:hint="default"/>
                            <w:spacing w:val="-25"/>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3"/>
                            <w:sz w:val="18"/>
                            <w:szCs w:val="18"/>
                          </w:rPr>
                          <w:t> </w:t>
                        </w:r>
                        <w:r>
                          <w:rPr>
                            <w:rFonts w:ascii="宋体" w:hAnsi="宋体" w:cs="宋体" w:eastAsia="宋体" w:hint="default"/>
                            <w:spacing w:val="-3"/>
                            <w:sz w:val="18"/>
                            <w:szCs w:val="18"/>
                          </w:rPr>
                          <w:t>月，分别经公司第四届董事会第十次会议、第四届董事会第十六次会议审议通过，公司使用闲置</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3"/>
                            <w:sz w:val="18"/>
                            <w:szCs w:val="18"/>
                          </w:rPr>
                          <w:t>募集资金暂时补充公司流动资金。</w:t>
                        </w:r>
                      </w:p>
                      <w:p>
                        <w:pPr>
                          <w:pStyle w:val="TableParagraph"/>
                          <w:spacing w:line="240" w:lineRule="auto" w:before="66"/>
                          <w:ind w:left="24" w:right="0"/>
                          <w:jc w:val="left"/>
                          <w:rPr>
                            <w:rFonts w:ascii="宋体" w:hAnsi="宋体" w:cs="宋体" w:eastAsia="宋体" w:hint="default"/>
                            <w:sz w:val="18"/>
                            <w:szCs w:val="18"/>
                          </w:rPr>
                        </w:pPr>
                        <w:r>
                          <w:rPr>
                            <w:rFonts w:ascii="宋体" w:hAnsi="宋体" w:cs="宋体" w:eastAsia="宋体" w:hint="default"/>
                            <w:spacing w:val="-3"/>
                            <w:sz w:val="18"/>
                            <w:szCs w:val="18"/>
                          </w:rPr>
                          <w:t>截至报告期末，公司非公开发行股票募集资金净额 </w:t>
                        </w:r>
                        <w:r>
                          <w:rPr>
                            <w:rFonts w:ascii="Times New Roman" w:hAnsi="Times New Roman" w:cs="Times New Roman" w:eastAsia="Times New Roman" w:hint="default"/>
                            <w:sz w:val="18"/>
                            <w:szCs w:val="18"/>
                          </w:rPr>
                          <w:t>34,489.21  </w:t>
                        </w:r>
                        <w:r>
                          <w:rPr>
                            <w:rFonts w:ascii="宋体" w:hAnsi="宋体" w:cs="宋体" w:eastAsia="宋体" w:hint="default"/>
                            <w:spacing w:val="-3"/>
                            <w:sz w:val="18"/>
                            <w:szCs w:val="18"/>
                          </w:rPr>
                          <w:t>万元，已投入募集资金投资项目 </w:t>
                        </w:r>
                        <w:r>
                          <w:rPr>
                            <w:rFonts w:ascii="Times New Roman" w:hAnsi="Times New Roman" w:cs="Times New Roman" w:eastAsia="Times New Roman" w:hint="default"/>
                            <w:sz w:val="18"/>
                            <w:szCs w:val="18"/>
                          </w:rPr>
                          <w:t>9,159.73</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万元，公司募集资</w:t>
                        </w:r>
                      </w:p>
                      <w:p>
                        <w:pPr>
                          <w:pStyle w:val="TableParagraph"/>
                          <w:spacing w:line="304" w:lineRule="auto" w:before="63"/>
                          <w:ind w:left="24" w:right="17"/>
                          <w:jc w:val="left"/>
                          <w:rPr>
                            <w:rFonts w:ascii="宋体" w:hAnsi="宋体" w:cs="宋体" w:eastAsia="宋体" w:hint="default"/>
                            <w:sz w:val="18"/>
                            <w:szCs w:val="18"/>
                          </w:rPr>
                        </w:pPr>
                        <w:r>
                          <w:rPr>
                            <w:rFonts w:ascii="宋体" w:hAnsi="宋体" w:cs="宋体" w:eastAsia="宋体" w:hint="default"/>
                            <w:spacing w:val="-3"/>
                            <w:sz w:val="18"/>
                            <w:szCs w:val="18"/>
                          </w:rPr>
                          <w:t>金专户尚有募集资金及利息 </w:t>
                        </w:r>
                        <w:r>
                          <w:rPr>
                            <w:rFonts w:ascii="Times New Roman" w:hAnsi="Times New Roman" w:cs="Times New Roman" w:eastAsia="Times New Roman" w:hint="default"/>
                            <w:sz w:val="18"/>
                            <w:szCs w:val="18"/>
                          </w:rPr>
                          <w:t>27,019.48 </w:t>
                        </w:r>
                        <w:r>
                          <w:rPr>
                            <w:rFonts w:ascii="宋体" w:hAnsi="宋体" w:cs="宋体" w:eastAsia="宋体" w:hint="default"/>
                            <w:spacing w:val="-7"/>
                            <w:sz w:val="18"/>
                            <w:szCs w:val="18"/>
                          </w:rPr>
                          <w:t>万元未使用，其中 </w:t>
                        </w:r>
                        <w:r>
                          <w:rPr>
                            <w:rFonts w:ascii="Times New Roman" w:hAnsi="Times New Roman" w:cs="Times New Roman" w:eastAsia="Times New Roman" w:hint="default"/>
                            <w:spacing w:val="-3"/>
                            <w:sz w:val="18"/>
                            <w:szCs w:val="18"/>
                          </w:rPr>
                          <w:t>16,200 </w:t>
                        </w:r>
                        <w:r>
                          <w:rPr>
                            <w:rFonts w:ascii="宋体" w:hAnsi="宋体" w:cs="宋体" w:eastAsia="宋体" w:hint="default"/>
                            <w:spacing w:val="-4"/>
                            <w:sz w:val="18"/>
                            <w:szCs w:val="18"/>
                          </w:rPr>
                          <w:t>万元暂时闲置募集资金用于现金管理，</w:t>
                        </w:r>
                        <w:r>
                          <w:rPr>
                            <w:rFonts w:ascii="Times New Roman" w:hAnsi="Times New Roman" w:cs="Times New Roman" w:eastAsia="Times New Roman" w:hint="default"/>
                            <w:spacing w:val="-4"/>
                            <w:sz w:val="18"/>
                            <w:szCs w:val="18"/>
                          </w:rPr>
                          <w:t>8,000 </w:t>
                        </w:r>
                        <w:r>
                          <w:rPr>
                            <w:rFonts w:ascii="宋体" w:hAnsi="宋体" w:cs="宋体" w:eastAsia="宋体" w:hint="default"/>
                            <w:spacing w:val="-3"/>
                            <w:sz w:val="18"/>
                            <w:szCs w:val="18"/>
                          </w:rPr>
                          <w:t>万元暂时闲置</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pacing w:val="-3"/>
                            <w:sz w:val="18"/>
                            <w:szCs w:val="18"/>
                          </w:rPr>
                          <w:t>募集资金用于暂时补充流动资金。</w:t>
                        </w:r>
                      </w:p>
                    </w:tc>
                  </w:tr>
                </w:tbl>
                <w:p>
                  <w:pPr/>
                </w:p>
              </w:txbxContent>
            </v:textbox>
            <w10:wrap type="none"/>
          </v:shape>
        </w:pict>
      </w:r>
      <w:r>
        <w:rPr>
          <w:w w:val="101"/>
        </w:rPr>
        <w:t>、</w:t>
      </w:r>
      <w:r>
        <w:rPr/>
      </w:r>
    </w:p>
    <w:p>
      <w:pPr>
        <w:spacing w:after="0" w:line="240" w:lineRule="auto"/>
        <w:jc w:val="right"/>
        <w:sectPr>
          <w:pgSz w:w="11910" w:h="16840"/>
          <w:pgMar w:header="871" w:footer="1186" w:top="1100" w:bottom="1380" w:left="980" w:right="0"/>
        </w:sectPr>
      </w:pPr>
    </w:p>
    <w:p>
      <w:pPr>
        <w:spacing w:line="240" w:lineRule="auto" w:before="0"/>
        <w:rPr>
          <w:rFonts w:ascii="宋体" w:hAnsi="宋体" w:cs="宋体" w:eastAsia="宋体" w:hint="default"/>
          <w:sz w:val="21"/>
          <w:szCs w:val="21"/>
        </w:rPr>
      </w:pPr>
    </w:p>
    <w:p>
      <w:pPr>
        <w:pStyle w:val="Heading3"/>
        <w:spacing w:line="240" w:lineRule="auto" w:before="36"/>
        <w:ind w:right="0"/>
        <w:jc w:val="left"/>
        <w:rPr>
          <w:b w:val="0"/>
          <w:bCs w:val="0"/>
        </w:rPr>
      </w:pPr>
      <w:bookmarkStart w:name="（2）募集资金承诺项目情况" w:id="51"/>
      <w:bookmarkEnd w:id="51"/>
      <w:r>
        <w:rPr>
          <w:b w:val="0"/>
          <w:bCs w:val="0"/>
        </w:rPr>
      </w:r>
      <w:r>
        <w:rPr/>
        <w:t>（</w:t>
      </w:r>
      <w:r>
        <w:rPr>
          <w:rFonts w:ascii="Times New Roman" w:hAnsi="Times New Roman" w:cs="Times New Roman" w:eastAsia="Times New Roman" w:hint="default"/>
        </w:rPr>
        <w:t>2</w:t>
      </w:r>
      <w:r>
        <w:rPr/>
        <w:t>）募集资金承诺项目情况</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pStyle w:val="BodyText"/>
        <w:spacing w:line="240" w:lineRule="auto" w:before="102"/>
        <w:ind w:left="0" w:right="1122"/>
        <w:jc w:val="right"/>
      </w:pPr>
      <w:r>
        <w:rPr>
          <w:spacing w:val="-2"/>
        </w:rPr>
        <w:t>单位：万元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6"/>
          <w:szCs w:val="16"/>
        </w:rPr>
      </w:pPr>
    </w:p>
    <w:p>
      <w:pPr>
        <w:pStyle w:val="BodyText"/>
        <w:spacing w:line="240" w:lineRule="auto"/>
        <w:ind w:left="0" w:right="1132"/>
        <w:jc w:val="right"/>
      </w:pPr>
      <w:r>
        <w:rPr/>
        <w:pict>
          <v:shape style="position:absolute;margin-left:56.424pt;margin-top:-359.060272pt;width:479.5pt;height:625.25pt;mso-position-horizontal-relative:page;mso-position-vertical-relative:paragraph;z-index:114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717"/>
                    <w:gridCol w:w="733"/>
                    <w:gridCol w:w="893"/>
                    <w:gridCol w:w="898"/>
                    <w:gridCol w:w="725"/>
                    <w:gridCol w:w="903"/>
                    <w:gridCol w:w="898"/>
                    <w:gridCol w:w="725"/>
                    <w:gridCol w:w="730"/>
                    <w:gridCol w:w="898"/>
                    <w:gridCol w:w="725"/>
                    <w:gridCol w:w="730"/>
                  </w:tblGrid>
                  <w:tr>
                    <w:trPr>
                      <w:trHeight w:val="1649" w:hRule="exact"/>
                    </w:trPr>
                    <w:tc>
                      <w:tcPr>
                        <w:tcW w:w="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6"/>
                          <w:ind w:left="86" w:right="76"/>
                          <w:jc w:val="center"/>
                          <w:rPr>
                            <w:rFonts w:ascii="宋体" w:hAnsi="宋体" w:cs="宋体" w:eastAsia="宋体" w:hint="default"/>
                            <w:sz w:val="18"/>
                            <w:szCs w:val="18"/>
                          </w:rPr>
                        </w:pPr>
                        <w:r>
                          <w:rPr>
                            <w:rFonts w:ascii="宋体" w:hAnsi="宋体" w:cs="宋体" w:eastAsia="宋体" w:hint="default"/>
                            <w:spacing w:val="-2"/>
                            <w:sz w:val="18"/>
                            <w:szCs w:val="18"/>
                          </w:rPr>
                          <w:t>承诺投</w:t>
                        </w:r>
                        <w:r>
                          <w:rPr>
                            <w:rFonts w:ascii="宋体" w:hAnsi="宋体" w:cs="宋体" w:eastAsia="宋体" w:hint="default"/>
                            <w:w w:val="101"/>
                            <w:sz w:val="18"/>
                            <w:szCs w:val="18"/>
                          </w:rPr>
                          <w:t> </w:t>
                        </w:r>
                        <w:r>
                          <w:rPr>
                            <w:rFonts w:ascii="宋体" w:hAnsi="宋体" w:cs="宋体" w:eastAsia="宋体" w:hint="default"/>
                            <w:spacing w:val="-2"/>
                            <w:sz w:val="18"/>
                            <w:szCs w:val="18"/>
                          </w:rPr>
                          <w:t>资项目</w:t>
                        </w:r>
                        <w:r>
                          <w:rPr>
                            <w:rFonts w:ascii="宋体" w:hAnsi="宋体" w:cs="宋体" w:eastAsia="宋体" w:hint="default"/>
                            <w:w w:val="101"/>
                            <w:sz w:val="18"/>
                            <w:szCs w:val="18"/>
                          </w:rPr>
                          <w:t> </w:t>
                        </w:r>
                        <w:r>
                          <w:rPr>
                            <w:rFonts w:ascii="宋体" w:hAnsi="宋体" w:cs="宋体" w:eastAsia="宋体" w:hint="default"/>
                            <w:spacing w:val="-2"/>
                            <w:sz w:val="18"/>
                            <w:szCs w:val="18"/>
                          </w:rPr>
                          <w:t>和超募</w:t>
                        </w:r>
                        <w:r>
                          <w:rPr>
                            <w:rFonts w:ascii="宋体" w:hAnsi="宋体" w:cs="宋体" w:eastAsia="宋体" w:hint="default"/>
                            <w:w w:val="101"/>
                            <w:sz w:val="18"/>
                            <w:szCs w:val="18"/>
                          </w:rPr>
                          <w:t> </w:t>
                        </w:r>
                        <w:r>
                          <w:rPr>
                            <w:rFonts w:ascii="宋体" w:hAnsi="宋体" w:cs="宋体" w:eastAsia="宋体" w:hint="default"/>
                            <w:spacing w:val="-2"/>
                            <w:sz w:val="18"/>
                            <w:szCs w:val="18"/>
                          </w:rPr>
                          <w:t>资金投</w:t>
                        </w:r>
                        <w:r>
                          <w:rPr>
                            <w:rFonts w:ascii="宋体" w:hAnsi="宋体" w:cs="宋体" w:eastAsia="宋体" w:hint="default"/>
                            <w:w w:val="101"/>
                            <w:sz w:val="18"/>
                            <w:szCs w:val="18"/>
                          </w:rPr>
                          <w:t> </w:t>
                        </w:r>
                        <w:r>
                          <w:rPr>
                            <w:rFonts w:ascii="宋体" w:hAnsi="宋体" w:cs="宋体" w:eastAsia="宋体" w:hint="default"/>
                            <w:sz w:val="18"/>
                            <w:szCs w:val="18"/>
                          </w:rPr>
                          <w:t>向</w:t>
                        </w:r>
                      </w:p>
                    </w:tc>
                    <w:tc>
                      <w:tcPr>
                        <w:tcW w:w="7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sz w:val="16"/>
                            <w:szCs w:val="16"/>
                          </w:rPr>
                        </w:pPr>
                      </w:p>
                      <w:p>
                        <w:pPr>
                          <w:pStyle w:val="TableParagraph"/>
                          <w:spacing w:line="312" w:lineRule="auto"/>
                          <w:ind w:left="61" w:right="55" w:firstLine="33"/>
                          <w:jc w:val="both"/>
                          <w:rPr>
                            <w:rFonts w:ascii="Times New Roman" w:hAnsi="Times New Roman" w:cs="Times New Roman" w:eastAsia="Times New Roman" w:hint="default"/>
                            <w:sz w:val="18"/>
                            <w:szCs w:val="18"/>
                          </w:rPr>
                        </w:pPr>
                        <w:r>
                          <w:rPr>
                            <w:rFonts w:ascii="宋体" w:hAnsi="宋体" w:cs="宋体" w:eastAsia="宋体" w:hint="default"/>
                            <w:sz w:val="18"/>
                            <w:szCs w:val="18"/>
                          </w:rPr>
                          <w:t>是否已</w:t>
                        </w:r>
                        <w:r>
                          <w:rPr>
                            <w:rFonts w:ascii="宋体" w:hAnsi="宋体" w:cs="宋体" w:eastAsia="宋体" w:hint="default"/>
                            <w:w w:val="101"/>
                            <w:sz w:val="18"/>
                            <w:szCs w:val="18"/>
                          </w:rPr>
                          <w:t> </w:t>
                        </w:r>
                        <w:r>
                          <w:rPr>
                            <w:rFonts w:ascii="宋体" w:hAnsi="宋体" w:cs="宋体" w:eastAsia="宋体" w:hint="default"/>
                            <w:sz w:val="18"/>
                            <w:szCs w:val="18"/>
                          </w:rPr>
                          <w:t>变更项</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目</w:t>
                        </w:r>
                        <w:r>
                          <w:rPr>
                            <w:rFonts w:ascii="Times New Roman" w:hAnsi="Times New Roman" w:cs="Times New Roman" w:eastAsia="Times New Roman" w:hint="default"/>
                            <w:sz w:val="18"/>
                            <w:szCs w:val="18"/>
                          </w:rPr>
                          <w:t>(</w:t>
                        </w:r>
                        <w:r>
                          <w:rPr>
                            <w:rFonts w:ascii="宋体" w:hAnsi="宋体" w:cs="宋体" w:eastAsia="宋体" w:hint="default"/>
                            <w:sz w:val="18"/>
                            <w:szCs w:val="18"/>
                          </w:rPr>
                          <w:t>含部</w:t>
                        </w:r>
                        <w:r>
                          <w:rPr>
                            <w:rFonts w:ascii="宋体" w:hAnsi="宋体" w:cs="宋体" w:eastAsia="宋体" w:hint="default"/>
                            <w:spacing w:val="-86"/>
                            <w:sz w:val="18"/>
                            <w:szCs w:val="18"/>
                          </w:rPr>
                          <w:t> </w:t>
                        </w:r>
                        <w:r>
                          <w:rPr>
                            <w:rFonts w:ascii="宋体" w:hAnsi="宋体" w:cs="宋体" w:eastAsia="宋体" w:hint="default"/>
                            <w:sz w:val="18"/>
                            <w:szCs w:val="18"/>
                          </w:rPr>
                          <w:t>分变更</w:t>
                        </w:r>
                        <w:r>
                          <w:rPr>
                            <w:rFonts w:ascii="Times New Roman" w:hAnsi="Times New Roman" w:cs="Times New Roman" w:eastAsia="Times New Roman" w:hint="default"/>
                            <w:sz w:val="18"/>
                            <w:szCs w:val="18"/>
                          </w:rPr>
                          <w:t>)</w:t>
                        </w:r>
                      </w:p>
                    </w:tc>
                    <w:tc>
                      <w:tcPr>
                        <w:tcW w:w="8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32"/>
                          <w:ind w:left="81" w:right="75"/>
                          <w:jc w:val="center"/>
                          <w:rPr>
                            <w:rFonts w:ascii="宋体" w:hAnsi="宋体" w:cs="宋体" w:eastAsia="宋体" w:hint="default"/>
                            <w:sz w:val="18"/>
                            <w:szCs w:val="18"/>
                          </w:rPr>
                        </w:pPr>
                        <w:r>
                          <w:rPr>
                            <w:rFonts w:ascii="宋体" w:hAnsi="宋体" w:cs="宋体" w:eastAsia="宋体" w:hint="default"/>
                            <w:spacing w:val="-2"/>
                            <w:sz w:val="18"/>
                            <w:szCs w:val="18"/>
                          </w:rPr>
                          <w:t>募集资金</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承诺投资</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总额</w:t>
                        </w:r>
                      </w:p>
                    </w:tc>
                    <w:tc>
                      <w:tcPr>
                        <w:tcW w:w="8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316" w:lineRule="auto"/>
                          <w:ind w:left="67" w:right="67" w:firstLine="14"/>
                          <w:jc w:val="left"/>
                          <w:rPr>
                            <w:rFonts w:ascii="Times New Roman" w:hAnsi="Times New Roman" w:cs="Times New Roman" w:eastAsia="Times New Roman" w:hint="default"/>
                            <w:sz w:val="18"/>
                            <w:szCs w:val="18"/>
                          </w:rPr>
                        </w:pPr>
                        <w:r>
                          <w:rPr>
                            <w:rFonts w:ascii="宋体" w:hAnsi="宋体" w:cs="宋体" w:eastAsia="宋体" w:hint="default"/>
                            <w:sz w:val="18"/>
                            <w:szCs w:val="18"/>
                          </w:rPr>
                          <w:t>调整后投</w:t>
                        </w:r>
                        <w:r>
                          <w:rPr>
                            <w:rFonts w:ascii="宋体" w:hAnsi="宋体" w:cs="宋体" w:eastAsia="宋体" w:hint="default"/>
                            <w:w w:val="101"/>
                            <w:sz w:val="18"/>
                            <w:szCs w:val="18"/>
                          </w:rPr>
                          <w:t> </w:t>
                        </w:r>
                        <w:r>
                          <w:rPr>
                            <w:rFonts w:ascii="宋体" w:hAnsi="宋体" w:cs="宋体" w:eastAsia="宋体" w:hint="default"/>
                            <w:spacing w:val="-2"/>
                            <w:sz w:val="18"/>
                            <w:szCs w:val="18"/>
                          </w:rPr>
                          <w:t>资总额</w:t>
                        </w:r>
                        <w:r>
                          <w:rPr>
                            <w:rFonts w:ascii="Times New Roman" w:hAnsi="Times New Roman" w:cs="Times New Roman" w:eastAsia="Times New Roman" w:hint="default"/>
                            <w:spacing w:val="-2"/>
                            <w:sz w:val="18"/>
                            <w:szCs w:val="18"/>
                          </w:rPr>
                          <w:t>(1)</w:t>
                        </w:r>
                      </w:p>
                    </w:tc>
                    <w:tc>
                      <w:tcPr>
                        <w:tcW w:w="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32"/>
                          <w:ind w:left="91" w:right="79"/>
                          <w:jc w:val="both"/>
                          <w:rPr>
                            <w:rFonts w:ascii="宋体" w:hAnsi="宋体" w:cs="宋体" w:eastAsia="宋体" w:hint="default"/>
                            <w:sz w:val="18"/>
                            <w:szCs w:val="18"/>
                          </w:rPr>
                        </w:pPr>
                        <w:r>
                          <w:rPr>
                            <w:rFonts w:ascii="宋体" w:hAnsi="宋体" w:cs="宋体" w:eastAsia="宋体" w:hint="default"/>
                            <w:sz w:val="18"/>
                            <w:szCs w:val="18"/>
                          </w:rPr>
                          <w:t>本报告</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期投入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金额</w:t>
                        </w:r>
                      </w:p>
                    </w:tc>
                    <w:tc>
                      <w:tcPr>
                        <w:tcW w:w="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32"/>
                          <w:ind w:left="86" w:right="79"/>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截至期末</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累计投入</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金额</w:t>
                        </w:r>
                        <w:r>
                          <w:rPr>
                            <w:rFonts w:ascii="Times New Roman" w:hAnsi="Times New Roman" w:cs="Times New Roman" w:eastAsia="Times New Roman" w:hint="default"/>
                            <w:sz w:val="18"/>
                            <w:szCs w:val="18"/>
                          </w:rPr>
                          <w:t>(2)</w:t>
                        </w:r>
                      </w:p>
                    </w:tc>
                    <w:tc>
                      <w:tcPr>
                        <w:tcW w:w="8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sz w:val="16"/>
                            <w:szCs w:val="16"/>
                          </w:rPr>
                        </w:pPr>
                      </w:p>
                      <w:p>
                        <w:pPr>
                          <w:pStyle w:val="TableParagraph"/>
                          <w:spacing w:line="326" w:lineRule="auto"/>
                          <w:ind w:left="81" w:right="79"/>
                          <w:jc w:val="center"/>
                          <w:rPr>
                            <w:rFonts w:ascii="Times New Roman" w:hAnsi="Times New Roman" w:cs="Times New Roman" w:eastAsia="Times New Roman" w:hint="default"/>
                            <w:sz w:val="18"/>
                            <w:szCs w:val="18"/>
                          </w:rPr>
                        </w:pPr>
                        <w:r>
                          <w:rPr>
                            <w:rFonts w:ascii="宋体" w:hAnsi="宋体" w:cs="宋体" w:eastAsia="宋体" w:hint="default"/>
                            <w:spacing w:val="-2"/>
                            <w:sz w:val="18"/>
                            <w:szCs w:val="18"/>
                          </w:rPr>
                          <w:t>截至期末</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投资进度</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宋体" w:hAnsi="宋体" w:cs="宋体" w:eastAsia="宋体" w:hint="default"/>
                            <w:w w:val="101"/>
                            <w:sz w:val="18"/>
                            <w:szCs w:val="18"/>
                          </w:rPr>
                          <w:t> </w:t>
                        </w:r>
                        <w:r>
                          <w:rPr>
                            <w:rFonts w:ascii="Times New Roman" w:hAnsi="Times New Roman" w:cs="Times New Roman" w:eastAsia="Times New Roman" w:hint="default"/>
                            <w:sz w:val="18"/>
                            <w:szCs w:val="18"/>
                          </w:rPr>
                          <w:t>(2)/(1)</w:t>
                        </w:r>
                      </w:p>
                    </w:tc>
                    <w:tc>
                      <w:tcPr>
                        <w:tcW w:w="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6"/>
                          <w:ind w:left="91" w:right="79"/>
                          <w:jc w:val="center"/>
                          <w:rPr>
                            <w:rFonts w:ascii="宋体" w:hAnsi="宋体" w:cs="宋体" w:eastAsia="宋体" w:hint="default"/>
                            <w:sz w:val="18"/>
                            <w:szCs w:val="18"/>
                          </w:rPr>
                        </w:pPr>
                        <w:r>
                          <w:rPr>
                            <w:rFonts w:ascii="宋体" w:hAnsi="宋体" w:cs="宋体" w:eastAsia="宋体" w:hint="default"/>
                            <w:spacing w:val="-2"/>
                            <w:sz w:val="18"/>
                            <w:szCs w:val="18"/>
                          </w:rPr>
                          <w:t>项目达</w:t>
                        </w:r>
                        <w:r>
                          <w:rPr>
                            <w:rFonts w:ascii="宋体" w:hAnsi="宋体" w:cs="宋体" w:eastAsia="宋体" w:hint="default"/>
                            <w:w w:val="101"/>
                            <w:sz w:val="18"/>
                            <w:szCs w:val="18"/>
                          </w:rPr>
                          <w:t> </w:t>
                        </w:r>
                        <w:r>
                          <w:rPr>
                            <w:rFonts w:ascii="宋体" w:hAnsi="宋体" w:cs="宋体" w:eastAsia="宋体" w:hint="default"/>
                            <w:spacing w:val="-2"/>
                            <w:sz w:val="18"/>
                            <w:szCs w:val="18"/>
                          </w:rPr>
                          <w:t>到预定</w:t>
                        </w:r>
                        <w:r>
                          <w:rPr>
                            <w:rFonts w:ascii="宋体" w:hAnsi="宋体" w:cs="宋体" w:eastAsia="宋体" w:hint="default"/>
                            <w:w w:val="101"/>
                            <w:sz w:val="18"/>
                            <w:szCs w:val="18"/>
                          </w:rPr>
                          <w:t> </w:t>
                        </w:r>
                        <w:r>
                          <w:rPr>
                            <w:rFonts w:ascii="宋体" w:hAnsi="宋体" w:cs="宋体" w:eastAsia="宋体" w:hint="default"/>
                            <w:spacing w:val="-2"/>
                            <w:sz w:val="18"/>
                            <w:szCs w:val="18"/>
                          </w:rPr>
                          <w:t>可使用</w:t>
                        </w:r>
                        <w:r>
                          <w:rPr>
                            <w:rFonts w:ascii="宋体" w:hAnsi="宋体" w:cs="宋体" w:eastAsia="宋体" w:hint="default"/>
                            <w:w w:val="101"/>
                            <w:sz w:val="18"/>
                            <w:szCs w:val="18"/>
                          </w:rPr>
                          <w:t> </w:t>
                        </w:r>
                        <w:r>
                          <w:rPr>
                            <w:rFonts w:ascii="宋体" w:hAnsi="宋体" w:cs="宋体" w:eastAsia="宋体" w:hint="default"/>
                            <w:spacing w:val="-2"/>
                            <w:sz w:val="18"/>
                            <w:szCs w:val="18"/>
                          </w:rPr>
                          <w:t>状态日</w:t>
                        </w:r>
                        <w:r>
                          <w:rPr>
                            <w:rFonts w:ascii="宋体" w:hAnsi="宋体" w:cs="宋体" w:eastAsia="宋体" w:hint="default"/>
                            <w:w w:val="101"/>
                            <w:sz w:val="18"/>
                            <w:szCs w:val="18"/>
                          </w:rPr>
                          <w:t> </w:t>
                        </w:r>
                        <w:r>
                          <w:rPr>
                            <w:rFonts w:ascii="宋体" w:hAnsi="宋体" w:cs="宋体" w:eastAsia="宋体" w:hint="default"/>
                            <w:sz w:val="18"/>
                            <w:szCs w:val="18"/>
                          </w:rPr>
                          <w:t>期</w:t>
                        </w:r>
                      </w:p>
                    </w:tc>
                    <w:tc>
                      <w:tcPr>
                        <w:tcW w:w="7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32"/>
                          <w:ind w:left="91" w:right="84"/>
                          <w:jc w:val="both"/>
                          <w:rPr>
                            <w:rFonts w:ascii="宋体" w:hAnsi="宋体" w:cs="宋体" w:eastAsia="宋体" w:hint="default"/>
                            <w:sz w:val="18"/>
                            <w:szCs w:val="18"/>
                          </w:rPr>
                        </w:pPr>
                        <w:r>
                          <w:rPr>
                            <w:rFonts w:ascii="宋体" w:hAnsi="宋体" w:cs="宋体" w:eastAsia="宋体" w:hint="default"/>
                            <w:sz w:val="18"/>
                            <w:szCs w:val="18"/>
                          </w:rPr>
                          <w:t>本报告</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期实现</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的效益</w:t>
                        </w:r>
                      </w:p>
                    </w:tc>
                    <w:tc>
                      <w:tcPr>
                        <w:tcW w:w="8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sz w:val="16"/>
                            <w:szCs w:val="16"/>
                          </w:rPr>
                        </w:pPr>
                      </w:p>
                      <w:p>
                        <w:pPr>
                          <w:pStyle w:val="TableParagraph"/>
                          <w:spacing w:line="316" w:lineRule="auto"/>
                          <w:ind w:left="81" w:right="79"/>
                          <w:jc w:val="center"/>
                          <w:rPr>
                            <w:rFonts w:ascii="宋体" w:hAnsi="宋体" w:cs="宋体" w:eastAsia="宋体" w:hint="default"/>
                            <w:sz w:val="18"/>
                            <w:szCs w:val="18"/>
                          </w:rPr>
                        </w:pPr>
                        <w:r>
                          <w:rPr>
                            <w:rFonts w:ascii="宋体" w:hAnsi="宋体" w:cs="宋体" w:eastAsia="宋体" w:hint="default"/>
                            <w:spacing w:val="-2"/>
                            <w:sz w:val="18"/>
                            <w:szCs w:val="18"/>
                          </w:rPr>
                          <w:t>截止报告</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期末累计</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实现的效</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益</w:t>
                        </w:r>
                      </w:p>
                    </w:tc>
                    <w:tc>
                      <w:tcPr>
                        <w:tcW w:w="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32"/>
                          <w:ind w:left="91" w:right="79"/>
                          <w:jc w:val="both"/>
                          <w:rPr>
                            <w:rFonts w:ascii="宋体" w:hAnsi="宋体" w:cs="宋体" w:eastAsia="宋体" w:hint="default"/>
                            <w:sz w:val="18"/>
                            <w:szCs w:val="18"/>
                          </w:rPr>
                        </w:pPr>
                        <w:r>
                          <w:rPr>
                            <w:rFonts w:ascii="宋体" w:hAnsi="宋体" w:cs="宋体" w:eastAsia="宋体" w:hint="default"/>
                            <w:sz w:val="18"/>
                            <w:szCs w:val="18"/>
                          </w:rPr>
                          <w:t>是否达</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到预计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效益</w:t>
                        </w:r>
                      </w:p>
                    </w:tc>
                    <w:tc>
                      <w:tcPr>
                        <w:tcW w:w="7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6"/>
                          <w:ind w:left="91" w:right="84"/>
                          <w:jc w:val="center"/>
                          <w:rPr>
                            <w:rFonts w:ascii="宋体" w:hAnsi="宋体" w:cs="宋体" w:eastAsia="宋体" w:hint="default"/>
                            <w:sz w:val="18"/>
                            <w:szCs w:val="18"/>
                          </w:rPr>
                        </w:pPr>
                        <w:r>
                          <w:rPr>
                            <w:rFonts w:ascii="宋体" w:hAnsi="宋体" w:cs="宋体" w:eastAsia="宋体" w:hint="default"/>
                            <w:spacing w:val="-2"/>
                            <w:sz w:val="18"/>
                            <w:szCs w:val="18"/>
                          </w:rPr>
                          <w:t>项目可</w:t>
                        </w:r>
                        <w:r>
                          <w:rPr>
                            <w:rFonts w:ascii="宋体" w:hAnsi="宋体" w:cs="宋体" w:eastAsia="宋体" w:hint="default"/>
                            <w:w w:val="101"/>
                            <w:sz w:val="18"/>
                            <w:szCs w:val="18"/>
                          </w:rPr>
                          <w:t> </w:t>
                        </w:r>
                        <w:r>
                          <w:rPr>
                            <w:rFonts w:ascii="宋体" w:hAnsi="宋体" w:cs="宋体" w:eastAsia="宋体" w:hint="default"/>
                            <w:spacing w:val="-2"/>
                            <w:sz w:val="18"/>
                            <w:szCs w:val="18"/>
                          </w:rPr>
                          <w:t>行性是</w:t>
                        </w:r>
                        <w:r>
                          <w:rPr>
                            <w:rFonts w:ascii="宋体" w:hAnsi="宋体" w:cs="宋体" w:eastAsia="宋体" w:hint="default"/>
                            <w:w w:val="101"/>
                            <w:sz w:val="18"/>
                            <w:szCs w:val="18"/>
                          </w:rPr>
                          <w:t> </w:t>
                        </w:r>
                        <w:r>
                          <w:rPr>
                            <w:rFonts w:ascii="宋体" w:hAnsi="宋体" w:cs="宋体" w:eastAsia="宋体" w:hint="default"/>
                            <w:spacing w:val="-2"/>
                            <w:sz w:val="18"/>
                            <w:szCs w:val="18"/>
                          </w:rPr>
                          <w:t>否发生</w:t>
                        </w:r>
                        <w:r>
                          <w:rPr>
                            <w:rFonts w:ascii="宋体" w:hAnsi="宋体" w:cs="宋体" w:eastAsia="宋体" w:hint="default"/>
                            <w:w w:val="101"/>
                            <w:sz w:val="18"/>
                            <w:szCs w:val="18"/>
                          </w:rPr>
                          <w:t> </w:t>
                        </w:r>
                        <w:r>
                          <w:rPr>
                            <w:rFonts w:ascii="宋体" w:hAnsi="宋体" w:cs="宋体" w:eastAsia="宋体" w:hint="default"/>
                            <w:spacing w:val="-2"/>
                            <w:sz w:val="18"/>
                            <w:szCs w:val="18"/>
                          </w:rPr>
                          <w:t>重大变</w:t>
                        </w:r>
                        <w:r>
                          <w:rPr>
                            <w:rFonts w:ascii="宋体" w:hAnsi="宋体" w:cs="宋体" w:eastAsia="宋体" w:hint="default"/>
                            <w:w w:val="101"/>
                            <w:sz w:val="18"/>
                            <w:szCs w:val="18"/>
                          </w:rPr>
                          <w:t> </w:t>
                        </w:r>
                        <w:r>
                          <w:rPr>
                            <w:rFonts w:ascii="宋体" w:hAnsi="宋体" w:cs="宋体" w:eastAsia="宋体" w:hint="default"/>
                            <w:sz w:val="18"/>
                            <w:szCs w:val="18"/>
                          </w:rPr>
                          <w:t>化</w:t>
                        </w:r>
                      </w:p>
                    </w:tc>
                  </w:tr>
                  <w:tr>
                    <w:trPr>
                      <w:trHeight w:val="403" w:hRule="exact"/>
                    </w:trPr>
                    <w:tc>
                      <w:tcPr>
                        <w:tcW w:w="9575"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1652" w:hRule="exact"/>
                    </w:trPr>
                    <w:tc>
                      <w:tcPr>
                        <w:tcW w:w="71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138"/>
                          <w:jc w:val="both"/>
                          <w:rPr>
                            <w:rFonts w:ascii="宋体" w:hAnsi="宋体" w:cs="宋体" w:eastAsia="宋体" w:hint="default"/>
                            <w:sz w:val="18"/>
                            <w:szCs w:val="18"/>
                          </w:rPr>
                        </w:pPr>
                        <w:r>
                          <w:rPr>
                            <w:rFonts w:ascii="宋体" w:hAnsi="宋体" w:cs="宋体" w:eastAsia="宋体" w:hint="default"/>
                            <w:sz w:val="18"/>
                            <w:szCs w:val="18"/>
                          </w:rPr>
                          <w:t>银行数</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据分析</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应用系</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统建设</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项目</w:t>
                        </w:r>
                      </w:p>
                    </w:tc>
                    <w:tc>
                      <w:tcPr>
                        <w:tcW w:w="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7"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27,880.2</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27,880.2</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343.84</w:t>
                        </w:r>
                      </w:p>
                    </w:tc>
                    <w:tc>
                      <w:tcPr>
                        <w:tcW w:w="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859.73</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3.08%</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58"/>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30</w:t>
                        </w:r>
                      </w:p>
                      <w:p>
                        <w:pPr>
                          <w:pStyle w:val="TableParagraph"/>
                          <w:spacing w:line="240" w:lineRule="auto" w:before="68"/>
                          <w:ind w:left="24"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122.91</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122.91</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0" w:hRule="exact"/>
                    </w:trPr>
                    <w:tc>
                      <w:tcPr>
                        <w:tcW w:w="71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138"/>
                          <w:jc w:val="left"/>
                          <w:rPr>
                            <w:rFonts w:ascii="宋体" w:hAnsi="宋体" w:cs="宋体" w:eastAsia="宋体" w:hint="default"/>
                            <w:sz w:val="18"/>
                            <w:szCs w:val="18"/>
                          </w:rPr>
                        </w:pPr>
                        <w:r>
                          <w:rPr>
                            <w:rFonts w:ascii="宋体" w:hAnsi="宋体" w:cs="宋体" w:eastAsia="宋体" w:hint="default"/>
                            <w:sz w:val="18"/>
                            <w:szCs w:val="18"/>
                          </w:rPr>
                          <w:t>补充流</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动资金</w:t>
                        </w:r>
                      </w:p>
                    </w:tc>
                    <w:tc>
                      <w:tcPr>
                        <w:tcW w:w="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7"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8,300</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8,300</w:t>
                        </w:r>
                      </w:p>
                    </w:tc>
                    <w:tc>
                      <w:tcPr>
                        <w:tcW w:w="725" w:type="dxa"/>
                        <w:tcBorders>
                          <w:top w:val="single" w:sz="4" w:space="0" w:color="000000"/>
                          <w:left w:val="single" w:sz="4" w:space="0" w:color="000000"/>
                          <w:bottom w:val="single" w:sz="4" w:space="0" w:color="000000"/>
                          <w:right w:val="single" w:sz="4" w:space="0" w:color="000000"/>
                        </w:tcBorders>
                      </w:tcPr>
                      <w:p>
                        <w:pPr/>
                      </w:p>
                    </w:tc>
                    <w:tc>
                      <w:tcPr>
                        <w:tcW w:w="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8,300</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2"/>
                            <w:sz w:val="18"/>
                          </w:rPr>
                          <w:t>100.00%</w:t>
                        </w:r>
                      </w:p>
                    </w:tc>
                    <w:tc>
                      <w:tcPr>
                        <w:tcW w:w="72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322" w:hRule="exact"/>
                    </w:trPr>
                    <w:tc>
                      <w:tcPr>
                        <w:tcW w:w="717"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8"/>
                          <w:ind w:left="24" w:right="138"/>
                          <w:jc w:val="both"/>
                          <w:rPr>
                            <w:rFonts w:ascii="宋体" w:hAnsi="宋体" w:cs="宋体" w:eastAsia="宋体" w:hint="default"/>
                            <w:sz w:val="18"/>
                            <w:szCs w:val="18"/>
                          </w:rPr>
                        </w:pPr>
                        <w:r>
                          <w:rPr>
                            <w:rFonts w:ascii="宋体" w:hAnsi="宋体" w:cs="宋体" w:eastAsia="宋体" w:hint="default"/>
                            <w:sz w:val="18"/>
                            <w:szCs w:val="18"/>
                          </w:rPr>
                          <w:t>承诺投</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资项目</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小计</w:t>
                        </w:r>
                      </w:p>
                    </w:tc>
                    <w:tc>
                      <w:tcPr>
                        <w:tcW w:w="733" w:type="dxa"/>
                        <w:tcBorders>
                          <w:top w:val="single" w:sz="4" w:space="0" w:color="000000"/>
                          <w:left w:val="single" w:sz="4" w:space="0" w:color="000000"/>
                          <w:bottom w:val="nil" w:sz="6" w:space="0" w:color="auto"/>
                          <w:right w:val="single" w:sz="4" w:space="0" w:color="000000"/>
                        </w:tcBorders>
                        <w:shd w:val="clear" w:color="auto" w:fill="D2D2D2"/>
                      </w:tcPr>
                      <w:p>
                        <w:pPr/>
                      </w:p>
                    </w:tc>
                    <w:tc>
                      <w:tcPr>
                        <w:tcW w:w="893" w:type="dxa"/>
                        <w:vMerge w:val="restart"/>
                        <w:tcBorders>
                          <w:top w:val="single" w:sz="4" w:space="0" w:color="000000"/>
                          <w:left w:val="single" w:sz="10"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227" w:right="0"/>
                          <w:jc w:val="left"/>
                          <w:rPr>
                            <w:rFonts w:ascii="Times New Roman" w:hAnsi="Times New Roman" w:cs="Times New Roman" w:eastAsia="Times New Roman" w:hint="default"/>
                            <w:sz w:val="18"/>
                            <w:szCs w:val="18"/>
                          </w:rPr>
                        </w:pPr>
                        <w:r>
                          <w:rPr>
                            <w:rFonts w:ascii="Times New Roman"/>
                            <w:sz w:val="18"/>
                          </w:rPr>
                          <w:t>36,180.2</w:t>
                        </w:r>
                      </w:p>
                    </w:tc>
                    <w:tc>
                      <w:tcPr>
                        <w:tcW w:w="89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36,180.2</w:t>
                        </w:r>
                      </w:p>
                    </w:tc>
                    <w:tc>
                      <w:tcPr>
                        <w:tcW w:w="72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202" w:right="0"/>
                          <w:jc w:val="left"/>
                          <w:rPr>
                            <w:rFonts w:ascii="Times New Roman" w:hAnsi="Times New Roman" w:cs="Times New Roman" w:eastAsia="Times New Roman" w:hint="default"/>
                            <w:sz w:val="18"/>
                            <w:szCs w:val="18"/>
                          </w:rPr>
                        </w:pPr>
                        <w:r>
                          <w:rPr>
                            <w:rFonts w:ascii="Times New Roman"/>
                            <w:sz w:val="18"/>
                          </w:rPr>
                          <w:t>343.84</w:t>
                        </w:r>
                      </w:p>
                    </w:tc>
                    <w:tc>
                      <w:tcPr>
                        <w:tcW w:w="903" w:type="dxa"/>
                        <w:vMerge w:val="restart"/>
                        <w:tcBorders>
                          <w:top w:val="single" w:sz="4" w:space="0" w:color="000000"/>
                          <w:left w:val="single" w:sz="4" w:space="0" w:color="000000"/>
                          <w:right w:val="single" w:sz="10"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240" w:right="0"/>
                          <w:jc w:val="left"/>
                          <w:rPr>
                            <w:rFonts w:ascii="Times New Roman" w:hAnsi="Times New Roman" w:cs="Times New Roman" w:eastAsia="Times New Roman" w:hint="default"/>
                            <w:sz w:val="18"/>
                            <w:szCs w:val="18"/>
                          </w:rPr>
                        </w:pPr>
                        <w:r>
                          <w:rPr>
                            <w:rFonts w:ascii="Times New Roman"/>
                            <w:sz w:val="18"/>
                          </w:rPr>
                          <w:t>9,159.73</w:t>
                        </w:r>
                      </w:p>
                    </w:tc>
                    <w:tc>
                      <w:tcPr>
                        <w:tcW w:w="898" w:type="dxa"/>
                        <w:tcBorders>
                          <w:top w:val="single" w:sz="4" w:space="0" w:color="000000"/>
                          <w:left w:val="single" w:sz="4" w:space="0" w:color="000000"/>
                          <w:bottom w:val="nil" w:sz="6" w:space="0" w:color="auto"/>
                          <w:right w:val="single" w:sz="4" w:space="0" w:color="000000"/>
                        </w:tcBorders>
                        <w:shd w:val="clear" w:color="auto" w:fill="D2D2D2"/>
                      </w:tcPr>
                      <w:p>
                        <w:pPr/>
                      </w:p>
                    </w:tc>
                    <w:tc>
                      <w:tcPr>
                        <w:tcW w:w="725" w:type="dxa"/>
                        <w:tcBorders>
                          <w:top w:val="single" w:sz="4" w:space="0" w:color="000000"/>
                          <w:left w:val="single" w:sz="4" w:space="0" w:color="000000"/>
                          <w:bottom w:val="nil" w:sz="6" w:space="0" w:color="auto"/>
                          <w:right w:val="single" w:sz="4" w:space="0" w:color="000000"/>
                        </w:tcBorders>
                        <w:shd w:val="clear" w:color="auto" w:fill="D2D2D2"/>
                      </w:tcPr>
                      <w:p>
                        <w:pPr/>
                      </w:p>
                    </w:tc>
                    <w:tc>
                      <w:tcPr>
                        <w:tcW w:w="730" w:type="dxa"/>
                        <w:vMerge w:val="restart"/>
                        <w:tcBorders>
                          <w:top w:val="single" w:sz="4" w:space="0" w:color="000000"/>
                          <w:left w:val="single" w:sz="10"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194" w:right="0"/>
                          <w:jc w:val="left"/>
                          <w:rPr>
                            <w:rFonts w:ascii="Times New Roman" w:hAnsi="Times New Roman" w:cs="Times New Roman" w:eastAsia="Times New Roman" w:hint="default"/>
                            <w:sz w:val="18"/>
                            <w:szCs w:val="18"/>
                          </w:rPr>
                        </w:pPr>
                        <w:r>
                          <w:rPr>
                            <w:rFonts w:ascii="Times New Roman"/>
                            <w:sz w:val="18"/>
                          </w:rPr>
                          <w:t>122.91</w:t>
                        </w:r>
                      </w:p>
                    </w:tc>
                    <w:tc>
                      <w:tcPr>
                        <w:tcW w:w="898" w:type="dxa"/>
                        <w:vMerge w:val="restart"/>
                        <w:tcBorders>
                          <w:top w:val="single" w:sz="4" w:space="0" w:color="000000"/>
                          <w:left w:val="single" w:sz="4" w:space="0" w:color="000000"/>
                          <w:right w:val="single" w:sz="10"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369" w:right="0"/>
                          <w:jc w:val="left"/>
                          <w:rPr>
                            <w:rFonts w:ascii="Times New Roman" w:hAnsi="Times New Roman" w:cs="Times New Roman" w:eastAsia="Times New Roman" w:hint="default"/>
                            <w:sz w:val="18"/>
                            <w:szCs w:val="18"/>
                          </w:rPr>
                        </w:pPr>
                        <w:r>
                          <w:rPr>
                            <w:rFonts w:ascii="Times New Roman"/>
                            <w:sz w:val="18"/>
                          </w:rPr>
                          <w:t>122.91</w:t>
                        </w:r>
                      </w:p>
                    </w:tc>
                    <w:tc>
                      <w:tcPr>
                        <w:tcW w:w="725" w:type="dxa"/>
                        <w:tcBorders>
                          <w:top w:val="single" w:sz="4" w:space="0" w:color="000000"/>
                          <w:left w:val="single" w:sz="4" w:space="0" w:color="000000"/>
                          <w:bottom w:val="nil" w:sz="6" w:space="0" w:color="auto"/>
                          <w:right w:val="single" w:sz="4" w:space="0" w:color="000000"/>
                        </w:tcBorders>
                        <w:shd w:val="clear" w:color="auto" w:fill="D2D2D2"/>
                      </w:tcPr>
                      <w:p>
                        <w:pPr/>
                      </w:p>
                    </w:tc>
                    <w:tc>
                      <w:tcPr>
                        <w:tcW w:w="730"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89" w:hRule="exact"/>
                    </w:trPr>
                    <w:tc>
                      <w:tcPr>
                        <w:tcW w:w="717" w:type="dxa"/>
                        <w:vMerge/>
                        <w:tcBorders>
                          <w:left w:val="single" w:sz="4" w:space="0" w:color="000000"/>
                          <w:right w:val="single" w:sz="4" w:space="0" w:color="000000"/>
                        </w:tcBorders>
                        <w:shd w:val="clear" w:color="auto" w:fill="D2D2D2"/>
                      </w:tcPr>
                      <w:p>
                        <w:pPr/>
                      </w:p>
                    </w:tc>
                    <w:tc>
                      <w:tcPr>
                        <w:tcW w:w="73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6"/>
                          <w:ind w:right="305"/>
                          <w:jc w:val="right"/>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893" w:type="dxa"/>
                        <w:vMerge/>
                        <w:tcBorders>
                          <w:left w:val="single" w:sz="10" w:space="0" w:color="D2D2D2"/>
                          <w:right w:val="single" w:sz="4" w:space="0" w:color="000000"/>
                        </w:tcBorders>
                      </w:tcPr>
                      <w:p>
                        <w:pPr/>
                      </w:p>
                    </w:tc>
                    <w:tc>
                      <w:tcPr>
                        <w:tcW w:w="898" w:type="dxa"/>
                        <w:vMerge/>
                        <w:tcBorders>
                          <w:left w:val="single" w:sz="4" w:space="0" w:color="000000"/>
                          <w:right w:val="single" w:sz="4" w:space="0" w:color="000000"/>
                        </w:tcBorders>
                      </w:tcPr>
                      <w:p>
                        <w:pPr/>
                      </w:p>
                    </w:tc>
                    <w:tc>
                      <w:tcPr>
                        <w:tcW w:w="725" w:type="dxa"/>
                        <w:vMerge/>
                        <w:tcBorders>
                          <w:left w:val="single" w:sz="4" w:space="0" w:color="000000"/>
                          <w:right w:val="single" w:sz="4" w:space="0" w:color="000000"/>
                        </w:tcBorders>
                      </w:tcPr>
                      <w:p>
                        <w:pPr/>
                      </w:p>
                    </w:tc>
                    <w:tc>
                      <w:tcPr>
                        <w:tcW w:w="903" w:type="dxa"/>
                        <w:vMerge/>
                        <w:tcBorders>
                          <w:left w:val="single" w:sz="4" w:space="0" w:color="000000"/>
                          <w:right w:val="single" w:sz="10" w:space="0" w:color="D2D2D2"/>
                        </w:tcBorders>
                      </w:tcPr>
                      <w:p>
                        <w:pPr/>
                      </w:p>
                    </w:tc>
                    <w:tc>
                      <w:tcPr>
                        <w:tcW w:w="8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6"/>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72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6"/>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730" w:type="dxa"/>
                        <w:vMerge/>
                        <w:tcBorders>
                          <w:left w:val="single" w:sz="10" w:space="0" w:color="D2D2D2"/>
                          <w:right w:val="single" w:sz="4" w:space="0" w:color="000000"/>
                        </w:tcBorders>
                      </w:tcPr>
                      <w:p>
                        <w:pPr/>
                      </w:p>
                    </w:tc>
                    <w:tc>
                      <w:tcPr>
                        <w:tcW w:w="898" w:type="dxa"/>
                        <w:vMerge/>
                        <w:tcBorders>
                          <w:left w:val="single" w:sz="4" w:space="0" w:color="000000"/>
                          <w:right w:val="single" w:sz="10" w:space="0" w:color="D2D2D2"/>
                        </w:tcBorders>
                      </w:tcPr>
                      <w:p>
                        <w:pPr/>
                      </w:p>
                    </w:tc>
                    <w:tc>
                      <w:tcPr>
                        <w:tcW w:w="72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6"/>
                          <w:ind w:right="300"/>
                          <w:jc w:val="right"/>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73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6"/>
                          <w:ind w:right="305"/>
                          <w:jc w:val="right"/>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r>
                    <w:trPr>
                      <w:trHeight w:val="322" w:hRule="exact"/>
                    </w:trPr>
                    <w:tc>
                      <w:tcPr>
                        <w:tcW w:w="717" w:type="dxa"/>
                        <w:vMerge/>
                        <w:tcBorders>
                          <w:left w:val="single" w:sz="4" w:space="0" w:color="000000"/>
                          <w:bottom w:val="single" w:sz="4" w:space="0" w:color="000000"/>
                          <w:right w:val="single" w:sz="4" w:space="0" w:color="000000"/>
                        </w:tcBorders>
                        <w:shd w:val="clear" w:color="auto" w:fill="D2D2D2"/>
                      </w:tcPr>
                      <w:p>
                        <w:pPr/>
                      </w:p>
                    </w:tc>
                    <w:tc>
                      <w:tcPr>
                        <w:tcW w:w="733" w:type="dxa"/>
                        <w:tcBorders>
                          <w:top w:val="nil" w:sz="6" w:space="0" w:color="auto"/>
                          <w:left w:val="single" w:sz="4" w:space="0" w:color="000000"/>
                          <w:bottom w:val="single" w:sz="4" w:space="0" w:color="000000"/>
                          <w:right w:val="single" w:sz="4" w:space="0" w:color="000000"/>
                        </w:tcBorders>
                        <w:shd w:val="clear" w:color="auto" w:fill="D2D2D2"/>
                      </w:tcPr>
                      <w:p>
                        <w:pPr/>
                      </w:p>
                    </w:tc>
                    <w:tc>
                      <w:tcPr>
                        <w:tcW w:w="893" w:type="dxa"/>
                        <w:vMerge/>
                        <w:tcBorders>
                          <w:left w:val="single" w:sz="10" w:space="0" w:color="D2D2D2"/>
                          <w:bottom w:val="single" w:sz="4" w:space="0" w:color="000000"/>
                          <w:right w:val="single" w:sz="4" w:space="0" w:color="000000"/>
                        </w:tcBorders>
                      </w:tcPr>
                      <w:p>
                        <w:pPr/>
                      </w:p>
                    </w:tc>
                    <w:tc>
                      <w:tcPr>
                        <w:tcW w:w="898" w:type="dxa"/>
                        <w:vMerge/>
                        <w:tcBorders>
                          <w:left w:val="single" w:sz="4" w:space="0" w:color="000000"/>
                          <w:bottom w:val="single" w:sz="4" w:space="0" w:color="000000"/>
                          <w:right w:val="single" w:sz="4" w:space="0" w:color="000000"/>
                        </w:tcBorders>
                      </w:tcPr>
                      <w:p>
                        <w:pPr/>
                      </w:p>
                    </w:tc>
                    <w:tc>
                      <w:tcPr>
                        <w:tcW w:w="725" w:type="dxa"/>
                        <w:vMerge/>
                        <w:tcBorders>
                          <w:left w:val="single" w:sz="4" w:space="0" w:color="000000"/>
                          <w:bottom w:val="single" w:sz="4" w:space="0" w:color="000000"/>
                          <w:right w:val="single" w:sz="4" w:space="0" w:color="000000"/>
                        </w:tcBorders>
                      </w:tcPr>
                      <w:p>
                        <w:pPr/>
                      </w:p>
                    </w:tc>
                    <w:tc>
                      <w:tcPr>
                        <w:tcW w:w="903" w:type="dxa"/>
                        <w:vMerge/>
                        <w:tcBorders>
                          <w:left w:val="single" w:sz="4" w:space="0" w:color="000000"/>
                          <w:bottom w:val="single" w:sz="4" w:space="0" w:color="000000"/>
                          <w:right w:val="single" w:sz="10" w:space="0" w:color="D2D2D2"/>
                        </w:tcBorders>
                      </w:tcPr>
                      <w:p>
                        <w:pPr/>
                      </w:p>
                    </w:tc>
                    <w:tc>
                      <w:tcPr>
                        <w:tcW w:w="898" w:type="dxa"/>
                        <w:tcBorders>
                          <w:top w:val="nil" w:sz="6" w:space="0" w:color="auto"/>
                          <w:left w:val="single" w:sz="4" w:space="0" w:color="000000"/>
                          <w:bottom w:val="single" w:sz="4" w:space="0" w:color="000000"/>
                          <w:right w:val="single" w:sz="4" w:space="0" w:color="000000"/>
                        </w:tcBorders>
                        <w:shd w:val="clear" w:color="auto" w:fill="D2D2D2"/>
                      </w:tcPr>
                      <w:p>
                        <w:pPr/>
                      </w:p>
                    </w:tc>
                    <w:tc>
                      <w:tcPr>
                        <w:tcW w:w="725" w:type="dxa"/>
                        <w:tcBorders>
                          <w:top w:val="nil" w:sz="6" w:space="0" w:color="auto"/>
                          <w:left w:val="single" w:sz="4" w:space="0" w:color="000000"/>
                          <w:bottom w:val="single" w:sz="4" w:space="0" w:color="000000"/>
                          <w:right w:val="single" w:sz="4" w:space="0" w:color="000000"/>
                        </w:tcBorders>
                        <w:shd w:val="clear" w:color="auto" w:fill="D2D2D2"/>
                      </w:tcPr>
                      <w:p>
                        <w:pPr/>
                      </w:p>
                    </w:tc>
                    <w:tc>
                      <w:tcPr>
                        <w:tcW w:w="730" w:type="dxa"/>
                        <w:vMerge/>
                        <w:tcBorders>
                          <w:left w:val="single" w:sz="10" w:space="0" w:color="D2D2D2"/>
                          <w:bottom w:val="single" w:sz="4" w:space="0" w:color="000000"/>
                          <w:right w:val="single" w:sz="4" w:space="0" w:color="000000"/>
                        </w:tcBorders>
                      </w:tcPr>
                      <w:p>
                        <w:pPr/>
                      </w:p>
                    </w:tc>
                    <w:tc>
                      <w:tcPr>
                        <w:tcW w:w="898" w:type="dxa"/>
                        <w:vMerge/>
                        <w:tcBorders>
                          <w:left w:val="single" w:sz="4" w:space="0" w:color="000000"/>
                          <w:bottom w:val="single" w:sz="4" w:space="0" w:color="000000"/>
                          <w:right w:val="single" w:sz="10" w:space="0" w:color="D2D2D2"/>
                        </w:tcBorders>
                      </w:tcPr>
                      <w:p>
                        <w:pPr/>
                      </w:p>
                    </w:tc>
                    <w:tc>
                      <w:tcPr>
                        <w:tcW w:w="725" w:type="dxa"/>
                        <w:tcBorders>
                          <w:top w:val="nil" w:sz="6" w:space="0" w:color="auto"/>
                          <w:left w:val="single" w:sz="4" w:space="0" w:color="000000"/>
                          <w:bottom w:val="single" w:sz="4" w:space="0" w:color="000000"/>
                          <w:right w:val="single" w:sz="4" w:space="0" w:color="000000"/>
                        </w:tcBorders>
                        <w:shd w:val="clear" w:color="auto" w:fill="D2D2D2"/>
                      </w:tcPr>
                      <w:p>
                        <w:pPr/>
                      </w:p>
                    </w:tc>
                    <w:tc>
                      <w:tcPr>
                        <w:tcW w:w="730"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98" w:hRule="exact"/>
                    </w:trPr>
                    <w:tc>
                      <w:tcPr>
                        <w:tcW w:w="9575"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403" w:hRule="exact"/>
                    </w:trPr>
                    <w:tc>
                      <w:tcPr>
                        <w:tcW w:w="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无</w:t>
                        </w:r>
                        <w:r>
                          <w:rPr>
                            <w:rFonts w:ascii="宋体" w:hAnsi="宋体" w:cs="宋体" w:eastAsia="宋体" w:hint="default"/>
                            <w:sz w:val="18"/>
                            <w:szCs w:val="18"/>
                          </w:rPr>
                        </w:r>
                      </w:p>
                    </w:tc>
                    <w:tc>
                      <w:tcPr>
                        <w:tcW w:w="733"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903"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305"/>
                          <w:jc w:val="right"/>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8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36,180.2</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36,180.2</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343.84</w:t>
                        </w:r>
                      </w:p>
                    </w:tc>
                    <w:tc>
                      <w:tcPr>
                        <w:tcW w:w="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9,159.73</w:t>
                        </w:r>
                      </w:p>
                    </w:tc>
                    <w:tc>
                      <w:tcPr>
                        <w:tcW w:w="8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122.91</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122.91</w:t>
                        </w:r>
                      </w:p>
                    </w:tc>
                    <w:tc>
                      <w:tcPr>
                        <w:tcW w:w="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300"/>
                          <w:jc w:val="right"/>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7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305"/>
                          <w:jc w:val="right"/>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r>
                    <w:trPr>
                      <w:trHeight w:val="2588" w:hRule="exact"/>
                    </w:trPr>
                    <w:tc>
                      <w:tcPr>
                        <w:tcW w:w="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8"/>
                          <w:ind w:left="24" w:right="138"/>
                          <w:jc w:val="both"/>
                          <w:rPr>
                            <w:rFonts w:ascii="宋体" w:hAnsi="宋体" w:cs="宋体" w:eastAsia="宋体" w:hint="default"/>
                            <w:sz w:val="18"/>
                            <w:szCs w:val="18"/>
                          </w:rPr>
                        </w:pPr>
                        <w:r>
                          <w:rPr>
                            <w:rFonts w:ascii="宋体" w:hAnsi="宋体" w:cs="宋体" w:eastAsia="宋体" w:hint="default"/>
                            <w:sz w:val="18"/>
                            <w:szCs w:val="18"/>
                          </w:rPr>
                          <w:t>未达到</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计划进</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度或预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计收益</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的情况</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和原因</w:t>
                        </w:r>
                      </w:p>
                      <w:p>
                        <w:pPr>
                          <w:pStyle w:val="TableParagraph"/>
                          <w:spacing w:line="321" w:lineRule="auto" w:before="19"/>
                          <w:ind w:left="24" w:right="-42"/>
                          <w:jc w:val="left"/>
                          <w:rPr>
                            <w:rFonts w:ascii="宋体" w:hAnsi="宋体" w:cs="宋体" w:eastAsia="宋体" w:hint="default"/>
                            <w:sz w:val="18"/>
                            <w:szCs w:val="18"/>
                          </w:rPr>
                        </w:pPr>
                        <w:r>
                          <w:rPr>
                            <w:rFonts w:ascii="宋体" w:hAnsi="宋体" w:cs="宋体" w:eastAsia="宋体" w:hint="default"/>
                            <w:sz w:val="18"/>
                            <w:szCs w:val="18"/>
                          </w:rPr>
                          <w:t>（分具</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体项目）</w:t>
                        </w:r>
                      </w:p>
                    </w:tc>
                    <w:tc>
                      <w:tcPr>
                        <w:tcW w:w="8858" w:type="dxa"/>
                        <w:gridSpan w:val="11"/>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309" w:lineRule="auto"/>
                          <w:ind w:left="19" w:right="23"/>
                          <w:jc w:val="left"/>
                          <w:rPr>
                            <w:rFonts w:ascii="宋体" w:hAnsi="宋体" w:cs="宋体" w:eastAsia="宋体" w:hint="default"/>
                            <w:sz w:val="18"/>
                            <w:szCs w:val="18"/>
                          </w:rPr>
                        </w:pPr>
                        <w:r>
                          <w:rPr>
                            <w:rFonts w:ascii="宋体" w:hAnsi="宋体" w:cs="宋体" w:eastAsia="宋体" w:hint="default"/>
                            <w:spacing w:val="-5"/>
                            <w:sz w:val="18"/>
                            <w:szCs w:val="18"/>
                          </w:rPr>
                          <w:t>公司一直积极推动</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银行数据分析应用系统建设项目</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实施，不断完善项目核心软件及产品，形成了相关无形资产</w:t>
                        </w:r>
                        <w:r>
                          <w:rPr>
                            <w:rFonts w:ascii="宋体" w:hAnsi="宋体" w:cs="宋体" w:eastAsia="宋体" w:hint="default"/>
                            <w:spacing w:val="61"/>
                            <w:sz w:val="18"/>
                            <w:szCs w:val="18"/>
                          </w:rPr>
                          <w:t> </w:t>
                        </w:r>
                        <w:r>
                          <w:rPr>
                            <w:rFonts w:ascii="宋体" w:hAnsi="宋体" w:cs="宋体" w:eastAsia="宋体" w:hint="default"/>
                            <w:spacing w:val="61"/>
                            <w:sz w:val="18"/>
                            <w:szCs w:val="18"/>
                          </w:rPr>
                        </w:r>
                        <w:r>
                          <w:rPr>
                            <w:rFonts w:ascii="宋体" w:hAnsi="宋体" w:cs="宋体" w:eastAsia="宋体" w:hint="default"/>
                            <w:spacing w:val="-4"/>
                            <w:sz w:val="18"/>
                            <w:szCs w:val="18"/>
                          </w:rPr>
                          <w:t>并产生了一定的项目收益。但项目实施过程中，行业趋势和市场环境变化较快，银行客户对数据分析的应用需求</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pacing w:val="-4"/>
                            <w:sz w:val="18"/>
                            <w:szCs w:val="18"/>
                          </w:rPr>
                          <w:t>已经升级为对银行整体业务系统架构的数字化转型需求，银行业客户在数字化转型浪潮下对信息系统建设所提出</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5"/>
                            <w:sz w:val="18"/>
                            <w:szCs w:val="18"/>
                          </w:rPr>
                          <w:t>了更高要求。因此，出于科学、审慎和有效的使用募集资金，防范募集资金投资风险的考虑，公司适度控制了</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银</w:t>
                        </w:r>
                        <w:r>
                          <w:rPr>
                            <w:rFonts w:ascii="宋体" w:hAnsi="宋体" w:cs="宋体" w:eastAsia="宋体" w:hint="default"/>
                            <w:spacing w:val="46"/>
                            <w:sz w:val="18"/>
                            <w:szCs w:val="18"/>
                          </w:rPr>
                          <w:t> </w:t>
                        </w:r>
                        <w:r>
                          <w:rPr>
                            <w:rFonts w:ascii="宋体" w:hAnsi="宋体" w:cs="宋体" w:eastAsia="宋体" w:hint="default"/>
                            <w:spacing w:val="-3"/>
                            <w:sz w:val="18"/>
                            <w:szCs w:val="18"/>
                          </w:rPr>
                          <w:t>行数据分析应用系统建设项目</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的建设进度。</w:t>
                        </w:r>
                      </w:p>
                    </w:tc>
                  </w:tr>
                  <w:tr>
                    <w:trPr>
                      <w:trHeight w:val="1964" w:hRule="exact"/>
                    </w:trPr>
                    <w:tc>
                      <w:tcPr>
                        <w:tcW w:w="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24" w:right="138"/>
                          <w:jc w:val="both"/>
                          <w:rPr>
                            <w:rFonts w:ascii="宋体" w:hAnsi="宋体" w:cs="宋体" w:eastAsia="宋体" w:hint="default"/>
                            <w:sz w:val="18"/>
                            <w:szCs w:val="18"/>
                          </w:rPr>
                        </w:pPr>
                        <w:r>
                          <w:rPr>
                            <w:rFonts w:ascii="宋体" w:hAnsi="宋体" w:cs="宋体" w:eastAsia="宋体" w:hint="default"/>
                            <w:sz w:val="18"/>
                            <w:szCs w:val="18"/>
                          </w:rPr>
                          <w:t>项目可</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行性发</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生重大</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变化的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情况说</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明</w:t>
                        </w:r>
                      </w:p>
                    </w:tc>
                    <w:tc>
                      <w:tcPr>
                        <w:tcW w:w="8858" w:type="dxa"/>
                        <w:gridSpan w:val="11"/>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19"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4" w:hRule="exact"/>
                    </w:trPr>
                    <w:tc>
                      <w:tcPr>
                        <w:tcW w:w="71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24" w:right="9"/>
                          <w:jc w:val="left"/>
                          <w:rPr>
                            <w:rFonts w:ascii="宋体" w:hAnsi="宋体" w:cs="宋体" w:eastAsia="宋体" w:hint="default"/>
                            <w:sz w:val="18"/>
                            <w:szCs w:val="18"/>
                          </w:rPr>
                        </w:pPr>
                        <w:r>
                          <w:rPr>
                            <w:rFonts w:ascii="宋体" w:hAnsi="宋体" w:cs="宋体" w:eastAsia="宋体" w:hint="default"/>
                            <w:sz w:val="18"/>
                            <w:szCs w:val="18"/>
                          </w:rPr>
                          <w:t>超募资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金的金</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5"/>
                            <w:sz w:val="18"/>
                            <w:szCs w:val="18"/>
                          </w:rPr>
                          <w:t>额、用途</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及使用</w:t>
                        </w:r>
                      </w:p>
                    </w:tc>
                    <w:tc>
                      <w:tcPr>
                        <w:tcW w:w="8858" w:type="dxa"/>
                        <w:gridSpan w:val="11"/>
                        <w:tcBorders>
                          <w:top w:val="single" w:sz="4" w:space="0" w:color="000000"/>
                          <w:left w:val="single" w:sz="10" w:space="0" w:color="D2D2D2"/>
                          <w:bottom w:val="single" w:sz="4" w:space="0" w:color="000000"/>
                          <w:right w:val="single" w:sz="4" w:space="0" w:color="000000"/>
                        </w:tcBorders>
                      </w:tcPr>
                      <w:p>
                        <w:pPr>
                          <w:pStyle w:val="TableParagraph"/>
                          <w:spacing w:line="240" w:lineRule="auto" w:before="53"/>
                          <w:ind w:left="19"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893" w:hRule="exact"/>
                    </w:trPr>
                    <w:tc>
                      <w:tcPr>
                        <w:tcW w:w="717" w:type="dxa"/>
                        <w:vMerge/>
                        <w:tcBorders>
                          <w:left w:val="single" w:sz="4" w:space="0" w:color="000000"/>
                          <w:bottom w:val="single" w:sz="4" w:space="0" w:color="000000"/>
                          <w:right w:val="single" w:sz="4" w:space="0" w:color="000000"/>
                        </w:tcBorders>
                        <w:shd w:val="clear" w:color="auto" w:fill="D2D2D2"/>
                      </w:tcPr>
                      <w:p>
                        <w:pPr/>
                      </w:p>
                    </w:tc>
                    <w:tc>
                      <w:tcPr>
                        <w:tcW w:w="8858" w:type="dxa"/>
                        <w:gridSpan w:val="11"/>
                        <w:tcBorders>
                          <w:top w:val="single" w:sz="4" w:space="0" w:color="000000"/>
                          <w:left w:val="single" w:sz="10" w:space="0" w:color="D2D2D2"/>
                          <w:bottom w:val="single" w:sz="4" w:space="0" w:color="000000"/>
                          <w:right w:val="single" w:sz="4" w:space="0" w:color="000000"/>
                        </w:tcBorders>
                      </w:tcPr>
                      <w:p>
                        <w:pPr/>
                      </w:p>
                    </w:tc>
                  </w:tr>
                </w:tbl>
                <w:p>
                  <w:pPr/>
                </w:p>
              </w:txbxContent>
            </v:textbox>
            <w10:wrap type="none"/>
          </v:shape>
        </w:pict>
      </w:r>
      <w:r>
        <w:rPr>
          <w:w w:val="101"/>
        </w:rPr>
        <w:t>，</w:t>
      </w:r>
      <w:r>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3"/>
          <w:szCs w:val="23"/>
        </w:rPr>
      </w:pPr>
    </w:p>
    <w:p>
      <w:pPr>
        <w:spacing w:line="465" w:lineRule="exact"/>
        <w:ind w:left="882" w:right="0" w:firstLine="0"/>
        <w:rPr>
          <w:rFonts w:ascii="宋体" w:hAnsi="宋体" w:cs="宋体" w:eastAsia="宋体" w:hint="default"/>
          <w:sz w:val="20"/>
          <w:szCs w:val="20"/>
        </w:rPr>
      </w:pPr>
      <w:r>
        <w:rPr>
          <w:rFonts w:ascii="宋体" w:hAnsi="宋体" w:cs="宋体" w:eastAsia="宋体" w:hint="default"/>
          <w:position w:val="-8"/>
          <w:sz w:val="20"/>
          <w:szCs w:val="20"/>
        </w:rPr>
        <w:pict>
          <v:group style="width:442.05pt;height:23.3pt;mso-position-horizontal-relative:char;mso-position-vertical-relative:line" coordorigin="0,0" coordsize="8841,466">
            <v:group style="position:absolute;left:0;top:0;width:8841;height:466" coordorigin="0,0" coordsize="8841,466">
              <v:shape style="position:absolute;left:0;top:0;width:8841;height:466" coordorigin="0,0" coordsize="8841,466" path="m0,466l8840,466,8840,0,0,0,0,466xe" filled="true" fillcolor="#ffffff" stroked="false">
                <v:path arrowok="t"/>
                <v:fill type="solid"/>
              </v:shape>
            </v:group>
          </v:group>
        </w:pict>
      </w:r>
      <w:r>
        <w:rPr>
          <w:rFonts w:ascii="宋体" w:hAnsi="宋体" w:cs="宋体" w:eastAsia="宋体" w:hint="default"/>
          <w:position w:val="-8"/>
          <w:sz w:val="20"/>
          <w:szCs w:val="20"/>
        </w:rPr>
      </w:r>
    </w:p>
    <w:p>
      <w:pPr>
        <w:spacing w:after="0" w:line="465" w:lineRule="exact"/>
        <w:rPr>
          <w:rFonts w:ascii="宋体" w:hAnsi="宋体" w:cs="宋体" w:eastAsia="宋体" w:hint="default"/>
          <w:sz w:val="20"/>
          <w:szCs w:val="20"/>
        </w:rPr>
        <w:sectPr>
          <w:pgSz w:w="11910" w:h="16840"/>
          <w:pgMar w:header="871" w:footer="1186" w:top="1100" w:bottom="138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48" w:type="dxa"/>
        <w:tblLayout w:type="fixed"/>
        <w:tblCellMar>
          <w:top w:w="0" w:type="dxa"/>
          <w:left w:w="0" w:type="dxa"/>
          <w:bottom w:w="0" w:type="dxa"/>
          <w:right w:w="0" w:type="dxa"/>
        </w:tblCellMar>
        <w:tblLook w:val="01E0"/>
      </w:tblPr>
      <w:tblGrid>
        <w:gridCol w:w="720"/>
        <w:gridCol w:w="8855"/>
      </w:tblGrid>
      <w:tr>
        <w:trPr>
          <w:trHeight w:val="672" w:hRule="exact"/>
        </w:trPr>
        <w:tc>
          <w:tcPr>
            <w:tcW w:w="7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10"/>
              <w:ind w:left="24" w:right="141"/>
              <w:jc w:val="left"/>
              <w:rPr>
                <w:rFonts w:ascii="宋体" w:hAnsi="宋体" w:cs="宋体" w:eastAsia="宋体" w:hint="default"/>
                <w:sz w:val="18"/>
                <w:szCs w:val="18"/>
              </w:rPr>
            </w:pPr>
            <w:r>
              <w:rPr>
                <w:rFonts w:ascii="宋体" w:hAnsi="宋体" w:cs="宋体" w:eastAsia="宋体" w:hint="default"/>
                <w:sz w:val="18"/>
                <w:szCs w:val="18"/>
              </w:rPr>
              <w:t>进展情</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况</w:t>
            </w:r>
          </w:p>
        </w:tc>
        <w:tc>
          <w:tcPr>
            <w:tcW w:w="8855"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720"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3"/>
              <w:ind w:left="24" w:right="141"/>
              <w:jc w:val="both"/>
              <w:rPr>
                <w:rFonts w:ascii="宋体" w:hAnsi="宋体" w:cs="宋体" w:eastAsia="宋体" w:hint="default"/>
                <w:sz w:val="18"/>
                <w:szCs w:val="18"/>
              </w:rPr>
            </w:pPr>
            <w:r>
              <w:rPr>
                <w:rFonts w:ascii="宋体" w:hAnsi="宋体" w:cs="宋体" w:eastAsia="宋体" w:hint="default"/>
                <w:sz w:val="18"/>
                <w:szCs w:val="18"/>
              </w:rPr>
              <w:t>募集资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金投资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项目实</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施地点</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变更情</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况</w:t>
            </w:r>
          </w:p>
        </w:tc>
        <w:tc>
          <w:tcPr>
            <w:tcW w:w="8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3" w:hRule="exact"/>
        </w:trPr>
        <w:tc>
          <w:tcPr>
            <w:tcW w:w="720" w:type="dxa"/>
            <w:vMerge/>
            <w:tcBorders>
              <w:left w:val="single" w:sz="4" w:space="0" w:color="000000"/>
              <w:right w:val="single" w:sz="4" w:space="0" w:color="000000"/>
            </w:tcBorders>
            <w:shd w:val="clear" w:color="auto" w:fill="D2D2D2"/>
          </w:tcPr>
          <w:p>
            <w:pPr/>
          </w:p>
        </w:tc>
        <w:tc>
          <w:tcPr>
            <w:tcW w:w="8855" w:type="dxa"/>
            <w:tcBorders>
              <w:top w:val="single" w:sz="4" w:space="0" w:color="000000"/>
              <w:left w:val="single" w:sz="4" w:space="0" w:color="000000"/>
              <w:bottom w:val="single" w:sz="4" w:space="0" w:color="000000"/>
              <w:right w:val="single" w:sz="4" w:space="0" w:color="000000"/>
            </w:tcBorders>
          </w:tcPr>
          <w:p>
            <w:pPr/>
          </w:p>
        </w:tc>
      </w:tr>
      <w:tr>
        <w:trPr>
          <w:trHeight w:val="1157" w:hRule="exact"/>
        </w:trPr>
        <w:tc>
          <w:tcPr>
            <w:tcW w:w="720" w:type="dxa"/>
            <w:vMerge/>
            <w:tcBorders>
              <w:left w:val="single" w:sz="4" w:space="0" w:color="000000"/>
              <w:bottom w:val="single" w:sz="4" w:space="0" w:color="000000"/>
              <w:right w:val="single" w:sz="4" w:space="0" w:color="000000"/>
            </w:tcBorders>
            <w:shd w:val="clear" w:color="auto" w:fill="D2D2D2"/>
          </w:tcPr>
          <w:p>
            <w:pPr/>
          </w:p>
        </w:tc>
        <w:tc>
          <w:tcPr>
            <w:tcW w:w="8855"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720"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4"/>
              <w:ind w:left="24" w:right="141"/>
              <w:jc w:val="both"/>
              <w:rPr>
                <w:rFonts w:ascii="宋体" w:hAnsi="宋体" w:cs="宋体" w:eastAsia="宋体" w:hint="default"/>
                <w:sz w:val="18"/>
                <w:szCs w:val="18"/>
              </w:rPr>
            </w:pPr>
            <w:r>
              <w:rPr>
                <w:rFonts w:ascii="宋体" w:hAnsi="宋体" w:cs="宋体" w:eastAsia="宋体" w:hint="default"/>
                <w:sz w:val="18"/>
                <w:szCs w:val="18"/>
              </w:rPr>
              <w:t>募集资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金投资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项目实</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施方式</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调整情</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况</w:t>
            </w:r>
          </w:p>
        </w:tc>
        <w:tc>
          <w:tcPr>
            <w:tcW w:w="8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3" w:hRule="exact"/>
        </w:trPr>
        <w:tc>
          <w:tcPr>
            <w:tcW w:w="720" w:type="dxa"/>
            <w:vMerge/>
            <w:tcBorders>
              <w:left w:val="single" w:sz="4" w:space="0" w:color="000000"/>
              <w:right w:val="single" w:sz="4" w:space="0" w:color="000000"/>
            </w:tcBorders>
            <w:shd w:val="clear" w:color="auto" w:fill="D2D2D2"/>
          </w:tcPr>
          <w:p>
            <w:pPr/>
          </w:p>
        </w:tc>
        <w:tc>
          <w:tcPr>
            <w:tcW w:w="8855" w:type="dxa"/>
            <w:tcBorders>
              <w:top w:val="single" w:sz="4" w:space="0" w:color="000000"/>
              <w:left w:val="single" w:sz="4" w:space="0" w:color="000000"/>
              <w:bottom w:val="single" w:sz="4" w:space="0" w:color="000000"/>
              <w:right w:val="single" w:sz="4" w:space="0" w:color="000000"/>
            </w:tcBorders>
          </w:tcPr>
          <w:p>
            <w:pPr/>
          </w:p>
        </w:tc>
      </w:tr>
      <w:tr>
        <w:trPr>
          <w:trHeight w:val="1157" w:hRule="exact"/>
        </w:trPr>
        <w:tc>
          <w:tcPr>
            <w:tcW w:w="720" w:type="dxa"/>
            <w:vMerge/>
            <w:tcBorders>
              <w:left w:val="single" w:sz="4" w:space="0" w:color="000000"/>
              <w:bottom w:val="single" w:sz="4" w:space="0" w:color="000000"/>
              <w:right w:val="single" w:sz="4" w:space="0" w:color="000000"/>
            </w:tcBorders>
            <w:shd w:val="clear" w:color="auto" w:fill="D2D2D2"/>
          </w:tcPr>
          <w:p>
            <w:pPr/>
          </w:p>
        </w:tc>
        <w:tc>
          <w:tcPr>
            <w:tcW w:w="885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72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24" w:right="141"/>
              <w:jc w:val="both"/>
              <w:rPr>
                <w:rFonts w:ascii="宋体" w:hAnsi="宋体" w:cs="宋体" w:eastAsia="宋体" w:hint="default"/>
                <w:sz w:val="18"/>
                <w:szCs w:val="18"/>
              </w:rPr>
            </w:pPr>
            <w:r>
              <w:rPr>
                <w:rFonts w:ascii="宋体" w:hAnsi="宋体" w:cs="宋体" w:eastAsia="宋体" w:hint="default"/>
                <w:sz w:val="18"/>
                <w:szCs w:val="18"/>
              </w:rPr>
              <w:t>募集资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金投资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项目先</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期投入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及置换</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情况</w:t>
            </w:r>
          </w:p>
        </w:tc>
        <w:tc>
          <w:tcPr>
            <w:tcW w:w="8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1560" w:hRule="exact"/>
        </w:trPr>
        <w:tc>
          <w:tcPr>
            <w:tcW w:w="720" w:type="dxa"/>
            <w:vMerge/>
            <w:tcBorders>
              <w:left w:val="single" w:sz="4" w:space="0" w:color="000000"/>
              <w:bottom w:val="single" w:sz="4" w:space="0" w:color="000000"/>
              <w:right w:val="single" w:sz="4" w:space="0" w:color="000000"/>
            </w:tcBorders>
            <w:shd w:val="clear" w:color="auto" w:fill="D2D2D2"/>
          </w:tcPr>
          <w:p>
            <w:pPr/>
          </w:p>
        </w:tc>
        <w:tc>
          <w:tcPr>
            <w:tcW w:w="8855"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72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5"/>
                <w:szCs w:val="15"/>
              </w:rPr>
            </w:pPr>
          </w:p>
          <w:p>
            <w:pPr>
              <w:pStyle w:val="TableParagraph"/>
              <w:spacing w:line="316" w:lineRule="auto"/>
              <w:ind w:left="24" w:right="141"/>
              <w:jc w:val="both"/>
              <w:rPr>
                <w:rFonts w:ascii="宋体" w:hAnsi="宋体" w:cs="宋体" w:eastAsia="宋体" w:hint="default"/>
                <w:sz w:val="18"/>
                <w:szCs w:val="18"/>
              </w:rPr>
            </w:pPr>
            <w:r>
              <w:rPr>
                <w:rFonts w:ascii="宋体" w:hAnsi="宋体" w:cs="宋体" w:eastAsia="宋体" w:hint="default"/>
                <w:sz w:val="18"/>
                <w:szCs w:val="18"/>
              </w:rPr>
              <w:t>用闲置</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募集资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金暂时</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补充流</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动资金</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情况</w:t>
            </w:r>
          </w:p>
        </w:tc>
        <w:tc>
          <w:tcPr>
            <w:tcW w:w="8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2627" w:hRule="exact"/>
        </w:trPr>
        <w:tc>
          <w:tcPr>
            <w:tcW w:w="720" w:type="dxa"/>
            <w:vMerge/>
            <w:tcBorders>
              <w:left w:val="single" w:sz="4" w:space="0" w:color="000000"/>
              <w:bottom w:val="single" w:sz="4" w:space="0" w:color="000000"/>
              <w:right w:val="single" w:sz="4" w:space="0" w:color="000000"/>
            </w:tcBorders>
            <w:shd w:val="clear" w:color="auto" w:fill="D2D2D2"/>
          </w:tcPr>
          <w:p>
            <w:pPr/>
          </w:p>
        </w:tc>
        <w:tc>
          <w:tcPr>
            <w:tcW w:w="8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both"/>
              <w:rPr>
                <w:rFonts w:ascii="宋体" w:hAnsi="宋体" w:cs="宋体" w:eastAsia="宋体" w:hint="default"/>
                <w:sz w:val="18"/>
                <w:szCs w:val="18"/>
              </w:rPr>
            </w:pPr>
            <w:r>
              <w:rPr>
                <w:rFonts w:ascii="宋体" w:hAnsi="宋体" w:cs="宋体" w:eastAsia="宋体" w:hint="default"/>
                <w:w w:val="101"/>
                <w:sz w:val="18"/>
                <w:szCs w:val="18"/>
              </w:rPr>
              <w:t>经公司</w:t>
            </w:r>
            <w:r>
              <w:rPr>
                <w:rFonts w:ascii="宋体" w:hAnsi="宋体" w:cs="宋体" w:eastAsia="宋体" w:hint="default"/>
                <w:spacing w:val="-47"/>
                <w:sz w:val="18"/>
                <w:szCs w:val="18"/>
              </w:rPr>
              <w:t> </w:t>
            </w:r>
            <w:r>
              <w:rPr>
                <w:rFonts w:ascii="Times New Roman" w:hAnsi="Times New Roman" w:cs="Times New Roman" w:eastAsia="Times New Roman" w:hint="default"/>
                <w:spacing w:val="-5"/>
                <w:w w:val="101"/>
                <w:sz w:val="18"/>
                <w:szCs w:val="18"/>
              </w:rPr>
              <w:t>2</w:t>
            </w:r>
            <w:r>
              <w:rPr>
                <w:rFonts w:ascii="Times New Roman" w:hAnsi="Times New Roman" w:cs="Times New Roman" w:eastAsia="Times New Roman" w:hint="default"/>
                <w:w w:val="101"/>
                <w:sz w:val="18"/>
                <w:szCs w:val="18"/>
              </w:rPr>
              <w:t>018</w:t>
            </w:r>
            <w:r>
              <w:rPr>
                <w:rFonts w:ascii="Times New Roman" w:hAnsi="Times New Roman" w:cs="Times New Roman" w:eastAsia="Times New Roman" w:hint="default"/>
                <w:spacing w:val="-2"/>
                <w:sz w:val="18"/>
                <w:szCs w:val="18"/>
              </w:rPr>
              <w:t> </w:t>
            </w:r>
            <w:r>
              <w:rPr>
                <w:rFonts w:ascii="宋体" w:hAnsi="宋体" w:cs="宋体" w:eastAsia="宋体" w:hint="default"/>
                <w:w w:val="101"/>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w w:val="101"/>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w w:val="101"/>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w w:val="101"/>
                <w:sz w:val="18"/>
                <w:szCs w:val="18"/>
              </w:rPr>
              <w:t>23</w:t>
            </w:r>
            <w:r>
              <w:rPr>
                <w:rFonts w:ascii="Times New Roman" w:hAnsi="Times New Roman" w:cs="Times New Roman" w:eastAsia="Times New Roman" w:hint="default"/>
                <w:spacing w:val="-7"/>
                <w:sz w:val="18"/>
                <w:szCs w:val="18"/>
              </w:rPr>
              <w:t> </w:t>
            </w:r>
            <w:r>
              <w:rPr>
                <w:rFonts w:ascii="宋体" w:hAnsi="宋体" w:cs="宋体" w:eastAsia="宋体" w:hint="default"/>
                <w:w w:val="101"/>
                <w:sz w:val="18"/>
                <w:szCs w:val="18"/>
              </w:rPr>
              <w:t>日</w:t>
            </w:r>
            <w:r>
              <w:rPr>
                <w:rFonts w:ascii="宋体" w:hAnsi="宋体" w:cs="宋体" w:eastAsia="宋体" w:hint="default"/>
                <w:spacing w:val="-5"/>
                <w:w w:val="101"/>
                <w:sz w:val="18"/>
                <w:szCs w:val="18"/>
              </w:rPr>
              <w:t>第</w:t>
            </w:r>
            <w:r>
              <w:rPr>
                <w:rFonts w:ascii="宋体" w:hAnsi="宋体" w:cs="宋体" w:eastAsia="宋体" w:hint="default"/>
                <w:w w:val="101"/>
                <w:sz w:val="18"/>
                <w:szCs w:val="18"/>
              </w:rPr>
              <w:t>四</w:t>
            </w:r>
            <w:r>
              <w:rPr>
                <w:rFonts w:ascii="宋体" w:hAnsi="宋体" w:cs="宋体" w:eastAsia="宋体" w:hint="default"/>
                <w:spacing w:val="-5"/>
                <w:w w:val="101"/>
                <w:sz w:val="18"/>
                <w:szCs w:val="18"/>
              </w:rPr>
              <w:t>届</w:t>
            </w:r>
            <w:r>
              <w:rPr>
                <w:rFonts w:ascii="宋体" w:hAnsi="宋体" w:cs="宋体" w:eastAsia="宋体" w:hint="default"/>
                <w:w w:val="101"/>
                <w:sz w:val="18"/>
                <w:szCs w:val="18"/>
              </w:rPr>
              <w:t>董</w:t>
            </w:r>
            <w:r>
              <w:rPr>
                <w:rFonts w:ascii="宋体" w:hAnsi="宋体" w:cs="宋体" w:eastAsia="宋体" w:hint="default"/>
                <w:spacing w:val="-5"/>
                <w:w w:val="101"/>
                <w:sz w:val="18"/>
                <w:szCs w:val="18"/>
              </w:rPr>
              <w:t>事</w:t>
            </w:r>
            <w:r>
              <w:rPr>
                <w:rFonts w:ascii="宋体" w:hAnsi="宋体" w:cs="宋体" w:eastAsia="宋体" w:hint="default"/>
                <w:w w:val="101"/>
                <w:sz w:val="18"/>
                <w:szCs w:val="18"/>
              </w:rPr>
              <w:t>会</w:t>
            </w:r>
            <w:r>
              <w:rPr>
                <w:rFonts w:ascii="宋体" w:hAnsi="宋体" w:cs="宋体" w:eastAsia="宋体" w:hint="default"/>
                <w:spacing w:val="-5"/>
                <w:w w:val="101"/>
                <w:sz w:val="18"/>
                <w:szCs w:val="18"/>
              </w:rPr>
              <w:t>第</w:t>
            </w:r>
            <w:r>
              <w:rPr>
                <w:rFonts w:ascii="宋体" w:hAnsi="宋体" w:cs="宋体" w:eastAsia="宋体" w:hint="default"/>
                <w:w w:val="101"/>
                <w:sz w:val="18"/>
                <w:szCs w:val="18"/>
              </w:rPr>
              <w:t>十</w:t>
            </w:r>
            <w:r>
              <w:rPr>
                <w:rFonts w:ascii="宋体" w:hAnsi="宋体" w:cs="宋体" w:eastAsia="宋体" w:hint="default"/>
                <w:spacing w:val="-5"/>
                <w:w w:val="101"/>
                <w:sz w:val="18"/>
                <w:szCs w:val="18"/>
              </w:rPr>
              <w:t>次</w:t>
            </w:r>
            <w:r>
              <w:rPr>
                <w:rFonts w:ascii="宋体" w:hAnsi="宋体" w:cs="宋体" w:eastAsia="宋体" w:hint="default"/>
                <w:w w:val="101"/>
                <w:sz w:val="18"/>
                <w:szCs w:val="18"/>
              </w:rPr>
              <w:t>会</w:t>
            </w:r>
            <w:r>
              <w:rPr>
                <w:rFonts w:ascii="宋体" w:hAnsi="宋体" w:cs="宋体" w:eastAsia="宋体" w:hint="default"/>
                <w:spacing w:val="-5"/>
                <w:w w:val="101"/>
                <w:sz w:val="18"/>
                <w:szCs w:val="18"/>
              </w:rPr>
              <w:t>议</w:t>
            </w:r>
            <w:r>
              <w:rPr>
                <w:rFonts w:ascii="宋体" w:hAnsi="宋体" w:cs="宋体" w:eastAsia="宋体" w:hint="default"/>
                <w:w w:val="101"/>
                <w:sz w:val="18"/>
                <w:szCs w:val="18"/>
              </w:rPr>
              <w:t>审</w:t>
            </w:r>
            <w:r>
              <w:rPr>
                <w:rFonts w:ascii="宋体" w:hAnsi="宋体" w:cs="宋体" w:eastAsia="宋体" w:hint="default"/>
                <w:spacing w:val="-5"/>
                <w:w w:val="101"/>
                <w:sz w:val="18"/>
                <w:szCs w:val="18"/>
              </w:rPr>
              <w:t>议</w:t>
            </w:r>
            <w:r>
              <w:rPr>
                <w:rFonts w:ascii="宋体" w:hAnsi="宋体" w:cs="宋体" w:eastAsia="宋体" w:hint="default"/>
                <w:w w:val="101"/>
                <w:sz w:val="18"/>
                <w:szCs w:val="18"/>
              </w:rPr>
              <w:t>通</w:t>
            </w:r>
            <w:r>
              <w:rPr>
                <w:rFonts w:ascii="宋体" w:hAnsi="宋体" w:cs="宋体" w:eastAsia="宋体" w:hint="default"/>
                <w:spacing w:val="-5"/>
                <w:w w:val="101"/>
                <w:sz w:val="18"/>
                <w:szCs w:val="18"/>
              </w:rPr>
              <w:t>过</w:t>
            </w:r>
            <w:r>
              <w:rPr>
                <w:rFonts w:ascii="宋体" w:hAnsi="宋体" w:cs="宋体" w:eastAsia="宋体" w:hint="default"/>
                <w:spacing w:val="-77"/>
                <w:w w:val="101"/>
                <w:sz w:val="18"/>
                <w:szCs w:val="18"/>
              </w:rPr>
              <w:t>，</w:t>
            </w:r>
            <w:r>
              <w:rPr>
                <w:rFonts w:ascii="宋体" w:hAnsi="宋体" w:cs="宋体" w:eastAsia="宋体" w:hint="default"/>
                <w:w w:val="101"/>
                <w:sz w:val="18"/>
                <w:szCs w:val="18"/>
              </w:rPr>
              <w:t>同</w:t>
            </w:r>
            <w:r>
              <w:rPr>
                <w:rFonts w:ascii="宋体" w:hAnsi="宋体" w:cs="宋体" w:eastAsia="宋体" w:hint="default"/>
                <w:spacing w:val="-5"/>
                <w:w w:val="101"/>
                <w:sz w:val="18"/>
                <w:szCs w:val="18"/>
              </w:rPr>
              <w:t>意</w:t>
            </w:r>
            <w:r>
              <w:rPr>
                <w:rFonts w:ascii="宋体" w:hAnsi="宋体" w:cs="宋体" w:eastAsia="宋体" w:hint="default"/>
                <w:w w:val="101"/>
                <w:sz w:val="18"/>
                <w:szCs w:val="18"/>
              </w:rPr>
              <w:t>公</w:t>
            </w:r>
            <w:r>
              <w:rPr>
                <w:rFonts w:ascii="宋体" w:hAnsi="宋体" w:cs="宋体" w:eastAsia="宋体" w:hint="default"/>
                <w:spacing w:val="-5"/>
                <w:w w:val="101"/>
                <w:sz w:val="18"/>
                <w:szCs w:val="18"/>
              </w:rPr>
              <w:t>司</w:t>
            </w:r>
            <w:r>
              <w:rPr>
                <w:rFonts w:ascii="宋体" w:hAnsi="宋体" w:cs="宋体" w:eastAsia="宋体" w:hint="default"/>
                <w:w w:val="101"/>
                <w:sz w:val="18"/>
                <w:szCs w:val="18"/>
              </w:rPr>
              <w:t>使用</w:t>
            </w:r>
            <w:r>
              <w:rPr>
                <w:rFonts w:ascii="宋体" w:hAnsi="宋体" w:cs="宋体" w:eastAsia="宋体" w:hint="default"/>
                <w:spacing w:val="-46"/>
                <w:sz w:val="18"/>
                <w:szCs w:val="18"/>
              </w:rPr>
              <w:t> </w:t>
            </w:r>
            <w:r>
              <w:rPr>
                <w:rFonts w:ascii="Times New Roman" w:hAnsi="Times New Roman" w:cs="Times New Roman" w:eastAsia="Times New Roman" w:hint="default"/>
                <w:w w:val="101"/>
                <w:sz w:val="18"/>
                <w:szCs w:val="18"/>
              </w:rPr>
              <w:t>1</w:t>
            </w:r>
            <w:r>
              <w:rPr>
                <w:rFonts w:ascii="Times New Roman" w:hAnsi="Times New Roman" w:cs="Times New Roman" w:eastAsia="Times New Roman" w:hint="default"/>
                <w:spacing w:val="-5"/>
                <w:w w:val="101"/>
                <w:sz w:val="18"/>
                <w:szCs w:val="18"/>
              </w:rPr>
              <w:t>0</w:t>
            </w:r>
            <w:r>
              <w:rPr>
                <w:rFonts w:ascii="Times New Roman" w:hAnsi="Times New Roman" w:cs="Times New Roman" w:eastAsia="Times New Roman" w:hint="default"/>
                <w:spacing w:val="2"/>
                <w:w w:val="101"/>
                <w:sz w:val="18"/>
                <w:szCs w:val="18"/>
              </w:rPr>
              <w:t>,</w:t>
            </w:r>
            <w:r>
              <w:rPr>
                <w:rFonts w:ascii="Times New Roman" w:hAnsi="Times New Roman" w:cs="Times New Roman" w:eastAsia="Times New Roman" w:hint="default"/>
                <w:w w:val="101"/>
                <w:sz w:val="18"/>
                <w:szCs w:val="18"/>
              </w:rPr>
              <w:t>000</w:t>
            </w:r>
            <w:r>
              <w:rPr>
                <w:rFonts w:ascii="Times New Roman" w:hAnsi="Times New Roman" w:cs="Times New Roman" w:eastAsia="Times New Roman" w:hint="default"/>
                <w:spacing w:val="-6"/>
                <w:sz w:val="18"/>
                <w:szCs w:val="18"/>
              </w:rPr>
              <w:t> </w:t>
            </w:r>
            <w:r>
              <w:rPr>
                <w:rFonts w:ascii="宋体" w:hAnsi="宋体" w:cs="宋体" w:eastAsia="宋体" w:hint="default"/>
                <w:w w:val="101"/>
                <w:sz w:val="18"/>
                <w:szCs w:val="18"/>
              </w:rPr>
              <w:t>万</w:t>
            </w:r>
            <w:r>
              <w:rPr>
                <w:rFonts w:ascii="宋体" w:hAnsi="宋体" w:cs="宋体" w:eastAsia="宋体" w:hint="default"/>
                <w:spacing w:val="-5"/>
                <w:w w:val="101"/>
                <w:sz w:val="18"/>
                <w:szCs w:val="18"/>
              </w:rPr>
              <w:t>元</w:t>
            </w:r>
            <w:r>
              <w:rPr>
                <w:rFonts w:ascii="宋体" w:hAnsi="宋体" w:cs="宋体" w:eastAsia="宋体" w:hint="default"/>
                <w:w w:val="101"/>
                <w:sz w:val="18"/>
                <w:szCs w:val="18"/>
              </w:rPr>
              <w:t>闲</w:t>
            </w:r>
            <w:r>
              <w:rPr>
                <w:rFonts w:ascii="宋体" w:hAnsi="宋体" w:cs="宋体" w:eastAsia="宋体" w:hint="default"/>
                <w:spacing w:val="-5"/>
                <w:w w:val="101"/>
                <w:sz w:val="18"/>
                <w:szCs w:val="18"/>
              </w:rPr>
              <w:t>置</w:t>
            </w:r>
            <w:r>
              <w:rPr>
                <w:rFonts w:ascii="宋体" w:hAnsi="宋体" w:cs="宋体" w:eastAsia="宋体" w:hint="default"/>
                <w:w w:val="101"/>
                <w:sz w:val="18"/>
                <w:szCs w:val="18"/>
              </w:rPr>
              <w:t>非</w:t>
            </w:r>
            <w:r>
              <w:rPr>
                <w:rFonts w:ascii="宋体" w:hAnsi="宋体" w:cs="宋体" w:eastAsia="宋体" w:hint="default"/>
                <w:spacing w:val="-5"/>
                <w:w w:val="101"/>
                <w:sz w:val="18"/>
                <w:szCs w:val="18"/>
              </w:rPr>
              <w:t>公</w:t>
            </w:r>
            <w:r>
              <w:rPr>
                <w:rFonts w:ascii="宋体" w:hAnsi="宋体" w:cs="宋体" w:eastAsia="宋体" w:hint="default"/>
                <w:w w:val="101"/>
                <w:sz w:val="18"/>
                <w:szCs w:val="18"/>
              </w:rPr>
              <w:t>开</w:t>
            </w:r>
            <w:r>
              <w:rPr>
                <w:rFonts w:ascii="宋体" w:hAnsi="宋体" w:cs="宋体" w:eastAsia="宋体" w:hint="default"/>
                <w:spacing w:val="-5"/>
                <w:w w:val="101"/>
                <w:sz w:val="18"/>
                <w:szCs w:val="18"/>
              </w:rPr>
              <w:t>发</w:t>
            </w:r>
            <w:r>
              <w:rPr>
                <w:rFonts w:ascii="宋体" w:hAnsi="宋体" w:cs="宋体" w:eastAsia="宋体" w:hint="default"/>
                <w:w w:val="101"/>
                <w:sz w:val="18"/>
                <w:szCs w:val="18"/>
              </w:rPr>
              <w:t>行</w:t>
            </w:r>
            <w:r>
              <w:rPr>
                <w:rFonts w:ascii="宋体" w:hAnsi="宋体" w:cs="宋体" w:eastAsia="宋体" w:hint="default"/>
                <w:spacing w:val="-5"/>
                <w:w w:val="101"/>
                <w:sz w:val="18"/>
                <w:szCs w:val="18"/>
              </w:rPr>
              <w:t>股</w:t>
            </w:r>
            <w:r>
              <w:rPr>
                <w:rFonts w:ascii="宋体" w:hAnsi="宋体" w:cs="宋体" w:eastAsia="宋体" w:hint="default"/>
                <w:w w:val="101"/>
                <w:sz w:val="18"/>
                <w:szCs w:val="18"/>
              </w:rPr>
              <w:t>票</w:t>
            </w:r>
            <w:r>
              <w:rPr>
                <w:rFonts w:ascii="宋体" w:hAnsi="宋体" w:cs="宋体" w:eastAsia="宋体" w:hint="default"/>
                <w:spacing w:val="-5"/>
                <w:w w:val="101"/>
                <w:sz w:val="18"/>
                <w:szCs w:val="18"/>
              </w:rPr>
              <w:t>募</w:t>
            </w:r>
            <w:r>
              <w:rPr>
                <w:rFonts w:ascii="宋体" w:hAnsi="宋体" w:cs="宋体" w:eastAsia="宋体" w:hint="default"/>
                <w:w w:val="101"/>
                <w:sz w:val="18"/>
                <w:szCs w:val="18"/>
              </w:rPr>
              <w:t>集</w:t>
            </w:r>
            <w:r>
              <w:rPr>
                <w:rFonts w:ascii="宋体" w:hAnsi="宋体" w:cs="宋体" w:eastAsia="宋体" w:hint="default"/>
                <w:sz w:val="18"/>
                <w:szCs w:val="18"/>
              </w:rPr>
            </w:r>
          </w:p>
          <w:p>
            <w:pPr>
              <w:pStyle w:val="TableParagraph"/>
              <w:spacing w:line="302" w:lineRule="auto" w:before="63"/>
              <w:ind w:left="23" w:right="37"/>
              <w:jc w:val="both"/>
              <w:rPr>
                <w:rFonts w:ascii="宋体" w:hAnsi="宋体" w:cs="宋体" w:eastAsia="宋体" w:hint="default"/>
                <w:sz w:val="18"/>
                <w:szCs w:val="18"/>
              </w:rPr>
            </w:pPr>
            <w:r>
              <w:rPr>
                <w:rFonts w:ascii="宋体" w:hAnsi="宋体" w:cs="宋体" w:eastAsia="宋体" w:hint="default"/>
                <w:spacing w:val="-3"/>
                <w:sz w:val="18"/>
                <w:szCs w:val="18"/>
              </w:rPr>
              <w:t>资金暂时补充流动资金，使用期限自董事会审议通过之日起不超过</w:t>
            </w:r>
            <w:r>
              <w:rPr>
                <w:rFonts w:ascii="宋体" w:hAnsi="宋体" w:cs="宋体" w:eastAsia="宋体" w:hint="default"/>
                <w:spacing w:val="-3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个月。公司于</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3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9"/>
                <w:sz w:val="18"/>
                <w:szCs w:val="18"/>
              </w:rPr>
              <w:t> </w:t>
            </w:r>
            <w:r>
              <w:rPr>
                <w:rFonts w:ascii="宋体" w:hAnsi="宋体" w:cs="宋体" w:eastAsia="宋体" w:hint="default"/>
                <w:spacing w:val="-5"/>
                <w:sz w:val="18"/>
                <w:szCs w:val="18"/>
              </w:rPr>
              <w:t>月实</w:t>
            </w:r>
            <w:r>
              <w:rPr>
                <w:rFonts w:ascii="宋体" w:hAnsi="宋体" w:cs="宋体" w:eastAsia="宋体" w:hint="default"/>
                <w:spacing w:val="-70"/>
                <w:sz w:val="18"/>
                <w:szCs w:val="18"/>
              </w:rPr>
              <w:t> </w:t>
            </w:r>
            <w:r>
              <w:rPr>
                <w:rFonts w:ascii="宋体" w:hAnsi="宋体" w:cs="宋体" w:eastAsia="宋体" w:hint="default"/>
                <w:sz w:val="18"/>
                <w:szCs w:val="18"/>
              </w:rPr>
              <w:t>际使用</w:t>
            </w:r>
            <w:r>
              <w:rPr>
                <w:rFonts w:ascii="宋体" w:hAnsi="宋体" w:cs="宋体" w:eastAsia="宋体" w:hint="default"/>
                <w:spacing w:val="-23"/>
                <w:sz w:val="18"/>
                <w:szCs w:val="18"/>
              </w:rPr>
              <w:t> </w:t>
            </w:r>
            <w:r>
              <w:rPr>
                <w:rFonts w:ascii="Times New Roman" w:hAnsi="Times New Roman" w:cs="Times New Roman" w:eastAsia="Times New Roman" w:hint="default"/>
                <w:sz w:val="18"/>
                <w:szCs w:val="18"/>
              </w:rPr>
              <w:t>6,873</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1,900</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1,227</w:t>
            </w:r>
            <w:r>
              <w:rPr>
                <w:rFonts w:ascii="Times New Roman" w:hAnsi="Times New Roman" w:cs="Times New Roman" w:eastAsia="Times New Roman" w:hint="default"/>
                <w:spacing w:val="22"/>
                <w:sz w:val="18"/>
                <w:szCs w:val="18"/>
              </w:rPr>
              <w:t> </w:t>
            </w:r>
            <w:r>
              <w:rPr>
                <w:rFonts w:ascii="宋体" w:hAnsi="宋体" w:cs="宋体" w:eastAsia="宋体" w:hint="default"/>
                <w:spacing w:val="-3"/>
                <w:sz w:val="18"/>
                <w:szCs w:val="18"/>
              </w:rPr>
              <w:t>万元闲置募集资金暂时补充公司流动资金。以上暂时补充流动资金的募集</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资金公司已于</w:t>
            </w:r>
            <w:r>
              <w:rPr>
                <w:rFonts w:ascii="宋体" w:hAnsi="宋体" w:cs="宋体" w:eastAsia="宋体" w:hint="default"/>
                <w:spacing w:val="-32"/>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3"/>
                <w:sz w:val="18"/>
                <w:szCs w:val="18"/>
              </w:rPr>
              <w:t> </w:t>
            </w:r>
            <w:r>
              <w:rPr>
                <w:rFonts w:ascii="宋体" w:hAnsi="宋体" w:cs="宋体" w:eastAsia="宋体" w:hint="default"/>
                <w:spacing w:val="-3"/>
                <w:sz w:val="18"/>
                <w:szCs w:val="18"/>
              </w:rPr>
              <w:t>月全部归还至公司募集资金专户。</w:t>
            </w:r>
          </w:p>
          <w:p>
            <w:pPr>
              <w:pStyle w:val="TableParagraph"/>
              <w:spacing w:line="240" w:lineRule="auto" w:before="44"/>
              <w:ind w:left="23" w:right="0"/>
              <w:jc w:val="both"/>
              <w:rPr>
                <w:rFonts w:ascii="宋体" w:hAnsi="宋体" w:cs="宋体" w:eastAsia="宋体" w:hint="default"/>
                <w:sz w:val="18"/>
                <w:szCs w:val="18"/>
              </w:rPr>
            </w:pPr>
            <w:r>
              <w:rPr>
                <w:rFonts w:ascii="宋体" w:hAnsi="宋体" w:cs="宋体" w:eastAsia="宋体" w:hint="default"/>
                <w:w w:val="101"/>
                <w:sz w:val="18"/>
                <w:szCs w:val="18"/>
              </w:rPr>
              <w:t>经公司</w:t>
            </w:r>
            <w:r>
              <w:rPr>
                <w:rFonts w:ascii="宋体" w:hAnsi="宋体" w:cs="宋体" w:eastAsia="宋体" w:hint="default"/>
                <w:spacing w:val="-47"/>
                <w:sz w:val="18"/>
                <w:szCs w:val="18"/>
              </w:rPr>
              <w:t> </w:t>
            </w:r>
            <w:r>
              <w:rPr>
                <w:rFonts w:ascii="Times New Roman" w:hAnsi="Times New Roman" w:cs="Times New Roman" w:eastAsia="Times New Roman" w:hint="default"/>
                <w:spacing w:val="-5"/>
                <w:w w:val="101"/>
                <w:sz w:val="18"/>
                <w:szCs w:val="18"/>
              </w:rPr>
              <w:t>2</w:t>
            </w:r>
            <w:r>
              <w:rPr>
                <w:rFonts w:ascii="Times New Roman" w:hAnsi="Times New Roman" w:cs="Times New Roman" w:eastAsia="Times New Roman" w:hint="default"/>
                <w:w w:val="101"/>
                <w:sz w:val="18"/>
                <w:szCs w:val="18"/>
              </w:rPr>
              <w:t>019</w:t>
            </w:r>
            <w:r>
              <w:rPr>
                <w:rFonts w:ascii="Times New Roman" w:hAnsi="Times New Roman" w:cs="Times New Roman" w:eastAsia="Times New Roman" w:hint="default"/>
                <w:spacing w:val="-2"/>
                <w:sz w:val="18"/>
                <w:szCs w:val="18"/>
              </w:rPr>
              <w:t> </w:t>
            </w:r>
            <w:r>
              <w:rPr>
                <w:rFonts w:ascii="宋体" w:hAnsi="宋体" w:cs="宋体" w:eastAsia="宋体" w:hint="default"/>
                <w:w w:val="101"/>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w w:val="101"/>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w w:val="101"/>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w w:val="101"/>
                <w:sz w:val="18"/>
                <w:szCs w:val="18"/>
              </w:rPr>
              <w:t>22</w:t>
            </w:r>
            <w:r>
              <w:rPr>
                <w:rFonts w:ascii="Times New Roman" w:hAnsi="Times New Roman" w:cs="Times New Roman" w:eastAsia="Times New Roman" w:hint="default"/>
                <w:spacing w:val="-7"/>
                <w:sz w:val="18"/>
                <w:szCs w:val="18"/>
              </w:rPr>
              <w:t> </w:t>
            </w:r>
            <w:r>
              <w:rPr>
                <w:rFonts w:ascii="宋体" w:hAnsi="宋体" w:cs="宋体" w:eastAsia="宋体" w:hint="default"/>
                <w:w w:val="101"/>
                <w:sz w:val="18"/>
                <w:szCs w:val="18"/>
              </w:rPr>
              <w:t>日</w:t>
            </w:r>
            <w:r>
              <w:rPr>
                <w:rFonts w:ascii="宋体" w:hAnsi="宋体" w:cs="宋体" w:eastAsia="宋体" w:hint="default"/>
                <w:spacing w:val="-5"/>
                <w:w w:val="101"/>
                <w:sz w:val="18"/>
                <w:szCs w:val="18"/>
              </w:rPr>
              <w:t>第</w:t>
            </w:r>
            <w:r>
              <w:rPr>
                <w:rFonts w:ascii="宋体" w:hAnsi="宋体" w:cs="宋体" w:eastAsia="宋体" w:hint="default"/>
                <w:w w:val="101"/>
                <w:sz w:val="18"/>
                <w:szCs w:val="18"/>
              </w:rPr>
              <w:t>四</w:t>
            </w:r>
            <w:r>
              <w:rPr>
                <w:rFonts w:ascii="宋体" w:hAnsi="宋体" w:cs="宋体" w:eastAsia="宋体" w:hint="default"/>
                <w:spacing w:val="-5"/>
                <w:w w:val="101"/>
                <w:sz w:val="18"/>
                <w:szCs w:val="18"/>
              </w:rPr>
              <w:t>届</w:t>
            </w:r>
            <w:r>
              <w:rPr>
                <w:rFonts w:ascii="宋体" w:hAnsi="宋体" w:cs="宋体" w:eastAsia="宋体" w:hint="default"/>
                <w:w w:val="101"/>
                <w:sz w:val="18"/>
                <w:szCs w:val="18"/>
              </w:rPr>
              <w:t>董</w:t>
            </w:r>
            <w:r>
              <w:rPr>
                <w:rFonts w:ascii="宋体" w:hAnsi="宋体" w:cs="宋体" w:eastAsia="宋体" w:hint="default"/>
                <w:spacing w:val="-5"/>
                <w:w w:val="101"/>
                <w:sz w:val="18"/>
                <w:szCs w:val="18"/>
              </w:rPr>
              <w:t>事</w:t>
            </w:r>
            <w:r>
              <w:rPr>
                <w:rFonts w:ascii="宋体" w:hAnsi="宋体" w:cs="宋体" w:eastAsia="宋体" w:hint="default"/>
                <w:w w:val="101"/>
                <w:sz w:val="18"/>
                <w:szCs w:val="18"/>
              </w:rPr>
              <w:t>会</w:t>
            </w:r>
            <w:r>
              <w:rPr>
                <w:rFonts w:ascii="宋体" w:hAnsi="宋体" w:cs="宋体" w:eastAsia="宋体" w:hint="default"/>
                <w:spacing w:val="-5"/>
                <w:w w:val="101"/>
                <w:sz w:val="18"/>
                <w:szCs w:val="18"/>
              </w:rPr>
              <w:t>第</w:t>
            </w:r>
            <w:r>
              <w:rPr>
                <w:rFonts w:ascii="宋体" w:hAnsi="宋体" w:cs="宋体" w:eastAsia="宋体" w:hint="default"/>
                <w:w w:val="101"/>
                <w:sz w:val="18"/>
                <w:szCs w:val="18"/>
              </w:rPr>
              <w:t>十</w:t>
            </w:r>
            <w:r>
              <w:rPr>
                <w:rFonts w:ascii="宋体" w:hAnsi="宋体" w:cs="宋体" w:eastAsia="宋体" w:hint="default"/>
                <w:spacing w:val="-5"/>
                <w:w w:val="101"/>
                <w:sz w:val="18"/>
                <w:szCs w:val="18"/>
              </w:rPr>
              <w:t>六</w:t>
            </w:r>
            <w:r>
              <w:rPr>
                <w:rFonts w:ascii="宋体" w:hAnsi="宋体" w:cs="宋体" w:eastAsia="宋体" w:hint="default"/>
                <w:w w:val="101"/>
                <w:sz w:val="18"/>
                <w:szCs w:val="18"/>
              </w:rPr>
              <w:t>次</w:t>
            </w:r>
            <w:r>
              <w:rPr>
                <w:rFonts w:ascii="宋体" w:hAnsi="宋体" w:cs="宋体" w:eastAsia="宋体" w:hint="default"/>
                <w:spacing w:val="-5"/>
                <w:w w:val="101"/>
                <w:sz w:val="18"/>
                <w:szCs w:val="18"/>
              </w:rPr>
              <w:t>会</w:t>
            </w:r>
            <w:r>
              <w:rPr>
                <w:rFonts w:ascii="宋体" w:hAnsi="宋体" w:cs="宋体" w:eastAsia="宋体" w:hint="default"/>
                <w:w w:val="101"/>
                <w:sz w:val="18"/>
                <w:szCs w:val="18"/>
              </w:rPr>
              <w:t>议</w:t>
            </w:r>
            <w:r>
              <w:rPr>
                <w:rFonts w:ascii="宋体" w:hAnsi="宋体" w:cs="宋体" w:eastAsia="宋体" w:hint="default"/>
                <w:spacing w:val="-5"/>
                <w:w w:val="101"/>
                <w:sz w:val="18"/>
                <w:szCs w:val="18"/>
              </w:rPr>
              <w:t>审</w:t>
            </w:r>
            <w:r>
              <w:rPr>
                <w:rFonts w:ascii="宋体" w:hAnsi="宋体" w:cs="宋体" w:eastAsia="宋体" w:hint="default"/>
                <w:w w:val="101"/>
                <w:sz w:val="18"/>
                <w:szCs w:val="18"/>
              </w:rPr>
              <w:t>议</w:t>
            </w:r>
            <w:r>
              <w:rPr>
                <w:rFonts w:ascii="宋体" w:hAnsi="宋体" w:cs="宋体" w:eastAsia="宋体" w:hint="default"/>
                <w:spacing w:val="-5"/>
                <w:w w:val="101"/>
                <w:sz w:val="18"/>
                <w:szCs w:val="18"/>
              </w:rPr>
              <w:t>通过</w:t>
            </w:r>
            <w:r>
              <w:rPr>
                <w:rFonts w:ascii="宋体" w:hAnsi="宋体" w:cs="宋体" w:eastAsia="宋体" w:hint="default"/>
                <w:spacing w:val="-73"/>
                <w:w w:val="101"/>
                <w:sz w:val="18"/>
                <w:szCs w:val="18"/>
              </w:rPr>
              <w:t>，</w:t>
            </w:r>
            <w:r>
              <w:rPr>
                <w:rFonts w:ascii="宋体" w:hAnsi="宋体" w:cs="宋体" w:eastAsia="宋体" w:hint="default"/>
                <w:spacing w:val="-5"/>
                <w:w w:val="101"/>
                <w:sz w:val="18"/>
                <w:szCs w:val="18"/>
              </w:rPr>
              <w:t>同</w:t>
            </w:r>
            <w:r>
              <w:rPr>
                <w:rFonts w:ascii="宋体" w:hAnsi="宋体" w:cs="宋体" w:eastAsia="宋体" w:hint="default"/>
                <w:w w:val="101"/>
                <w:sz w:val="18"/>
                <w:szCs w:val="18"/>
              </w:rPr>
              <w:t>意</w:t>
            </w:r>
            <w:r>
              <w:rPr>
                <w:rFonts w:ascii="宋体" w:hAnsi="宋体" w:cs="宋体" w:eastAsia="宋体" w:hint="default"/>
                <w:spacing w:val="-5"/>
                <w:w w:val="101"/>
                <w:sz w:val="18"/>
                <w:szCs w:val="18"/>
              </w:rPr>
              <w:t>公</w:t>
            </w:r>
            <w:r>
              <w:rPr>
                <w:rFonts w:ascii="宋体" w:hAnsi="宋体" w:cs="宋体" w:eastAsia="宋体" w:hint="default"/>
                <w:w w:val="101"/>
                <w:sz w:val="18"/>
                <w:szCs w:val="18"/>
              </w:rPr>
              <w:t>司</w:t>
            </w:r>
            <w:r>
              <w:rPr>
                <w:rFonts w:ascii="宋体" w:hAnsi="宋体" w:cs="宋体" w:eastAsia="宋体" w:hint="default"/>
                <w:spacing w:val="-5"/>
                <w:w w:val="101"/>
                <w:sz w:val="18"/>
                <w:szCs w:val="18"/>
              </w:rPr>
              <w:t>使</w:t>
            </w:r>
            <w:r>
              <w:rPr>
                <w:rFonts w:ascii="宋体" w:hAnsi="宋体" w:cs="宋体" w:eastAsia="宋体" w:hint="default"/>
                <w:w w:val="101"/>
                <w:sz w:val="18"/>
                <w:szCs w:val="18"/>
              </w:rPr>
              <w:t>用</w:t>
            </w:r>
            <w:r>
              <w:rPr>
                <w:rFonts w:ascii="宋体" w:hAnsi="宋体" w:cs="宋体" w:eastAsia="宋体" w:hint="default"/>
                <w:spacing w:val="-47"/>
                <w:sz w:val="18"/>
                <w:szCs w:val="18"/>
              </w:rPr>
              <w:t> </w:t>
            </w:r>
            <w:r>
              <w:rPr>
                <w:rFonts w:ascii="Times New Roman" w:hAnsi="Times New Roman" w:cs="Times New Roman" w:eastAsia="Times New Roman" w:hint="default"/>
                <w:w w:val="101"/>
                <w:sz w:val="18"/>
                <w:szCs w:val="18"/>
              </w:rPr>
              <w:t>1</w:t>
            </w:r>
            <w:r>
              <w:rPr>
                <w:rFonts w:ascii="Times New Roman" w:hAnsi="Times New Roman" w:cs="Times New Roman" w:eastAsia="Times New Roman" w:hint="default"/>
                <w:spacing w:val="-5"/>
                <w:w w:val="101"/>
                <w:sz w:val="18"/>
                <w:szCs w:val="18"/>
              </w:rPr>
              <w:t>0</w:t>
            </w:r>
            <w:r>
              <w:rPr>
                <w:rFonts w:ascii="Times New Roman" w:hAnsi="Times New Roman" w:cs="Times New Roman" w:eastAsia="Times New Roman" w:hint="default"/>
                <w:spacing w:val="2"/>
                <w:w w:val="101"/>
                <w:sz w:val="18"/>
                <w:szCs w:val="18"/>
              </w:rPr>
              <w:t>,</w:t>
            </w:r>
            <w:r>
              <w:rPr>
                <w:rFonts w:ascii="Times New Roman" w:hAnsi="Times New Roman" w:cs="Times New Roman" w:eastAsia="Times New Roman" w:hint="default"/>
                <w:w w:val="101"/>
                <w:sz w:val="18"/>
                <w:szCs w:val="18"/>
              </w:rPr>
              <w:t>000</w:t>
            </w:r>
            <w:r>
              <w:rPr>
                <w:rFonts w:ascii="Times New Roman" w:hAnsi="Times New Roman" w:cs="Times New Roman" w:eastAsia="Times New Roman" w:hint="default"/>
                <w:spacing w:val="-6"/>
                <w:sz w:val="18"/>
                <w:szCs w:val="18"/>
              </w:rPr>
              <w:t> </w:t>
            </w:r>
            <w:r>
              <w:rPr>
                <w:rFonts w:ascii="宋体" w:hAnsi="宋体" w:cs="宋体" w:eastAsia="宋体" w:hint="default"/>
                <w:w w:val="101"/>
                <w:sz w:val="18"/>
                <w:szCs w:val="18"/>
              </w:rPr>
              <w:t>万</w:t>
            </w:r>
            <w:r>
              <w:rPr>
                <w:rFonts w:ascii="宋体" w:hAnsi="宋体" w:cs="宋体" w:eastAsia="宋体" w:hint="default"/>
                <w:spacing w:val="-5"/>
                <w:w w:val="101"/>
                <w:sz w:val="18"/>
                <w:szCs w:val="18"/>
              </w:rPr>
              <w:t>元</w:t>
            </w:r>
            <w:r>
              <w:rPr>
                <w:rFonts w:ascii="宋体" w:hAnsi="宋体" w:cs="宋体" w:eastAsia="宋体" w:hint="default"/>
                <w:w w:val="101"/>
                <w:sz w:val="18"/>
                <w:szCs w:val="18"/>
              </w:rPr>
              <w:t>闲</w:t>
            </w:r>
            <w:r>
              <w:rPr>
                <w:rFonts w:ascii="宋体" w:hAnsi="宋体" w:cs="宋体" w:eastAsia="宋体" w:hint="default"/>
                <w:spacing w:val="-5"/>
                <w:w w:val="101"/>
                <w:sz w:val="18"/>
                <w:szCs w:val="18"/>
              </w:rPr>
              <w:t>置</w:t>
            </w:r>
            <w:r>
              <w:rPr>
                <w:rFonts w:ascii="宋体" w:hAnsi="宋体" w:cs="宋体" w:eastAsia="宋体" w:hint="default"/>
                <w:w w:val="101"/>
                <w:sz w:val="18"/>
                <w:szCs w:val="18"/>
              </w:rPr>
              <w:t>非</w:t>
            </w:r>
            <w:r>
              <w:rPr>
                <w:rFonts w:ascii="宋体" w:hAnsi="宋体" w:cs="宋体" w:eastAsia="宋体" w:hint="default"/>
                <w:spacing w:val="-5"/>
                <w:w w:val="101"/>
                <w:sz w:val="18"/>
                <w:szCs w:val="18"/>
              </w:rPr>
              <w:t>公</w:t>
            </w:r>
            <w:r>
              <w:rPr>
                <w:rFonts w:ascii="宋体" w:hAnsi="宋体" w:cs="宋体" w:eastAsia="宋体" w:hint="default"/>
                <w:w w:val="101"/>
                <w:sz w:val="18"/>
                <w:szCs w:val="18"/>
              </w:rPr>
              <w:t>开</w:t>
            </w:r>
            <w:r>
              <w:rPr>
                <w:rFonts w:ascii="宋体" w:hAnsi="宋体" w:cs="宋体" w:eastAsia="宋体" w:hint="default"/>
                <w:spacing w:val="-5"/>
                <w:w w:val="101"/>
                <w:sz w:val="18"/>
                <w:szCs w:val="18"/>
              </w:rPr>
              <w:t>发</w:t>
            </w:r>
            <w:r>
              <w:rPr>
                <w:rFonts w:ascii="宋体" w:hAnsi="宋体" w:cs="宋体" w:eastAsia="宋体" w:hint="default"/>
                <w:w w:val="101"/>
                <w:sz w:val="18"/>
                <w:szCs w:val="18"/>
              </w:rPr>
              <w:t>行</w:t>
            </w:r>
            <w:r>
              <w:rPr>
                <w:rFonts w:ascii="宋体" w:hAnsi="宋体" w:cs="宋体" w:eastAsia="宋体" w:hint="default"/>
                <w:spacing w:val="-5"/>
                <w:w w:val="101"/>
                <w:sz w:val="18"/>
                <w:szCs w:val="18"/>
              </w:rPr>
              <w:t>股</w:t>
            </w:r>
            <w:r>
              <w:rPr>
                <w:rFonts w:ascii="宋体" w:hAnsi="宋体" w:cs="宋体" w:eastAsia="宋体" w:hint="default"/>
                <w:w w:val="101"/>
                <w:sz w:val="18"/>
                <w:szCs w:val="18"/>
              </w:rPr>
              <w:t>票募</w:t>
            </w:r>
            <w:r>
              <w:rPr>
                <w:rFonts w:ascii="宋体" w:hAnsi="宋体" w:cs="宋体" w:eastAsia="宋体" w:hint="default"/>
                <w:sz w:val="18"/>
                <w:szCs w:val="18"/>
              </w:rPr>
            </w:r>
          </w:p>
          <w:p>
            <w:pPr>
              <w:pStyle w:val="TableParagraph"/>
              <w:spacing w:line="240" w:lineRule="auto" w:before="63"/>
              <w:ind w:left="23" w:right="0"/>
              <w:jc w:val="both"/>
              <w:rPr>
                <w:rFonts w:ascii="Times New Roman" w:hAnsi="Times New Roman" w:cs="Times New Roman" w:eastAsia="Times New Roman" w:hint="default"/>
                <w:sz w:val="18"/>
                <w:szCs w:val="18"/>
              </w:rPr>
            </w:pPr>
            <w:r>
              <w:rPr>
                <w:rFonts w:ascii="宋体" w:hAnsi="宋体" w:cs="宋体" w:eastAsia="宋体" w:hint="default"/>
                <w:spacing w:val="-5"/>
                <w:sz w:val="18"/>
                <w:szCs w:val="18"/>
              </w:rPr>
              <w:t>集资金暂时补充流动资金，使用期限自董事会审议通过之日起不超过 </w:t>
            </w:r>
            <w:r>
              <w:rPr>
                <w:rFonts w:ascii="Times New Roman" w:hAnsi="Times New Roman" w:cs="Times New Roman" w:eastAsia="Times New Roman" w:hint="default"/>
                <w:sz w:val="18"/>
                <w:szCs w:val="18"/>
              </w:rPr>
              <w:t>12 </w:t>
            </w:r>
            <w:r>
              <w:rPr>
                <w:rFonts w:ascii="宋体" w:hAnsi="宋体" w:cs="宋体" w:eastAsia="宋体" w:hint="default"/>
                <w:spacing w:val="-12"/>
                <w:sz w:val="18"/>
                <w:szCs w:val="18"/>
              </w:rPr>
              <w:t>个月。公司于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 </w:t>
            </w:r>
            <w:r>
              <w:rPr>
                <w:rFonts w:ascii="Times New Roman" w:hAnsi="Times New Roman" w:cs="Times New Roman" w:eastAsia="Times New Roman" w:hint="default"/>
                <w:sz w:val="18"/>
                <w:szCs w:val="18"/>
              </w:rPr>
              <w:t>8 </w:t>
            </w:r>
            <w:r>
              <w:rPr>
                <w:rFonts w:ascii="宋体" w:hAnsi="宋体" w:cs="宋体" w:eastAsia="宋体" w:hint="default"/>
                <w:sz w:val="18"/>
                <w:szCs w:val="18"/>
              </w:rPr>
              <w:t>月实际使用</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8,000</w:t>
            </w:r>
          </w:p>
          <w:p>
            <w:pPr>
              <w:pStyle w:val="TableParagraph"/>
              <w:spacing w:line="304" w:lineRule="auto" w:before="63"/>
              <w:ind w:left="23" w:right="84"/>
              <w:jc w:val="both"/>
              <w:rPr>
                <w:rFonts w:ascii="宋体" w:hAnsi="宋体" w:cs="宋体" w:eastAsia="宋体" w:hint="default"/>
                <w:sz w:val="18"/>
                <w:szCs w:val="18"/>
              </w:rPr>
            </w:pPr>
            <w:r>
              <w:rPr>
                <w:rFonts w:ascii="宋体" w:hAnsi="宋体" w:cs="宋体" w:eastAsia="宋体" w:hint="default"/>
                <w:spacing w:val="-3"/>
                <w:sz w:val="18"/>
                <w:szCs w:val="18"/>
              </w:rPr>
              <w:t>万元闲置募集资金暂时补充公司流动资金。以上暂时补充流动资金的募集资金公司已于 </w:t>
            </w:r>
            <w:r>
              <w:rPr>
                <w:rFonts w:ascii="Times New Roman" w:hAnsi="Times New Roman" w:cs="Times New Roman" w:eastAsia="Times New Roman" w:hint="default"/>
                <w:sz w:val="18"/>
                <w:szCs w:val="18"/>
              </w:rPr>
              <w:t>2020 </w:t>
            </w:r>
            <w:r>
              <w:rPr>
                <w:rFonts w:ascii="宋体" w:hAnsi="宋体" w:cs="宋体" w:eastAsia="宋体" w:hint="default"/>
                <w:sz w:val="18"/>
                <w:szCs w:val="18"/>
              </w:rPr>
              <w:t>年 </w:t>
            </w:r>
            <w:r>
              <w:rPr>
                <w:rFonts w:ascii="Times New Roman" w:hAnsi="Times New Roman" w:cs="Times New Roman" w:eastAsia="Times New Roman" w:hint="default"/>
                <w:sz w:val="18"/>
                <w:szCs w:val="18"/>
              </w:rPr>
              <w:t>4 </w:t>
            </w:r>
            <w:r>
              <w:rPr>
                <w:rFonts w:ascii="宋体" w:hAnsi="宋体" w:cs="宋体" w:eastAsia="宋体" w:hint="default"/>
                <w:spacing w:val="-3"/>
                <w:sz w:val="18"/>
                <w:szCs w:val="18"/>
              </w:rPr>
              <w:t>月全部归还至</w:t>
            </w:r>
            <w:r>
              <w:rPr>
                <w:rFonts w:ascii="宋体" w:hAnsi="宋体" w:cs="宋体" w:eastAsia="宋体" w:hint="default"/>
                <w:spacing w:val="-47"/>
                <w:sz w:val="18"/>
                <w:szCs w:val="18"/>
              </w:rPr>
              <w:t> </w:t>
            </w:r>
            <w:r>
              <w:rPr>
                <w:rFonts w:ascii="宋体" w:hAnsi="宋体" w:cs="宋体" w:eastAsia="宋体" w:hint="default"/>
                <w:spacing w:val="-47"/>
                <w:sz w:val="18"/>
                <w:szCs w:val="18"/>
              </w:rPr>
            </w:r>
            <w:r>
              <w:rPr>
                <w:rFonts w:ascii="宋体" w:hAnsi="宋体" w:cs="宋体" w:eastAsia="宋体" w:hint="default"/>
                <w:spacing w:val="-3"/>
                <w:sz w:val="18"/>
                <w:szCs w:val="18"/>
              </w:rPr>
              <w:t>公司募集资金专户。</w:t>
            </w:r>
          </w:p>
        </w:tc>
      </w:tr>
      <w:tr>
        <w:trPr>
          <w:trHeight w:val="403" w:hRule="exact"/>
        </w:trPr>
        <w:tc>
          <w:tcPr>
            <w:tcW w:w="72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8"/>
              <w:ind w:left="24" w:right="141"/>
              <w:jc w:val="both"/>
              <w:rPr>
                <w:rFonts w:ascii="宋体" w:hAnsi="宋体" w:cs="宋体" w:eastAsia="宋体" w:hint="default"/>
                <w:sz w:val="18"/>
                <w:szCs w:val="18"/>
              </w:rPr>
            </w:pPr>
            <w:r>
              <w:rPr>
                <w:rFonts w:ascii="宋体" w:hAnsi="宋体" w:cs="宋体" w:eastAsia="宋体" w:hint="default"/>
                <w:sz w:val="18"/>
                <w:szCs w:val="18"/>
              </w:rPr>
              <w:t>项目实</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施出现</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募集资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金结余</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的金额</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及原因</w:t>
            </w:r>
          </w:p>
        </w:tc>
        <w:tc>
          <w:tcPr>
            <w:tcW w:w="8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1560" w:hRule="exact"/>
        </w:trPr>
        <w:tc>
          <w:tcPr>
            <w:tcW w:w="720" w:type="dxa"/>
            <w:vMerge/>
            <w:tcBorders>
              <w:left w:val="single" w:sz="4" w:space="0" w:color="000000"/>
              <w:bottom w:val="single" w:sz="4" w:space="0" w:color="000000"/>
              <w:right w:val="single" w:sz="4" w:space="0" w:color="000000"/>
            </w:tcBorders>
            <w:shd w:val="clear" w:color="auto" w:fill="D2D2D2"/>
          </w:tcPr>
          <w:p>
            <w:pPr/>
          </w:p>
        </w:tc>
        <w:tc>
          <w:tcPr>
            <w:tcW w:w="8855" w:type="dxa"/>
            <w:tcBorders>
              <w:top w:val="single" w:sz="4" w:space="0" w:color="000000"/>
              <w:left w:val="single" w:sz="4" w:space="0" w:color="000000"/>
              <w:bottom w:val="single" w:sz="4" w:space="0" w:color="000000"/>
              <w:right w:val="single" w:sz="4" w:space="0" w:color="000000"/>
            </w:tcBorders>
          </w:tcPr>
          <w:p>
            <w:pPr/>
          </w:p>
        </w:tc>
      </w:tr>
      <w:tr>
        <w:trPr>
          <w:trHeight w:val="1652" w:hRule="exact"/>
        </w:trPr>
        <w:tc>
          <w:tcPr>
            <w:tcW w:w="7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24" w:right="141"/>
              <w:jc w:val="both"/>
              <w:rPr>
                <w:rFonts w:ascii="宋体" w:hAnsi="宋体" w:cs="宋体" w:eastAsia="宋体" w:hint="default"/>
                <w:sz w:val="18"/>
                <w:szCs w:val="18"/>
              </w:rPr>
            </w:pPr>
            <w:r>
              <w:rPr>
                <w:rFonts w:ascii="宋体" w:hAnsi="宋体" w:cs="宋体" w:eastAsia="宋体" w:hint="default"/>
                <w:sz w:val="18"/>
                <w:szCs w:val="18"/>
              </w:rPr>
              <w:t>尚未使</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用的募</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集资金</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用途及</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去向</w:t>
            </w:r>
          </w:p>
        </w:tc>
        <w:tc>
          <w:tcPr>
            <w:tcW w:w="8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0"/>
              <w:ind w:left="23" w:right="0"/>
              <w:jc w:val="left"/>
              <w:rPr>
                <w:rFonts w:ascii="宋体" w:hAnsi="宋体" w:cs="宋体" w:eastAsia="宋体" w:hint="default"/>
                <w:sz w:val="18"/>
                <w:szCs w:val="18"/>
              </w:rPr>
            </w:pPr>
            <w:r>
              <w:rPr>
                <w:rFonts w:ascii="宋体" w:hAnsi="宋体" w:cs="宋体" w:eastAsia="宋体" w:hint="default"/>
                <w:spacing w:val="-4"/>
                <w:sz w:val="18"/>
                <w:szCs w:val="18"/>
              </w:rPr>
              <w:t>截至报告期末，公司使用暂时闲置募集资金进行现金管理的未到期金额共计 </w:t>
            </w:r>
            <w:r>
              <w:rPr>
                <w:rFonts w:ascii="Times New Roman" w:hAnsi="Times New Roman" w:cs="Times New Roman" w:eastAsia="Times New Roman" w:hint="default"/>
                <w:sz w:val="18"/>
                <w:szCs w:val="18"/>
              </w:rPr>
              <w:t>16,200 </w:t>
            </w:r>
            <w:r>
              <w:rPr>
                <w:rFonts w:ascii="Times New Roman" w:hAnsi="Times New Roman" w:cs="Times New Roman" w:eastAsia="Times New Roman" w:hint="default"/>
                <w:spacing w:val="40"/>
                <w:sz w:val="18"/>
                <w:szCs w:val="18"/>
              </w:rPr>
              <w:t> </w:t>
            </w:r>
            <w:r>
              <w:rPr>
                <w:rFonts w:ascii="宋体" w:hAnsi="宋体" w:cs="宋体" w:eastAsia="宋体" w:hint="default"/>
                <w:spacing w:val="-5"/>
                <w:sz w:val="18"/>
                <w:szCs w:val="18"/>
              </w:rPr>
              <w:t>万元，暂时补充流动资金余额</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为 </w:t>
            </w:r>
            <w:r>
              <w:rPr>
                <w:rFonts w:ascii="Times New Roman" w:hAnsi="Times New Roman" w:cs="Times New Roman" w:eastAsia="Times New Roman" w:hint="default"/>
                <w:sz w:val="18"/>
                <w:szCs w:val="18"/>
              </w:rPr>
              <w:t>8,000</w:t>
            </w:r>
            <w:r>
              <w:rPr>
                <w:rFonts w:ascii="Times New Roman" w:hAnsi="Times New Roman" w:cs="Times New Roman" w:eastAsia="Times New Roman" w:hint="default"/>
                <w:spacing w:val="42"/>
                <w:sz w:val="18"/>
                <w:szCs w:val="18"/>
              </w:rPr>
              <w:t> </w:t>
            </w:r>
            <w:r>
              <w:rPr>
                <w:rFonts w:ascii="宋体" w:hAnsi="宋体" w:cs="宋体" w:eastAsia="宋体" w:hint="default"/>
                <w:spacing w:val="-3"/>
                <w:sz w:val="18"/>
                <w:szCs w:val="18"/>
              </w:rPr>
              <w:t>万元，其余尚未使用的募集资金均存放在公司募集资金专用账户。</w:t>
            </w:r>
          </w:p>
        </w:tc>
      </w:tr>
      <w:tr>
        <w:trPr>
          <w:trHeight w:val="672" w:hRule="exact"/>
        </w:trPr>
        <w:tc>
          <w:tcPr>
            <w:tcW w:w="7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3"/>
              <w:ind w:left="24" w:right="141"/>
              <w:jc w:val="left"/>
              <w:rPr>
                <w:rFonts w:ascii="宋体" w:hAnsi="宋体" w:cs="宋体" w:eastAsia="宋体" w:hint="default"/>
                <w:sz w:val="18"/>
                <w:szCs w:val="18"/>
              </w:rPr>
            </w:pPr>
            <w:r>
              <w:rPr>
                <w:rFonts w:ascii="宋体" w:hAnsi="宋体" w:cs="宋体" w:eastAsia="宋体" w:hint="default"/>
                <w:sz w:val="18"/>
                <w:szCs w:val="18"/>
              </w:rPr>
              <w:t>募集资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金使用</w:t>
            </w:r>
          </w:p>
        </w:tc>
        <w:tc>
          <w:tcPr>
            <w:tcW w:w="8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经公司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 </w:t>
            </w:r>
            <w:r>
              <w:rPr>
                <w:rFonts w:ascii="Times New Roman" w:hAnsi="Times New Roman" w:cs="Times New Roman" w:eastAsia="Times New Roman" w:hint="default"/>
                <w:sz w:val="18"/>
                <w:szCs w:val="18"/>
              </w:rPr>
              <w:t>8 </w:t>
            </w:r>
            <w:r>
              <w:rPr>
                <w:rFonts w:ascii="宋体" w:hAnsi="宋体" w:cs="宋体" w:eastAsia="宋体" w:hint="default"/>
                <w:sz w:val="18"/>
                <w:szCs w:val="18"/>
              </w:rPr>
              <w:t>月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1"/>
                <w:sz w:val="18"/>
                <w:szCs w:val="18"/>
              </w:rPr>
              <w:t> </w:t>
            </w:r>
            <w:r>
              <w:rPr>
                <w:rFonts w:ascii="宋体" w:hAnsi="宋体" w:cs="宋体" w:eastAsia="宋体" w:hint="default"/>
                <w:spacing w:val="-4"/>
                <w:sz w:val="18"/>
                <w:szCs w:val="18"/>
              </w:rPr>
              <w:t>日召开第四届董事会第十三次会议及第四届监事会第十一次会议审议通过，同意公司继续</w:t>
            </w:r>
          </w:p>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使用不超过</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16,000</w:t>
            </w:r>
            <w:r>
              <w:rPr>
                <w:rFonts w:ascii="Times New Roman" w:hAnsi="Times New Roman" w:cs="Times New Roman" w:eastAsia="Times New Roman" w:hint="default"/>
                <w:spacing w:val="5"/>
                <w:sz w:val="18"/>
                <w:szCs w:val="18"/>
              </w:rPr>
              <w:t> </w:t>
            </w:r>
            <w:r>
              <w:rPr>
                <w:rFonts w:ascii="宋体" w:hAnsi="宋体" w:cs="宋体" w:eastAsia="宋体" w:hint="default"/>
                <w:spacing w:val="-3"/>
                <w:sz w:val="18"/>
                <w:szCs w:val="18"/>
              </w:rPr>
              <w:t>万元的暂时闲置募集资金进行现金管理。</w:t>
            </w:r>
            <w:r>
              <w:rPr>
                <w:rFonts w:ascii="Times New Roman" w:hAnsi="Times New Roman" w:cs="Times New Roman" w:eastAsia="Times New Roman" w:hint="default"/>
                <w:spacing w:val="-3"/>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日至</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日期间，公司</w:t>
            </w:r>
          </w:p>
        </w:tc>
      </w:tr>
    </w:tbl>
    <w:p>
      <w:pPr>
        <w:spacing w:after="0" w:line="240" w:lineRule="auto"/>
        <w:jc w:val="left"/>
        <w:rPr>
          <w:rFonts w:ascii="宋体" w:hAnsi="宋体" w:cs="宋体" w:eastAsia="宋体" w:hint="default"/>
          <w:sz w:val="18"/>
          <w:szCs w:val="18"/>
        </w:rPr>
        <w:sectPr>
          <w:pgSz w:w="11910" w:h="16840"/>
          <w:pgMar w:header="871" w:footer="1186" w:top="1100" w:bottom="138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48" w:type="dxa"/>
        <w:tblLayout w:type="fixed"/>
        <w:tblCellMar>
          <w:top w:w="0" w:type="dxa"/>
          <w:left w:w="0" w:type="dxa"/>
          <w:bottom w:w="0" w:type="dxa"/>
          <w:right w:w="0" w:type="dxa"/>
        </w:tblCellMar>
        <w:tblLook w:val="01E0"/>
      </w:tblPr>
      <w:tblGrid>
        <w:gridCol w:w="720"/>
        <w:gridCol w:w="8855"/>
      </w:tblGrid>
      <w:tr>
        <w:trPr>
          <w:trHeight w:val="1921" w:hRule="exact"/>
        </w:trPr>
        <w:tc>
          <w:tcPr>
            <w:tcW w:w="7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24" w:right="141"/>
              <w:jc w:val="both"/>
              <w:rPr>
                <w:rFonts w:ascii="宋体" w:hAnsi="宋体" w:cs="宋体" w:eastAsia="宋体" w:hint="default"/>
                <w:sz w:val="18"/>
                <w:szCs w:val="18"/>
              </w:rPr>
            </w:pPr>
            <w:r>
              <w:rPr>
                <w:rFonts w:ascii="宋体" w:hAnsi="宋体" w:cs="宋体" w:eastAsia="宋体" w:hint="default"/>
                <w:sz w:val="18"/>
                <w:szCs w:val="18"/>
              </w:rPr>
              <w:t>及披露</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中存在</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的问题</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或其他</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情况</w:t>
            </w:r>
          </w:p>
        </w:tc>
        <w:tc>
          <w:tcPr>
            <w:tcW w:w="8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both"/>
              <w:rPr>
                <w:rFonts w:ascii="Times New Roman" w:hAnsi="Times New Roman" w:cs="Times New Roman" w:eastAsia="Times New Roman" w:hint="default"/>
                <w:sz w:val="18"/>
                <w:szCs w:val="18"/>
              </w:rPr>
            </w:pPr>
            <w:r>
              <w:rPr>
                <w:rFonts w:ascii="宋体" w:hAnsi="宋体" w:cs="宋体" w:eastAsia="宋体" w:hint="default"/>
                <w:spacing w:val="-3"/>
                <w:sz w:val="18"/>
                <w:szCs w:val="18"/>
              </w:rPr>
              <w:t>使用暂时闲置募集资金进行现金管理的资金总额达到 </w:t>
            </w:r>
            <w:r>
              <w:rPr>
                <w:rFonts w:ascii="Times New Roman" w:hAnsi="Times New Roman" w:cs="Times New Roman" w:eastAsia="Times New Roman" w:hint="default"/>
                <w:sz w:val="18"/>
                <w:szCs w:val="18"/>
              </w:rPr>
              <w:t>16,700 </w:t>
            </w:r>
            <w:r>
              <w:rPr>
                <w:rFonts w:ascii="宋体" w:hAnsi="宋体" w:cs="宋体" w:eastAsia="宋体" w:hint="default"/>
                <w:spacing w:val="-3"/>
                <w:sz w:val="18"/>
                <w:szCs w:val="18"/>
              </w:rPr>
              <w:t>万元，超出董事会授权额度 </w:t>
            </w:r>
            <w:r>
              <w:rPr>
                <w:rFonts w:ascii="Times New Roman" w:hAnsi="Times New Roman" w:cs="Times New Roman" w:eastAsia="Times New Roman" w:hint="default"/>
                <w:sz w:val="18"/>
                <w:szCs w:val="18"/>
              </w:rPr>
              <w:t>700 </w:t>
            </w:r>
            <w:r>
              <w:rPr>
                <w:rFonts w:ascii="宋体" w:hAnsi="宋体" w:cs="宋体" w:eastAsia="宋体" w:hint="default"/>
                <w:sz w:val="18"/>
                <w:szCs w:val="18"/>
              </w:rPr>
              <w:t>万元。经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4</w:t>
            </w:r>
          </w:p>
          <w:p>
            <w:pPr>
              <w:pStyle w:val="TableParagraph"/>
              <w:spacing w:line="309" w:lineRule="auto" w:before="63"/>
              <w:ind w:left="23" w:right="22"/>
              <w:jc w:val="both"/>
              <w:rPr>
                <w:rFonts w:ascii="宋体" w:hAnsi="宋体" w:cs="宋体" w:eastAsia="宋体" w:hint="default"/>
                <w:sz w:val="18"/>
                <w:szCs w:val="18"/>
              </w:rPr>
            </w:pPr>
            <w:r>
              <w:rPr>
                <w:rFonts w:ascii="宋体" w:hAnsi="宋体" w:cs="宋体" w:eastAsia="宋体" w:hint="default"/>
                <w:sz w:val="18"/>
                <w:szCs w:val="18"/>
              </w:rPr>
              <w:t>月 </w:t>
            </w:r>
            <w:r>
              <w:rPr>
                <w:rFonts w:ascii="Times New Roman" w:hAnsi="Times New Roman" w:cs="Times New Roman" w:eastAsia="Times New Roman" w:hint="default"/>
                <w:sz w:val="18"/>
                <w:szCs w:val="18"/>
              </w:rPr>
              <w:t>22 </w:t>
            </w:r>
            <w:r>
              <w:rPr>
                <w:rFonts w:ascii="宋体" w:hAnsi="宋体" w:cs="宋体" w:eastAsia="宋体" w:hint="default"/>
                <w:spacing w:val="-3"/>
                <w:sz w:val="18"/>
                <w:szCs w:val="18"/>
              </w:rPr>
              <w:t>日第四届董事会第十六次会议审议通过，鉴于以上超出额度使用闲置募集资金进行现金管理是出于充分发</w:t>
            </w:r>
            <w:r>
              <w:rPr>
                <w:rFonts w:ascii="宋体" w:hAnsi="宋体" w:cs="宋体" w:eastAsia="宋体" w:hint="default"/>
                <w:spacing w:val="-41"/>
                <w:sz w:val="18"/>
                <w:szCs w:val="18"/>
              </w:rPr>
              <w:t> </w:t>
            </w:r>
            <w:r>
              <w:rPr>
                <w:rFonts w:ascii="宋体" w:hAnsi="宋体" w:cs="宋体" w:eastAsia="宋体" w:hint="default"/>
                <w:spacing w:val="-41"/>
                <w:sz w:val="18"/>
                <w:szCs w:val="18"/>
              </w:rPr>
            </w:r>
            <w:r>
              <w:rPr>
                <w:rFonts w:ascii="宋体" w:hAnsi="宋体" w:cs="宋体" w:eastAsia="宋体" w:hint="default"/>
                <w:spacing w:val="-4"/>
                <w:sz w:val="18"/>
                <w:szCs w:val="18"/>
              </w:rPr>
              <w:t>挥资金使用效率的目的，且超额部分的资金已于理财产品到期后收回，未对募集资金投资项目的实施及公司经营</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pacing w:val="-4"/>
                <w:sz w:val="18"/>
                <w:szCs w:val="18"/>
              </w:rPr>
              <w:t>产生不良影响，同意对超额</w:t>
            </w:r>
            <w:r>
              <w:rPr>
                <w:rFonts w:ascii="宋体" w:hAnsi="宋体" w:cs="宋体" w:eastAsia="宋体" w:hint="default"/>
                <w:spacing w:val="-29"/>
                <w:sz w:val="18"/>
                <w:szCs w:val="18"/>
              </w:rPr>
              <w:t> </w:t>
            </w:r>
            <w:r>
              <w:rPr>
                <w:rFonts w:ascii="Times New Roman" w:hAnsi="Times New Roman" w:cs="Times New Roman" w:eastAsia="Times New Roman" w:hint="default"/>
                <w:sz w:val="18"/>
                <w:szCs w:val="18"/>
              </w:rPr>
              <w:t>700</w:t>
            </w:r>
            <w:r>
              <w:rPr>
                <w:rFonts w:ascii="Times New Roman" w:hAnsi="Times New Roman" w:cs="Times New Roman" w:eastAsia="Times New Roman" w:hint="default"/>
                <w:spacing w:val="9"/>
                <w:sz w:val="18"/>
                <w:szCs w:val="18"/>
              </w:rPr>
              <w:t> </w:t>
            </w:r>
            <w:r>
              <w:rPr>
                <w:rFonts w:ascii="宋体" w:hAnsi="宋体" w:cs="宋体" w:eastAsia="宋体" w:hint="default"/>
                <w:spacing w:val="-4"/>
                <w:sz w:val="18"/>
                <w:szCs w:val="18"/>
              </w:rPr>
              <w:t>万元进行现金管理事项予以追认，并将</w:t>
            </w:r>
            <w:r>
              <w:rPr>
                <w:rFonts w:ascii="宋体" w:hAnsi="宋体" w:cs="宋体" w:eastAsia="宋体" w:hint="default"/>
                <w:spacing w:val="-28"/>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年</w:t>
            </w:r>
            <w:r>
              <w:rPr>
                <w:rFonts w:ascii="宋体" w:hAnsi="宋体" w:cs="宋体" w:eastAsia="宋体" w:hint="default"/>
                <w:spacing w:val="-29"/>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月</w:t>
            </w:r>
            <w:r>
              <w:rPr>
                <w:rFonts w:ascii="宋体" w:hAnsi="宋体" w:cs="宋体" w:eastAsia="宋体" w:hint="default"/>
                <w:spacing w:val="-3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6"/>
                <w:sz w:val="18"/>
                <w:szCs w:val="18"/>
              </w:rPr>
              <w:t> </w:t>
            </w:r>
            <w:r>
              <w:rPr>
                <w:rFonts w:ascii="宋体" w:hAnsi="宋体" w:cs="宋体" w:eastAsia="宋体" w:hint="default"/>
                <w:spacing w:val="-3"/>
                <w:sz w:val="18"/>
                <w:szCs w:val="18"/>
              </w:rPr>
              <w:t>日第四届董事会第十三次</w:t>
            </w:r>
          </w:p>
          <w:p>
            <w:pPr>
              <w:pStyle w:val="TableParagraph"/>
              <w:spacing w:line="304" w:lineRule="auto" w:before="5"/>
              <w:ind w:left="23" w:right="80"/>
              <w:jc w:val="both"/>
              <w:rPr>
                <w:rFonts w:ascii="宋体" w:hAnsi="宋体" w:cs="宋体" w:eastAsia="宋体" w:hint="default"/>
                <w:sz w:val="18"/>
                <w:szCs w:val="18"/>
              </w:rPr>
            </w:pPr>
            <w:r>
              <w:rPr>
                <w:rFonts w:ascii="宋体" w:hAnsi="宋体" w:cs="宋体" w:eastAsia="宋体" w:hint="default"/>
                <w:spacing w:val="-3"/>
                <w:sz w:val="18"/>
                <w:szCs w:val="18"/>
              </w:rPr>
              <w:t>会议通过的使用闲置募集资金进行现金管理的额度由 </w:t>
            </w:r>
            <w:r>
              <w:rPr>
                <w:rFonts w:ascii="Times New Roman" w:hAnsi="Times New Roman" w:cs="Times New Roman" w:eastAsia="Times New Roman" w:hint="default"/>
                <w:sz w:val="18"/>
                <w:szCs w:val="18"/>
              </w:rPr>
              <w:t>16,000 </w:t>
            </w:r>
            <w:r>
              <w:rPr>
                <w:rFonts w:ascii="宋体" w:hAnsi="宋体" w:cs="宋体" w:eastAsia="宋体" w:hint="default"/>
                <w:sz w:val="18"/>
                <w:szCs w:val="18"/>
              </w:rPr>
              <w:t>万元调整为 </w:t>
            </w:r>
            <w:r>
              <w:rPr>
                <w:rFonts w:ascii="Times New Roman" w:hAnsi="Times New Roman" w:cs="Times New Roman" w:eastAsia="Times New Roman" w:hint="default"/>
                <w:sz w:val="18"/>
                <w:szCs w:val="18"/>
              </w:rPr>
              <w:t>17,000 </w:t>
            </w:r>
            <w:r>
              <w:rPr>
                <w:rFonts w:ascii="宋体" w:hAnsi="宋体" w:cs="宋体" w:eastAsia="宋体" w:hint="default"/>
                <w:spacing w:val="-3"/>
                <w:sz w:val="18"/>
                <w:szCs w:val="18"/>
              </w:rPr>
              <w:t>万元，授权有效期及循环滚动累</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pacing w:val="-3"/>
                <w:sz w:val="18"/>
                <w:szCs w:val="18"/>
              </w:rPr>
              <w:t>计发生额等其他权限维持原有标准不变。</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right="0"/>
        <w:jc w:val="left"/>
        <w:rPr>
          <w:b w:val="0"/>
          <w:bCs w:val="0"/>
        </w:rPr>
      </w:pPr>
      <w:bookmarkStart w:name="（3）募集资金变更项目情况" w:id="52"/>
      <w:bookmarkEnd w:id="52"/>
      <w:r>
        <w:rPr>
          <w:b w:val="0"/>
          <w:bCs w:val="0"/>
        </w:rPr>
      </w:r>
      <w:r>
        <w:rPr/>
        <w:t>（</w:t>
      </w:r>
      <w:r>
        <w:rPr>
          <w:rFonts w:ascii="Times New Roman" w:hAnsi="Times New Roman" w:cs="Times New Roman" w:eastAsia="Times New Roman" w:hint="default"/>
        </w:rPr>
        <w:t>3</w:t>
      </w:r>
      <w:r>
        <w:rPr/>
        <w:t>）募集资金变更项目情况</w:t>
      </w:r>
      <w:r>
        <w:rPr>
          <w:b w:val="0"/>
          <w:bCs w:val="0"/>
        </w:rPr>
      </w:r>
    </w:p>
    <w:p>
      <w:pPr>
        <w:spacing w:line="240" w:lineRule="auto" w:before="1"/>
        <w:rPr>
          <w:rFonts w:ascii="宋体" w:hAnsi="宋体" w:cs="宋体" w:eastAsia="宋体" w:hint="default"/>
          <w:b/>
          <w:bCs/>
          <w:sz w:val="27"/>
          <w:szCs w:val="27"/>
        </w:rPr>
      </w:pPr>
    </w:p>
    <w:p>
      <w:pPr>
        <w:pStyle w:val="BodyText"/>
        <w:spacing w:line="410" w:lineRule="auto"/>
        <w:ind w:left="513" w:right="6680" w:hanging="36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3"/>
        </w:rPr>
        <w:t>公司报告期不存在募集资金变更项目情况。</w:t>
      </w:r>
    </w:p>
    <w:p>
      <w:pPr>
        <w:pStyle w:val="BodyText"/>
        <w:spacing w:line="470" w:lineRule="auto" w:before="107"/>
        <w:ind w:right="1122" w:firstLine="360"/>
        <w:jc w:val="both"/>
      </w:pPr>
      <w:r>
        <w:rPr/>
        <w:t>期后，公司分别于</w:t>
      </w:r>
      <w:r>
        <w:rPr>
          <w:spacing w:val="-42"/>
        </w:rPr>
        <w:t> </w:t>
      </w:r>
      <w:r>
        <w:rPr>
          <w:rFonts w:ascii="Times New Roman" w:hAnsi="Times New Roman" w:cs="Times New Roman" w:eastAsia="Times New Roman" w:hint="default"/>
        </w:rPr>
        <w:t>2020</w:t>
      </w:r>
      <w:r>
        <w:rPr>
          <w:rFonts w:ascii="Times New Roman" w:hAnsi="Times New Roman" w:cs="Times New Roman" w:eastAsia="Times New Roman" w:hint="default"/>
          <w:spacing w:val="3"/>
        </w:rPr>
        <w:t> </w:t>
      </w:r>
      <w:r>
        <w:rPr/>
        <w:t>年</w:t>
      </w:r>
      <w:r>
        <w:rPr>
          <w:spacing w:val="-42"/>
        </w:rPr>
        <w:t> </w:t>
      </w:r>
      <w:r>
        <w:rPr>
          <w:rFonts w:ascii="Times New Roman" w:hAnsi="Times New Roman" w:cs="Times New Roman" w:eastAsia="Times New Roman" w:hint="default"/>
        </w:rPr>
        <w:t>4</w:t>
      </w:r>
      <w:r>
        <w:rPr>
          <w:rFonts w:ascii="Times New Roman" w:hAnsi="Times New Roman" w:cs="Times New Roman" w:eastAsia="Times New Roman" w:hint="default"/>
          <w:spacing w:val="3"/>
        </w:rPr>
        <w:t> </w:t>
      </w:r>
      <w:r>
        <w:rPr/>
        <w:t>月</w:t>
      </w:r>
      <w:r>
        <w:rPr>
          <w:spacing w:val="-42"/>
        </w:rPr>
        <w:t> </w:t>
      </w:r>
      <w:r>
        <w:rPr>
          <w:rFonts w:ascii="Times New Roman" w:hAnsi="Times New Roman" w:cs="Times New Roman" w:eastAsia="Times New Roman" w:hint="default"/>
        </w:rPr>
        <w:t>8</w:t>
      </w:r>
      <w:r>
        <w:rPr>
          <w:rFonts w:ascii="Times New Roman" w:hAnsi="Times New Roman" w:cs="Times New Roman" w:eastAsia="Times New Roman" w:hint="default"/>
          <w:spacing w:val="-3"/>
        </w:rPr>
        <w:t> </w:t>
      </w:r>
      <w:r>
        <w:rPr/>
        <w:t>日、</w:t>
      </w:r>
      <w:r>
        <w:rPr>
          <w:rFonts w:ascii="Times New Roman" w:hAnsi="Times New Roman" w:cs="Times New Roman" w:eastAsia="Times New Roman" w:hint="default"/>
        </w:rPr>
        <w:t>2020</w:t>
      </w:r>
      <w:r>
        <w:rPr>
          <w:rFonts w:ascii="Times New Roman" w:hAnsi="Times New Roman" w:cs="Times New Roman" w:eastAsia="Times New Roman" w:hint="default"/>
          <w:spacing w:val="3"/>
        </w:rPr>
        <w:t> </w:t>
      </w:r>
      <w:r>
        <w:rPr/>
        <w:t>年</w:t>
      </w:r>
      <w:r>
        <w:rPr>
          <w:spacing w:val="-42"/>
        </w:rPr>
        <w:t> </w:t>
      </w:r>
      <w:r>
        <w:rPr>
          <w:rFonts w:ascii="Times New Roman" w:hAnsi="Times New Roman" w:cs="Times New Roman" w:eastAsia="Times New Roman" w:hint="default"/>
        </w:rPr>
        <w:t>4</w:t>
      </w:r>
      <w:r>
        <w:rPr>
          <w:rFonts w:ascii="Times New Roman" w:hAnsi="Times New Roman" w:cs="Times New Roman" w:eastAsia="Times New Roman" w:hint="default"/>
          <w:spacing w:val="3"/>
        </w:rPr>
        <w:t> </w:t>
      </w:r>
      <w:r>
        <w:rPr/>
        <w:t>月</w:t>
      </w:r>
      <w:r>
        <w:rPr>
          <w:spacing w:val="-42"/>
        </w:rPr>
        <w:t> </w:t>
      </w:r>
      <w:r>
        <w:rPr>
          <w:rFonts w:ascii="Times New Roman" w:hAnsi="Times New Roman" w:cs="Times New Roman" w:eastAsia="Times New Roman" w:hint="default"/>
        </w:rPr>
        <w:t>24</w:t>
      </w:r>
      <w:r>
        <w:rPr>
          <w:rFonts w:ascii="Times New Roman" w:hAnsi="Times New Roman" w:cs="Times New Roman" w:eastAsia="Times New Roman" w:hint="default"/>
          <w:spacing w:val="-3"/>
        </w:rPr>
        <w:t> </w:t>
      </w:r>
      <w:r>
        <w:rPr/>
        <w:t>日召开第四届董事会第二十一次会议、</w:t>
      </w:r>
      <w:r>
        <w:rPr>
          <w:rFonts w:ascii="Times New Roman" w:hAnsi="Times New Roman" w:cs="Times New Roman" w:eastAsia="Times New Roman" w:hint="default"/>
        </w:rPr>
        <w:t>2020</w:t>
      </w:r>
      <w:r>
        <w:rPr>
          <w:rFonts w:ascii="Times New Roman" w:hAnsi="Times New Roman" w:cs="Times New Roman" w:eastAsia="Times New Roman" w:hint="default"/>
          <w:spacing w:val="-3"/>
        </w:rPr>
        <w:t> </w:t>
      </w:r>
      <w:r>
        <w:rPr>
          <w:spacing w:val="-3"/>
        </w:rPr>
        <w:t>年第一次临时股东大</w:t>
      </w:r>
      <w:r>
        <w:rPr>
          <w:w w:val="101"/>
        </w:rPr>
        <w:t> </w:t>
      </w:r>
      <w:r>
        <w:rPr>
          <w:spacing w:val="-8"/>
          <w:w w:val="101"/>
        </w:rPr>
        <w:t>会，审议通过了《关于变更募集资金用途的议案》，公司为了适应行业发展趋势和市场环境的变化，已经进行新的业务规划，</w:t>
      </w:r>
      <w:r>
        <w:rPr>
          <w:spacing w:val="-52"/>
          <w:w w:val="101"/>
        </w:rPr>
        <w:t> </w:t>
      </w:r>
      <w:r>
        <w:rPr>
          <w:spacing w:val="-52"/>
          <w:w w:val="101"/>
        </w:rPr>
      </w:r>
      <w:r>
        <w:rPr>
          <w:spacing w:val="-8"/>
          <w:w w:val="101"/>
        </w:rPr>
        <w:t>并拟通过非公开发行股票募集资金实现公司战略发展规划。为更科学、审慎和有效的使用募集资金，防范募集资金投资风险，</w:t>
      </w:r>
      <w:r>
        <w:rPr>
          <w:spacing w:val="-53"/>
          <w:w w:val="101"/>
        </w:rPr>
        <w:t> </w:t>
      </w:r>
      <w:r>
        <w:rPr>
          <w:spacing w:val="-53"/>
          <w:w w:val="101"/>
        </w:rPr>
      </w:r>
      <w:r>
        <w:rPr>
          <w:spacing w:val="-4"/>
        </w:rPr>
        <w:t>促进公司业务长期稳定发展，保护公司及全体股东利益，经充分研究和论证，公司决定终止原银行数据分析应用系统建设项</w:t>
      </w:r>
      <w:r>
        <w:rPr>
          <w:spacing w:val="45"/>
        </w:rPr>
        <w:t> </w:t>
      </w:r>
      <w:r>
        <w:rPr>
          <w:spacing w:val="45"/>
        </w:rPr>
      </w:r>
      <w:r>
        <w:rPr>
          <w:spacing w:val="-3"/>
        </w:rPr>
        <w:t>目，并将尚未使用的剩余募集资金用于银行数字化转型解决方案项目、银行智能设备产业化项目和研发中心项目建设。</w:t>
      </w:r>
    </w:p>
    <w:p>
      <w:pPr>
        <w:spacing w:line="240" w:lineRule="auto" w:before="0"/>
        <w:rPr>
          <w:rFonts w:ascii="宋体" w:hAnsi="宋体" w:cs="宋体" w:eastAsia="宋体" w:hint="default"/>
          <w:sz w:val="17"/>
          <w:szCs w:val="17"/>
        </w:rPr>
      </w:pPr>
    </w:p>
    <w:p>
      <w:pPr>
        <w:pStyle w:val="Heading2"/>
        <w:spacing w:line="240" w:lineRule="auto"/>
        <w:ind w:right="0"/>
        <w:jc w:val="left"/>
        <w:rPr>
          <w:b w:val="0"/>
          <w:bCs w:val="0"/>
        </w:rPr>
      </w:pPr>
      <w:bookmarkStart w:name="六、重大资产和股权出售" w:id="53"/>
      <w:bookmarkEnd w:id="53"/>
      <w:r>
        <w:rPr>
          <w:b w:val="0"/>
          <w:bCs w:val="0"/>
        </w:rPr>
      </w:r>
      <w:r>
        <w:rPr/>
        <w:t>六、重大资产和股权出售</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left"/>
        <w:rPr>
          <w:b w:val="0"/>
          <w:bCs w:val="0"/>
        </w:rPr>
      </w:pPr>
      <w:bookmarkStart w:name="1、出售重大资产情况" w:id="54"/>
      <w:bookmarkEnd w:id="54"/>
      <w:r>
        <w:rPr>
          <w:b w:val="0"/>
          <w:bCs w:val="0"/>
        </w:rPr>
      </w:r>
      <w:r>
        <w:rPr>
          <w:rFonts w:ascii="Times New Roman" w:hAnsi="Times New Roman" w:cs="Times New Roman" w:eastAsia="Times New Roman" w:hint="default"/>
        </w:rPr>
        <w:t>1</w:t>
      </w:r>
      <w:r>
        <w:rPr/>
        <w:t>、出售重大资产情况</w:t>
      </w:r>
      <w:r>
        <w:rPr>
          <w:b w:val="0"/>
          <w:bCs w:val="0"/>
        </w:rPr>
      </w:r>
    </w:p>
    <w:p>
      <w:pPr>
        <w:spacing w:line="240" w:lineRule="auto" w:before="1"/>
        <w:rPr>
          <w:rFonts w:ascii="宋体" w:hAnsi="宋体" w:cs="宋体" w:eastAsia="宋体" w:hint="default"/>
          <w:b/>
          <w:bCs/>
          <w:sz w:val="27"/>
          <w:szCs w:val="27"/>
        </w:rPr>
      </w:pPr>
    </w:p>
    <w:p>
      <w:pPr>
        <w:pStyle w:val="BodyText"/>
        <w:spacing w:line="412" w:lineRule="auto"/>
        <w:ind w:left="513" w:right="7565" w:hanging="36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3"/>
        </w:rPr>
        <w:t>公司报告期未出售重大资产。</w:t>
      </w:r>
    </w:p>
    <w:p>
      <w:pPr>
        <w:spacing w:line="240" w:lineRule="auto" w:before="13"/>
        <w:rPr>
          <w:rFonts w:ascii="宋体" w:hAnsi="宋体" w:cs="宋体" w:eastAsia="宋体" w:hint="default"/>
          <w:sz w:val="22"/>
          <w:szCs w:val="22"/>
        </w:rPr>
      </w:pPr>
    </w:p>
    <w:p>
      <w:pPr>
        <w:pStyle w:val="Heading3"/>
        <w:spacing w:line="240" w:lineRule="auto"/>
        <w:ind w:right="0"/>
        <w:jc w:val="left"/>
        <w:rPr>
          <w:b w:val="0"/>
          <w:bCs w:val="0"/>
        </w:rPr>
      </w:pPr>
      <w:bookmarkStart w:name="2、出售重大股权情况" w:id="55"/>
      <w:bookmarkEnd w:id="55"/>
      <w:r>
        <w:rPr>
          <w:b w:val="0"/>
          <w:bCs w:val="0"/>
        </w:rPr>
      </w:r>
      <w:r>
        <w:rPr>
          <w:rFonts w:ascii="Times New Roman" w:hAnsi="Times New Roman" w:cs="Times New Roman" w:eastAsia="Times New Roman" w:hint="default"/>
        </w:rPr>
        <w:t>2</w:t>
      </w:r>
      <w:r>
        <w:rPr/>
        <w:t>、出售重大股权情况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4"/>
        <w:rPr>
          <w:rFonts w:ascii="宋体" w:hAnsi="宋体" w:cs="宋体" w:eastAsia="宋体" w:hint="default"/>
          <w:sz w:val="23"/>
          <w:szCs w:val="23"/>
        </w:rPr>
      </w:pPr>
    </w:p>
    <w:p>
      <w:pPr>
        <w:pStyle w:val="Heading2"/>
        <w:spacing w:line="240" w:lineRule="auto"/>
        <w:ind w:right="0"/>
        <w:jc w:val="left"/>
        <w:rPr>
          <w:b w:val="0"/>
          <w:bCs w:val="0"/>
        </w:rPr>
      </w:pPr>
      <w:bookmarkStart w:name="七、主要控股参股公司分析" w:id="56"/>
      <w:bookmarkEnd w:id="56"/>
      <w:r>
        <w:rPr>
          <w:b w:val="0"/>
          <w:bCs w:val="0"/>
        </w:rPr>
      </w:r>
      <w:r>
        <w:rPr/>
        <w:t>七、主要控股参股公司分析</w:t>
      </w:r>
      <w:r>
        <w:rPr>
          <w:b w:val="0"/>
          <w:bCs w:val="0"/>
        </w:rPr>
      </w:r>
    </w:p>
    <w:p>
      <w:pPr>
        <w:spacing w:line="240" w:lineRule="auto" w:before="0"/>
        <w:rPr>
          <w:rFonts w:ascii="宋体" w:hAnsi="宋体" w:cs="宋体" w:eastAsia="宋体" w:hint="default"/>
          <w:b/>
          <w:bCs/>
          <w:sz w:val="24"/>
          <w:szCs w:val="24"/>
        </w:rPr>
      </w:pPr>
    </w:p>
    <w:p>
      <w:pPr>
        <w:spacing w:after="0" w:line="240" w:lineRule="auto"/>
        <w:rPr>
          <w:rFonts w:ascii="宋体" w:hAnsi="宋体" w:cs="宋体" w:eastAsia="宋体" w:hint="default"/>
          <w:sz w:val="24"/>
          <w:szCs w:val="24"/>
        </w:rPr>
        <w:sectPr>
          <w:pgSz w:w="11910" w:h="16840"/>
          <w:pgMar w:header="871" w:footer="1186" w:top="1100" w:bottom="1380" w:left="980" w:right="0"/>
        </w:sectPr>
      </w:pPr>
    </w:p>
    <w:p>
      <w:pPr>
        <w:pStyle w:val="BodyText"/>
        <w:spacing w:line="240" w:lineRule="auto" w:before="46"/>
        <w:ind w:right="-16"/>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pStyle w:val="BodyText"/>
        <w:spacing w:line="240" w:lineRule="auto" w:before="101"/>
        <w:ind w:right="-16"/>
        <w:jc w:val="left"/>
      </w:pPr>
      <w:r>
        <w:rPr/>
        <w:t>主要子公司及对公司净利润影响达</w:t>
      </w:r>
      <w:r>
        <w:rPr>
          <w:spacing w:val="-8"/>
        </w:rPr>
        <w:t> </w:t>
      </w:r>
      <w:r>
        <w:rPr>
          <w:rFonts w:ascii="Times New Roman" w:hAnsi="Times New Roman" w:cs="Times New Roman" w:eastAsia="Times New Roman" w:hint="default"/>
          <w:spacing w:val="-3"/>
        </w:rPr>
        <w:t>10%</w:t>
      </w:r>
      <w:r>
        <w:rPr>
          <w:spacing w:val="-3"/>
        </w:rPr>
        <w:t>以上的参股公司情况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单位：元</w:t>
      </w:r>
    </w:p>
    <w:p>
      <w:pPr>
        <w:spacing w:after="0" w:line="240" w:lineRule="auto"/>
        <w:jc w:val="left"/>
        <w:sectPr>
          <w:type w:val="continuous"/>
          <w:pgSz w:w="11910" w:h="16840"/>
          <w:pgMar w:top="1580" w:bottom="700" w:left="980" w:right="0"/>
          <w:cols w:num="2" w:equalWidth="0">
            <w:col w:w="4854" w:space="4068"/>
            <w:col w:w="2008"/>
          </w:cols>
        </w:sectPr>
      </w:pPr>
    </w:p>
    <w:p>
      <w:pPr>
        <w:spacing w:line="240" w:lineRule="auto" w:before="10"/>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057"/>
        <w:gridCol w:w="1196"/>
        <w:gridCol w:w="1042"/>
        <w:gridCol w:w="1046"/>
        <w:gridCol w:w="1047"/>
        <w:gridCol w:w="1047"/>
        <w:gridCol w:w="1047"/>
        <w:gridCol w:w="1042"/>
        <w:gridCol w:w="1046"/>
      </w:tblGrid>
      <w:tr>
        <w:trPr>
          <w:trHeight w:val="401" w:hRule="exact"/>
        </w:trPr>
        <w:tc>
          <w:tcPr>
            <w:tcW w:w="1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63"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35" w:right="0"/>
              <w:jc w:val="left"/>
              <w:rPr>
                <w:rFonts w:ascii="宋体" w:hAnsi="宋体" w:cs="宋体" w:eastAsia="宋体" w:hint="default"/>
                <w:sz w:val="18"/>
                <w:szCs w:val="18"/>
              </w:rPr>
            </w:pPr>
            <w:r>
              <w:rPr>
                <w:rFonts w:ascii="宋体" w:hAnsi="宋体" w:cs="宋体" w:eastAsia="宋体" w:hint="default"/>
                <w:sz w:val="18"/>
                <w:szCs w:val="18"/>
              </w:rPr>
              <w:t>公司类型</w:t>
            </w:r>
          </w:p>
        </w:tc>
        <w:tc>
          <w:tcPr>
            <w:tcW w:w="10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58" w:right="0"/>
              <w:jc w:val="left"/>
              <w:rPr>
                <w:rFonts w:ascii="宋体" w:hAnsi="宋体" w:cs="宋体" w:eastAsia="宋体" w:hint="default"/>
                <w:sz w:val="18"/>
                <w:szCs w:val="18"/>
              </w:rPr>
            </w:pPr>
            <w:r>
              <w:rPr>
                <w:rFonts w:ascii="宋体" w:hAnsi="宋体" w:cs="宋体" w:eastAsia="宋体" w:hint="default"/>
                <w:sz w:val="18"/>
                <w:szCs w:val="18"/>
              </w:rPr>
              <w:t>主要业务</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63"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0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49" w:right="0"/>
              <w:jc w:val="left"/>
              <w:rPr>
                <w:rFonts w:ascii="宋体" w:hAnsi="宋体" w:cs="宋体" w:eastAsia="宋体" w:hint="default"/>
                <w:sz w:val="18"/>
                <w:szCs w:val="18"/>
              </w:rPr>
            </w:pPr>
            <w:r>
              <w:rPr>
                <w:rFonts w:ascii="宋体" w:hAnsi="宋体" w:cs="宋体" w:eastAsia="宋体" w:hint="default"/>
                <w:sz w:val="18"/>
                <w:szCs w:val="18"/>
              </w:rPr>
              <w:t>总资产</w:t>
            </w:r>
          </w:p>
        </w:tc>
        <w:tc>
          <w:tcPr>
            <w:tcW w:w="10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49"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10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58"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58" w:right="0"/>
              <w:jc w:val="left"/>
              <w:rPr>
                <w:rFonts w:ascii="宋体" w:hAnsi="宋体" w:cs="宋体" w:eastAsia="宋体" w:hint="default"/>
                <w:sz w:val="18"/>
                <w:szCs w:val="18"/>
              </w:rPr>
            </w:pPr>
            <w:r>
              <w:rPr>
                <w:rFonts w:ascii="宋体" w:hAnsi="宋体" w:cs="宋体" w:eastAsia="宋体" w:hint="default"/>
                <w:sz w:val="18"/>
                <w:szCs w:val="18"/>
              </w:rPr>
              <w:t>营业利润</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49" w:right="0"/>
              <w:jc w:val="left"/>
              <w:rPr>
                <w:rFonts w:ascii="宋体" w:hAnsi="宋体" w:cs="宋体" w:eastAsia="宋体" w:hint="default"/>
                <w:sz w:val="18"/>
                <w:szCs w:val="18"/>
              </w:rPr>
            </w:pPr>
            <w:r>
              <w:rPr>
                <w:rFonts w:ascii="宋体" w:hAnsi="宋体" w:cs="宋体" w:eastAsia="宋体" w:hint="default"/>
                <w:sz w:val="18"/>
                <w:szCs w:val="18"/>
              </w:rPr>
              <w:t>净利润</w:t>
            </w:r>
          </w:p>
        </w:tc>
      </w:tr>
      <w:tr>
        <w:trPr>
          <w:trHeight w:val="1652" w:hRule="exact"/>
        </w:trPr>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21" w:lineRule="auto" w:before="130"/>
              <w:ind w:left="24" w:right="18"/>
              <w:jc w:val="both"/>
              <w:rPr>
                <w:rFonts w:ascii="宋体" w:hAnsi="宋体" w:cs="宋体" w:eastAsia="宋体" w:hint="default"/>
                <w:sz w:val="18"/>
                <w:szCs w:val="18"/>
              </w:rPr>
            </w:pPr>
            <w:r>
              <w:rPr>
                <w:rFonts w:ascii="宋体" w:hAnsi="宋体" w:cs="宋体" w:eastAsia="宋体" w:hint="default"/>
                <w:sz w:val="18"/>
                <w:szCs w:val="18"/>
              </w:rPr>
              <w:t>北</w:t>
            </w:r>
            <w:r>
              <w:rPr>
                <w:rFonts w:ascii="宋体" w:hAnsi="宋体" w:cs="宋体" w:eastAsia="宋体" w:hint="default"/>
                <w:spacing w:val="-64"/>
                <w:sz w:val="18"/>
                <w:szCs w:val="18"/>
              </w:rPr>
              <w:t> </w:t>
            </w:r>
            <w:r>
              <w:rPr>
                <w:rFonts w:ascii="宋体" w:hAnsi="宋体" w:cs="宋体" w:eastAsia="宋体" w:hint="default"/>
                <w:sz w:val="18"/>
                <w:szCs w:val="18"/>
              </w:rPr>
              <w:t>京</w:t>
            </w:r>
            <w:r>
              <w:rPr>
                <w:rFonts w:ascii="宋体" w:hAnsi="宋体" w:cs="宋体" w:eastAsia="宋体" w:hint="default"/>
                <w:spacing w:val="-64"/>
                <w:sz w:val="18"/>
                <w:szCs w:val="18"/>
              </w:rPr>
              <w:t> </w:t>
            </w:r>
            <w:r>
              <w:rPr>
                <w:rFonts w:ascii="宋体" w:hAnsi="宋体" w:cs="宋体" w:eastAsia="宋体" w:hint="default"/>
                <w:spacing w:val="8"/>
                <w:sz w:val="18"/>
                <w:szCs w:val="18"/>
              </w:rPr>
              <w:t>亿美</w:t>
            </w:r>
            <w:r>
              <w:rPr>
                <w:rFonts w:ascii="宋体" w:hAnsi="宋体" w:cs="宋体" w:eastAsia="宋体" w:hint="default"/>
                <w:spacing w:val="-64"/>
                <w:sz w:val="18"/>
                <w:szCs w:val="18"/>
              </w:rPr>
              <w:t> </w:t>
            </w:r>
            <w:r>
              <w:rPr>
                <w:rFonts w:ascii="宋体" w:hAnsi="宋体" w:cs="宋体" w:eastAsia="宋体" w:hint="default"/>
                <w:sz w:val="18"/>
                <w:szCs w:val="18"/>
              </w:rPr>
              <w:t>软</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通</w:t>
            </w:r>
            <w:r>
              <w:rPr>
                <w:rFonts w:ascii="宋体" w:hAnsi="宋体" w:cs="宋体" w:eastAsia="宋体" w:hint="default"/>
                <w:spacing w:val="-64"/>
                <w:sz w:val="18"/>
                <w:szCs w:val="18"/>
              </w:rPr>
              <w:t> </w:t>
            </w:r>
            <w:r>
              <w:rPr>
                <w:rFonts w:ascii="宋体" w:hAnsi="宋体" w:cs="宋体" w:eastAsia="宋体" w:hint="default"/>
                <w:sz w:val="18"/>
                <w:szCs w:val="18"/>
              </w:rPr>
              <w:t>科</w:t>
            </w:r>
            <w:r>
              <w:rPr>
                <w:rFonts w:ascii="宋体" w:hAnsi="宋体" w:cs="宋体" w:eastAsia="宋体" w:hint="default"/>
                <w:spacing w:val="-64"/>
                <w:sz w:val="18"/>
                <w:szCs w:val="18"/>
              </w:rPr>
              <w:t> </w:t>
            </w:r>
            <w:r>
              <w:rPr>
                <w:rFonts w:ascii="宋体" w:hAnsi="宋体" w:cs="宋体" w:eastAsia="宋体" w:hint="default"/>
                <w:spacing w:val="8"/>
                <w:sz w:val="18"/>
                <w:szCs w:val="18"/>
              </w:rPr>
              <w:t>技有</w:t>
            </w:r>
            <w:r>
              <w:rPr>
                <w:rFonts w:ascii="宋体" w:hAnsi="宋体" w:cs="宋体" w:eastAsia="宋体" w:hint="default"/>
                <w:spacing w:val="-64"/>
                <w:sz w:val="18"/>
                <w:szCs w:val="18"/>
              </w:rPr>
              <w:t> </w:t>
            </w:r>
            <w:r>
              <w:rPr>
                <w:rFonts w:ascii="宋体" w:hAnsi="宋体" w:cs="宋体" w:eastAsia="宋体" w:hint="default"/>
                <w:sz w:val="18"/>
                <w:szCs w:val="18"/>
              </w:rPr>
              <w:t>限</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3" w:right="13"/>
              <w:jc w:val="both"/>
              <w:rPr>
                <w:rFonts w:ascii="宋体" w:hAnsi="宋体" w:cs="宋体" w:eastAsia="宋体" w:hint="default"/>
                <w:sz w:val="18"/>
                <w:szCs w:val="18"/>
              </w:rPr>
            </w:pPr>
            <w:r>
              <w:rPr>
                <w:rFonts w:ascii="宋体" w:hAnsi="宋体" w:cs="宋体" w:eastAsia="宋体" w:hint="default"/>
                <w:spacing w:val="11"/>
                <w:sz w:val="18"/>
                <w:szCs w:val="18"/>
              </w:rPr>
              <w:t>为国内</w:t>
            </w:r>
            <w:r>
              <w:rPr>
                <w:rFonts w:ascii="宋体" w:hAnsi="宋体" w:cs="宋体" w:eastAsia="宋体" w:hint="default"/>
                <w:spacing w:val="-58"/>
                <w:sz w:val="18"/>
                <w:szCs w:val="18"/>
              </w:rPr>
              <w:t> </w:t>
            </w:r>
            <w:r>
              <w:rPr>
                <w:rFonts w:ascii="宋体" w:hAnsi="宋体" w:cs="宋体" w:eastAsia="宋体" w:hint="default"/>
                <w:spacing w:val="8"/>
                <w:sz w:val="18"/>
                <w:szCs w:val="18"/>
              </w:rPr>
              <w:t>外企</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11"/>
                <w:sz w:val="18"/>
                <w:szCs w:val="18"/>
              </w:rPr>
              <w:t>业提供</w:t>
            </w:r>
            <w:r>
              <w:rPr>
                <w:rFonts w:ascii="宋体" w:hAnsi="宋体" w:cs="宋体" w:eastAsia="宋体" w:hint="default"/>
                <w:spacing w:val="-58"/>
                <w:sz w:val="18"/>
                <w:szCs w:val="18"/>
              </w:rPr>
              <w:t> </w:t>
            </w:r>
            <w:r>
              <w:rPr>
                <w:rFonts w:ascii="宋体" w:hAnsi="宋体" w:cs="宋体" w:eastAsia="宋体" w:hint="default"/>
                <w:spacing w:val="8"/>
                <w:sz w:val="18"/>
                <w:szCs w:val="18"/>
              </w:rPr>
              <w:t>移动</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11"/>
                <w:sz w:val="18"/>
                <w:szCs w:val="18"/>
              </w:rPr>
              <w:t>通讯服</w:t>
            </w:r>
            <w:r>
              <w:rPr>
                <w:rFonts w:ascii="宋体" w:hAnsi="宋体" w:cs="宋体" w:eastAsia="宋体" w:hint="default"/>
                <w:spacing w:val="-58"/>
                <w:sz w:val="18"/>
                <w:szCs w:val="18"/>
              </w:rPr>
              <w:t> </w:t>
            </w:r>
            <w:r>
              <w:rPr>
                <w:rFonts w:ascii="宋体" w:hAnsi="宋体" w:cs="宋体" w:eastAsia="宋体" w:hint="default"/>
                <w:spacing w:val="8"/>
                <w:sz w:val="18"/>
                <w:szCs w:val="18"/>
              </w:rPr>
              <w:t>务和</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11"/>
                <w:sz w:val="18"/>
                <w:szCs w:val="18"/>
              </w:rPr>
              <w:t>移动互</w:t>
            </w:r>
            <w:r>
              <w:rPr>
                <w:rFonts w:ascii="宋体" w:hAnsi="宋体" w:cs="宋体" w:eastAsia="宋体" w:hint="default"/>
                <w:spacing w:val="-58"/>
                <w:sz w:val="18"/>
                <w:szCs w:val="18"/>
              </w:rPr>
              <w:t> </w:t>
            </w:r>
            <w:r>
              <w:rPr>
                <w:rFonts w:ascii="宋体" w:hAnsi="宋体" w:cs="宋体" w:eastAsia="宋体" w:hint="default"/>
                <w:spacing w:val="8"/>
                <w:sz w:val="18"/>
                <w:szCs w:val="18"/>
              </w:rPr>
              <w:t>联网</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应用服务。</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200,000,000.</w:t>
            </w:r>
          </w:p>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z w:val="18"/>
              </w:rPr>
              <w:t>00</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566,480,977.</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15</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309,534,042.</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77</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633,002,221.</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67</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50,277,895.6</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43,240,122.9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580" w:bottom="700" w:left="980" w:right="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1057"/>
        <w:gridCol w:w="1196"/>
        <w:gridCol w:w="1042"/>
        <w:gridCol w:w="1046"/>
        <w:gridCol w:w="1047"/>
        <w:gridCol w:w="1047"/>
        <w:gridCol w:w="1047"/>
        <w:gridCol w:w="1042"/>
        <w:gridCol w:w="1046"/>
      </w:tblGrid>
      <w:tr>
        <w:trPr>
          <w:trHeight w:val="1027" w:hRule="exact"/>
        </w:trPr>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18"/>
              <w:jc w:val="both"/>
              <w:rPr>
                <w:rFonts w:ascii="宋体" w:hAnsi="宋体" w:cs="宋体" w:eastAsia="宋体" w:hint="default"/>
                <w:sz w:val="18"/>
                <w:szCs w:val="18"/>
              </w:rPr>
            </w:pPr>
            <w:r>
              <w:rPr>
                <w:rFonts w:ascii="宋体" w:hAnsi="宋体" w:cs="宋体" w:eastAsia="宋体" w:hint="default"/>
                <w:sz w:val="18"/>
                <w:szCs w:val="18"/>
              </w:rPr>
              <w:t>北</w:t>
            </w:r>
            <w:r>
              <w:rPr>
                <w:rFonts w:ascii="宋体" w:hAnsi="宋体" w:cs="宋体" w:eastAsia="宋体" w:hint="default"/>
                <w:spacing w:val="-64"/>
                <w:sz w:val="18"/>
                <w:szCs w:val="18"/>
              </w:rPr>
              <w:t> </w:t>
            </w:r>
            <w:r>
              <w:rPr>
                <w:rFonts w:ascii="宋体" w:hAnsi="宋体" w:cs="宋体" w:eastAsia="宋体" w:hint="default"/>
                <w:sz w:val="18"/>
                <w:szCs w:val="18"/>
              </w:rPr>
              <w:t>京</w:t>
            </w:r>
            <w:r>
              <w:rPr>
                <w:rFonts w:ascii="宋体" w:hAnsi="宋体" w:cs="宋体" w:eastAsia="宋体" w:hint="default"/>
                <w:spacing w:val="-64"/>
                <w:sz w:val="18"/>
                <w:szCs w:val="18"/>
              </w:rPr>
              <w:t> </w:t>
            </w:r>
            <w:r>
              <w:rPr>
                <w:rFonts w:ascii="宋体" w:hAnsi="宋体" w:cs="宋体" w:eastAsia="宋体" w:hint="default"/>
                <w:spacing w:val="8"/>
                <w:sz w:val="18"/>
                <w:szCs w:val="18"/>
              </w:rPr>
              <w:t>杰智</w:t>
            </w:r>
            <w:r>
              <w:rPr>
                <w:rFonts w:ascii="宋体" w:hAnsi="宋体" w:cs="宋体" w:eastAsia="宋体" w:hint="default"/>
                <w:spacing w:val="-64"/>
                <w:sz w:val="18"/>
                <w:szCs w:val="18"/>
              </w:rPr>
              <w:t> </w:t>
            </w:r>
            <w:r>
              <w:rPr>
                <w:rFonts w:ascii="宋体" w:hAnsi="宋体" w:cs="宋体" w:eastAsia="宋体" w:hint="default"/>
                <w:sz w:val="18"/>
                <w:szCs w:val="18"/>
              </w:rPr>
              <w:t>融</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软</w:t>
            </w:r>
            <w:r>
              <w:rPr>
                <w:rFonts w:ascii="宋体" w:hAnsi="宋体" w:cs="宋体" w:eastAsia="宋体" w:hint="default"/>
                <w:spacing w:val="-64"/>
                <w:sz w:val="18"/>
                <w:szCs w:val="18"/>
              </w:rPr>
              <w:t> </w:t>
            </w:r>
            <w:r>
              <w:rPr>
                <w:rFonts w:ascii="宋体" w:hAnsi="宋体" w:cs="宋体" w:eastAsia="宋体" w:hint="default"/>
                <w:sz w:val="18"/>
                <w:szCs w:val="18"/>
              </w:rPr>
              <w:t>件</w:t>
            </w:r>
            <w:r>
              <w:rPr>
                <w:rFonts w:ascii="宋体" w:hAnsi="宋体" w:cs="宋体" w:eastAsia="宋体" w:hint="default"/>
                <w:spacing w:val="-64"/>
                <w:sz w:val="18"/>
                <w:szCs w:val="18"/>
              </w:rPr>
              <w:t> </w:t>
            </w:r>
            <w:r>
              <w:rPr>
                <w:rFonts w:ascii="宋体" w:hAnsi="宋体" w:cs="宋体" w:eastAsia="宋体" w:hint="default"/>
                <w:spacing w:val="8"/>
                <w:sz w:val="18"/>
                <w:szCs w:val="18"/>
              </w:rPr>
              <w:t>有限</w:t>
            </w:r>
            <w:r>
              <w:rPr>
                <w:rFonts w:ascii="宋体" w:hAnsi="宋体" w:cs="宋体" w:eastAsia="宋体" w:hint="default"/>
                <w:spacing w:val="-64"/>
                <w:sz w:val="18"/>
                <w:szCs w:val="18"/>
              </w:rPr>
              <w:t> </w:t>
            </w:r>
            <w:r>
              <w:rPr>
                <w:rFonts w:ascii="宋体" w:hAnsi="宋体" w:cs="宋体" w:eastAsia="宋体" w:hint="default"/>
                <w:sz w:val="18"/>
                <w:szCs w:val="18"/>
              </w:rPr>
              <w:t>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13"/>
              <w:jc w:val="both"/>
              <w:rPr>
                <w:rFonts w:ascii="宋体" w:hAnsi="宋体" w:cs="宋体" w:eastAsia="宋体" w:hint="default"/>
                <w:sz w:val="18"/>
                <w:szCs w:val="18"/>
              </w:rPr>
            </w:pPr>
            <w:r>
              <w:rPr>
                <w:rFonts w:ascii="宋体" w:hAnsi="宋体" w:cs="宋体" w:eastAsia="宋体" w:hint="default"/>
                <w:spacing w:val="11"/>
                <w:sz w:val="18"/>
                <w:szCs w:val="18"/>
              </w:rPr>
              <w:t>为金融</w:t>
            </w:r>
            <w:r>
              <w:rPr>
                <w:rFonts w:ascii="宋体" w:hAnsi="宋体" w:cs="宋体" w:eastAsia="宋体" w:hint="default"/>
                <w:spacing w:val="-58"/>
                <w:sz w:val="18"/>
                <w:szCs w:val="18"/>
              </w:rPr>
              <w:t> </w:t>
            </w:r>
            <w:r>
              <w:rPr>
                <w:rFonts w:ascii="宋体" w:hAnsi="宋体" w:cs="宋体" w:eastAsia="宋体" w:hint="default"/>
                <w:spacing w:val="8"/>
                <w:sz w:val="18"/>
                <w:szCs w:val="18"/>
              </w:rPr>
              <w:t>行业</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11"/>
                <w:sz w:val="18"/>
                <w:szCs w:val="18"/>
              </w:rPr>
              <w:t>提供数</w:t>
            </w:r>
            <w:r>
              <w:rPr>
                <w:rFonts w:ascii="宋体" w:hAnsi="宋体" w:cs="宋体" w:eastAsia="宋体" w:hint="default"/>
                <w:spacing w:val="-58"/>
                <w:sz w:val="18"/>
                <w:szCs w:val="18"/>
              </w:rPr>
              <w:t> </w:t>
            </w:r>
            <w:r>
              <w:rPr>
                <w:rFonts w:ascii="宋体" w:hAnsi="宋体" w:cs="宋体" w:eastAsia="宋体" w:hint="default"/>
                <w:spacing w:val="8"/>
                <w:sz w:val="18"/>
                <w:szCs w:val="18"/>
              </w:rPr>
              <w:t>字金</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融解决方案</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10,000,000.0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40,852,222.6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-1,948,801.6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8,938,246.11</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52" w:right="0"/>
              <w:jc w:val="center"/>
              <w:rPr>
                <w:rFonts w:ascii="Times New Roman" w:hAnsi="Times New Roman" w:cs="Times New Roman" w:eastAsia="Times New Roman" w:hint="default"/>
                <w:sz w:val="18"/>
                <w:szCs w:val="18"/>
              </w:rPr>
            </w:pPr>
            <w:r>
              <w:rPr>
                <w:rFonts w:ascii="Times New Roman"/>
                <w:sz w:val="18"/>
              </w:rPr>
              <w:t>2,442,560.90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47" w:right="0"/>
              <w:jc w:val="center"/>
              <w:rPr>
                <w:rFonts w:ascii="Times New Roman" w:hAnsi="Times New Roman" w:cs="Times New Roman" w:eastAsia="Times New Roman" w:hint="default"/>
                <w:sz w:val="18"/>
                <w:szCs w:val="18"/>
              </w:rPr>
            </w:pPr>
            <w:r>
              <w:rPr>
                <w:rFonts w:ascii="Times New Roman"/>
                <w:sz w:val="18"/>
              </w:rPr>
              <w:t>2,608,179.97</w:t>
            </w:r>
          </w:p>
        </w:tc>
      </w:tr>
      <w:tr>
        <w:trPr>
          <w:trHeight w:val="1335" w:hRule="exact"/>
        </w:trPr>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31"/>
              <w:ind w:left="24" w:right="17"/>
              <w:jc w:val="left"/>
              <w:rPr>
                <w:rFonts w:ascii="宋体" w:hAnsi="宋体" w:cs="宋体" w:eastAsia="宋体" w:hint="default"/>
                <w:sz w:val="18"/>
                <w:szCs w:val="18"/>
              </w:rPr>
            </w:pPr>
            <w:r>
              <w:rPr>
                <w:rFonts w:ascii="宋体" w:hAnsi="宋体" w:cs="宋体" w:eastAsia="宋体" w:hint="default"/>
                <w:w w:val="101"/>
                <w:sz w:val="18"/>
                <w:szCs w:val="18"/>
              </w:rPr>
              <w:t>安</w:t>
            </w:r>
            <w:r>
              <w:rPr>
                <w:rFonts w:ascii="宋体" w:hAnsi="宋体" w:cs="宋体" w:eastAsia="宋体" w:hint="default"/>
                <w:spacing w:val="-5"/>
                <w:w w:val="101"/>
                <w:sz w:val="18"/>
                <w:szCs w:val="18"/>
              </w:rPr>
              <w:t>科</w:t>
            </w:r>
            <w:r>
              <w:rPr>
                <w:rFonts w:ascii="宋体" w:hAnsi="宋体" w:cs="宋体" w:eastAsia="宋体" w:hint="default"/>
                <w:w w:val="101"/>
                <w:sz w:val="18"/>
                <w:szCs w:val="18"/>
              </w:rPr>
              <w:t>创</w:t>
            </w:r>
            <w:r>
              <w:rPr>
                <w:rFonts w:ascii="宋体" w:hAnsi="宋体" w:cs="宋体" w:eastAsia="宋体" w:hint="default"/>
                <w:spacing w:val="-87"/>
                <w:w w:val="101"/>
                <w:sz w:val="18"/>
                <w:szCs w:val="18"/>
              </w:rPr>
              <w:t>新</w:t>
            </w:r>
            <w:r>
              <w:rPr>
                <w:rFonts w:ascii="宋体" w:hAnsi="宋体" w:cs="宋体" w:eastAsia="宋体" w:hint="default"/>
                <w:w w:val="101"/>
                <w:sz w:val="18"/>
                <w:szCs w:val="18"/>
              </w:rPr>
              <w:t>（深</w:t>
            </w:r>
            <w:r>
              <w:rPr>
                <w:rFonts w:ascii="宋体" w:hAnsi="宋体" w:cs="宋体" w:eastAsia="宋体" w:hint="default"/>
                <w:w w:val="101"/>
                <w:sz w:val="18"/>
                <w:szCs w:val="18"/>
              </w:rPr>
              <w:t> 圳</w:t>
            </w:r>
            <w:r>
              <w:rPr>
                <w:rFonts w:ascii="宋体" w:hAnsi="宋体" w:cs="宋体" w:eastAsia="宋体" w:hint="default"/>
                <w:spacing w:val="-87"/>
                <w:w w:val="101"/>
                <w:sz w:val="18"/>
                <w:szCs w:val="18"/>
              </w:rPr>
              <w:t>）</w:t>
            </w:r>
            <w:r>
              <w:rPr>
                <w:rFonts w:ascii="宋体" w:hAnsi="宋体" w:cs="宋体" w:eastAsia="宋体" w:hint="default"/>
                <w:w w:val="101"/>
                <w:sz w:val="18"/>
                <w:szCs w:val="18"/>
              </w:rPr>
              <w:t>有</w:t>
            </w:r>
            <w:r>
              <w:rPr>
                <w:rFonts w:ascii="宋体" w:hAnsi="宋体" w:cs="宋体" w:eastAsia="宋体" w:hint="default"/>
                <w:spacing w:val="-5"/>
                <w:w w:val="101"/>
                <w:sz w:val="18"/>
                <w:szCs w:val="18"/>
              </w:rPr>
              <w:t>限</w:t>
            </w:r>
            <w:r>
              <w:rPr>
                <w:rFonts w:ascii="宋体" w:hAnsi="宋体" w:cs="宋体" w:eastAsia="宋体" w:hint="default"/>
                <w:w w:val="101"/>
                <w:sz w:val="18"/>
                <w:szCs w:val="18"/>
              </w:rPr>
              <w:t>公司</w:t>
            </w:r>
            <w:r>
              <w:rPr>
                <w:rFonts w:ascii="宋体" w:hAnsi="宋体" w:cs="宋体" w:eastAsia="宋体" w:hint="default"/>
                <w:sz w:val="18"/>
                <w:szCs w:val="18"/>
              </w:rPr>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4"/>
              <w:ind w:left="23" w:right="13"/>
              <w:jc w:val="both"/>
              <w:rPr>
                <w:rFonts w:ascii="宋体" w:hAnsi="宋体" w:cs="宋体" w:eastAsia="宋体" w:hint="default"/>
                <w:sz w:val="18"/>
                <w:szCs w:val="18"/>
              </w:rPr>
            </w:pPr>
            <w:r>
              <w:rPr>
                <w:rFonts w:ascii="宋体" w:hAnsi="宋体" w:cs="宋体" w:eastAsia="宋体" w:hint="default"/>
                <w:spacing w:val="11"/>
                <w:sz w:val="18"/>
                <w:szCs w:val="18"/>
              </w:rPr>
              <w:t>家居安</w:t>
            </w:r>
            <w:r>
              <w:rPr>
                <w:rFonts w:ascii="宋体" w:hAnsi="宋体" w:cs="宋体" w:eastAsia="宋体" w:hint="default"/>
                <w:spacing w:val="-58"/>
                <w:sz w:val="18"/>
                <w:szCs w:val="18"/>
              </w:rPr>
              <w:t> </w:t>
            </w:r>
            <w:r>
              <w:rPr>
                <w:rFonts w:ascii="宋体" w:hAnsi="宋体" w:cs="宋体" w:eastAsia="宋体" w:hint="default"/>
                <w:spacing w:val="8"/>
                <w:sz w:val="18"/>
                <w:szCs w:val="18"/>
              </w:rPr>
              <w:t>防及</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11"/>
                <w:sz w:val="18"/>
                <w:szCs w:val="18"/>
              </w:rPr>
              <w:t>相关产</w:t>
            </w:r>
            <w:r>
              <w:rPr>
                <w:rFonts w:ascii="宋体" w:hAnsi="宋体" w:cs="宋体" w:eastAsia="宋体" w:hint="default"/>
                <w:spacing w:val="-58"/>
                <w:sz w:val="18"/>
                <w:szCs w:val="18"/>
              </w:rPr>
              <w:t> </w:t>
            </w:r>
            <w:r>
              <w:rPr>
                <w:rFonts w:ascii="宋体" w:hAnsi="宋体" w:cs="宋体" w:eastAsia="宋体" w:hint="default"/>
                <w:spacing w:val="8"/>
                <w:sz w:val="18"/>
                <w:szCs w:val="18"/>
              </w:rPr>
              <w:t>品的</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11"/>
                <w:sz w:val="18"/>
                <w:szCs w:val="18"/>
              </w:rPr>
              <w:t>电子商</w:t>
            </w:r>
            <w:r>
              <w:rPr>
                <w:rFonts w:ascii="宋体" w:hAnsi="宋体" w:cs="宋体" w:eastAsia="宋体" w:hint="default"/>
                <w:spacing w:val="-58"/>
                <w:sz w:val="18"/>
                <w:szCs w:val="18"/>
              </w:rPr>
              <w:t> </w:t>
            </w:r>
            <w:r>
              <w:rPr>
                <w:rFonts w:ascii="宋体" w:hAnsi="宋体" w:cs="宋体" w:eastAsia="宋体" w:hint="default"/>
                <w:spacing w:val="8"/>
                <w:sz w:val="18"/>
                <w:szCs w:val="18"/>
              </w:rPr>
              <w:t>务业</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务。</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1,086,956.00</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176,176,145.</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24</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32,488,629.8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375,965,856.</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35</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52" w:right="0"/>
              <w:jc w:val="center"/>
              <w:rPr>
                <w:rFonts w:ascii="Times New Roman" w:hAnsi="Times New Roman" w:cs="Times New Roman" w:eastAsia="Times New Roman" w:hint="default"/>
                <w:sz w:val="18"/>
                <w:szCs w:val="18"/>
              </w:rPr>
            </w:pPr>
            <w:r>
              <w:rPr>
                <w:rFonts w:ascii="Times New Roman"/>
                <w:sz w:val="18"/>
              </w:rPr>
              <w:t>1,634,106.25</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47" w:right="0"/>
              <w:jc w:val="center"/>
              <w:rPr>
                <w:rFonts w:ascii="Times New Roman" w:hAnsi="Times New Roman" w:cs="Times New Roman" w:eastAsia="Times New Roman" w:hint="default"/>
                <w:sz w:val="18"/>
                <w:szCs w:val="18"/>
              </w:rPr>
            </w:pPr>
            <w:r>
              <w:rPr>
                <w:rFonts w:ascii="Times New Roman"/>
                <w:sz w:val="18"/>
              </w:rPr>
              <w:t>2,761,964.51</w:t>
            </w:r>
          </w:p>
        </w:tc>
      </w:tr>
      <w:tr>
        <w:trPr>
          <w:trHeight w:val="4149" w:hRule="exact"/>
        </w:trPr>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24" w:right="18"/>
              <w:jc w:val="both"/>
              <w:rPr>
                <w:rFonts w:ascii="宋体" w:hAnsi="宋体" w:cs="宋体" w:eastAsia="宋体" w:hint="default"/>
                <w:sz w:val="18"/>
                <w:szCs w:val="18"/>
              </w:rPr>
            </w:pPr>
            <w:r>
              <w:rPr>
                <w:rFonts w:ascii="宋体" w:hAnsi="宋体" w:cs="宋体" w:eastAsia="宋体" w:hint="default"/>
                <w:sz w:val="18"/>
                <w:szCs w:val="18"/>
              </w:rPr>
              <w:t>深</w:t>
            </w:r>
            <w:r>
              <w:rPr>
                <w:rFonts w:ascii="宋体" w:hAnsi="宋体" w:cs="宋体" w:eastAsia="宋体" w:hint="default"/>
                <w:spacing w:val="-64"/>
                <w:sz w:val="18"/>
                <w:szCs w:val="18"/>
              </w:rPr>
              <w:t> </w:t>
            </w:r>
            <w:r>
              <w:rPr>
                <w:rFonts w:ascii="宋体" w:hAnsi="宋体" w:cs="宋体" w:eastAsia="宋体" w:hint="default"/>
                <w:sz w:val="18"/>
                <w:szCs w:val="18"/>
              </w:rPr>
              <w:t>圳</w:t>
            </w:r>
            <w:r>
              <w:rPr>
                <w:rFonts w:ascii="宋体" w:hAnsi="宋体" w:cs="宋体" w:eastAsia="宋体" w:hint="default"/>
                <w:spacing w:val="-64"/>
                <w:sz w:val="18"/>
                <w:szCs w:val="18"/>
              </w:rPr>
              <w:t> </w:t>
            </w:r>
            <w:r>
              <w:rPr>
                <w:rFonts w:ascii="宋体" w:hAnsi="宋体" w:cs="宋体" w:eastAsia="宋体" w:hint="default"/>
                <w:spacing w:val="8"/>
                <w:sz w:val="18"/>
                <w:szCs w:val="18"/>
              </w:rPr>
              <w:t>银之</w:t>
            </w:r>
            <w:r>
              <w:rPr>
                <w:rFonts w:ascii="宋体" w:hAnsi="宋体" w:cs="宋体" w:eastAsia="宋体" w:hint="default"/>
                <w:spacing w:val="-64"/>
                <w:sz w:val="18"/>
                <w:szCs w:val="18"/>
              </w:rPr>
              <w:t> </w:t>
            </w:r>
            <w:r>
              <w:rPr>
                <w:rFonts w:ascii="宋体" w:hAnsi="宋体" w:cs="宋体" w:eastAsia="宋体" w:hint="default"/>
                <w:sz w:val="18"/>
                <w:szCs w:val="18"/>
              </w:rPr>
              <w:t>杰</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智</w:t>
            </w:r>
            <w:r>
              <w:rPr>
                <w:rFonts w:ascii="宋体" w:hAnsi="宋体" w:cs="宋体" w:eastAsia="宋体" w:hint="default"/>
                <w:spacing w:val="-64"/>
                <w:sz w:val="18"/>
                <w:szCs w:val="18"/>
              </w:rPr>
              <w:t> </w:t>
            </w:r>
            <w:r>
              <w:rPr>
                <w:rFonts w:ascii="宋体" w:hAnsi="宋体" w:cs="宋体" w:eastAsia="宋体" w:hint="default"/>
                <w:sz w:val="18"/>
                <w:szCs w:val="18"/>
              </w:rPr>
              <w:t>慧</w:t>
            </w:r>
            <w:r>
              <w:rPr>
                <w:rFonts w:ascii="宋体" w:hAnsi="宋体" w:cs="宋体" w:eastAsia="宋体" w:hint="default"/>
                <w:spacing w:val="-64"/>
                <w:sz w:val="18"/>
                <w:szCs w:val="18"/>
              </w:rPr>
              <w:t> </w:t>
            </w:r>
            <w:r>
              <w:rPr>
                <w:rFonts w:ascii="宋体" w:hAnsi="宋体" w:cs="宋体" w:eastAsia="宋体" w:hint="default"/>
                <w:spacing w:val="8"/>
                <w:sz w:val="18"/>
                <w:szCs w:val="18"/>
              </w:rPr>
              <w:t>科技</w:t>
            </w:r>
            <w:r>
              <w:rPr>
                <w:rFonts w:ascii="宋体" w:hAnsi="宋体" w:cs="宋体" w:eastAsia="宋体" w:hint="default"/>
                <w:spacing w:val="-64"/>
                <w:sz w:val="18"/>
                <w:szCs w:val="18"/>
              </w:rPr>
              <w:t> </w:t>
            </w:r>
            <w:r>
              <w:rPr>
                <w:rFonts w:ascii="宋体" w:hAnsi="宋体" w:cs="宋体" w:eastAsia="宋体" w:hint="default"/>
                <w:sz w:val="18"/>
                <w:szCs w:val="18"/>
              </w:rPr>
              <w:t>有</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限公司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8"/>
              <w:ind w:left="23" w:right="13"/>
              <w:jc w:val="both"/>
              <w:rPr>
                <w:rFonts w:ascii="宋体" w:hAnsi="宋体" w:cs="宋体" w:eastAsia="宋体" w:hint="default"/>
                <w:sz w:val="18"/>
                <w:szCs w:val="18"/>
              </w:rPr>
            </w:pPr>
            <w:r>
              <w:rPr>
                <w:rFonts w:ascii="宋体" w:hAnsi="宋体" w:cs="宋体" w:eastAsia="宋体" w:hint="default"/>
                <w:spacing w:val="11"/>
                <w:sz w:val="18"/>
                <w:szCs w:val="18"/>
              </w:rPr>
              <w:t>主要为</w:t>
            </w:r>
            <w:r>
              <w:rPr>
                <w:rFonts w:ascii="宋体" w:hAnsi="宋体" w:cs="宋体" w:eastAsia="宋体" w:hint="default"/>
                <w:spacing w:val="-58"/>
                <w:sz w:val="18"/>
                <w:szCs w:val="18"/>
              </w:rPr>
              <w:t> </w:t>
            </w:r>
            <w:r>
              <w:rPr>
                <w:rFonts w:ascii="宋体" w:hAnsi="宋体" w:cs="宋体" w:eastAsia="宋体" w:hint="default"/>
                <w:spacing w:val="8"/>
                <w:sz w:val="18"/>
                <w:szCs w:val="18"/>
              </w:rPr>
              <w:t>本公</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11"/>
                <w:sz w:val="18"/>
                <w:szCs w:val="18"/>
              </w:rPr>
              <w:t>司提供</w:t>
            </w:r>
            <w:r>
              <w:rPr>
                <w:rFonts w:ascii="宋体" w:hAnsi="宋体" w:cs="宋体" w:eastAsia="宋体" w:hint="default"/>
                <w:spacing w:val="-58"/>
                <w:sz w:val="18"/>
                <w:szCs w:val="18"/>
              </w:rPr>
              <w:t> </w:t>
            </w:r>
            <w:r>
              <w:rPr>
                <w:rFonts w:ascii="宋体" w:hAnsi="宋体" w:cs="宋体" w:eastAsia="宋体" w:hint="default"/>
                <w:spacing w:val="8"/>
                <w:sz w:val="18"/>
                <w:szCs w:val="18"/>
              </w:rPr>
              <w:t>金融</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11"/>
                <w:sz w:val="18"/>
                <w:szCs w:val="18"/>
              </w:rPr>
              <w:t>专业设</w:t>
            </w:r>
            <w:r>
              <w:rPr>
                <w:rFonts w:ascii="宋体" w:hAnsi="宋体" w:cs="宋体" w:eastAsia="宋体" w:hint="default"/>
                <w:spacing w:val="-58"/>
                <w:sz w:val="18"/>
                <w:szCs w:val="18"/>
              </w:rPr>
              <w:t> </w:t>
            </w:r>
            <w:r>
              <w:rPr>
                <w:rFonts w:ascii="宋体" w:hAnsi="宋体" w:cs="宋体" w:eastAsia="宋体" w:hint="default"/>
                <w:spacing w:val="8"/>
                <w:sz w:val="18"/>
                <w:szCs w:val="18"/>
              </w:rPr>
              <w:t>备产</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11"/>
                <w:sz w:val="18"/>
                <w:szCs w:val="18"/>
              </w:rPr>
              <w:t>品的底</w:t>
            </w:r>
            <w:r>
              <w:rPr>
                <w:rFonts w:ascii="宋体" w:hAnsi="宋体" w:cs="宋体" w:eastAsia="宋体" w:hint="default"/>
                <w:spacing w:val="-58"/>
                <w:sz w:val="18"/>
                <w:szCs w:val="18"/>
              </w:rPr>
              <w:t> </w:t>
            </w:r>
            <w:r>
              <w:rPr>
                <w:rFonts w:ascii="宋体" w:hAnsi="宋体" w:cs="宋体" w:eastAsia="宋体" w:hint="default"/>
                <w:spacing w:val="8"/>
                <w:sz w:val="18"/>
                <w:szCs w:val="18"/>
              </w:rPr>
              <w:t>层控</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11"/>
                <w:sz w:val="18"/>
                <w:szCs w:val="18"/>
              </w:rPr>
              <w:t>制软件</w:t>
            </w:r>
            <w:r>
              <w:rPr>
                <w:rFonts w:ascii="宋体" w:hAnsi="宋体" w:cs="宋体" w:eastAsia="宋体" w:hint="default"/>
                <w:spacing w:val="-58"/>
                <w:sz w:val="18"/>
                <w:szCs w:val="18"/>
              </w:rPr>
              <w:t> </w:t>
            </w:r>
            <w:r>
              <w:rPr>
                <w:rFonts w:ascii="宋体" w:hAnsi="宋体" w:cs="宋体" w:eastAsia="宋体" w:hint="default"/>
                <w:spacing w:val="8"/>
                <w:sz w:val="18"/>
                <w:szCs w:val="18"/>
              </w:rPr>
              <w:t>及终</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11"/>
                <w:sz w:val="18"/>
                <w:szCs w:val="18"/>
              </w:rPr>
              <w:t>端应用</w:t>
            </w:r>
            <w:r>
              <w:rPr>
                <w:rFonts w:ascii="宋体" w:hAnsi="宋体" w:cs="宋体" w:eastAsia="宋体" w:hint="default"/>
                <w:spacing w:val="-58"/>
                <w:sz w:val="18"/>
                <w:szCs w:val="18"/>
              </w:rPr>
              <w:t> </w:t>
            </w:r>
            <w:r>
              <w:rPr>
                <w:rFonts w:ascii="宋体" w:hAnsi="宋体" w:cs="宋体" w:eastAsia="宋体" w:hint="default"/>
                <w:spacing w:val="8"/>
                <w:sz w:val="18"/>
                <w:szCs w:val="18"/>
              </w:rPr>
              <w:t>软件</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11"/>
                <w:sz w:val="18"/>
                <w:szCs w:val="18"/>
              </w:rPr>
              <w:t>技术的</w:t>
            </w:r>
            <w:r>
              <w:rPr>
                <w:rFonts w:ascii="宋体" w:hAnsi="宋体" w:cs="宋体" w:eastAsia="宋体" w:hint="default"/>
                <w:spacing w:val="-58"/>
                <w:sz w:val="18"/>
                <w:szCs w:val="18"/>
              </w:rPr>
              <w:t> </w:t>
            </w:r>
            <w:r>
              <w:rPr>
                <w:rFonts w:ascii="宋体" w:hAnsi="宋体" w:cs="宋体" w:eastAsia="宋体" w:hint="default"/>
                <w:spacing w:val="8"/>
                <w:sz w:val="18"/>
                <w:szCs w:val="18"/>
              </w:rPr>
              <w:t>开发</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11"/>
                <w:sz w:val="18"/>
                <w:szCs w:val="18"/>
              </w:rPr>
              <w:t>服务，</w:t>
            </w:r>
            <w:r>
              <w:rPr>
                <w:rFonts w:ascii="宋体" w:hAnsi="宋体" w:cs="宋体" w:eastAsia="宋体" w:hint="default"/>
                <w:spacing w:val="-58"/>
                <w:sz w:val="18"/>
                <w:szCs w:val="18"/>
              </w:rPr>
              <w:t> </w:t>
            </w:r>
            <w:r>
              <w:rPr>
                <w:rFonts w:ascii="宋体" w:hAnsi="宋体" w:cs="宋体" w:eastAsia="宋体" w:hint="default"/>
                <w:spacing w:val="8"/>
                <w:sz w:val="18"/>
                <w:szCs w:val="18"/>
              </w:rPr>
              <w:t>其收</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11"/>
                <w:sz w:val="18"/>
                <w:szCs w:val="18"/>
              </w:rPr>
              <w:t>入销售</w:t>
            </w:r>
            <w:r>
              <w:rPr>
                <w:rFonts w:ascii="宋体" w:hAnsi="宋体" w:cs="宋体" w:eastAsia="宋体" w:hint="default"/>
                <w:spacing w:val="-58"/>
                <w:sz w:val="18"/>
                <w:szCs w:val="18"/>
              </w:rPr>
              <w:t> </w:t>
            </w:r>
            <w:r>
              <w:rPr>
                <w:rFonts w:ascii="宋体" w:hAnsi="宋体" w:cs="宋体" w:eastAsia="宋体" w:hint="default"/>
                <w:spacing w:val="8"/>
                <w:sz w:val="18"/>
                <w:szCs w:val="18"/>
              </w:rPr>
              <w:t>对象</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11"/>
                <w:sz w:val="18"/>
                <w:szCs w:val="18"/>
              </w:rPr>
              <w:t>是本公</w:t>
            </w:r>
            <w:r>
              <w:rPr>
                <w:rFonts w:ascii="宋体" w:hAnsi="宋体" w:cs="宋体" w:eastAsia="宋体" w:hint="default"/>
                <w:spacing w:val="-58"/>
                <w:sz w:val="18"/>
                <w:szCs w:val="18"/>
              </w:rPr>
              <w:t> </w:t>
            </w:r>
            <w:r>
              <w:rPr>
                <w:rFonts w:ascii="宋体" w:hAnsi="宋体" w:cs="宋体" w:eastAsia="宋体" w:hint="default"/>
                <w:spacing w:val="8"/>
                <w:sz w:val="18"/>
                <w:szCs w:val="18"/>
              </w:rPr>
              <w:t>司，</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11"/>
                <w:sz w:val="18"/>
                <w:szCs w:val="18"/>
              </w:rPr>
              <w:t>再由本</w:t>
            </w:r>
            <w:r>
              <w:rPr>
                <w:rFonts w:ascii="宋体" w:hAnsi="宋体" w:cs="宋体" w:eastAsia="宋体" w:hint="default"/>
                <w:spacing w:val="-58"/>
                <w:sz w:val="18"/>
                <w:szCs w:val="18"/>
              </w:rPr>
              <w:t> </w:t>
            </w:r>
            <w:r>
              <w:rPr>
                <w:rFonts w:ascii="宋体" w:hAnsi="宋体" w:cs="宋体" w:eastAsia="宋体" w:hint="default"/>
                <w:spacing w:val="8"/>
                <w:sz w:val="18"/>
                <w:szCs w:val="18"/>
              </w:rPr>
              <w:t>公司</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11"/>
                <w:sz w:val="18"/>
                <w:szCs w:val="18"/>
              </w:rPr>
              <w:t>组成产</w:t>
            </w:r>
            <w:r>
              <w:rPr>
                <w:rFonts w:ascii="宋体" w:hAnsi="宋体" w:cs="宋体" w:eastAsia="宋体" w:hint="default"/>
                <w:spacing w:val="-58"/>
                <w:sz w:val="18"/>
                <w:szCs w:val="18"/>
              </w:rPr>
              <w:t> </w:t>
            </w:r>
            <w:r>
              <w:rPr>
                <w:rFonts w:ascii="宋体" w:hAnsi="宋体" w:cs="宋体" w:eastAsia="宋体" w:hint="default"/>
                <w:spacing w:val="8"/>
                <w:sz w:val="18"/>
                <w:szCs w:val="18"/>
              </w:rPr>
              <w:t>品对</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外销售。</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3,000,000.00</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14,791,846.8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8,409,043.12</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14,778,894.8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129" w:right="0"/>
              <w:jc w:val="center"/>
              <w:rPr>
                <w:rFonts w:ascii="Times New Roman" w:hAnsi="Times New Roman" w:cs="Times New Roman" w:eastAsia="Times New Roman" w:hint="default"/>
                <w:sz w:val="18"/>
                <w:szCs w:val="18"/>
              </w:rPr>
            </w:pPr>
            <w:r>
              <w:rPr>
                <w:rFonts w:ascii="Times New Roman"/>
                <w:sz w:val="18"/>
              </w:rPr>
              <w:t>-463,137.45</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124" w:right="0"/>
              <w:jc w:val="center"/>
              <w:rPr>
                <w:rFonts w:ascii="Times New Roman" w:hAnsi="Times New Roman" w:cs="Times New Roman" w:eastAsia="Times New Roman" w:hint="default"/>
                <w:sz w:val="18"/>
                <w:szCs w:val="18"/>
              </w:rPr>
            </w:pPr>
            <w:r>
              <w:rPr>
                <w:rFonts w:ascii="Times New Roman"/>
                <w:sz w:val="18"/>
              </w:rPr>
              <w:t>-302,514.69</w:t>
            </w:r>
          </w:p>
        </w:tc>
      </w:tr>
      <w:tr>
        <w:trPr>
          <w:trHeight w:val="715" w:hRule="exact"/>
        </w:trPr>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4" w:right="18"/>
              <w:jc w:val="left"/>
              <w:rPr>
                <w:rFonts w:ascii="宋体" w:hAnsi="宋体" w:cs="宋体" w:eastAsia="宋体" w:hint="default"/>
                <w:sz w:val="18"/>
                <w:szCs w:val="18"/>
              </w:rPr>
            </w:pPr>
            <w:r>
              <w:rPr>
                <w:rFonts w:ascii="宋体" w:hAnsi="宋体" w:cs="宋体" w:eastAsia="宋体" w:hint="default"/>
                <w:sz w:val="18"/>
                <w:szCs w:val="18"/>
              </w:rPr>
              <w:t>北</w:t>
            </w:r>
            <w:r>
              <w:rPr>
                <w:rFonts w:ascii="宋体" w:hAnsi="宋体" w:cs="宋体" w:eastAsia="宋体" w:hint="default"/>
                <w:spacing w:val="-64"/>
                <w:sz w:val="18"/>
                <w:szCs w:val="18"/>
              </w:rPr>
              <w:t> </w:t>
            </w:r>
            <w:r>
              <w:rPr>
                <w:rFonts w:ascii="宋体" w:hAnsi="宋体" w:cs="宋体" w:eastAsia="宋体" w:hint="default"/>
                <w:sz w:val="18"/>
                <w:szCs w:val="18"/>
              </w:rPr>
              <w:t>京</w:t>
            </w:r>
            <w:r>
              <w:rPr>
                <w:rFonts w:ascii="宋体" w:hAnsi="宋体" w:cs="宋体" w:eastAsia="宋体" w:hint="default"/>
                <w:spacing w:val="-64"/>
                <w:sz w:val="18"/>
                <w:szCs w:val="18"/>
              </w:rPr>
              <w:t> </w:t>
            </w:r>
            <w:r>
              <w:rPr>
                <w:rFonts w:ascii="宋体" w:hAnsi="宋体" w:cs="宋体" w:eastAsia="宋体" w:hint="default"/>
                <w:spacing w:val="8"/>
                <w:sz w:val="18"/>
                <w:szCs w:val="18"/>
              </w:rPr>
              <w:t>华道</w:t>
            </w:r>
            <w:r>
              <w:rPr>
                <w:rFonts w:ascii="宋体" w:hAnsi="宋体" w:cs="宋体" w:eastAsia="宋体" w:hint="default"/>
                <w:spacing w:val="-64"/>
                <w:sz w:val="18"/>
                <w:szCs w:val="18"/>
              </w:rPr>
              <w:t> </w:t>
            </w:r>
            <w:r>
              <w:rPr>
                <w:rFonts w:ascii="宋体" w:hAnsi="宋体" w:cs="宋体" w:eastAsia="宋体" w:hint="default"/>
                <w:sz w:val="18"/>
                <w:szCs w:val="18"/>
              </w:rPr>
              <w:t>征</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信有限公司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参股公司</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3" w:right="13"/>
              <w:jc w:val="left"/>
              <w:rPr>
                <w:rFonts w:ascii="宋体" w:hAnsi="宋体" w:cs="宋体" w:eastAsia="宋体" w:hint="default"/>
                <w:sz w:val="18"/>
                <w:szCs w:val="18"/>
              </w:rPr>
            </w:pPr>
            <w:r>
              <w:rPr>
                <w:rFonts w:ascii="宋体" w:hAnsi="宋体" w:cs="宋体" w:eastAsia="宋体" w:hint="default"/>
                <w:spacing w:val="11"/>
                <w:sz w:val="18"/>
                <w:szCs w:val="18"/>
              </w:rPr>
              <w:t>个人征</w:t>
            </w:r>
            <w:r>
              <w:rPr>
                <w:rFonts w:ascii="宋体" w:hAnsi="宋体" w:cs="宋体" w:eastAsia="宋体" w:hint="default"/>
                <w:spacing w:val="-58"/>
                <w:sz w:val="18"/>
                <w:szCs w:val="18"/>
              </w:rPr>
              <w:t> </w:t>
            </w:r>
            <w:r>
              <w:rPr>
                <w:rFonts w:ascii="宋体" w:hAnsi="宋体" w:cs="宋体" w:eastAsia="宋体" w:hint="default"/>
                <w:spacing w:val="8"/>
                <w:sz w:val="18"/>
                <w:szCs w:val="18"/>
              </w:rPr>
              <w:t>信相</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关业务</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52,500,000.0</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93,196,147.1</w:t>
            </w:r>
          </w:p>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4,660,236.71</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18,804,784.5</w:t>
            </w:r>
          </w:p>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5"/>
              <w:jc w:val="right"/>
              <w:rPr>
                <w:rFonts w:ascii="Times New Roman" w:hAnsi="Times New Roman" w:cs="Times New Roman" w:eastAsia="Times New Roman" w:hint="default"/>
                <w:sz w:val="18"/>
                <w:szCs w:val="18"/>
              </w:rPr>
            </w:pPr>
            <w:r>
              <w:rPr>
                <w:rFonts w:ascii="Times New Roman"/>
                <w:spacing w:val="-1"/>
                <w:sz w:val="18"/>
              </w:rPr>
              <w:t>-19,052,883.</w:t>
            </w:r>
          </w:p>
          <w:p>
            <w:pPr>
              <w:pStyle w:val="TableParagraph"/>
              <w:spacing w:line="240" w:lineRule="auto" w:before="110"/>
              <w:ind w:right="12"/>
              <w:jc w:val="right"/>
              <w:rPr>
                <w:rFonts w:ascii="Times New Roman" w:hAnsi="Times New Roman" w:cs="Times New Roman" w:eastAsia="Times New Roman" w:hint="default"/>
                <w:sz w:val="18"/>
                <w:szCs w:val="18"/>
              </w:rPr>
            </w:pPr>
            <w:r>
              <w:rPr>
                <w:rFonts w:ascii="Times New Roman"/>
                <w:sz w:val="18"/>
              </w:rPr>
              <w:t>99</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-31,285,987.</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sz w:val="18"/>
              </w:rPr>
              <w:t>86</w:t>
            </w:r>
          </w:p>
        </w:tc>
      </w:tr>
      <w:tr>
        <w:trPr>
          <w:trHeight w:val="1028" w:hRule="exact"/>
        </w:trPr>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18"/>
              <w:jc w:val="both"/>
              <w:rPr>
                <w:rFonts w:ascii="宋体" w:hAnsi="宋体" w:cs="宋体" w:eastAsia="宋体" w:hint="default"/>
                <w:sz w:val="18"/>
                <w:szCs w:val="18"/>
              </w:rPr>
            </w:pPr>
            <w:r>
              <w:rPr>
                <w:rFonts w:ascii="宋体" w:hAnsi="宋体" w:cs="宋体" w:eastAsia="宋体" w:hint="default"/>
                <w:sz w:val="18"/>
                <w:szCs w:val="18"/>
              </w:rPr>
              <w:t>易</w:t>
            </w:r>
            <w:r>
              <w:rPr>
                <w:rFonts w:ascii="宋体" w:hAnsi="宋体" w:cs="宋体" w:eastAsia="宋体" w:hint="default"/>
                <w:spacing w:val="-64"/>
                <w:sz w:val="18"/>
                <w:szCs w:val="18"/>
              </w:rPr>
              <w:t> </w:t>
            </w:r>
            <w:r>
              <w:rPr>
                <w:rFonts w:ascii="宋体" w:hAnsi="宋体" w:cs="宋体" w:eastAsia="宋体" w:hint="default"/>
                <w:sz w:val="18"/>
                <w:szCs w:val="18"/>
              </w:rPr>
              <w:t>安</w:t>
            </w:r>
            <w:r>
              <w:rPr>
                <w:rFonts w:ascii="宋体" w:hAnsi="宋体" w:cs="宋体" w:eastAsia="宋体" w:hint="default"/>
                <w:spacing w:val="-64"/>
                <w:sz w:val="18"/>
                <w:szCs w:val="18"/>
              </w:rPr>
              <w:t> </w:t>
            </w:r>
            <w:r>
              <w:rPr>
                <w:rFonts w:ascii="宋体" w:hAnsi="宋体" w:cs="宋体" w:eastAsia="宋体" w:hint="default"/>
                <w:spacing w:val="8"/>
                <w:sz w:val="18"/>
                <w:szCs w:val="18"/>
              </w:rPr>
              <w:t>财产</w:t>
            </w:r>
            <w:r>
              <w:rPr>
                <w:rFonts w:ascii="宋体" w:hAnsi="宋体" w:cs="宋体" w:eastAsia="宋体" w:hint="default"/>
                <w:spacing w:val="-64"/>
                <w:sz w:val="18"/>
                <w:szCs w:val="18"/>
              </w:rPr>
              <w:t> </w:t>
            </w:r>
            <w:r>
              <w:rPr>
                <w:rFonts w:ascii="宋体" w:hAnsi="宋体" w:cs="宋体" w:eastAsia="宋体" w:hint="default"/>
                <w:sz w:val="18"/>
                <w:szCs w:val="18"/>
              </w:rPr>
              <w:t>保</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险</w:t>
            </w:r>
            <w:r>
              <w:rPr>
                <w:rFonts w:ascii="宋体" w:hAnsi="宋体" w:cs="宋体" w:eastAsia="宋体" w:hint="default"/>
                <w:spacing w:val="-64"/>
                <w:sz w:val="18"/>
                <w:szCs w:val="18"/>
              </w:rPr>
              <w:t> </w:t>
            </w:r>
            <w:r>
              <w:rPr>
                <w:rFonts w:ascii="宋体" w:hAnsi="宋体" w:cs="宋体" w:eastAsia="宋体" w:hint="default"/>
                <w:sz w:val="18"/>
                <w:szCs w:val="18"/>
              </w:rPr>
              <w:t>股</w:t>
            </w:r>
            <w:r>
              <w:rPr>
                <w:rFonts w:ascii="宋体" w:hAnsi="宋体" w:cs="宋体" w:eastAsia="宋体" w:hint="default"/>
                <w:spacing w:val="-64"/>
                <w:sz w:val="18"/>
                <w:szCs w:val="18"/>
              </w:rPr>
              <w:t> </w:t>
            </w:r>
            <w:r>
              <w:rPr>
                <w:rFonts w:ascii="宋体" w:hAnsi="宋体" w:cs="宋体" w:eastAsia="宋体" w:hint="default"/>
                <w:spacing w:val="8"/>
                <w:sz w:val="18"/>
                <w:szCs w:val="18"/>
              </w:rPr>
              <w:t>份有</w:t>
            </w:r>
            <w:r>
              <w:rPr>
                <w:rFonts w:ascii="宋体" w:hAnsi="宋体" w:cs="宋体" w:eastAsia="宋体" w:hint="default"/>
                <w:spacing w:val="-64"/>
                <w:sz w:val="18"/>
                <w:szCs w:val="18"/>
              </w:rPr>
              <w:t> </w:t>
            </w:r>
            <w:r>
              <w:rPr>
                <w:rFonts w:ascii="宋体" w:hAnsi="宋体" w:cs="宋体" w:eastAsia="宋体" w:hint="default"/>
                <w:sz w:val="18"/>
                <w:szCs w:val="18"/>
              </w:rPr>
              <w:t>限</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参股公司</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互联网保险</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1,000,000,00</w:t>
            </w:r>
          </w:p>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z w:val="18"/>
              </w:rPr>
              <w:t>0.00</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1,312,210,92</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2.72</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608,490,347.</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46</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1,202,533,20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9.43</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2"/>
                <w:sz w:val="18"/>
              </w:rPr>
              <w:t>-108,611,644</w:t>
            </w:r>
          </w:p>
          <w:p>
            <w:pPr>
              <w:pStyle w:val="TableParagraph"/>
              <w:spacing w:line="240" w:lineRule="auto" w:before="105"/>
              <w:ind w:right="13"/>
              <w:jc w:val="right"/>
              <w:rPr>
                <w:rFonts w:ascii="Times New Roman" w:hAnsi="Times New Roman" w:cs="Times New Roman" w:eastAsia="Times New Roman" w:hint="default"/>
                <w:sz w:val="18"/>
                <w:szCs w:val="18"/>
              </w:rPr>
            </w:pPr>
            <w:r>
              <w:rPr>
                <w:rFonts w:ascii="Times New Roman"/>
                <w:sz w:val="18"/>
              </w:rPr>
              <w:t>.70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2"/>
                <w:sz w:val="18"/>
              </w:rPr>
              <w:t>-114,792,790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.94</w:t>
            </w:r>
          </w:p>
        </w:tc>
      </w:tr>
      <w:tr>
        <w:trPr>
          <w:trHeight w:val="1022" w:hRule="exact"/>
        </w:trPr>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18"/>
              <w:jc w:val="both"/>
              <w:rPr>
                <w:rFonts w:ascii="宋体" w:hAnsi="宋体" w:cs="宋体" w:eastAsia="宋体" w:hint="default"/>
                <w:sz w:val="18"/>
                <w:szCs w:val="18"/>
              </w:rPr>
            </w:pPr>
            <w:r>
              <w:rPr>
                <w:rFonts w:ascii="宋体" w:hAnsi="宋体" w:cs="宋体" w:eastAsia="宋体" w:hint="default"/>
                <w:sz w:val="18"/>
                <w:szCs w:val="18"/>
              </w:rPr>
              <w:t>东</w:t>
            </w:r>
            <w:r>
              <w:rPr>
                <w:rFonts w:ascii="宋体" w:hAnsi="宋体" w:cs="宋体" w:eastAsia="宋体" w:hint="default"/>
                <w:spacing w:val="-64"/>
                <w:sz w:val="18"/>
                <w:szCs w:val="18"/>
              </w:rPr>
              <w:t> </w:t>
            </w:r>
            <w:r>
              <w:rPr>
                <w:rFonts w:ascii="宋体" w:hAnsi="宋体" w:cs="宋体" w:eastAsia="宋体" w:hint="default"/>
                <w:sz w:val="18"/>
                <w:szCs w:val="18"/>
              </w:rPr>
              <w:t>亚</w:t>
            </w:r>
            <w:r>
              <w:rPr>
                <w:rFonts w:ascii="宋体" w:hAnsi="宋体" w:cs="宋体" w:eastAsia="宋体" w:hint="default"/>
                <w:spacing w:val="-64"/>
                <w:sz w:val="18"/>
                <w:szCs w:val="18"/>
              </w:rPr>
              <w:t> </w:t>
            </w:r>
            <w:r>
              <w:rPr>
                <w:rFonts w:ascii="宋体" w:hAnsi="宋体" w:cs="宋体" w:eastAsia="宋体" w:hint="default"/>
                <w:spacing w:val="8"/>
                <w:sz w:val="18"/>
                <w:szCs w:val="18"/>
              </w:rPr>
              <w:t>前海</w:t>
            </w:r>
            <w:r>
              <w:rPr>
                <w:rFonts w:ascii="宋体" w:hAnsi="宋体" w:cs="宋体" w:eastAsia="宋体" w:hint="default"/>
                <w:spacing w:val="-64"/>
                <w:sz w:val="18"/>
                <w:szCs w:val="18"/>
              </w:rPr>
              <w:t> </w:t>
            </w:r>
            <w:r>
              <w:rPr>
                <w:rFonts w:ascii="宋体" w:hAnsi="宋体" w:cs="宋体" w:eastAsia="宋体" w:hint="default"/>
                <w:sz w:val="18"/>
                <w:szCs w:val="18"/>
              </w:rPr>
              <w:t>证</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券</w:t>
            </w:r>
            <w:r>
              <w:rPr>
                <w:rFonts w:ascii="宋体" w:hAnsi="宋体" w:cs="宋体" w:eastAsia="宋体" w:hint="default"/>
                <w:spacing w:val="-64"/>
                <w:sz w:val="18"/>
                <w:szCs w:val="18"/>
              </w:rPr>
              <w:t> </w:t>
            </w:r>
            <w:r>
              <w:rPr>
                <w:rFonts w:ascii="宋体" w:hAnsi="宋体" w:cs="宋体" w:eastAsia="宋体" w:hint="default"/>
                <w:sz w:val="18"/>
                <w:szCs w:val="18"/>
              </w:rPr>
              <w:t>有</w:t>
            </w:r>
            <w:r>
              <w:rPr>
                <w:rFonts w:ascii="宋体" w:hAnsi="宋体" w:cs="宋体" w:eastAsia="宋体" w:hint="default"/>
                <w:spacing w:val="-64"/>
                <w:sz w:val="18"/>
                <w:szCs w:val="18"/>
              </w:rPr>
              <w:t> </w:t>
            </w:r>
            <w:r>
              <w:rPr>
                <w:rFonts w:ascii="宋体" w:hAnsi="宋体" w:cs="宋体" w:eastAsia="宋体" w:hint="default"/>
                <w:spacing w:val="8"/>
                <w:sz w:val="18"/>
                <w:szCs w:val="18"/>
              </w:rPr>
              <w:t>限责</w:t>
            </w:r>
            <w:r>
              <w:rPr>
                <w:rFonts w:ascii="宋体" w:hAnsi="宋体" w:cs="宋体" w:eastAsia="宋体" w:hint="default"/>
                <w:spacing w:val="-64"/>
                <w:sz w:val="18"/>
                <w:szCs w:val="18"/>
              </w:rPr>
              <w:t> </w:t>
            </w:r>
            <w:r>
              <w:rPr>
                <w:rFonts w:ascii="宋体" w:hAnsi="宋体" w:cs="宋体" w:eastAsia="宋体" w:hint="default"/>
                <w:sz w:val="18"/>
                <w:szCs w:val="18"/>
              </w:rPr>
              <w:t>任</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参股公司</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证券业务</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1,500,000,00</w:t>
            </w:r>
          </w:p>
          <w:p>
            <w:pPr>
              <w:pStyle w:val="TableParagraph"/>
              <w:spacing w:line="240" w:lineRule="auto" w:before="110"/>
              <w:ind w:right="12"/>
              <w:jc w:val="right"/>
              <w:rPr>
                <w:rFonts w:ascii="Times New Roman" w:hAnsi="Times New Roman" w:cs="Times New Roman" w:eastAsia="Times New Roman" w:hint="default"/>
                <w:sz w:val="18"/>
                <w:szCs w:val="18"/>
              </w:rPr>
            </w:pPr>
            <w:r>
              <w:rPr>
                <w:rFonts w:ascii="Times New Roman"/>
                <w:sz w:val="18"/>
              </w:rPr>
              <w:t>0.00</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3,496,651,91</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sz w:val="18"/>
              </w:rPr>
              <w:t>0.61</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1,404,641,63</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sz w:val="18"/>
              </w:rPr>
              <w:t>0.86</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253,620,927.</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sz w:val="18"/>
              </w:rPr>
              <w:t>78</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-8,176,586.2</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47" w:right="0"/>
              <w:jc w:val="center"/>
              <w:rPr>
                <w:rFonts w:ascii="Times New Roman" w:hAnsi="Times New Roman" w:cs="Times New Roman" w:eastAsia="Times New Roman" w:hint="default"/>
                <w:sz w:val="18"/>
                <w:szCs w:val="18"/>
              </w:rPr>
            </w:pPr>
            <w:r>
              <w:rPr>
                <w:rFonts w:ascii="Times New Roman"/>
                <w:sz w:val="18"/>
              </w:rPr>
              <w:t>2,352,938.21</w:t>
            </w:r>
          </w:p>
        </w:tc>
      </w:tr>
      <w:tr>
        <w:trPr>
          <w:trHeight w:val="1340" w:hRule="exact"/>
        </w:trPr>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9"/>
              <w:ind w:left="24" w:right="18"/>
              <w:jc w:val="left"/>
              <w:rPr>
                <w:rFonts w:ascii="宋体" w:hAnsi="宋体" w:cs="宋体" w:eastAsia="宋体" w:hint="default"/>
                <w:sz w:val="18"/>
                <w:szCs w:val="18"/>
              </w:rPr>
            </w:pPr>
            <w:r>
              <w:rPr>
                <w:rFonts w:ascii="宋体" w:hAnsi="宋体" w:cs="宋体" w:eastAsia="宋体" w:hint="default"/>
                <w:sz w:val="18"/>
                <w:szCs w:val="18"/>
              </w:rPr>
              <w:t>国</w:t>
            </w:r>
            <w:r>
              <w:rPr>
                <w:rFonts w:ascii="宋体" w:hAnsi="宋体" w:cs="宋体" w:eastAsia="宋体" w:hint="default"/>
                <w:spacing w:val="-64"/>
                <w:sz w:val="18"/>
                <w:szCs w:val="18"/>
              </w:rPr>
              <w:t> </w:t>
            </w:r>
            <w:r>
              <w:rPr>
                <w:rFonts w:ascii="宋体" w:hAnsi="宋体" w:cs="宋体" w:eastAsia="宋体" w:hint="default"/>
                <w:sz w:val="18"/>
                <w:szCs w:val="18"/>
              </w:rPr>
              <w:t>誉</w:t>
            </w:r>
            <w:r>
              <w:rPr>
                <w:rFonts w:ascii="宋体" w:hAnsi="宋体" w:cs="宋体" w:eastAsia="宋体" w:hint="default"/>
                <w:spacing w:val="-64"/>
                <w:sz w:val="18"/>
                <w:szCs w:val="18"/>
              </w:rPr>
              <w:t> </w:t>
            </w:r>
            <w:r>
              <w:rPr>
                <w:rFonts w:ascii="宋体" w:hAnsi="宋体" w:cs="宋体" w:eastAsia="宋体" w:hint="default"/>
                <w:spacing w:val="8"/>
                <w:sz w:val="18"/>
                <w:szCs w:val="18"/>
              </w:rPr>
              <w:t>创富</w:t>
            </w:r>
            <w:r>
              <w:rPr>
                <w:rFonts w:ascii="宋体" w:hAnsi="宋体" w:cs="宋体" w:eastAsia="宋体" w:hint="default"/>
                <w:spacing w:val="-64"/>
                <w:sz w:val="18"/>
                <w:szCs w:val="18"/>
              </w:rPr>
              <w:t> </w:t>
            </w:r>
            <w:r>
              <w:rPr>
                <w:rFonts w:ascii="宋体" w:hAnsi="宋体" w:cs="宋体" w:eastAsia="宋体" w:hint="default"/>
                <w:sz w:val="18"/>
                <w:szCs w:val="18"/>
              </w:rPr>
              <w:t>国</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际</w:t>
            </w:r>
            <w:r>
              <w:rPr>
                <w:rFonts w:ascii="宋体" w:hAnsi="宋体" w:cs="宋体" w:eastAsia="宋体" w:hint="default"/>
                <w:spacing w:val="-63"/>
                <w:sz w:val="18"/>
                <w:szCs w:val="18"/>
              </w:rPr>
              <w:t> </w:t>
            </w:r>
            <w:r>
              <w:rPr>
                <w:rFonts w:ascii="宋体" w:hAnsi="宋体" w:cs="宋体" w:eastAsia="宋体" w:hint="default"/>
                <w:sz w:val="18"/>
                <w:szCs w:val="18"/>
              </w:rPr>
              <w:t>金</w:t>
            </w:r>
            <w:r>
              <w:rPr>
                <w:rFonts w:ascii="宋体" w:hAnsi="宋体" w:cs="宋体" w:eastAsia="宋体" w:hint="default"/>
                <w:spacing w:val="-63"/>
                <w:sz w:val="18"/>
                <w:szCs w:val="18"/>
              </w:rPr>
              <w:t> </w:t>
            </w:r>
            <w:r>
              <w:rPr>
                <w:rFonts w:ascii="宋体" w:hAnsi="宋体" w:cs="宋体" w:eastAsia="宋体" w:hint="default"/>
                <w:spacing w:val="8"/>
                <w:sz w:val="18"/>
                <w:szCs w:val="18"/>
              </w:rPr>
              <w:t>融服</w:t>
            </w:r>
            <w:r>
              <w:rPr>
                <w:rFonts w:ascii="宋体" w:hAnsi="宋体" w:cs="宋体" w:eastAsia="宋体" w:hint="default"/>
                <w:spacing w:val="-63"/>
                <w:sz w:val="18"/>
                <w:szCs w:val="18"/>
              </w:rPr>
              <w:t> </w:t>
            </w:r>
            <w:r>
              <w:rPr>
                <w:rFonts w:ascii="宋体" w:hAnsi="宋体" w:cs="宋体" w:eastAsia="宋体" w:hint="default"/>
                <w:sz w:val="18"/>
                <w:szCs w:val="18"/>
              </w:rPr>
              <w:t>务</w:t>
            </w:r>
          </w:p>
          <w:p>
            <w:pPr>
              <w:pStyle w:val="TableParagraph"/>
              <w:spacing w:line="321" w:lineRule="auto" w:before="22"/>
              <w:ind w:left="24" w:right="17"/>
              <w:jc w:val="left"/>
              <w:rPr>
                <w:rFonts w:ascii="宋体" w:hAnsi="宋体" w:cs="宋体" w:eastAsia="宋体" w:hint="default"/>
                <w:sz w:val="18"/>
                <w:szCs w:val="18"/>
              </w:rPr>
            </w:pPr>
            <w:r>
              <w:rPr>
                <w:rFonts w:ascii="宋体" w:hAnsi="宋体" w:cs="宋体" w:eastAsia="宋体" w:hint="default"/>
                <w:spacing w:val="-16"/>
                <w:w w:val="101"/>
                <w:sz w:val="18"/>
                <w:szCs w:val="18"/>
              </w:rPr>
              <w:t>（深圳）有限</w:t>
            </w:r>
            <w:r>
              <w:rPr>
                <w:rFonts w:ascii="宋体" w:hAnsi="宋体" w:cs="宋体" w:eastAsia="宋体" w:hint="default"/>
                <w:spacing w:val="-88"/>
                <w:w w:val="101"/>
                <w:sz w:val="18"/>
                <w:szCs w:val="18"/>
              </w:rPr>
              <w:t> </w:t>
            </w:r>
            <w:r>
              <w:rPr>
                <w:rFonts w:ascii="宋体" w:hAnsi="宋体" w:cs="宋体" w:eastAsia="宋体" w:hint="default"/>
                <w:spacing w:val="-88"/>
                <w:w w:val="101"/>
                <w:sz w:val="18"/>
                <w:szCs w:val="18"/>
              </w:rPr>
            </w:r>
            <w:r>
              <w:rPr>
                <w:rFonts w:ascii="宋体" w:hAnsi="宋体" w:cs="宋体" w:eastAsia="宋体" w:hint="default"/>
                <w:sz w:val="18"/>
                <w:szCs w:val="18"/>
              </w:rPr>
              <w:t>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参股公司</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金融服务</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30,000,000.0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58,440,940.6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8,472,864.22</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4,158,816.73</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-7,569,969.6</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-7,569,969.6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tc>
      </w:tr>
    </w:tbl>
    <w:p>
      <w:pPr>
        <w:pStyle w:val="BodyText"/>
        <w:spacing w:line="240" w:lineRule="auto" w:before="53"/>
        <w:ind w:right="0"/>
        <w:jc w:val="left"/>
      </w:pPr>
      <w:r>
        <w:rPr>
          <w:spacing w:val="-3"/>
        </w:rPr>
        <w:t>报告期内取得和处置子公司的情况</w:t>
      </w:r>
    </w:p>
    <w:p>
      <w:pPr>
        <w:pStyle w:val="BodyText"/>
        <w:spacing w:line="240" w:lineRule="auto" w:before="120"/>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7"/>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222"/>
              <w:jc w:val="right"/>
              <w:rPr>
                <w:rFonts w:ascii="宋体" w:hAnsi="宋体" w:cs="宋体" w:eastAsia="宋体" w:hint="default"/>
                <w:sz w:val="18"/>
                <w:szCs w:val="18"/>
              </w:rPr>
            </w:pPr>
            <w:r>
              <w:rPr>
                <w:rFonts w:ascii="宋体" w:hAnsi="宋体" w:cs="宋体" w:eastAsia="宋体" w:hint="default"/>
                <w:spacing w:val="-2"/>
                <w:sz w:val="18"/>
                <w:szCs w:val="18"/>
              </w:rPr>
              <w:t>公司名称</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31" w:right="0"/>
              <w:jc w:val="left"/>
              <w:rPr>
                <w:rFonts w:ascii="宋体" w:hAnsi="宋体" w:cs="宋体" w:eastAsia="宋体" w:hint="default"/>
                <w:sz w:val="18"/>
                <w:szCs w:val="18"/>
              </w:rPr>
            </w:pPr>
            <w:r>
              <w:rPr>
                <w:rFonts w:ascii="宋体" w:hAnsi="宋体" w:cs="宋体" w:eastAsia="宋体" w:hint="default"/>
                <w:spacing w:val="-3"/>
                <w:sz w:val="18"/>
                <w:szCs w:val="18"/>
              </w:rPr>
              <w:t>报告期内取得和处置子公司方式</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22" w:right="0"/>
              <w:jc w:val="left"/>
              <w:rPr>
                <w:rFonts w:ascii="宋体" w:hAnsi="宋体" w:cs="宋体" w:eastAsia="宋体" w:hint="default"/>
                <w:sz w:val="18"/>
                <w:szCs w:val="18"/>
              </w:rPr>
            </w:pPr>
            <w:r>
              <w:rPr>
                <w:rFonts w:ascii="宋体" w:hAnsi="宋体" w:cs="宋体" w:eastAsia="宋体" w:hint="default"/>
                <w:spacing w:val="-3"/>
                <w:sz w:val="18"/>
                <w:szCs w:val="18"/>
              </w:rPr>
              <w:t>对整体生产经营和业绩的影响</w:t>
            </w:r>
          </w:p>
        </w:tc>
      </w:tr>
      <w:tr>
        <w:trPr>
          <w:trHeight w:val="1027"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right="1169"/>
              <w:jc w:val="right"/>
              <w:rPr>
                <w:rFonts w:ascii="宋体" w:hAnsi="宋体" w:cs="宋体" w:eastAsia="宋体" w:hint="default"/>
                <w:sz w:val="18"/>
                <w:szCs w:val="18"/>
              </w:rPr>
            </w:pPr>
            <w:r>
              <w:rPr>
                <w:rFonts w:ascii="宋体" w:hAnsi="宋体" w:cs="宋体" w:eastAsia="宋体" w:hint="default"/>
                <w:spacing w:val="-3"/>
                <w:sz w:val="18"/>
                <w:szCs w:val="18"/>
              </w:rPr>
              <w:t>北京杰智融软件有限公司</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通过增资持有</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55%</w:t>
            </w:r>
            <w:r>
              <w:rPr>
                <w:rFonts w:ascii="宋体" w:hAnsi="宋体" w:cs="宋体" w:eastAsia="宋体" w:hint="default"/>
                <w:sz w:val="18"/>
                <w:szCs w:val="18"/>
              </w:rPr>
              <w:t>的股权</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94"/>
              <w:jc w:val="both"/>
              <w:rPr>
                <w:rFonts w:ascii="宋体" w:hAnsi="宋体" w:cs="宋体" w:eastAsia="宋体" w:hint="default"/>
                <w:sz w:val="18"/>
                <w:szCs w:val="18"/>
              </w:rPr>
            </w:pPr>
            <w:r>
              <w:rPr>
                <w:rFonts w:ascii="宋体" w:hAnsi="宋体" w:cs="宋体" w:eastAsia="宋体" w:hint="default"/>
                <w:spacing w:val="-3"/>
                <w:sz w:val="18"/>
                <w:szCs w:val="18"/>
              </w:rPr>
              <w:t>纳入公司合并报表范围，符合公司战略</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发展规划，不会对公司的持续经营产生</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z w:val="18"/>
                <w:szCs w:val="18"/>
              </w:rPr>
              <w:t>不利影响</w:t>
            </w:r>
          </w:p>
        </w:tc>
      </w:tr>
    </w:tbl>
    <w:p>
      <w:pPr>
        <w:pStyle w:val="BodyText"/>
        <w:spacing w:line="439" w:lineRule="auto" w:before="54"/>
        <w:ind w:left="513" w:right="2115" w:hanging="360"/>
        <w:jc w:val="left"/>
      </w:pPr>
      <w:r>
        <w:rPr>
          <w:spacing w:val="-3"/>
        </w:rPr>
        <w:t>主要控股参股公司情况说明</w:t>
      </w:r>
      <w:r>
        <w:rPr>
          <w:spacing w:val="-51"/>
        </w:rPr>
        <w:t> </w:t>
      </w:r>
      <w:r>
        <w:rPr>
          <w:spacing w:val="-51"/>
        </w:rPr>
      </w:r>
      <w:r>
        <w:rPr>
          <w:spacing w:val="-3"/>
        </w:rPr>
        <w:t>公司主要控股公司及参股公司的经营业绩变动情况分析请见本节</w:t>
      </w:r>
      <w:r>
        <w:rPr>
          <w:rFonts w:ascii="Times New Roman" w:hAnsi="Times New Roman" w:cs="Times New Roman" w:eastAsia="Times New Roman" w:hint="default"/>
          <w:spacing w:val="-3"/>
        </w:rPr>
        <w:t>“</w:t>
      </w:r>
      <w:r>
        <w:rPr>
          <w:spacing w:val="-3"/>
        </w:rPr>
        <w:t>一、概述</w:t>
      </w:r>
      <w:r>
        <w:rPr>
          <w:rFonts w:ascii="Times New Roman" w:hAnsi="Times New Roman" w:cs="Times New Roman" w:eastAsia="Times New Roman" w:hint="default"/>
          <w:spacing w:val="-3"/>
        </w:rPr>
        <w:t>”</w:t>
      </w:r>
      <w:r>
        <w:rPr>
          <w:spacing w:val="-3"/>
        </w:rPr>
        <w:t>相关内容。</w:t>
      </w:r>
    </w:p>
    <w:p>
      <w:pPr>
        <w:spacing w:after="0" w:line="439" w:lineRule="auto"/>
        <w:jc w:val="left"/>
        <w:sectPr>
          <w:pgSz w:w="11910" w:h="16840"/>
          <w:pgMar w:header="871" w:footer="1186" w:top="1100" w:bottom="1380" w:left="980" w:right="0"/>
        </w:sectPr>
      </w:pPr>
    </w:p>
    <w:p>
      <w:pPr>
        <w:spacing w:line="240" w:lineRule="auto" w:before="7"/>
        <w:rPr>
          <w:rFonts w:ascii="宋体" w:hAnsi="宋体" w:cs="宋体" w:eastAsia="宋体" w:hint="default"/>
          <w:sz w:val="19"/>
          <w:szCs w:val="19"/>
        </w:rPr>
      </w:pPr>
    </w:p>
    <w:p>
      <w:pPr>
        <w:pStyle w:val="Heading2"/>
        <w:spacing w:line="240" w:lineRule="auto" w:before="26"/>
        <w:ind w:right="0"/>
        <w:jc w:val="both"/>
        <w:rPr>
          <w:b w:val="0"/>
          <w:bCs w:val="0"/>
        </w:rPr>
      </w:pPr>
      <w:bookmarkStart w:name="八、公司控制的结构化主体情况" w:id="57"/>
      <w:bookmarkEnd w:id="57"/>
      <w:r>
        <w:rPr>
          <w:b w:val="0"/>
          <w:bCs w:val="0"/>
        </w:rPr>
      </w:r>
      <w:r>
        <w:rPr/>
        <w:t>八、公司控制的结构化主体情况</w:t>
      </w:r>
      <w:r>
        <w:rPr>
          <w:b w:val="0"/>
          <w:bCs w:val="0"/>
        </w:rPr>
      </w:r>
    </w:p>
    <w:p>
      <w:pPr>
        <w:spacing w:line="240" w:lineRule="auto" w:before="3"/>
        <w:rPr>
          <w:rFonts w:ascii="宋体" w:hAnsi="宋体" w:cs="宋体" w:eastAsia="宋体" w:hint="default"/>
          <w:b/>
          <w:bCs/>
          <w:sz w:val="27"/>
          <w:szCs w:val="27"/>
        </w:rPr>
      </w:pPr>
    </w:p>
    <w:p>
      <w:pPr>
        <w:pStyle w:val="BodyText"/>
        <w:spacing w:line="240" w:lineRule="auto"/>
        <w:ind w:right="0"/>
        <w:jc w:val="both"/>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13"/>
        <w:rPr>
          <w:rFonts w:ascii="宋体" w:hAnsi="宋体" w:cs="宋体" w:eastAsia="宋体" w:hint="default"/>
          <w:sz w:val="22"/>
          <w:szCs w:val="22"/>
        </w:rPr>
      </w:pPr>
    </w:p>
    <w:p>
      <w:pPr>
        <w:pStyle w:val="Heading2"/>
        <w:spacing w:line="240" w:lineRule="auto"/>
        <w:ind w:right="0"/>
        <w:jc w:val="both"/>
        <w:rPr>
          <w:b w:val="0"/>
          <w:bCs w:val="0"/>
        </w:rPr>
      </w:pPr>
      <w:bookmarkStart w:name="九、公司未来发展的展望" w:id="58"/>
      <w:bookmarkEnd w:id="58"/>
      <w:r>
        <w:rPr>
          <w:b w:val="0"/>
          <w:bCs w:val="0"/>
        </w:rPr>
      </w:r>
      <w:r>
        <w:rPr/>
        <w:t>九、公司未来发展的展望</w:t>
      </w:r>
      <w:r>
        <w:rPr>
          <w:b w:val="0"/>
          <w:bCs w:val="0"/>
        </w:rPr>
      </w:r>
    </w:p>
    <w:p>
      <w:pPr>
        <w:spacing w:line="240" w:lineRule="auto" w:before="6"/>
        <w:rPr>
          <w:rFonts w:ascii="宋体" w:hAnsi="宋体" w:cs="宋体" w:eastAsia="宋体" w:hint="default"/>
          <w:b/>
          <w:bCs/>
          <w:sz w:val="33"/>
          <w:szCs w:val="33"/>
        </w:rPr>
      </w:pPr>
    </w:p>
    <w:p>
      <w:pPr>
        <w:pStyle w:val="BodyText"/>
        <w:spacing w:line="480" w:lineRule="auto"/>
        <w:ind w:left="513" w:right="1170"/>
        <w:jc w:val="left"/>
      </w:pPr>
      <w:r>
        <w:rPr/>
        <w:t>（一）行业格局和趋势</w:t>
      </w:r>
      <w:r>
        <w:rPr>
          <w:spacing w:val="-86"/>
        </w:rPr>
        <w:t> </w:t>
      </w:r>
      <w:r>
        <w:rPr>
          <w:spacing w:val="-86"/>
        </w:rPr>
      </w:r>
      <w:r>
        <w:rPr>
          <w:spacing w:val="-3"/>
        </w:rPr>
        <w:t>按照公司既定的战略发展规划，公司的主营业务已经从金融信息化向金融综合服务领域延伸发展。</w:t>
      </w:r>
      <w:r>
        <w:rPr>
          <w:rFonts w:ascii="Times New Roman" w:hAnsi="Times New Roman" w:cs="Times New Roman" w:eastAsia="Times New Roman" w:hint="default"/>
          <w:spacing w:val="-3"/>
        </w:rPr>
        <w:t>2013   </w:t>
      </w:r>
      <w:r>
        <w:rPr>
          <w:rFonts w:ascii="Times New Roman" w:hAnsi="Times New Roman" w:cs="Times New Roman" w:eastAsia="Times New Roman" w:hint="default"/>
          <w:spacing w:val="29"/>
        </w:rPr>
        <w:t> </w:t>
      </w:r>
      <w:r>
        <w:rPr>
          <w:spacing w:val="-3"/>
        </w:rPr>
        <w:t>年起，随着互</w:t>
      </w:r>
    </w:p>
    <w:p>
      <w:pPr>
        <w:pStyle w:val="BodyText"/>
        <w:spacing w:line="477" w:lineRule="auto" w:before="17"/>
        <w:ind w:right="1123"/>
        <w:jc w:val="both"/>
      </w:pPr>
      <w:r>
        <w:rPr>
          <w:spacing w:val="-4"/>
        </w:rPr>
        <w:t>联网金融元年的到来，移动互联网、互联网金融、大数据等新兴产业迅猛发展，公司积极探索，迅速把握历史机遇，凭借丰</w:t>
      </w:r>
      <w:r>
        <w:rPr>
          <w:spacing w:val="40"/>
        </w:rPr>
        <w:t> </w:t>
      </w:r>
      <w:r>
        <w:rPr>
          <w:spacing w:val="40"/>
        </w:rPr>
      </w:r>
      <w:r>
        <w:rPr>
          <w:spacing w:val="-4"/>
        </w:rPr>
        <w:t>富的行业经验、广泛的客户资源以及深厚的技术实力，充分利用资本市场平台优势，通过对外投资计划和实施收购兼并，大</w:t>
      </w:r>
      <w:r>
        <w:rPr>
          <w:spacing w:val="40"/>
        </w:rPr>
        <w:t> </w:t>
      </w:r>
      <w:r>
        <w:rPr>
          <w:spacing w:val="40"/>
        </w:rPr>
      </w:r>
      <w:r>
        <w:rPr>
          <w:spacing w:val="-3"/>
        </w:rPr>
        <w:t>力拓展新业务，在金融科技领域进行了一系列的布局，为企业打开了全新的发展局面。</w:t>
      </w:r>
    </w:p>
    <w:p>
      <w:pPr>
        <w:pStyle w:val="BodyText"/>
        <w:spacing w:line="458" w:lineRule="auto" w:before="57"/>
        <w:ind w:right="1029" w:firstLine="360"/>
        <w:jc w:val="left"/>
      </w:pPr>
      <w:r>
        <w:rPr>
          <w:spacing w:val="-4"/>
          <w:w w:val="101"/>
        </w:rPr>
        <w:t>根据工信部发布的《</w:t>
      </w:r>
      <w:r>
        <w:rPr>
          <w:rFonts w:ascii="Times New Roman" w:hAnsi="Times New Roman" w:cs="Times New Roman" w:eastAsia="Times New Roman" w:hint="default"/>
          <w:spacing w:val="-4"/>
          <w:w w:val="101"/>
        </w:rPr>
        <w:t>2019</w:t>
      </w:r>
      <w:r>
        <w:rPr>
          <w:rFonts w:ascii="Times New Roman" w:hAnsi="Times New Roman" w:cs="Times New Roman" w:eastAsia="Times New Roman" w:hint="default"/>
          <w:w w:val="101"/>
        </w:rPr>
        <w:t> </w:t>
      </w:r>
      <w:r>
        <w:rPr>
          <w:spacing w:val="-8"/>
          <w:w w:val="101"/>
        </w:rPr>
        <w:t>年软件和信息技术服务业统计公报》，</w:t>
      </w:r>
      <w:r>
        <w:rPr>
          <w:rFonts w:ascii="Times New Roman" w:hAnsi="Times New Roman" w:cs="Times New Roman" w:eastAsia="Times New Roman" w:hint="default"/>
          <w:spacing w:val="-8"/>
          <w:w w:val="101"/>
        </w:rPr>
        <w:t>2019</w:t>
      </w:r>
      <w:r>
        <w:rPr>
          <w:rFonts w:ascii="Times New Roman" w:hAnsi="Times New Roman" w:cs="Times New Roman" w:eastAsia="Times New Roman" w:hint="default"/>
          <w:spacing w:val="-1"/>
          <w:w w:val="101"/>
        </w:rPr>
        <w:t> </w:t>
      </w:r>
      <w:r>
        <w:rPr>
          <w:spacing w:val="-4"/>
          <w:w w:val="101"/>
        </w:rPr>
        <w:t>年，我国软件和信息技术服务业呈现平稳向好发展</w:t>
      </w:r>
      <w:r>
        <w:rPr>
          <w:w w:val="101"/>
        </w:rPr>
        <w:t> </w:t>
      </w:r>
      <w:r>
        <w:rPr>
          <w:spacing w:val="-3"/>
        </w:rPr>
        <w:t>态势，收入和利润均保持较快增长，从业人数稳步增加；信息技术服务加快云化发展，软件应用服务化、平台化趋势明显。</w:t>
      </w:r>
      <w:r>
        <w:rPr>
          <w:spacing w:val="77"/>
        </w:rPr>
        <w:t> </w:t>
      </w:r>
      <w:r>
        <w:rPr>
          <w:spacing w:val="77"/>
        </w:rPr>
      </w:r>
      <w:r>
        <w:rPr>
          <w:spacing w:val="-5"/>
        </w:rPr>
        <w:t>其中，</w:t>
      </w:r>
      <w:r>
        <w:rPr>
          <w:rFonts w:ascii="Times New Roman" w:hAnsi="Times New Roman" w:cs="Times New Roman" w:eastAsia="Times New Roman" w:hint="default"/>
          <w:spacing w:val="-5"/>
        </w:rPr>
        <w:t>2019</w:t>
      </w:r>
      <w:r>
        <w:rPr>
          <w:rFonts w:ascii="Times New Roman" w:hAnsi="Times New Roman" w:cs="Times New Roman" w:eastAsia="Times New Roman" w:hint="default"/>
          <w:spacing w:val="7"/>
        </w:rPr>
        <w:t> </w:t>
      </w:r>
      <w:r>
        <w:rPr>
          <w:spacing w:val="-4"/>
        </w:rPr>
        <w:t>年，全国软件和信息技术服务业规模以上企业超</w:t>
      </w:r>
      <w:r>
        <w:rPr>
          <w:spacing w:val="-29"/>
        </w:rPr>
        <w:t> </w:t>
      </w:r>
      <w:r>
        <w:rPr>
          <w:rFonts w:ascii="Times New Roman" w:hAnsi="Times New Roman" w:cs="Times New Roman" w:eastAsia="Times New Roman" w:hint="default"/>
        </w:rPr>
        <w:t>4</w:t>
      </w:r>
      <w:r>
        <w:rPr>
          <w:rFonts w:ascii="Times New Roman" w:hAnsi="Times New Roman" w:cs="Times New Roman" w:eastAsia="Times New Roman" w:hint="default"/>
          <w:spacing w:val="14"/>
        </w:rPr>
        <w:t> </w:t>
      </w:r>
      <w:r>
        <w:rPr>
          <w:spacing w:val="-4"/>
        </w:rPr>
        <w:t>万家，累计完成软件业务收入</w:t>
      </w:r>
      <w:r>
        <w:rPr>
          <w:spacing w:val="-36"/>
        </w:rPr>
        <w:t> </w:t>
      </w:r>
      <w:r>
        <w:rPr>
          <w:rFonts w:ascii="Times New Roman" w:hAnsi="Times New Roman" w:cs="Times New Roman" w:eastAsia="Times New Roman" w:hint="default"/>
        </w:rPr>
        <w:t>71768</w:t>
      </w:r>
      <w:r>
        <w:rPr>
          <w:rFonts w:ascii="Times New Roman" w:hAnsi="Times New Roman" w:cs="Times New Roman" w:eastAsia="Times New Roman" w:hint="default"/>
          <w:spacing w:val="7"/>
        </w:rPr>
        <w:t> </w:t>
      </w:r>
      <w:r>
        <w:rPr>
          <w:spacing w:val="-5"/>
        </w:rPr>
        <w:t>亿元，同比增长</w:t>
      </w:r>
      <w:r>
        <w:rPr>
          <w:spacing w:val="-38"/>
        </w:rPr>
        <w:t> </w:t>
      </w:r>
      <w:r>
        <w:rPr>
          <w:rFonts w:ascii="Times New Roman" w:hAnsi="Times New Roman" w:cs="Times New Roman" w:eastAsia="Times New Roman" w:hint="default"/>
        </w:rPr>
        <w:t>15.4%</w:t>
      </w:r>
      <w:r>
        <w:rPr/>
        <w:t>；</w:t>
      </w:r>
      <w:r>
        <w:rPr>
          <w:spacing w:val="-49"/>
        </w:rPr>
        <w:t> </w:t>
      </w:r>
      <w:r>
        <w:rPr>
          <w:rFonts w:ascii="Times New Roman" w:hAnsi="Times New Roman" w:cs="Times New Roman" w:eastAsia="Times New Roman" w:hint="default"/>
        </w:rPr>
        <w:t>2019  </w:t>
      </w:r>
      <w:r>
        <w:rPr>
          <w:spacing w:val="-3"/>
        </w:rPr>
        <w:t>年软件和信息技术服务业实现利润总额 </w:t>
      </w:r>
      <w:r>
        <w:rPr>
          <w:rFonts w:ascii="Times New Roman" w:hAnsi="Times New Roman" w:cs="Times New Roman" w:eastAsia="Times New Roman" w:hint="default"/>
        </w:rPr>
        <w:t>9362  </w:t>
      </w:r>
      <w:r>
        <w:rPr>
          <w:spacing w:val="-3"/>
        </w:rPr>
        <w:t>亿元，同比增长</w:t>
      </w:r>
      <w:r>
        <w:rPr>
          <w:spacing w:val="-31"/>
        </w:rPr>
        <w:t> </w:t>
      </w:r>
      <w:r>
        <w:rPr>
          <w:rFonts w:ascii="Times New Roman" w:hAnsi="Times New Roman" w:cs="Times New Roman" w:eastAsia="Times New Roman" w:hint="default"/>
          <w:spacing w:val="-3"/>
        </w:rPr>
        <w:t>9.9%</w:t>
      </w:r>
      <w:r>
        <w:rPr>
          <w:spacing w:val="-3"/>
        </w:rPr>
        <w:t>，盈利能力稳步提升。此外，工信部颁发的《软件</w:t>
      </w:r>
    </w:p>
    <w:p>
      <w:pPr>
        <w:pStyle w:val="BodyText"/>
        <w:spacing w:line="448" w:lineRule="auto" w:before="40"/>
        <w:ind w:right="1126"/>
        <w:jc w:val="both"/>
      </w:pPr>
      <w:r>
        <w:rPr>
          <w:spacing w:val="-2"/>
          <w:w w:val="101"/>
        </w:rPr>
        <w:t>和信息技术服务业发展规划（</w:t>
      </w:r>
      <w:r>
        <w:rPr>
          <w:rFonts w:ascii="Times New Roman" w:hAnsi="Times New Roman" w:cs="Times New Roman" w:eastAsia="Times New Roman" w:hint="default"/>
          <w:spacing w:val="-2"/>
          <w:w w:val="101"/>
        </w:rPr>
        <w:t>2016-2020</w:t>
      </w:r>
      <w:r>
        <w:rPr>
          <w:rFonts w:ascii="Times New Roman" w:hAnsi="Times New Roman" w:cs="Times New Roman" w:eastAsia="Times New Roman" w:hint="default"/>
          <w:spacing w:val="-4"/>
          <w:w w:val="101"/>
        </w:rPr>
        <w:t> </w:t>
      </w:r>
      <w:r>
        <w:rPr>
          <w:spacing w:val="-13"/>
          <w:w w:val="101"/>
        </w:rPr>
        <w:t>年）》显示，预计到</w:t>
      </w:r>
      <w:r>
        <w:rPr>
          <w:spacing w:val="-44"/>
          <w:w w:val="101"/>
        </w:rPr>
        <w:t> </w:t>
      </w:r>
      <w:r>
        <w:rPr>
          <w:rFonts w:ascii="Times New Roman" w:hAnsi="Times New Roman" w:cs="Times New Roman" w:eastAsia="Times New Roman" w:hint="default"/>
          <w:spacing w:val="-2"/>
          <w:w w:val="101"/>
        </w:rPr>
        <w:t>2020</w:t>
      </w:r>
      <w:r>
        <w:rPr>
          <w:rFonts w:ascii="Times New Roman" w:hAnsi="Times New Roman" w:cs="Times New Roman" w:eastAsia="Times New Roman" w:hint="default"/>
          <w:spacing w:val="2"/>
          <w:w w:val="101"/>
        </w:rPr>
        <w:t> </w:t>
      </w:r>
      <w:r>
        <w:rPr>
          <w:spacing w:val="-3"/>
          <w:w w:val="101"/>
        </w:rPr>
        <w:t>年，软件和信息技术服务业的业务收入突破</w:t>
      </w:r>
      <w:r>
        <w:rPr>
          <w:spacing w:val="-43"/>
          <w:w w:val="101"/>
        </w:rPr>
        <w:t> </w:t>
      </w:r>
      <w:r>
        <w:rPr>
          <w:rFonts w:ascii="Times New Roman" w:hAnsi="Times New Roman" w:cs="Times New Roman" w:eastAsia="Times New Roman" w:hint="default"/>
          <w:w w:val="101"/>
        </w:rPr>
        <w:t>8</w:t>
      </w:r>
      <w:r>
        <w:rPr>
          <w:rFonts w:ascii="Times New Roman" w:hAnsi="Times New Roman" w:cs="Times New Roman" w:eastAsia="Times New Roman" w:hint="default"/>
          <w:spacing w:val="2"/>
          <w:w w:val="101"/>
        </w:rPr>
        <w:t> </w:t>
      </w:r>
      <w:r>
        <w:rPr>
          <w:spacing w:val="-3"/>
          <w:w w:val="101"/>
        </w:rPr>
        <w:t>万亿元，年</w:t>
      </w:r>
      <w:r>
        <w:rPr>
          <w:spacing w:val="-90"/>
          <w:w w:val="101"/>
        </w:rPr>
        <w:t> </w:t>
      </w:r>
      <w:r>
        <w:rPr>
          <w:spacing w:val="-90"/>
          <w:w w:val="101"/>
        </w:rPr>
      </w:r>
      <w:r>
        <w:rPr/>
        <w:t>均增长 </w:t>
      </w:r>
      <w:r>
        <w:rPr>
          <w:rFonts w:ascii="Times New Roman" w:hAnsi="Times New Roman" w:cs="Times New Roman" w:eastAsia="Times New Roman" w:hint="default"/>
          <w:spacing w:val="-3"/>
        </w:rPr>
        <w:t>13%</w:t>
      </w:r>
      <w:r>
        <w:rPr>
          <w:spacing w:val="-3"/>
        </w:rPr>
        <w:t>以上，占信息产业比重超过</w:t>
      </w:r>
      <w:r>
        <w:rPr>
          <w:spacing w:val="-43"/>
        </w:rPr>
        <w:t> </w:t>
      </w:r>
      <w:r>
        <w:rPr>
          <w:rFonts w:ascii="Times New Roman" w:hAnsi="Times New Roman" w:cs="Times New Roman" w:eastAsia="Times New Roman" w:hint="default"/>
        </w:rPr>
        <w:t>30%</w:t>
      </w:r>
      <w:r>
        <w:rPr/>
        <w:t>。</w:t>
      </w:r>
    </w:p>
    <w:p>
      <w:pPr>
        <w:pStyle w:val="BodyText"/>
        <w:spacing w:line="463" w:lineRule="auto" w:before="48"/>
        <w:ind w:right="1029" w:firstLine="360"/>
        <w:jc w:val="left"/>
      </w:pPr>
      <w:r>
        <w:rPr>
          <w:spacing w:val="-4"/>
        </w:rPr>
        <w:t>金融科技是指通过技术手段推动金融创新，使得金融服务更加便利化、智能化，能够有效降低交易成本、提高金融业服</w:t>
      </w:r>
      <w:r>
        <w:rPr>
          <w:w w:val="101"/>
        </w:rPr>
        <w:t> </w:t>
      </w:r>
      <w:r>
        <w:rPr>
          <w:spacing w:val="-2"/>
          <w:w w:val="101"/>
        </w:rPr>
        <w:t>务效率的技术或者产业。</w:t>
      </w:r>
      <w:r>
        <w:rPr>
          <w:rFonts w:ascii="Times New Roman" w:hAnsi="Times New Roman" w:cs="Times New Roman" w:eastAsia="Times New Roman" w:hint="default"/>
          <w:spacing w:val="-2"/>
          <w:w w:val="101"/>
        </w:rPr>
        <w:t>2019</w:t>
      </w:r>
      <w:r>
        <w:rPr>
          <w:rFonts w:ascii="Times New Roman" w:hAnsi="Times New Roman" w:cs="Times New Roman" w:eastAsia="Times New Roman" w:hint="default"/>
          <w:spacing w:val="1"/>
          <w:w w:val="101"/>
        </w:rPr>
        <w:t> </w:t>
      </w:r>
      <w:r>
        <w:rPr>
          <w:w w:val="101"/>
        </w:rPr>
        <w:t>年</w:t>
      </w:r>
      <w:r>
        <w:rPr>
          <w:spacing w:val="-45"/>
          <w:w w:val="101"/>
        </w:rPr>
        <w:t> </w:t>
      </w:r>
      <w:r>
        <w:rPr>
          <w:rFonts w:ascii="Times New Roman" w:hAnsi="Times New Roman" w:cs="Times New Roman" w:eastAsia="Times New Roman" w:hint="default"/>
          <w:w w:val="101"/>
        </w:rPr>
        <w:t>8</w:t>
      </w:r>
      <w:r>
        <w:rPr>
          <w:rFonts w:ascii="Times New Roman" w:hAnsi="Times New Roman" w:cs="Times New Roman" w:eastAsia="Times New Roman" w:hint="default"/>
          <w:spacing w:val="-5"/>
          <w:w w:val="101"/>
        </w:rPr>
        <w:t> </w:t>
      </w:r>
      <w:r>
        <w:rPr>
          <w:spacing w:val="-2"/>
          <w:w w:val="101"/>
        </w:rPr>
        <w:t>月，中国人民银行印发《金融科技</w:t>
      </w:r>
      <w:r>
        <w:rPr>
          <w:spacing w:val="-45"/>
          <w:w w:val="101"/>
        </w:rPr>
        <w:t> </w:t>
      </w:r>
      <w:r>
        <w:rPr>
          <w:rFonts w:ascii="Times New Roman" w:hAnsi="Times New Roman" w:cs="Times New Roman" w:eastAsia="Times New Roman" w:hint="default"/>
          <w:spacing w:val="-3"/>
          <w:w w:val="101"/>
        </w:rPr>
        <w:t>FinTech</w:t>
      </w:r>
      <w:r>
        <w:rPr>
          <w:spacing w:val="-3"/>
          <w:w w:val="101"/>
        </w:rPr>
        <w:t>）发展规划（</w:t>
      </w:r>
      <w:r>
        <w:rPr>
          <w:rFonts w:ascii="Times New Roman" w:hAnsi="Times New Roman" w:cs="Times New Roman" w:eastAsia="Times New Roman" w:hint="default"/>
          <w:spacing w:val="-3"/>
          <w:w w:val="101"/>
        </w:rPr>
        <w:t>2019-2021</w:t>
      </w:r>
      <w:r>
        <w:rPr>
          <w:rFonts w:ascii="Times New Roman" w:hAnsi="Times New Roman" w:cs="Times New Roman" w:eastAsia="Times New Roman" w:hint="default"/>
          <w:spacing w:val="-5"/>
          <w:w w:val="101"/>
        </w:rPr>
        <w:t> </w:t>
      </w:r>
      <w:r>
        <w:rPr>
          <w:spacing w:val="-24"/>
          <w:w w:val="101"/>
        </w:rPr>
        <w:t>年）》，《规划》提出，</w:t>
      </w:r>
      <w:r>
        <w:rPr>
          <w:spacing w:val="-89"/>
          <w:w w:val="101"/>
        </w:rPr>
        <w:t> </w:t>
      </w:r>
      <w:r>
        <w:rPr>
          <w:spacing w:val="-89"/>
          <w:w w:val="101"/>
        </w:rPr>
      </w:r>
      <w:r>
        <w:rPr>
          <w:w w:val="101"/>
        </w:rPr>
        <w:t>到</w:t>
      </w:r>
      <w:r>
        <w:rPr>
          <w:spacing w:val="-48"/>
          <w:w w:val="101"/>
        </w:rPr>
        <w:t> </w:t>
      </w:r>
      <w:r>
        <w:rPr>
          <w:rFonts w:ascii="Times New Roman" w:hAnsi="Times New Roman" w:cs="Times New Roman" w:eastAsia="Times New Roman" w:hint="default"/>
          <w:w w:val="101"/>
        </w:rPr>
        <w:t>2021</w:t>
      </w:r>
      <w:r>
        <w:rPr>
          <w:rFonts w:ascii="Times New Roman" w:hAnsi="Times New Roman" w:cs="Times New Roman" w:eastAsia="Times New Roman" w:hint="default"/>
          <w:spacing w:val="-2"/>
          <w:w w:val="101"/>
        </w:rPr>
        <w:t> </w:t>
      </w:r>
      <w:r>
        <w:rPr>
          <w:spacing w:val="-6"/>
          <w:w w:val="101"/>
        </w:rPr>
        <w:t>年，建立健全我国金融科技发展的“四梁八柱”，进一步增强金融业科技应用能力，实现金融与科技深度融合、协调</w:t>
      </w:r>
      <w:r>
        <w:rPr>
          <w:spacing w:val="-89"/>
          <w:w w:val="101"/>
        </w:rPr>
        <w:t> </w:t>
      </w:r>
      <w:r>
        <w:rPr>
          <w:spacing w:val="-89"/>
          <w:w w:val="101"/>
        </w:rPr>
      </w:r>
      <w:r>
        <w:rPr>
          <w:spacing w:val="-3"/>
        </w:rPr>
        <w:t>发展，明显增强人民群众对数字化、网络化、智能化金融产品和服务的满意度，推动我国金融科技发展居于国际领先水平。</w:t>
      </w:r>
      <w:r>
        <w:rPr>
          <w:spacing w:val="75"/>
        </w:rPr>
        <w:t> </w:t>
      </w:r>
      <w:r>
        <w:rPr>
          <w:spacing w:val="75"/>
        </w:rPr>
      </w:r>
      <w:r>
        <w:rPr>
          <w:spacing w:val="-3"/>
        </w:rPr>
        <w:t>该规划的出台给整个金融科技行业营造了良好的政策氛围，我国金融科技行业将开启一个全新的发展时代。</w:t>
      </w:r>
    </w:p>
    <w:p>
      <w:pPr>
        <w:pStyle w:val="BodyText"/>
        <w:spacing w:line="480" w:lineRule="auto" w:before="63"/>
        <w:ind w:left="513" w:right="0"/>
        <w:jc w:val="left"/>
      </w:pPr>
      <w:r>
        <w:rPr>
          <w:spacing w:val="-3"/>
        </w:rPr>
        <w:t>（二）公司发展战略</w:t>
      </w:r>
      <w:r>
        <w:rPr>
          <w:spacing w:val="-62"/>
        </w:rPr>
        <w:t> </w:t>
      </w:r>
      <w:r>
        <w:rPr>
          <w:spacing w:val="-62"/>
        </w:rPr>
      </w:r>
      <w:r>
        <w:rPr>
          <w:spacing w:val="-4"/>
        </w:rPr>
        <w:t>公司目前主营业务涉及金融信息化服务、移动信息服务和电子商务三大领域。经过近年来的战略布局，公司已经发展成</w:t>
      </w:r>
    </w:p>
    <w:p>
      <w:pPr>
        <w:pStyle w:val="BodyText"/>
        <w:spacing w:line="472" w:lineRule="auto" w:before="50"/>
        <w:ind w:right="1037"/>
        <w:jc w:val="both"/>
      </w:pPr>
      <w:r>
        <w:rPr/>
        <w:t>为涉及 </w:t>
      </w:r>
      <w:r>
        <w:rPr>
          <w:rFonts w:ascii="Times New Roman" w:hAnsi="Times New Roman" w:cs="Times New Roman" w:eastAsia="Times New Roman" w:hint="default"/>
          <w:spacing w:val="-3"/>
        </w:rPr>
        <w:t>IT</w:t>
      </w:r>
      <w:r>
        <w:rPr>
          <w:spacing w:val="-3"/>
        </w:rPr>
        <w:t>、</w:t>
      </w:r>
      <w:r>
        <w:rPr>
          <w:rFonts w:ascii="Times New Roman" w:hAnsi="Times New Roman" w:cs="Times New Roman" w:eastAsia="Times New Roman" w:hint="default"/>
          <w:spacing w:val="-3"/>
        </w:rPr>
        <w:t>DT</w:t>
      </w:r>
      <w:r>
        <w:rPr>
          <w:spacing w:val="-3"/>
        </w:rPr>
        <w:t>、个人征信、互联网保险、证券等业务领域的综合持牌金融科技公司。未来，公司将紧紧抓住中国特色社会</w:t>
      </w:r>
      <w:r>
        <w:rPr>
          <w:spacing w:val="18"/>
        </w:rPr>
        <w:t> </w:t>
      </w:r>
      <w:r>
        <w:rPr>
          <w:spacing w:val="18"/>
        </w:rPr>
      </w:r>
      <w:r>
        <w:rPr>
          <w:spacing w:val="-4"/>
        </w:rPr>
        <w:t>主义先行示范区和粤港澳大湾区建设背景下金融科技领域的时代发展机遇，持续进行产品与技术创新，推动公司三大主营业</w:t>
      </w:r>
      <w:r>
        <w:rPr>
          <w:spacing w:val="38"/>
        </w:rPr>
        <w:t> </w:t>
      </w:r>
      <w:r>
        <w:rPr>
          <w:spacing w:val="38"/>
        </w:rPr>
      </w:r>
      <w:r>
        <w:rPr>
          <w:spacing w:val="-4"/>
        </w:rPr>
        <w:t>务的稳健发展，持续提升公司核心竞争力；通过大力发展个人征信相关的金融基础服务业务，以及参与发起设立证券、互联</w:t>
      </w:r>
      <w:r>
        <w:rPr>
          <w:spacing w:val="40"/>
        </w:rPr>
        <w:t> </w:t>
      </w:r>
      <w:r>
        <w:rPr>
          <w:spacing w:val="40"/>
        </w:rPr>
      </w:r>
      <w:r>
        <w:rPr>
          <w:spacing w:val="-4"/>
        </w:rPr>
        <w:t>网保险、上海保交所等金融服务机构，构建以金融科技为基础的综合金融生态服务体系，引领公司在金融服务领域实现跨越</w:t>
      </w:r>
      <w:r>
        <w:rPr>
          <w:spacing w:val="43"/>
        </w:rPr>
        <w:t> </w:t>
      </w:r>
      <w:r>
        <w:rPr>
          <w:spacing w:val="43"/>
        </w:rPr>
      </w:r>
      <w:r>
        <w:rPr>
          <w:spacing w:val="-4"/>
        </w:rPr>
        <w:t>式发展；依托自身技术、客户资源、行业服务经验等优势，整合内部资源，重点发挥各业务板块间的协同效应，实现各业务</w:t>
      </w:r>
      <w:r>
        <w:rPr>
          <w:spacing w:val="40"/>
        </w:rPr>
        <w:t> </w:t>
      </w:r>
      <w:r>
        <w:rPr>
          <w:spacing w:val="40"/>
        </w:rPr>
      </w:r>
      <w:r>
        <w:rPr>
          <w:spacing w:val="-4"/>
        </w:rPr>
        <w:t>板块的优势互补。具体经营层面，公司将充分发挥在金融服务各业务领域间的协同效应，对外做大做强既有业务，对内优化</w:t>
      </w:r>
      <w:r>
        <w:rPr>
          <w:spacing w:val="40"/>
        </w:rPr>
        <w:t> </w:t>
      </w:r>
      <w:r>
        <w:rPr>
          <w:spacing w:val="40"/>
        </w:rPr>
      </w:r>
      <w:r>
        <w:rPr>
          <w:spacing w:val="-3"/>
        </w:rPr>
        <w:t>经营管理效率，在技术研发、产品创新、商业模式创新、品牌宣传和集团化管理等方面狠抓落实，致力于为国内金融机构、</w:t>
      </w:r>
    </w:p>
    <w:p>
      <w:pPr>
        <w:pStyle w:val="BodyText"/>
        <w:spacing w:line="240" w:lineRule="auto" w:before="60"/>
        <w:ind w:right="0"/>
        <w:jc w:val="both"/>
      </w:pPr>
      <w:r>
        <w:rPr>
          <w:spacing w:val="-3"/>
        </w:rPr>
        <w:t>互联网金融企业、个人消费者提供全面的创新金融科技服务，持续提升公司核心竞争力，实现公司经营业绩的快速提升。</w:t>
      </w:r>
    </w:p>
    <w:p>
      <w:pPr>
        <w:spacing w:after="0" w:line="240" w:lineRule="auto"/>
        <w:jc w:val="both"/>
        <w:sectPr>
          <w:pgSz w:w="11910" w:h="16840"/>
          <w:pgMar w:header="871" w:footer="1186" w:top="1100" w:bottom="1380" w:left="980" w:right="0"/>
        </w:sectPr>
      </w:pPr>
    </w:p>
    <w:p>
      <w:pPr>
        <w:spacing w:line="240" w:lineRule="auto" w:before="1"/>
        <w:rPr>
          <w:rFonts w:ascii="宋体" w:hAnsi="宋体" w:cs="宋体" w:eastAsia="宋体" w:hint="default"/>
          <w:sz w:val="28"/>
          <w:szCs w:val="28"/>
        </w:rPr>
      </w:pPr>
    </w:p>
    <w:p>
      <w:pPr>
        <w:pStyle w:val="BodyText"/>
        <w:spacing w:line="240" w:lineRule="auto" w:before="46"/>
        <w:ind w:left="513" w:right="0"/>
        <w:jc w:val="left"/>
      </w:pPr>
      <w:r>
        <w:rPr>
          <w:spacing w:val="-3"/>
        </w:rPr>
        <w:t>（三）公司经营计划</w:t>
      </w:r>
    </w:p>
    <w:p>
      <w:pPr>
        <w:spacing w:line="240" w:lineRule="auto" w:before="8"/>
        <w:rPr>
          <w:rFonts w:ascii="宋体" w:hAnsi="宋体" w:cs="宋体" w:eastAsia="宋体" w:hint="default"/>
          <w:sz w:val="17"/>
          <w:szCs w:val="17"/>
        </w:rPr>
      </w:pPr>
    </w:p>
    <w:p>
      <w:pPr>
        <w:pStyle w:val="BodyText"/>
        <w:spacing w:line="240" w:lineRule="auto"/>
        <w:ind w:left="513" w:right="0"/>
        <w:jc w:val="left"/>
      </w:pPr>
      <w:r>
        <w:rPr>
          <w:rFonts w:ascii="Times New Roman" w:hAnsi="Times New Roman" w:cs="Times New Roman" w:eastAsia="Times New Roman" w:hint="default"/>
          <w:spacing w:val="-3"/>
        </w:rPr>
        <w:t>1</w:t>
      </w:r>
      <w:r>
        <w:rPr>
          <w:spacing w:val="-3"/>
        </w:rPr>
        <w:t>、前期披露的发展战略和经营计划在报告期内的进展</w:t>
      </w:r>
    </w:p>
    <w:p>
      <w:pPr>
        <w:spacing w:line="240" w:lineRule="auto" w:before="12"/>
        <w:rPr>
          <w:rFonts w:ascii="宋体" w:hAnsi="宋体" w:cs="宋体" w:eastAsia="宋体" w:hint="default"/>
          <w:sz w:val="16"/>
          <w:szCs w:val="16"/>
        </w:rPr>
      </w:pPr>
    </w:p>
    <w:p>
      <w:pPr>
        <w:pStyle w:val="BodyText"/>
        <w:spacing w:line="468" w:lineRule="auto"/>
        <w:ind w:right="1123" w:firstLine="360"/>
        <w:jc w:val="both"/>
      </w:pPr>
      <w:r>
        <w:rPr/>
        <w:t>公司 </w:t>
      </w:r>
      <w:r>
        <w:rPr>
          <w:rFonts w:ascii="Times New Roman" w:hAnsi="Times New Roman" w:cs="Times New Roman" w:eastAsia="Times New Roman" w:hint="default"/>
        </w:rPr>
        <w:t>2018</w:t>
      </w:r>
      <w:r>
        <w:rPr>
          <w:rFonts w:ascii="Times New Roman" w:hAnsi="Times New Roman" w:cs="Times New Roman" w:eastAsia="Times New Roman" w:hint="default"/>
          <w:spacing w:val="13"/>
        </w:rPr>
        <w:t> </w:t>
      </w:r>
      <w:r>
        <w:rPr>
          <w:spacing w:val="-3"/>
        </w:rPr>
        <w:t>年度报告中披露了公司报告期内的经营计划。报告期内，公司围绕长期战略规划和近期发展目标，立足于目</w:t>
      </w:r>
      <w:r>
        <w:rPr>
          <w:w w:val="101"/>
        </w:rPr>
        <w:t> </w:t>
      </w:r>
      <w:r>
        <w:rPr>
          <w:spacing w:val="-4"/>
        </w:rPr>
        <w:t>前已有的业务布局基础，稳步推进计划的贯彻落实。一方面，着力推动已布局的个人征信、互联网保险、证券业务的项目落</w:t>
      </w:r>
      <w:r>
        <w:rPr>
          <w:spacing w:val="40"/>
        </w:rPr>
        <w:t> </w:t>
      </w:r>
      <w:r>
        <w:rPr>
          <w:spacing w:val="40"/>
        </w:rPr>
      </w:r>
      <w:r>
        <w:rPr>
          <w:spacing w:val="-8"/>
          <w:w w:val="101"/>
        </w:rPr>
        <w:t>地；另一方面，发挥在各投资领域的整合优势，扎实推进公司互联网金融产业发展战略，逐步构建互联网金融的产业生态圈，</w:t>
      </w:r>
      <w:r>
        <w:rPr>
          <w:spacing w:val="-49"/>
          <w:w w:val="101"/>
        </w:rPr>
        <w:t> </w:t>
      </w:r>
      <w:r>
        <w:rPr>
          <w:spacing w:val="-49"/>
          <w:w w:val="101"/>
        </w:rPr>
      </w:r>
      <w:r>
        <w:rPr>
          <w:spacing w:val="-3"/>
        </w:rPr>
        <w:t>推动公司整体业绩提升，为股东创造更大的价值，也为公司未来可持续发展奠定了坚实基础。</w:t>
      </w:r>
    </w:p>
    <w:p>
      <w:pPr>
        <w:pStyle w:val="BodyText"/>
        <w:spacing w:line="448" w:lineRule="auto" w:before="64"/>
        <w:ind w:right="1133" w:firstLine="360"/>
        <w:jc w:val="both"/>
      </w:pPr>
      <w:r>
        <w:rPr>
          <w:rFonts w:ascii="Times New Roman" w:hAnsi="Times New Roman" w:cs="Times New Roman" w:eastAsia="Times New Roman" w:hint="default"/>
          <w:spacing w:val="-3"/>
        </w:rPr>
        <w:t>1</w:t>
      </w:r>
      <w:r>
        <w:rPr>
          <w:spacing w:val="-3"/>
        </w:rPr>
        <w:t>）以业务和产品创新为驱动力，推动金融信息化、移动信息服务、电子商务等三大主营业务的开拓发展，实现公司全</w:t>
      </w:r>
      <w:r>
        <w:rPr>
          <w:w w:val="101"/>
        </w:rPr>
        <w:t> </w:t>
      </w:r>
      <w:r>
        <w:rPr/>
        <w:t>年经营业绩目标；</w:t>
      </w:r>
    </w:p>
    <w:p>
      <w:pPr>
        <w:pStyle w:val="BodyText"/>
        <w:spacing w:line="468" w:lineRule="auto" w:before="78"/>
        <w:ind w:right="1124" w:firstLine="360"/>
        <w:jc w:val="both"/>
      </w:pPr>
      <w:r>
        <w:rPr>
          <w:spacing w:val="-4"/>
        </w:rPr>
        <w:t>报告期内，公司围绕既定战略目标扎实推进已有主营业务的经营管理工作。其中，公司持续落实和推进金融信息化领域</w:t>
      </w:r>
      <w:r>
        <w:rPr>
          <w:w w:val="101"/>
        </w:rPr>
        <w:t> </w:t>
      </w:r>
      <w:r>
        <w:rPr>
          <w:spacing w:val="-3"/>
        </w:rPr>
        <w:t>的市场推广力度，相继中标中国工商银行行政印章用印机设备项目及中国建设银行印控机采购项目，对公司 </w:t>
      </w:r>
      <w:r>
        <w:rPr>
          <w:rFonts w:ascii="Times New Roman" w:hAnsi="Times New Roman" w:cs="Times New Roman" w:eastAsia="Times New Roman" w:hint="default"/>
        </w:rPr>
        <w:t>2019 </w:t>
      </w:r>
      <w:r>
        <w:rPr/>
        <w:t>年度经营</w:t>
      </w:r>
      <w:r>
        <w:rPr>
          <w:spacing w:val="-36"/>
        </w:rPr>
        <w:t> </w:t>
      </w:r>
      <w:r>
        <w:rPr>
          <w:spacing w:val="-36"/>
        </w:rPr>
      </w:r>
      <w:r>
        <w:rPr>
          <w:spacing w:val="-4"/>
        </w:rPr>
        <w:t>业绩产生积极影响。同时，公司移动信息服务和数据服务业务继续保持稳定的营业利润。主要受公司投资的互联网保险公司</w:t>
      </w:r>
      <w:r>
        <w:rPr>
          <w:spacing w:val="43"/>
        </w:rPr>
        <w:t> </w:t>
      </w:r>
      <w:r>
        <w:rPr>
          <w:spacing w:val="43"/>
        </w:rPr>
      </w:r>
      <w:r>
        <w:rPr/>
        <w:t>易安保险在 </w:t>
      </w:r>
      <w:r>
        <w:rPr>
          <w:rFonts w:ascii="Times New Roman" w:hAnsi="Times New Roman" w:cs="Times New Roman" w:eastAsia="Times New Roman" w:hint="default"/>
        </w:rPr>
        <w:t>2019  </w:t>
      </w:r>
      <w:r>
        <w:rPr>
          <w:spacing w:val="-3"/>
        </w:rPr>
        <w:t>年度期后调整保险责任准备金的影响，公司 </w:t>
      </w:r>
      <w:r>
        <w:rPr>
          <w:rFonts w:ascii="Times New Roman" w:hAnsi="Times New Roman" w:cs="Times New Roman" w:eastAsia="Times New Roman" w:hint="default"/>
        </w:rPr>
        <w:t>2019</w:t>
      </w:r>
      <w:r>
        <w:rPr>
          <w:rFonts w:ascii="Times New Roman" w:hAnsi="Times New Roman" w:cs="Times New Roman" w:eastAsia="Times New Roman" w:hint="default"/>
          <w:spacing w:val="-18"/>
        </w:rPr>
        <w:t> </w:t>
      </w:r>
      <w:r>
        <w:rPr>
          <w:spacing w:val="-3"/>
        </w:rPr>
        <w:t>年度净利润较上年度有较大幅度的下降。</w:t>
      </w:r>
    </w:p>
    <w:p>
      <w:pPr>
        <w:pStyle w:val="BodyText"/>
        <w:spacing w:line="448" w:lineRule="auto" w:before="32"/>
        <w:ind w:left="513" w:right="0"/>
        <w:jc w:val="left"/>
      </w:pPr>
      <w:r>
        <w:rPr>
          <w:rFonts w:ascii="Times New Roman" w:hAnsi="Times New Roman" w:cs="Times New Roman" w:eastAsia="Times New Roman" w:hint="default"/>
          <w:spacing w:val="-3"/>
        </w:rPr>
        <w:t>2</w:t>
      </w:r>
      <w:r>
        <w:rPr>
          <w:spacing w:val="-3"/>
        </w:rPr>
        <w:t>）积极整合公司业务资源，开拓以个人征信、数据服务为核心方向的金融科技创新市场；</w:t>
      </w:r>
      <w:r>
        <w:rPr>
          <w:spacing w:val="29"/>
        </w:rPr>
        <w:t> </w:t>
      </w:r>
      <w:r>
        <w:rPr>
          <w:spacing w:val="29"/>
        </w:rPr>
      </w:r>
      <w:r>
        <w:rPr>
          <w:spacing w:val="-4"/>
        </w:rPr>
        <w:t>报告期内，公司积极整合现有各项业务资源，旗下个人征信、数据服务等业务协同发展。其中，由华道征信入股的百行</w:t>
      </w:r>
    </w:p>
    <w:p>
      <w:pPr>
        <w:pStyle w:val="BodyText"/>
        <w:spacing w:line="240" w:lineRule="auto" w:before="78"/>
        <w:ind w:right="0"/>
        <w:jc w:val="both"/>
      </w:pPr>
      <w:r>
        <w:rPr/>
        <w:t>征信有限公司于 </w:t>
      </w:r>
      <w:r>
        <w:rPr>
          <w:rFonts w:ascii="Times New Roman" w:hAnsi="Times New Roman" w:cs="Times New Roman" w:eastAsia="Times New Roman" w:hint="default"/>
        </w:rPr>
        <w:t>2018  </w:t>
      </w:r>
      <w:r>
        <w:rPr/>
        <w:t>年 </w:t>
      </w:r>
      <w:r>
        <w:rPr>
          <w:rFonts w:ascii="Times New Roman" w:hAnsi="Times New Roman" w:cs="Times New Roman" w:eastAsia="Times New Roman" w:hint="default"/>
        </w:rPr>
        <w:t>5</w:t>
      </w:r>
      <w:r>
        <w:rPr>
          <w:rFonts w:ascii="Times New Roman" w:hAnsi="Times New Roman" w:cs="Times New Roman" w:eastAsia="Times New Roman" w:hint="default"/>
          <w:spacing w:val="-10"/>
        </w:rPr>
        <w:t> </w:t>
      </w:r>
      <w:r>
        <w:rPr>
          <w:spacing w:val="-3"/>
        </w:rPr>
        <w:t>月在深圳正式挂牌成立，百行征信应监管部门关于征信体系建设和构建“政府</w:t>
      </w:r>
      <w:r>
        <w:rPr>
          <w:rFonts w:ascii="Times New Roman" w:hAnsi="Times New Roman" w:cs="Times New Roman" w:eastAsia="Times New Roman" w:hint="default"/>
          <w:spacing w:val="-3"/>
        </w:rPr>
        <w:t>+</w:t>
      </w:r>
      <w:r>
        <w:rPr>
          <w:spacing w:val="-3"/>
        </w:rPr>
        <w:t>市场”双轮驱动</w:t>
      </w:r>
    </w:p>
    <w:p>
      <w:pPr>
        <w:spacing w:line="240" w:lineRule="auto" w:before="7"/>
        <w:rPr>
          <w:rFonts w:ascii="宋体" w:hAnsi="宋体" w:cs="宋体" w:eastAsia="宋体" w:hint="default"/>
          <w:sz w:val="16"/>
          <w:szCs w:val="16"/>
        </w:rPr>
      </w:pPr>
    </w:p>
    <w:p>
      <w:pPr>
        <w:pStyle w:val="BodyText"/>
        <w:spacing w:line="453" w:lineRule="auto"/>
        <w:ind w:right="1132"/>
        <w:jc w:val="both"/>
      </w:pPr>
      <w:r>
        <w:rPr/>
        <w:t>征信框架的总体部署要求，于</w:t>
      </w:r>
      <w:r>
        <w:rPr>
          <w:spacing w:val="-30"/>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5"/>
        </w:rPr>
        <w:t> </w:t>
      </w:r>
      <w:r>
        <w:rPr/>
        <w:t>年</w:t>
      </w:r>
      <w:r>
        <w:rPr>
          <w:spacing w:val="-30"/>
        </w:rPr>
        <w:t> </w:t>
      </w:r>
      <w:r>
        <w:rPr>
          <w:rFonts w:ascii="Times New Roman" w:hAnsi="Times New Roman" w:cs="Times New Roman" w:eastAsia="Times New Roman" w:hint="default"/>
        </w:rPr>
        <w:t>1</w:t>
      </w:r>
      <w:r>
        <w:rPr>
          <w:rFonts w:ascii="Times New Roman" w:hAnsi="Times New Roman" w:cs="Times New Roman" w:eastAsia="Times New Roman" w:hint="default"/>
          <w:spacing w:val="15"/>
        </w:rPr>
        <w:t> </w:t>
      </w:r>
      <w:r>
        <w:rPr/>
        <w:t>月</w:t>
      </w:r>
      <w:r>
        <w:rPr>
          <w:spacing w:val="-30"/>
        </w:rPr>
        <w:t> </w:t>
      </w:r>
      <w:r>
        <w:rPr>
          <w:rFonts w:ascii="Times New Roman" w:hAnsi="Times New Roman" w:cs="Times New Roman" w:eastAsia="Times New Roman" w:hint="default"/>
        </w:rPr>
        <w:t>1</w:t>
      </w:r>
      <w:r>
        <w:rPr>
          <w:rFonts w:ascii="Times New Roman" w:hAnsi="Times New Roman" w:cs="Times New Roman" w:eastAsia="Times New Roman" w:hint="default"/>
          <w:spacing w:val="15"/>
        </w:rPr>
        <w:t> </w:t>
      </w:r>
      <w:r>
        <w:rPr>
          <w:spacing w:val="-3"/>
        </w:rPr>
        <w:t>日正式启动了个人征信系统、特别关注名单平台和信息核验平台三款产品的上</w:t>
      </w:r>
      <w:r>
        <w:rPr>
          <w:spacing w:val="-84"/>
        </w:rPr>
        <w:t> </w:t>
      </w:r>
      <w:r>
        <w:rPr>
          <w:spacing w:val="-84"/>
        </w:rPr>
      </w:r>
      <w:r>
        <w:rPr/>
        <w:t>线验证测试工作，于</w:t>
      </w:r>
      <w:r>
        <w:rPr>
          <w:spacing w:val="-40"/>
        </w:rPr>
        <w:t> </w:t>
      </w:r>
      <w:r>
        <w:rPr>
          <w:rFonts w:ascii="Times New Roman" w:hAnsi="Times New Roman" w:cs="Times New Roman" w:eastAsia="Times New Roman" w:hint="default"/>
        </w:rPr>
        <w:t>2020</w:t>
      </w:r>
      <w:r>
        <w:rPr>
          <w:rFonts w:ascii="Times New Roman" w:hAnsi="Times New Roman" w:cs="Times New Roman" w:eastAsia="Times New Roman" w:hint="default"/>
          <w:spacing w:val="5"/>
        </w:rPr>
        <w:t> </w:t>
      </w:r>
      <w:r>
        <w:rPr/>
        <w:t>年</w:t>
      </w:r>
      <w:r>
        <w:rPr>
          <w:spacing w:val="-40"/>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spacing w:val="-3"/>
        </w:rPr>
        <w:t>月正式开启百行征信</w:t>
      </w:r>
      <w:r>
        <w:rPr>
          <w:spacing w:val="-40"/>
        </w:rPr>
        <w:t> </w:t>
      </w:r>
      <w:r>
        <w:rPr>
          <w:rFonts w:ascii="Times New Roman" w:hAnsi="Times New Roman" w:cs="Times New Roman" w:eastAsia="Times New Roman" w:hint="default"/>
          <w:spacing w:val="-3"/>
        </w:rPr>
        <w:t>APP</w:t>
      </w:r>
      <w:r>
        <w:rPr>
          <w:rFonts w:ascii="Times New Roman" w:hAnsi="Times New Roman" w:cs="Times New Roman" w:eastAsia="Times New Roman" w:hint="default"/>
          <w:spacing w:val="4"/>
        </w:rPr>
        <w:t> </w:t>
      </w:r>
      <w:r>
        <w:rPr/>
        <w:t>公测。</w:t>
      </w:r>
    </w:p>
    <w:p>
      <w:pPr>
        <w:pStyle w:val="BodyText"/>
        <w:spacing w:line="453" w:lineRule="auto" w:before="39"/>
        <w:ind w:left="513" w:right="1115"/>
        <w:jc w:val="left"/>
        <w:rPr>
          <w:rFonts w:ascii="Times New Roman" w:hAnsi="Times New Roman" w:cs="Times New Roman" w:eastAsia="Times New Roman" w:hint="default"/>
        </w:rPr>
      </w:pPr>
      <w:r>
        <w:rPr>
          <w:rFonts w:ascii="Times New Roman" w:hAnsi="Times New Roman" w:cs="Times New Roman" w:eastAsia="Times New Roman" w:hint="default"/>
          <w:spacing w:val="-3"/>
        </w:rPr>
        <w:t>3</w:t>
      </w:r>
      <w:r>
        <w:rPr>
          <w:spacing w:val="-3"/>
        </w:rPr>
        <w:t>）协助、推动公司对外投资的战略业务把握机遇、良性发展，为公司投资收益产生积极影响；</w:t>
      </w:r>
      <w:r>
        <w:rPr>
          <w:spacing w:val="35"/>
        </w:rPr>
        <w:t> </w:t>
      </w:r>
      <w:r>
        <w:rPr>
          <w:spacing w:val="35"/>
        </w:rPr>
      </w:r>
      <w:r>
        <w:rPr>
          <w:spacing w:val="-3"/>
        </w:rPr>
        <w:t>报告期内，根据公司战略发展需要，公司以自有资金  </w:t>
      </w:r>
      <w:r>
        <w:rPr>
          <w:rFonts w:ascii="Times New Roman" w:hAnsi="Times New Roman" w:cs="Times New Roman" w:eastAsia="Times New Roman" w:hint="default"/>
        </w:rPr>
        <w:t>550   </w:t>
      </w:r>
      <w:r>
        <w:rPr>
          <w:spacing w:val="-3"/>
        </w:rPr>
        <w:t>万元对北京杰智融软件有限公司进行增资，持有杰智融</w:t>
      </w:r>
      <w:r>
        <w:rPr>
          <w:spacing w:val="-42"/>
        </w:rPr>
        <w:t> </w:t>
      </w:r>
      <w:r>
        <w:rPr>
          <w:rFonts w:ascii="Times New Roman" w:hAnsi="Times New Roman" w:cs="Times New Roman" w:eastAsia="Times New Roman" w:hint="default"/>
        </w:rPr>
        <w:t>55%</w:t>
      </w:r>
    </w:p>
    <w:p>
      <w:pPr>
        <w:pStyle w:val="BodyText"/>
        <w:spacing w:line="480" w:lineRule="auto" w:before="39"/>
        <w:ind w:right="1128"/>
        <w:jc w:val="both"/>
      </w:pPr>
      <w:r>
        <w:rPr>
          <w:spacing w:val="-8"/>
          <w:w w:val="101"/>
        </w:rPr>
        <w:t>的股权，杰智融成为公司的控股子公司。杰智融自成立以来专注于为金融行业提供数字金融解决方案，全面践行数字化战略，</w:t>
      </w:r>
      <w:r>
        <w:rPr>
          <w:spacing w:val="-53"/>
          <w:w w:val="101"/>
        </w:rPr>
        <w:t> </w:t>
      </w:r>
      <w:r>
        <w:rPr>
          <w:spacing w:val="-53"/>
          <w:w w:val="101"/>
        </w:rPr>
      </w:r>
      <w:r>
        <w:rPr>
          <w:spacing w:val="-3"/>
        </w:rPr>
        <w:t>帮助金融客户实现数字化转型和数字化运营。公司通过本次投资可以有效整合市场及资源，打造协同发展的产业链。</w:t>
      </w:r>
    </w:p>
    <w:p>
      <w:pPr>
        <w:pStyle w:val="BodyText"/>
        <w:spacing w:line="453" w:lineRule="auto" w:before="50"/>
        <w:ind w:left="513" w:right="0"/>
        <w:jc w:val="left"/>
      </w:pPr>
      <w:r>
        <w:rPr>
          <w:rFonts w:ascii="Times New Roman" w:hAnsi="Times New Roman" w:cs="Times New Roman" w:eastAsia="Times New Roman" w:hint="default"/>
          <w:spacing w:val="-3"/>
        </w:rPr>
        <w:t>4</w:t>
      </w:r>
      <w:r>
        <w:rPr>
          <w:spacing w:val="-3"/>
        </w:rPr>
        <w:t>）持续加强公司内部控制和规范运作，提升公司经营管理效率，管控经营风险。</w:t>
      </w:r>
      <w:r>
        <w:rPr>
          <w:spacing w:val="18"/>
        </w:rPr>
        <w:t> </w:t>
      </w:r>
      <w:r>
        <w:rPr>
          <w:spacing w:val="18"/>
        </w:rPr>
      </w:r>
      <w:r>
        <w:rPr>
          <w:spacing w:val="-11"/>
          <w:w w:val="101"/>
        </w:rPr>
        <w:t>报告期内，公司持续加强和完善公司治理水平和内部控制管理体系建设。修订完善了《公司章程》、《股东大会议事规则》</w:t>
      </w:r>
      <w:r>
        <w:rPr>
          <w:spacing w:val="-11"/>
        </w:rPr>
      </w:r>
    </w:p>
    <w:p>
      <w:pPr>
        <w:pStyle w:val="BodyText"/>
        <w:spacing w:line="477" w:lineRule="auto" w:before="70"/>
        <w:ind w:right="1122"/>
        <w:jc w:val="both"/>
      </w:pPr>
      <w:r>
        <w:rPr>
          <w:spacing w:val="-4"/>
        </w:rPr>
        <w:t>和《董事会议事规则》等制度。公司内审部定期开展对公司日常经营活动中业务层面、业务环节的监督检查，有效保证了公</w:t>
      </w:r>
      <w:r>
        <w:rPr>
          <w:spacing w:val="41"/>
        </w:rPr>
        <w:t> </w:t>
      </w:r>
      <w:r>
        <w:rPr>
          <w:spacing w:val="41"/>
        </w:rPr>
      </w:r>
      <w:r>
        <w:rPr>
          <w:spacing w:val="-8"/>
        </w:rPr>
        <w:t>司内部控制制度的有效性，提升了公司治理能力。同时，公司坚持“以需求为导向，提升运营管理和效率、实现业务一体化”</w:t>
      </w:r>
      <w:r>
        <w:rPr>
          <w:spacing w:val="3"/>
        </w:rPr>
        <w:t> </w:t>
      </w:r>
      <w:r>
        <w:rPr>
          <w:spacing w:val="3"/>
        </w:rPr>
      </w:r>
      <w:r>
        <w:rPr>
          <w:spacing w:val="-3"/>
        </w:rPr>
        <w:t>的信息化目标，依托信息化管理工具，高效管控与公司业务相关的各个环节，确保了公司的稳健运营。</w:t>
      </w:r>
    </w:p>
    <w:p>
      <w:pPr>
        <w:pStyle w:val="BodyText"/>
        <w:spacing w:line="240" w:lineRule="auto" w:before="56"/>
        <w:ind w:left="513" w:right="0"/>
        <w:jc w:val="left"/>
      </w:pPr>
      <w:r>
        <w:rPr>
          <w:rFonts w:ascii="Times New Roman" w:hAnsi="Times New Roman" w:cs="Times New Roman" w:eastAsia="Times New Roman" w:hint="default"/>
        </w:rPr>
        <w:t>2</w:t>
      </w:r>
      <w:r>
        <w:rPr/>
        <w:t>、</w:t>
      </w:r>
      <w:r>
        <w:rPr>
          <w:rFonts w:ascii="Times New Roman" w:hAnsi="Times New Roman" w:cs="Times New Roman" w:eastAsia="Times New Roman" w:hint="default"/>
        </w:rPr>
        <w:t>2020</w:t>
      </w:r>
      <w:r>
        <w:rPr>
          <w:rFonts w:ascii="Times New Roman" w:hAnsi="Times New Roman" w:cs="Times New Roman" w:eastAsia="Times New Roman" w:hint="default"/>
          <w:spacing w:val="5"/>
        </w:rPr>
        <w:t> </w:t>
      </w:r>
      <w:r>
        <w:rPr/>
        <w:t>年度经营计划</w:t>
      </w:r>
    </w:p>
    <w:p>
      <w:pPr>
        <w:spacing w:line="240" w:lineRule="auto" w:before="8"/>
        <w:rPr>
          <w:rFonts w:ascii="宋体" w:hAnsi="宋体" w:cs="宋体" w:eastAsia="宋体" w:hint="default"/>
          <w:sz w:val="16"/>
          <w:szCs w:val="16"/>
        </w:rPr>
      </w:pPr>
    </w:p>
    <w:p>
      <w:pPr>
        <w:pStyle w:val="BodyText"/>
        <w:spacing w:line="240" w:lineRule="auto"/>
        <w:ind w:left="513" w:right="0"/>
        <w:jc w:val="left"/>
      </w:pPr>
      <w:r>
        <w:rPr>
          <w:rFonts w:ascii="Times New Roman" w:hAnsi="Times New Roman" w:cs="Times New Roman" w:eastAsia="Times New Roman" w:hint="default"/>
        </w:rPr>
        <w:t>2020 </w:t>
      </w:r>
      <w:r>
        <w:rPr>
          <w:rFonts w:ascii="Times New Roman" w:hAnsi="Times New Roman" w:cs="Times New Roman" w:eastAsia="Times New Roman" w:hint="default"/>
          <w:spacing w:val="21"/>
        </w:rPr>
        <w:t> </w:t>
      </w:r>
      <w:r>
        <w:rPr>
          <w:spacing w:val="-3"/>
        </w:rPr>
        <w:t>年公司的经营工作主要围绕以下四个方面展开：</w:t>
      </w:r>
    </w:p>
    <w:p>
      <w:pPr>
        <w:spacing w:line="240" w:lineRule="auto" w:before="12"/>
        <w:rPr>
          <w:rFonts w:ascii="宋体" w:hAnsi="宋体" w:cs="宋体" w:eastAsia="宋体" w:hint="default"/>
          <w:sz w:val="16"/>
          <w:szCs w:val="16"/>
        </w:rPr>
      </w:pPr>
    </w:p>
    <w:p>
      <w:pPr>
        <w:pStyle w:val="BodyText"/>
        <w:spacing w:line="240" w:lineRule="auto"/>
        <w:ind w:left="513" w:right="0"/>
        <w:jc w:val="left"/>
      </w:pPr>
      <w:r>
        <w:rPr>
          <w:rFonts w:ascii="Times New Roman" w:hAnsi="Times New Roman" w:cs="Times New Roman" w:eastAsia="Times New Roman" w:hint="default"/>
          <w:spacing w:val="-3"/>
        </w:rPr>
        <w:t>1</w:t>
      </w:r>
      <w:r>
        <w:rPr>
          <w:spacing w:val="-3"/>
        </w:rPr>
        <w:t>）在新冠疫情全球爆发，国内外经济受到严重影响的背景下，采取积极措施控制成本，稳定经营；</w:t>
      </w:r>
    </w:p>
    <w:p>
      <w:pPr>
        <w:spacing w:line="240" w:lineRule="auto" w:before="7"/>
        <w:rPr>
          <w:rFonts w:ascii="宋体" w:hAnsi="宋体" w:cs="宋体" w:eastAsia="宋体" w:hint="default"/>
          <w:sz w:val="16"/>
          <w:szCs w:val="16"/>
        </w:rPr>
      </w:pPr>
    </w:p>
    <w:p>
      <w:pPr>
        <w:pStyle w:val="BodyText"/>
        <w:spacing w:line="240" w:lineRule="auto"/>
        <w:ind w:left="513" w:right="0"/>
        <w:jc w:val="left"/>
      </w:pPr>
      <w:r>
        <w:rPr>
          <w:rFonts w:ascii="Times New Roman" w:hAnsi="Times New Roman" w:cs="Times New Roman" w:eastAsia="Times New Roman" w:hint="default"/>
          <w:spacing w:val="-3"/>
        </w:rPr>
        <w:t>2</w:t>
      </w:r>
      <w:r>
        <w:rPr>
          <w:spacing w:val="-3"/>
        </w:rPr>
        <w:t>）推进公司非公开发行股票募集资金计划，为公司业务长远发展筹措资金；</w:t>
      </w:r>
    </w:p>
    <w:p>
      <w:pPr>
        <w:spacing w:after="0" w:line="240" w:lineRule="auto"/>
        <w:jc w:val="left"/>
        <w:sectPr>
          <w:pgSz w:w="11910" w:h="16840"/>
          <w:pgMar w:header="871" w:footer="1186" w:top="1100" w:bottom="1380" w:left="980" w:right="0"/>
        </w:sectPr>
      </w:pPr>
    </w:p>
    <w:p>
      <w:pPr>
        <w:spacing w:line="240" w:lineRule="auto" w:before="1"/>
        <w:rPr>
          <w:rFonts w:ascii="宋体" w:hAnsi="宋体" w:cs="宋体" w:eastAsia="宋体" w:hint="default"/>
          <w:sz w:val="28"/>
          <w:szCs w:val="28"/>
        </w:rPr>
      </w:pPr>
    </w:p>
    <w:p>
      <w:pPr>
        <w:pStyle w:val="BodyText"/>
        <w:spacing w:line="240" w:lineRule="auto" w:before="46"/>
        <w:ind w:left="513" w:right="0"/>
        <w:jc w:val="left"/>
      </w:pPr>
      <w:r>
        <w:rPr>
          <w:rFonts w:ascii="Times New Roman" w:hAnsi="Times New Roman" w:cs="Times New Roman" w:eastAsia="Times New Roman" w:hint="default"/>
          <w:spacing w:val="-3"/>
        </w:rPr>
        <w:t>3</w:t>
      </w:r>
      <w:r>
        <w:rPr>
          <w:spacing w:val="-3"/>
        </w:rPr>
        <w:t>）在金融信息化、移动信息服务、电子商务等三大主营业务的基础上，努力发展金融科技的创新业务和模式；</w:t>
      </w:r>
    </w:p>
    <w:p>
      <w:pPr>
        <w:spacing w:line="240" w:lineRule="auto" w:before="7"/>
        <w:rPr>
          <w:rFonts w:ascii="宋体" w:hAnsi="宋体" w:cs="宋体" w:eastAsia="宋体" w:hint="default"/>
          <w:sz w:val="16"/>
          <w:szCs w:val="16"/>
        </w:rPr>
      </w:pPr>
    </w:p>
    <w:p>
      <w:pPr>
        <w:pStyle w:val="BodyText"/>
        <w:spacing w:line="240" w:lineRule="auto"/>
        <w:ind w:left="513" w:right="0"/>
        <w:jc w:val="left"/>
      </w:pPr>
      <w:r>
        <w:rPr>
          <w:rFonts w:ascii="Times New Roman" w:hAnsi="Times New Roman" w:cs="Times New Roman" w:eastAsia="Times New Roman" w:hint="default"/>
          <w:spacing w:val="-3"/>
        </w:rPr>
        <w:t>4</w:t>
      </w:r>
      <w:r>
        <w:rPr>
          <w:spacing w:val="-3"/>
        </w:rPr>
        <w:t>）持续提升公司经营管理效率，确保公司稳健运营。</w:t>
      </w:r>
    </w:p>
    <w:p>
      <w:pPr>
        <w:spacing w:line="240" w:lineRule="auto" w:before="12"/>
        <w:rPr>
          <w:rFonts w:ascii="宋体" w:hAnsi="宋体" w:cs="宋体" w:eastAsia="宋体" w:hint="default"/>
          <w:sz w:val="16"/>
          <w:szCs w:val="16"/>
        </w:rPr>
      </w:pPr>
    </w:p>
    <w:p>
      <w:pPr>
        <w:pStyle w:val="BodyText"/>
        <w:spacing w:line="240" w:lineRule="auto"/>
        <w:ind w:left="513" w:right="0"/>
        <w:jc w:val="left"/>
      </w:pPr>
      <w:r>
        <w:rPr/>
        <w:t>（四）可能面对的风险</w:t>
      </w:r>
    </w:p>
    <w:p>
      <w:pPr>
        <w:spacing w:line="240" w:lineRule="auto" w:before="8"/>
        <w:rPr>
          <w:rFonts w:ascii="宋体" w:hAnsi="宋体" w:cs="宋体" w:eastAsia="宋体" w:hint="default"/>
          <w:sz w:val="17"/>
          <w:szCs w:val="17"/>
        </w:rPr>
      </w:pPr>
    </w:p>
    <w:p>
      <w:pPr>
        <w:pStyle w:val="BodyText"/>
        <w:spacing w:line="453" w:lineRule="auto"/>
        <w:ind w:left="513" w:right="0"/>
        <w:jc w:val="left"/>
      </w:pPr>
      <w:r>
        <w:rPr>
          <w:rFonts w:ascii="Times New Roman" w:hAnsi="Times New Roman" w:cs="Times New Roman" w:eastAsia="Times New Roman" w:hint="default"/>
        </w:rPr>
        <w:t>1</w:t>
      </w:r>
      <w:r>
        <w:rPr/>
        <w:t>、短期盈利能力风险</w:t>
      </w:r>
      <w:r>
        <w:rPr>
          <w:spacing w:val="-88"/>
        </w:rPr>
        <w:t> </w:t>
      </w:r>
      <w:r>
        <w:rPr>
          <w:spacing w:val="-88"/>
        </w:rPr>
      </w:r>
      <w:r>
        <w:rPr>
          <w:spacing w:val="-4"/>
        </w:rPr>
        <w:t>公司主营业务包括金融信息化、移动信息服务和电子商务业务。为了巩固公司以金融科技服务为核心的业务基础，开拓</w:t>
      </w:r>
    </w:p>
    <w:p>
      <w:pPr>
        <w:pStyle w:val="BodyText"/>
        <w:spacing w:line="477" w:lineRule="auto" w:before="70"/>
        <w:ind w:right="1122"/>
        <w:jc w:val="both"/>
      </w:pPr>
      <w:r>
        <w:rPr>
          <w:spacing w:val="-4"/>
        </w:rPr>
        <w:t>新的业务模式和服务领域，公司近年来在个人征信、互联网保险、证券、金融大数据等领域进行了新业务战略布局，打造了</w:t>
      </w:r>
      <w:r>
        <w:rPr>
          <w:spacing w:val="40"/>
        </w:rPr>
        <w:t> </w:t>
      </w:r>
      <w:r>
        <w:rPr>
          <w:spacing w:val="40"/>
        </w:rPr>
      </w:r>
      <w:r>
        <w:rPr>
          <w:spacing w:val="-4"/>
        </w:rPr>
        <w:t>以金融科技为基础的综合金融生态服务体系。公司实施以上战略布局，是公司为企业长远发展而采取的积极措施，并且在各</w:t>
      </w:r>
      <w:r>
        <w:rPr>
          <w:spacing w:val="43"/>
        </w:rPr>
        <w:t> </w:t>
      </w:r>
      <w:r>
        <w:rPr>
          <w:spacing w:val="43"/>
        </w:rPr>
      </w:r>
      <w:r>
        <w:rPr>
          <w:spacing w:val="-4"/>
        </w:rPr>
        <w:t>项战略投资实施之前，公司已对新兴业务的发展空间和项目可行性进行了充分的论证。但是由于部分新业务，如个人征信服</w:t>
      </w:r>
      <w:r>
        <w:rPr>
          <w:spacing w:val="43"/>
        </w:rPr>
        <w:t> </w:t>
      </w:r>
      <w:r>
        <w:rPr>
          <w:spacing w:val="43"/>
        </w:rPr>
      </w:r>
      <w:r>
        <w:rPr>
          <w:spacing w:val="-4"/>
        </w:rPr>
        <w:t>务、数据服务、证券业务等，在业务开展初期阶段需要比较高的投入，可能在一定时期内不具备盈利能力，因此可能致使公</w:t>
      </w:r>
      <w:r>
        <w:rPr>
          <w:spacing w:val="41"/>
        </w:rPr>
        <w:t> </w:t>
      </w:r>
      <w:r>
        <w:rPr>
          <w:spacing w:val="41"/>
        </w:rPr>
      </w:r>
      <w:r>
        <w:rPr>
          <w:spacing w:val="-3"/>
        </w:rPr>
        <w:t>司存在短期盈利能力下降的风险，一定时期内影响公司整体的盈利能力。</w:t>
      </w:r>
    </w:p>
    <w:p>
      <w:pPr>
        <w:pStyle w:val="BodyText"/>
        <w:spacing w:line="475" w:lineRule="auto" w:before="56"/>
        <w:ind w:right="0" w:firstLine="360"/>
        <w:jc w:val="left"/>
      </w:pPr>
      <w:r>
        <w:rPr>
          <w:spacing w:val="-4"/>
        </w:rPr>
        <w:t>针对上述风险，公司一方面将从战略高度充分重视新兴业务的进展，全力推进新业务的健康发展，科学把控新兴业务投</w:t>
      </w:r>
      <w:r>
        <w:rPr>
          <w:w w:val="101"/>
        </w:rPr>
        <w:t> </w:t>
      </w:r>
      <w:r>
        <w:rPr>
          <w:spacing w:val="-3"/>
        </w:rPr>
        <w:t>资进度，降低投资风险；另一方面将努力推进成熟业务的业绩提升，保持公司整体盈利情况的合理性。</w:t>
      </w:r>
    </w:p>
    <w:p>
      <w:pPr>
        <w:pStyle w:val="BodyText"/>
        <w:spacing w:line="448" w:lineRule="auto" w:before="58"/>
        <w:ind w:left="513" w:right="0"/>
        <w:jc w:val="left"/>
      </w:pPr>
      <w:r>
        <w:rPr>
          <w:rFonts w:ascii="Times New Roman" w:hAnsi="Times New Roman" w:cs="Times New Roman" w:eastAsia="Times New Roman" w:hint="default"/>
        </w:rPr>
        <w:t>2</w:t>
      </w:r>
      <w:r>
        <w:rPr/>
        <w:t>、运营资金短缺风险</w:t>
      </w:r>
      <w:r>
        <w:rPr>
          <w:spacing w:val="-88"/>
        </w:rPr>
        <w:t> </w:t>
      </w:r>
      <w:r>
        <w:rPr>
          <w:spacing w:val="-88"/>
        </w:rPr>
      </w:r>
      <w:r>
        <w:rPr>
          <w:spacing w:val="-5"/>
        </w:rPr>
        <w:t>随着公司新业务板块持续拓展，经营规模不断扩大，公司对运营资金的需求日益扩大。如果不能及时解决资金需求，将</w:t>
      </w:r>
    </w:p>
    <w:p>
      <w:pPr>
        <w:pStyle w:val="BodyText"/>
        <w:spacing w:line="475" w:lineRule="auto" w:before="78"/>
        <w:ind w:left="513" w:right="0" w:hanging="360"/>
        <w:jc w:val="left"/>
      </w:pPr>
      <w:r>
        <w:rPr>
          <w:spacing w:val="-3"/>
        </w:rPr>
        <w:t>给公司的业务运营和后续发展带来风险。</w:t>
      </w:r>
      <w:r>
        <w:rPr>
          <w:spacing w:val="-33"/>
        </w:rPr>
        <w:t> </w:t>
      </w:r>
      <w:r>
        <w:rPr>
          <w:spacing w:val="-33"/>
        </w:rPr>
      </w:r>
      <w:r>
        <w:rPr>
          <w:spacing w:val="-4"/>
        </w:rPr>
        <w:t>针对上述风险，公司首先将加强公司应收账款的管理，进一步严控企业成本，加强自有资金和募集资金的有效利用，持</w:t>
      </w:r>
    </w:p>
    <w:p>
      <w:pPr>
        <w:pStyle w:val="BodyText"/>
        <w:spacing w:line="475" w:lineRule="auto" w:before="58"/>
        <w:ind w:right="1128"/>
        <w:jc w:val="both"/>
      </w:pPr>
      <w:r>
        <w:rPr>
          <w:spacing w:val="-8"/>
          <w:w w:val="101"/>
        </w:rPr>
        <w:t>续改善公司现金流情况，确保日常运营资金充足；同时充分利用上市公司融资平台和其他融资渠道，适时筹措运营发展资金，</w:t>
      </w:r>
      <w:r>
        <w:rPr>
          <w:spacing w:val="-53"/>
          <w:w w:val="101"/>
        </w:rPr>
        <w:t> </w:t>
      </w:r>
      <w:r>
        <w:rPr>
          <w:spacing w:val="-53"/>
          <w:w w:val="101"/>
        </w:rPr>
      </w:r>
      <w:r>
        <w:rPr>
          <w:spacing w:val="-3"/>
        </w:rPr>
        <w:t>降低公司运营资金短缺的风险。</w:t>
      </w:r>
    </w:p>
    <w:p>
      <w:pPr>
        <w:pStyle w:val="BodyText"/>
        <w:spacing w:line="448" w:lineRule="auto" w:before="58"/>
        <w:ind w:left="513" w:right="0"/>
        <w:jc w:val="left"/>
      </w:pPr>
      <w:r>
        <w:rPr>
          <w:rFonts w:ascii="Times New Roman" w:hAnsi="Times New Roman" w:cs="Times New Roman" w:eastAsia="Times New Roman" w:hint="default"/>
        </w:rPr>
        <w:t>3</w:t>
      </w:r>
      <w:r>
        <w:rPr/>
        <w:t>、经营管理风险</w:t>
      </w:r>
      <w:r>
        <w:rPr>
          <w:spacing w:val="-87"/>
        </w:rPr>
        <w:t> </w:t>
      </w:r>
      <w:r>
        <w:rPr>
          <w:spacing w:val="-87"/>
        </w:rPr>
      </w:r>
      <w:r>
        <w:rPr>
          <w:spacing w:val="-5"/>
        </w:rPr>
        <w:t>随着公司业务领域的持续拓展、经营规模的不断扩大，公司组织结构和管理体系日趋复杂，公司的经营决策、风险控制</w:t>
      </w:r>
    </w:p>
    <w:p>
      <w:pPr>
        <w:pStyle w:val="BodyText"/>
        <w:spacing w:line="475" w:lineRule="auto" w:before="79"/>
        <w:ind w:right="1037"/>
        <w:jc w:val="both"/>
      </w:pPr>
      <w:r>
        <w:rPr>
          <w:spacing w:val="-4"/>
        </w:rPr>
        <w:t>的难度大为增加，对公司管理团队的人才储备、管理水平以及驾驭经营管理风险的能力提出了更高的要求。如果公司在经营</w:t>
      </w:r>
      <w:r>
        <w:rPr>
          <w:spacing w:val="43"/>
        </w:rPr>
        <w:t> </w:t>
      </w:r>
      <w:r>
        <w:rPr>
          <w:spacing w:val="43"/>
        </w:rPr>
      </w:r>
      <w:r>
        <w:rPr>
          <w:spacing w:val="-3"/>
        </w:rPr>
        <w:t>管理过程中不能解决人才、文化、管理能力、管理效率等方面的新的挑战，将对公司的有效运营和业务发展带来一定风险。</w:t>
      </w:r>
    </w:p>
    <w:p>
      <w:pPr>
        <w:pStyle w:val="BodyText"/>
        <w:spacing w:line="475" w:lineRule="auto" w:before="58"/>
        <w:ind w:right="0" w:firstLine="360"/>
        <w:jc w:val="left"/>
      </w:pPr>
      <w:r>
        <w:rPr>
          <w:spacing w:val="-5"/>
        </w:rPr>
        <w:t>针对上述风险，公司持续引进、储备高素质人才，严格按照上市公司规范治理要求，不断优化、整合业务结构，加强内</w:t>
      </w:r>
      <w:r>
        <w:rPr>
          <w:w w:val="101"/>
        </w:rPr>
        <w:t> </w:t>
      </w:r>
      <w:r>
        <w:rPr>
          <w:spacing w:val="-3"/>
        </w:rPr>
        <w:t>控体系建设，提升管理水平，提高公司经营管理抗风险的能力。</w:t>
      </w:r>
    </w:p>
    <w:p>
      <w:pPr>
        <w:pStyle w:val="BodyText"/>
        <w:spacing w:line="240" w:lineRule="auto" w:before="59"/>
        <w:ind w:left="513" w:right="0"/>
        <w:jc w:val="left"/>
      </w:pPr>
      <w:r>
        <w:rPr>
          <w:rFonts w:ascii="Times New Roman" w:hAnsi="Times New Roman" w:cs="Times New Roman" w:eastAsia="Times New Roman" w:hint="default"/>
          <w:spacing w:val="-3"/>
        </w:rPr>
        <w:t>4</w:t>
      </w:r>
      <w:r>
        <w:rPr>
          <w:spacing w:val="-3"/>
        </w:rPr>
        <w:t>、非公开发行股票募集资金的相关风险</w:t>
      </w:r>
    </w:p>
    <w:p>
      <w:pPr>
        <w:spacing w:line="240" w:lineRule="auto" w:before="7"/>
        <w:rPr>
          <w:rFonts w:ascii="宋体" w:hAnsi="宋体" w:cs="宋体" w:eastAsia="宋体" w:hint="default"/>
          <w:sz w:val="16"/>
          <w:szCs w:val="16"/>
        </w:rPr>
      </w:pPr>
    </w:p>
    <w:p>
      <w:pPr>
        <w:pStyle w:val="BodyText"/>
        <w:spacing w:line="240" w:lineRule="auto"/>
        <w:ind w:left="513" w:right="0"/>
        <w:jc w:val="left"/>
      </w:pPr>
      <w:r>
        <w:rPr/>
        <w:t>经</w:t>
      </w:r>
      <w:r>
        <w:rPr>
          <w:spacing w:val="-34"/>
        </w:rPr>
        <w:t> </w:t>
      </w:r>
      <w:r>
        <w:rPr>
          <w:rFonts w:ascii="Times New Roman" w:hAnsi="Times New Roman" w:cs="Times New Roman" w:eastAsia="Times New Roman" w:hint="default"/>
        </w:rPr>
        <w:t>2020</w:t>
      </w:r>
      <w:r>
        <w:rPr>
          <w:rFonts w:ascii="Times New Roman" w:hAnsi="Times New Roman" w:cs="Times New Roman" w:eastAsia="Times New Roman" w:hint="default"/>
          <w:spacing w:val="5"/>
        </w:rPr>
        <w:t> </w:t>
      </w:r>
      <w:r>
        <w:rPr/>
        <w:t>年</w:t>
      </w:r>
      <w:r>
        <w:rPr>
          <w:spacing w:val="-34"/>
        </w:rPr>
        <w:t> </w:t>
      </w:r>
      <w:r>
        <w:rPr>
          <w:rFonts w:ascii="Times New Roman" w:hAnsi="Times New Roman" w:cs="Times New Roman" w:eastAsia="Times New Roman" w:hint="default"/>
        </w:rPr>
        <w:t>4</w:t>
      </w:r>
      <w:r>
        <w:rPr>
          <w:rFonts w:ascii="Times New Roman" w:hAnsi="Times New Roman" w:cs="Times New Roman" w:eastAsia="Times New Roman" w:hint="default"/>
          <w:spacing w:val="-2"/>
        </w:rPr>
        <w:t> </w:t>
      </w:r>
      <w:r>
        <w:rPr/>
        <w:t>月</w:t>
      </w:r>
      <w:r>
        <w:rPr>
          <w:spacing w:val="-34"/>
        </w:rPr>
        <w:t> </w:t>
      </w:r>
      <w:r>
        <w:rPr>
          <w:rFonts w:ascii="Times New Roman" w:hAnsi="Times New Roman" w:cs="Times New Roman" w:eastAsia="Times New Roman" w:hint="default"/>
        </w:rPr>
        <w:t>8</w:t>
      </w:r>
      <w:r>
        <w:rPr>
          <w:rFonts w:ascii="Times New Roman" w:hAnsi="Times New Roman" w:cs="Times New Roman" w:eastAsia="Times New Roman" w:hint="default"/>
          <w:spacing w:val="-2"/>
        </w:rPr>
        <w:t> </w:t>
      </w:r>
      <w:r>
        <w:rPr>
          <w:spacing w:val="-5"/>
        </w:rPr>
        <w:t>日、</w:t>
      </w:r>
      <w:r>
        <w:rPr>
          <w:rFonts w:ascii="Times New Roman" w:hAnsi="Times New Roman" w:cs="Times New Roman" w:eastAsia="Times New Roman" w:hint="default"/>
          <w:spacing w:val="-5"/>
        </w:rPr>
        <w:t>4</w:t>
      </w:r>
      <w:r>
        <w:rPr>
          <w:rFonts w:ascii="Times New Roman" w:hAnsi="Times New Roman" w:cs="Times New Roman" w:eastAsia="Times New Roman" w:hint="default"/>
          <w:spacing w:val="5"/>
        </w:rPr>
        <w:t> </w:t>
      </w:r>
      <w:r>
        <w:rPr/>
        <w:t>月</w:t>
      </w:r>
      <w:r>
        <w:rPr>
          <w:spacing w:val="-34"/>
        </w:rPr>
        <w:t> </w:t>
      </w:r>
      <w:r>
        <w:rPr>
          <w:rFonts w:ascii="Times New Roman" w:hAnsi="Times New Roman" w:cs="Times New Roman" w:eastAsia="Times New Roman" w:hint="default"/>
          <w:spacing w:val="-3"/>
        </w:rPr>
        <w:t>24</w:t>
      </w:r>
      <w:r>
        <w:rPr>
          <w:rFonts w:ascii="Times New Roman" w:hAnsi="Times New Roman" w:cs="Times New Roman" w:eastAsia="Times New Roman" w:hint="default"/>
          <w:spacing w:val="-2"/>
        </w:rPr>
        <w:t> </w:t>
      </w:r>
      <w:r>
        <w:rPr>
          <w:spacing w:val="-3"/>
        </w:rPr>
        <w:t>日公司第四届董事会第二十一次会议、</w:t>
      </w:r>
      <w:r>
        <w:rPr>
          <w:rFonts w:ascii="Times New Roman" w:hAnsi="Times New Roman" w:cs="Times New Roman" w:eastAsia="Times New Roman" w:hint="default"/>
          <w:spacing w:val="-3"/>
        </w:rPr>
        <w:t>2020</w:t>
      </w:r>
      <w:r>
        <w:rPr>
          <w:rFonts w:ascii="Times New Roman" w:hAnsi="Times New Roman" w:cs="Times New Roman" w:eastAsia="Times New Roman" w:hint="default"/>
          <w:spacing w:val="5"/>
        </w:rPr>
        <w:t> </w:t>
      </w:r>
      <w:r>
        <w:rPr>
          <w:spacing w:val="-3"/>
        </w:rPr>
        <w:t>年第一次临时股东大会审议通过，公司拟通过</w:t>
      </w:r>
    </w:p>
    <w:p>
      <w:pPr>
        <w:spacing w:line="240" w:lineRule="auto" w:before="12"/>
        <w:rPr>
          <w:rFonts w:ascii="宋体" w:hAnsi="宋体" w:cs="宋体" w:eastAsia="宋体" w:hint="default"/>
          <w:sz w:val="16"/>
          <w:szCs w:val="16"/>
        </w:rPr>
      </w:pPr>
    </w:p>
    <w:p>
      <w:pPr>
        <w:pStyle w:val="BodyText"/>
        <w:spacing w:line="463" w:lineRule="auto"/>
        <w:ind w:right="1122"/>
        <w:jc w:val="both"/>
      </w:pPr>
      <w:r>
        <w:rPr/>
        <w:t>非公开发行股票募集资金 </w:t>
      </w:r>
      <w:r>
        <w:rPr>
          <w:rFonts w:ascii="Times New Roman" w:hAnsi="Times New Roman" w:cs="Times New Roman" w:eastAsia="Times New Roman" w:hint="default"/>
        </w:rPr>
        <w:t>13.53 </w:t>
      </w:r>
      <w:r>
        <w:rPr>
          <w:spacing w:val="-4"/>
        </w:rPr>
        <w:t>亿元，用于银行数字化转型解决方案、银行智能设备产业化、研发中心、补充流动资金和归</w:t>
      </w:r>
      <w:r>
        <w:rPr>
          <w:spacing w:val="-60"/>
        </w:rPr>
        <w:t> </w:t>
      </w:r>
      <w:r>
        <w:rPr>
          <w:spacing w:val="-60"/>
        </w:rPr>
      </w:r>
      <w:r>
        <w:rPr>
          <w:spacing w:val="-4"/>
        </w:rPr>
        <w:t>还银行贷款等项目。本次非公开发行股票方案能否通过中国证监会的审核并发行成功尚存在不确定性，请广大投资者理性投</w:t>
      </w:r>
      <w:r>
        <w:rPr>
          <w:spacing w:val="44"/>
        </w:rPr>
        <w:t> </w:t>
      </w:r>
      <w:r>
        <w:rPr>
          <w:spacing w:val="44"/>
        </w:rPr>
      </w:r>
      <w:r>
        <w:rPr>
          <w:spacing w:val="-3"/>
        </w:rPr>
        <w:t>资，注意投资风险。</w:t>
      </w:r>
    </w:p>
    <w:p>
      <w:pPr>
        <w:pStyle w:val="BodyText"/>
        <w:spacing w:line="240" w:lineRule="auto" w:before="62"/>
        <w:ind w:left="513" w:right="0"/>
        <w:jc w:val="left"/>
      </w:pPr>
      <w:r>
        <w:rPr>
          <w:rFonts w:ascii="Times New Roman" w:hAnsi="Times New Roman" w:cs="Times New Roman" w:eastAsia="Times New Roman" w:hint="default"/>
          <w:spacing w:val="-3"/>
        </w:rPr>
        <w:t>5</w:t>
      </w:r>
      <w:r>
        <w:rPr>
          <w:spacing w:val="-3"/>
        </w:rPr>
        <w:t>、新型冠状病毒肺炎疫情风险</w:t>
      </w:r>
    </w:p>
    <w:p>
      <w:pPr>
        <w:spacing w:after="0" w:line="240" w:lineRule="auto"/>
        <w:jc w:val="left"/>
        <w:sectPr>
          <w:footerReference w:type="default" r:id="rId18"/>
          <w:pgSz w:w="11910" w:h="16840"/>
          <w:pgMar w:footer="1186" w:header="871" w:top="1100" w:bottom="1380" w:left="980" w:right="0"/>
          <w:pgNumType w:start="38"/>
        </w:sectPr>
      </w:pPr>
    </w:p>
    <w:p>
      <w:pPr>
        <w:spacing w:line="240" w:lineRule="auto" w:before="1"/>
        <w:rPr>
          <w:rFonts w:ascii="宋体" w:hAnsi="宋体" w:cs="宋体" w:eastAsia="宋体" w:hint="default"/>
          <w:sz w:val="28"/>
          <w:szCs w:val="28"/>
        </w:rPr>
      </w:pPr>
    </w:p>
    <w:p>
      <w:pPr>
        <w:pStyle w:val="BodyText"/>
        <w:spacing w:line="463" w:lineRule="auto" w:before="46"/>
        <w:ind w:right="1122" w:firstLine="360"/>
        <w:jc w:val="both"/>
      </w:pPr>
      <w:r>
        <w:rPr/>
        <w:t>自</w:t>
      </w:r>
      <w:r>
        <w:rPr>
          <w:spacing w:val="-27"/>
        </w:rPr>
        <w:t> </w:t>
      </w:r>
      <w:r>
        <w:rPr>
          <w:rFonts w:ascii="Times New Roman" w:hAnsi="Times New Roman" w:cs="Times New Roman" w:eastAsia="Times New Roman" w:hint="default"/>
        </w:rPr>
        <w:t>2020</w:t>
      </w:r>
      <w:r>
        <w:rPr>
          <w:rFonts w:ascii="Times New Roman" w:hAnsi="Times New Roman" w:cs="Times New Roman" w:eastAsia="Times New Roman" w:hint="default"/>
          <w:spacing w:val="10"/>
        </w:rPr>
        <w:t> </w:t>
      </w:r>
      <w:r>
        <w:rPr/>
        <w:t>年</w:t>
      </w:r>
      <w:r>
        <w:rPr>
          <w:spacing w:val="-27"/>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spacing w:val="-4"/>
        </w:rPr>
        <w:t>月新型冠状病毒肺炎疫情爆发以来，随着疫情蔓延，全国范围内影响广泛。公司</w:t>
      </w:r>
      <w:r>
        <w:rPr>
          <w:spacing w:val="-33"/>
        </w:rPr>
        <w:t> </w:t>
      </w:r>
      <w:r>
        <w:rPr>
          <w:rFonts w:ascii="Times New Roman" w:hAnsi="Times New Roman" w:cs="Times New Roman" w:eastAsia="Times New Roman" w:hint="default"/>
        </w:rPr>
        <w:t>2020</w:t>
      </w:r>
      <w:r>
        <w:rPr>
          <w:rFonts w:ascii="Times New Roman" w:hAnsi="Times New Roman" w:cs="Times New Roman" w:eastAsia="Times New Roman" w:hint="default"/>
          <w:spacing w:val="10"/>
        </w:rPr>
        <w:t> </w:t>
      </w:r>
      <w:r>
        <w:rPr>
          <w:spacing w:val="-3"/>
        </w:rPr>
        <w:t>年春节假期之后复工</w:t>
      </w:r>
      <w:r>
        <w:rPr>
          <w:w w:val="101"/>
        </w:rPr>
        <w:t> </w:t>
      </w:r>
      <w:r>
        <w:rPr>
          <w:spacing w:val="-4"/>
        </w:rPr>
        <w:t>时间延迟、客户项目延期交付、综合成本率有所提高，公司业绩在短期内将受到一定影响，但整体影响有限。公司将继续贯</w:t>
      </w:r>
      <w:r>
        <w:rPr>
          <w:spacing w:val="40"/>
        </w:rPr>
        <w:t> </w:t>
      </w:r>
      <w:r>
        <w:rPr>
          <w:spacing w:val="40"/>
        </w:rPr>
      </w:r>
      <w:r>
        <w:rPr>
          <w:spacing w:val="-3"/>
        </w:rPr>
        <w:t>彻落实疫情防控工作，采取积极措施做好生产经营和成本管控，最大限度降低疫情对公司的影响。</w:t>
      </w:r>
    </w:p>
    <w:p>
      <w:pPr>
        <w:spacing w:line="240" w:lineRule="auto" w:before="5"/>
        <w:rPr>
          <w:rFonts w:ascii="宋体" w:hAnsi="宋体" w:cs="宋体" w:eastAsia="宋体" w:hint="default"/>
          <w:sz w:val="17"/>
          <w:szCs w:val="17"/>
        </w:rPr>
      </w:pPr>
    </w:p>
    <w:p>
      <w:pPr>
        <w:pStyle w:val="Heading2"/>
        <w:spacing w:line="240" w:lineRule="auto"/>
        <w:ind w:right="0"/>
        <w:jc w:val="left"/>
        <w:rPr>
          <w:b w:val="0"/>
          <w:bCs w:val="0"/>
        </w:rPr>
      </w:pPr>
      <w:bookmarkStart w:name="十、接待调研、沟通、采访等活动登记表" w:id="59"/>
      <w:bookmarkEnd w:id="59"/>
      <w:r>
        <w:rPr>
          <w:b w:val="0"/>
          <w:bCs w:val="0"/>
        </w:rPr>
      </w:r>
      <w:r>
        <w:rPr/>
        <w:t>十、接待调研、沟通、采访等活动登记表</w:t>
      </w:r>
      <w:r>
        <w:rPr>
          <w:b w:val="0"/>
          <w:bCs w:val="0"/>
        </w:rPr>
      </w:r>
    </w:p>
    <w:p>
      <w:pPr>
        <w:spacing w:line="240" w:lineRule="auto" w:before="3"/>
        <w:rPr>
          <w:rFonts w:ascii="宋体" w:hAnsi="宋体" w:cs="宋体" w:eastAsia="宋体" w:hint="default"/>
          <w:b/>
          <w:bCs/>
          <w:sz w:val="25"/>
          <w:szCs w:val="25"/>
        </w:rPr>
      </w:pPr>
    </w:p>
    <w:p>
      <w:pPr>
        <w:pStyle w:val="Heading3"/>
        <w:spacing w:line="240" w:lineRule="auto"/>
        <w:ind w:right="0"/>
        <w:jc w:val="left"/>
        <w:rPr>
          <w:b w:val="0"/>
          <w:bCs w:val="0"/>
        </w:rPr>
      </w:pPr>
      <w:bookmarkStart w:name="1、报告期内接待调研、沟通、采访等活动登记表" w:id="60"/>
      <w:bookmarkEnd w:id="60"/>
      <w:r>
        <w:rPr>
          <w:b w:val="0"/>
          <w:bCs w:val="0"/>
        </w:rPr>
      </w:r>
      <w:r>
        <w:rPr>
          <w:rFonts w:ascii="Times New Roman" w:hAnsi="Times New Roman" w:cs="Times New Roman" w:eastAsia="Times New Roman" w:hint="default"/>
        </w:rPr>
        <w:t>1</w:t>
      </w:r>
      <w:r>
        <w:rPr/>
        <w:t>、报告期内接待调研、沟通、采访等活动登记表</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2"/>
          <w:szCs w:val="22"/>
        </w:rPr>
      </w:pPr>
    </w:p>
    <w:p>
      <w:pPr>
        <w:pStyle w:val="BodyText"/>
        <w:spacing w:line="240" w:lineRule="auto" w:before="46"/>
        <w:ind w:left="0" w:right="1127"/>
        <w:jc w:val="right"/>
      </w:pPr>
      <w:r>
        <w:rPr/>
        <w:pict>
          <v:shape style="position:absolute;margin-left:56.424pt;margin-top:-36.388302pt;width:479.5pt;height:437.65pt;mso-position-horizontal-relative:page;mso-position-vertical-relative:paragraph;z-index:116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180"/>
                    <w:gridCol w:w="2175"/>
                    <w:gridCol w:w="2180"/>
                    <w:gridCol w:w="3040"/>
                  </w:tblGrid>
                  <w:tr>
                    <w:trPr>
                      <w:trHeight w:val="403" w:hRule="exact"/>
                    </w:trPr>
                    <w:tc>
                      <w:tcPr>
                        <w:tcW w:w="2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24" w:right="0"/>
                          <w:jc w:val="left"/>
                          <w:rPr>
                            <w:rFonts w:ascii="宋体" w:hAnsi="宋体" w:cs="宋体" w:eastAsia="宋体" w:hint="default"/>
                            <w:sz w:val="18"/>
                            <w:szCs w:val="18"/>
                          </w:rPr>
                        </w:pPr>
                        <w:r>
                          <w:rPr>
                            <w:rFonts w:ascii="宋体" w:hAnsi="宋体" w:cs="宋体" w:eastAsia="宋体" w:hint="default"/>
                            <w:sz w:val="18"/>
                            <w:szCs w:val="18"/>
                          </w:rPr>
                          <w:t>接待时间</w:t>
                        </w:r>
                      </w:p>
                    </w:tc>
                    <w:tc>
                      <w:tcPr>
                        <w:tcW w:w="2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24" w:right="0"/>
                          <w:jc w:val="left"/>
                          <w:rPr>
                            <w:rFonts w:ascii="宋体" w:hAnsi="宋体" w:cs="宋体" w:eastAsia="宋体" w:hint="default"/>
                            <w:sz w:val="18"/>
                            <w:szCs w:val="18"/>
                          </w:rPr>
                        </w:pPr>
                        <w:r>
                          <w:rPr>
                            <w:rFonts w:ascii="宋体" w:hAnsi="宋体" w:cs="宋体" w:eastAsia="宋体" w:hint="default"/>
                            <w:sz w:val="18"/>
                            <w:szCs w:val="18"/>
                          </w:rPr>
                          <w:t>接待方式</w:t>
                        </w:r>
                      </w:p>
                    </w:tc>
                    <w:tc>
                      <w:tcPr>
                        <w:tcW w:w="2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42" w:right="0"/>
                          <w:jc w:val="left"/>
                          <w:rPr>
                            <w:rFonts w:ascii="宋体" w:hAnsi="宋体" w:cs="宋体" w:eastAsia="宋体" w:hint="default"/>
                            <w:sz w:val="18"/>
                            <w:szCs w:val="18"/>
                          </w:rPr>
                        </w:pPr>
                        <w:r>
                          <w:rPr>
                            <w:rFonts w:ascii="宋体" w:hAnsi="宋体" w:cs="宋体" w:eastAsia="宋体" w:hint="default"/>
                            <w:sz w:val="18"/>
                            <w:szCs w:val="18"/>
                          </w:rPr>
                          <w:t>接待对象类型</w:t>
                        </w:r>
                      </w:p>
                    </w:tc>
                    <w:tc>
                      <w:tcPr>
                        <w:tcW w:w="30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06" w:right="0"/>
                          <w:jc w:val="left"/>
                          <w:rPr>
                            <w:rFonts w:ascii="宋体" w:hAnsi="宋体" w:cs="宋体" w:eastAsia="宋体" w:hint="default"/>
                            <w:sz w:val="18"/>
                            <w:szCs w:val="18"/>
                          </w:rPr>
                        </w:pPr>
                        <w:r>
                          <w:rPr>
                            <w:rFonts w:ascii="宋体" w:hAnsi="宋体" w:cs="宋体" w:eastAsia="宋体" w:hint="default"/>
                            <w:spacing w:val="-3"/>
                            <w:sz w:val="18"/>
                            <w:szCs w:val="18"/>
                          </w:rPr>
                          <w:t>调研的基本情况索引</w:t>
                        </w:r>
                      </w:p>
                    </w:tc>
                  </w:tr>
                  <w:tr>
                    <w:trPr>
                      <w:trHeight w:val="1023"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43"/>
                            <w:sz w:val="18"/>
                            <w:szCs w:val="18"/>
                          </w:rPr>
                          <w:t> </w:t>
                        </w:r>
                        <w:r>
                          <w:rPr>
                            <w:rFonts w:ascii="宋体" w:hAnsi="宋体" w:cs="宋体" w:eastAsia="宋体" w:hint="default"/>
                            <w:spacing w:val="-3"/>
                            <w:sz w:val="18"/>
                            <w:szCs w:val="18"/>
                          </w:rPr>
                          <w:t>年度网上业绩说明会。介绍公司</w:t>
                        </w:r>
                      </w:p>
                      <w:p>
                        <w:pPr>
                          <w:pStyle w:val="TableParagraph"/>
                          <w:spacing w:line="304" w:lineRule="auto" w:before="58"/>
                          <w:ind w:left="23" w:right="108"/>
                          <w:jc w:val="left"/>
                          <w:rPr>
                            <w:rFonts w:ascii="宋体" w:hAnsi="宋体" w:cs="宋体" w:eastAsia="宋体" w:hint="default"/>
                            <w:sz w:val="18"/>
                            <w:szCs w:val="18"/>
                          </w:rPr>
                        </w:pPr>
                        <w:r>
                          <w:rPr>
                            <w:rFonts w:ascii="Times New Roman" w:hAnsi="Times New Roman" w:cs="Times New Roman" w:eastAsia="Times New Roman" w:hint="default"/>
                            <w:w w:val="101"/>
                            <w:sz w:val="18"/>
                            <w:szCs w:val="18"/>
                          </w:rPr>
                          <w:t>2018 </w:t>
                        </w:r>
                        <w:r>
                          <w:rPr>
                            <w:rFonts w:ascii="宋体" w:hAnsi="宋体" w:cs="宋体" w:eastAsia="宋体" w:hint="default"/>
                            <w:spacing w:val="-11"/>
                            <w:w w:val="101"/>
                            <w:sz w:val="18"/>
                            <w:szCs w:val="18"/>
                          </w:rPr>
                          <w:t>年度报告、</w:t>
                        </w:r>
                        <w:r>
                          <w:rPr>
                            <w:rFonts w:ascii="Times New Roman" w:hAnsi="Times New Roman" w:cs="Times New Roman" w:eastAsia="Times New Roman" w:hint="default"/>
                            <w:spacing w:val="-11"/>
                            <w:w w:val="101"/>
                            <w:sz w:val="18"/>
                            <w:szCs w:val="18"/>
                          </w:rPr>
                          <w:t>2019</w:t>
                        </w:r>
                        <w:r>
                          <w:rPr>
                            <w:rFonts w:ascii="Times New Roman" w:hAnsi="Times New Roman" w:cs="Times New Roman" w:eastAsia="Times New Roman" w:hint="default"/>
                            <w:w w:val="101"/>
                            <w:sz w:val="18"/>
                            <w:szCs w:val="18"/>
                          </w:rPr>
                          <w:t> </w:t>
                        </w:r>
                        <w:r>
                          <w:rPr>
                            <w:rFonts w:ascii="宋体" w:hAnsi="宋体" w:cs="宋体" w:eastAsia="宋体" w:hint="default"/>
                            <w:spacing w:val="-3"/>
                            <w:w w:val="101"/>
                            <w:sz w:val="18"/>
                            <w:szCs w:val="18"/>
                          </w:rPr>
                          <w:t>年第一季度报告</w:t>
                        </w:r>
                        <w:r>
                          <w:rPr>
                            <w:rFonts w:ascii="宋体" w:hAnsi="宋体" w:cs="宋体" w:eastAsia="宋体" w:hint="default"/>
                            <w:spacing w:val="-89"/>
                            <w:w w:val="101"/>
                            <w:sz w:val="18"/>
                            <w:szCs w:val="18"/>
                          </w:rPr>
                          <w:t> </w:t>
                        </w:r>
                        <w:r>
                          <w:rPr>
                            <w:rFonts w:ascii="宋体" w:hAnsi="宋体" w:cs="宋体" w:eastAsia="宋体" w:hint="default"/>
                            <w:spacing w:val="-89"/>
                            <w:w w:val="101"/>
                            <w:sz w:val="18"/>
                            <w:szCs w:val="18"/>
                          </w:rPr>
                        </w:r>
                        <w:r>
                          <w:rPr>
                            <w:rFonts w:ascii="宋体" w:hAnsi="宋体" w:cs="宋体" w:eastAsia="宋体" w:hint="default"/>
                            <w:spacing w:val="-3"/>
                            <w:sz w:val="18"/>
                            <w:szCs w:val="18"/>
                          </w:rPr>
                          <w:t>未来发展战略、创新业务进展情况等</w:t>
                        </w:r>
                      </w:p>
                    </w:tc>
                  </w:tr>
                  <w:tr>
                    <w:trPr>
                      <w:trHeight w:val="1652"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both"/>
                          <w:rPr>
                            <w:rFonts w:ascii="宋体" w:hAnsi="宋体" w:cs="宋体" w:eastAsia="宋体" w:hint="default"/>
                            <w:sz w:val="18"/>
                            <w:szCs w:val="18"/>
                          </w:rPr>
                        </w:pPr>
                        <w:r>
                          <w:rPr>
                            <w:rFonts w:ascii="宋体" w:hAnsi="宋体" w:cs="宋体" w:eastAsia="宋体" w:hint="default"/>
                            <w:sz w:val="18"/>
                            <w:szCs w:val="18"/>
                          </w:rPr>
                          <w:t>巨潮资讯网 </w:t>
                        </w:r>
                        <w:hyperlink r:id="rId13">
                          <w:r>
                            <w:rPr>
                              <w:rFonts w:ascii="Times New Roman" w:hAnsi="Times New Roman" w:cs="Times New Roman" w:eastAsia="Times New Roman" w:hint="default"/>
                              <w:spacing w:val="-3"/>
                              <w:sz w:val="18"/>
                              <w:szCs w:val="18"/>
                            </w:rPr>
                            <w:t>www.cninfo.com.cn</w:t>
                          </w:r>
                        </w:hyperlink>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披露的</w:t>
                        </w:r>
                      </w:p>
                      <w:p>
                        <w:pPr>
                          <w:pStyle w:val="TableParagraph"/>
                          <w:spacing w:line="240" w:lineRule="auto" w:before="63"/>
                          <w:ind w:left="23" w:right="0"/>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pacing w:val="-3"/>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日投资者关系活动记</w:t>
                        </w:r>
                      </w:p>
                      <w:p>
                        <w:pPr>
                          <w:pStyle w:val="TableParagraph"/>
                          <w:spacing w:line="312" w:lineRule="auto" w:before="63"/>
                          <w:ind w:left="23" w:right="17"/>
                          <w:jc w:val="both"/>
                          <w:rPr>
                            <w:rFonts w:ascii="宋体" w:hAnsi="宋体" w:cs="宋体" w:eastAsia="宋体" w:hint="default"/>
                            <w:sz w:val="18"/>
                            <w:szCs w:val="18"/>
                          </w:rPr>
                        </w:pPr>
                        <w:r>
                          <w:rPr>
                            <w:rFonts w:ascii="宋体" w:hAnsi="宋体" w:cs="宋体" w:eastAsia="宋体" w:hint="default"/>
                            <w:spacing w:val="-18"/>
                            <w:w w:val="101"/>
                            <w:sz w:val="18"/>
                            <w:szCs w:val="18"/>
                          </w:rPr>
                          <w:t>录表》。介绍公司</w:t>
                        </w:r>
                        <w:r>
                          <w:rPr>
                            <w:rFonts w:ascii="宋体" w:hAnsi="宋体" w:cs="宋体" w:eastAsia="宋体" w:hint="default"/>
                            <w:spacing w:val="-49"/>
                            <w:w w:val="101"/>
                            <w:sz w:val="18"/>
                            <w:szCs w:val="18"/>
                          </w:rPr>
                          <w:t> </w:t>
                        </w:r>
                        <w:r>
                          <w:rPr>
                            <w:rFonts w:ascii="Times New Roman" w:hAnsi="Times New Roman" w:cs="Times New Roman" w:eastAsia="Times New Roman" w:hint="default"/>
                            <w:w w:val="101"/>
                            <w:sz w:val="18"/>
                            <w:szCs w:val="18"/>
                          </w:rPr>
                          <w:t>2018</w:t>
                        </w:r>
                        <w:r>
                          <w:rPr>
                            <w:rFonts w:ascii="Times New Roman" w:hAnsi="Times New Roman" w:cs="Times New Roman" w:eastAsia="Times New Roman" w:hint="default"/>
                            <w:spacing w:val="-8"/>
                            <w:w w:val="101"/>
                            <w:sz w:val="18"/>
                            <w:szCs w:val="18"/>
                          </w:rPr>
                          <w:t> </w:t>
                        </w:r>
                        <w:r>
                          <w:rPr>
                            <w:rFonts w:ascii="宋体" w:hAnsi="宋体" w:cs="宋体" w:eastAsia="宋体" w:hint="default"/>
                            <w:spacing w:val="-6"/>
                            <w:w w:val="101"/>
                            <w:sz w:val="18"/>
                            <w:szCs w:val="18"/>
                          </w:rPr>
                          <w:t>年度报告、</w:t>
                        </w:r>
                        <w:r>
                          <w:rPr>
                            <w:rFonts w:ascii="Times New Roman" w:hAnsi="Times New Roman" w:cs="Times New Roman" w:eastAsia="Times New Roman" w:hint="default"/>
                            <w:spacing w:val="-6"/>
                            <w:w w:val="101"/>
                            <w:sz w:val="18"/>
                            <w:szCs w:val="18"/>
                          </w:rPr>
                          <w:t>2019</w:t>
                        </w:r>
                        <w:r>
                          <w:rPr>
                            <w:rFonts w:ascii="Times New Roman" w:hAnsi="Times New Roman" w:cs="Times New Roman" w:eastAsia="Times New Roman" w:hint="default"/>
                            <w:w w:val="101"/>
                            <w:sz w:val="18"/>
                            <w:szCs w:val="18"/>
                          </w:rPr>
                          <w:t> </w:t>
                        </w:r>
                        <w:r>
                          <w:rPr>
                            <w:rFonts w:ascii="宋体" w:hAnsi="宋体" w:cs="宋体" w:eastAsia="宋体" w:hint="default"/>
                            <w:spacing w:val="-7"/>
                            <w:sz w:val="18"/>
                            <w:szCs w:val="18"/>
                          </w:rPr>
                          <w:t>年第一季度报告、未来发展战略、创新</w:t>
                        </w:r>
                        <w:r>
                          <w:rPr>
                            <w:rFonts w:ascii="宋体" w:hAnsi="宋体" w:cs="宋体" w:eastAsia="宋体" w:hint="default"/>
                            <w:spacing w:val="-49"/>
                            <w:sz w:val="18"/>
                            <w:szCs w:val="18"/>
                          </w:rPr>
                          <w:t> </w:t>
                        </w:r>
                        <w:r>
                          <w:rPr>
                            <w:rFonts w:ascii="宋体" w:hAnsi="宋体" w:cs="宋体" w:eastAsia="宋体" w:hint="default"/>
                            <w:spacing w:val="-49"/>
                            <w:sz w:val="18"/>
                            <w:szCs w:val="18"/>
                          </w:rPr>
                        </w:r>
                        <w:r>
                          <w:rPr>
                            <w:rFonts w:ascii="宋体" w:hAnsi="宋体" w:cs="宋体" w:eastAsia="宋体" w:hint="default"/>
                            <w:sz w:val="18"/>
                            <w:szCs w:val="18"/>
                          </w:rPr>
                          <w:t>业务进展情况等。</w:t>
                        </w:r>
                      </w:p>
                    </w:tc>
                  </w:tr>
                  <w:tr>
                    <w:trPr>
                      <w:trHeight w:val="1339"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04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3" w:right="17"/>
                          <w:jc w:val="left"/>
                          <w:rPr>
                            <w:rFonts w:ascii="宋体" w:hAnsi="宋体" w:cs="宋体" w:eastAsia="宋体" w:hint="default"/>
                            <w:sz w:val="18"/>
                            <w:szCs w:val="18"/>
                          </w:rPr>
                        </w:pPr>
                        <w:r>
                          <w:rPr>
                            <w:rFonts w:ascii="宋体" w:hAnsi="宋体" w:cs="宋体" w:eastAsia="宋体" w:hint="default"/>
                            <w:spacing w:val="-8"/>
                            <w:w w:val="101"/>
                            <w:sz w:val="18"/>
                            <w:szCs w:val="18"/>
                          </w:rPr>
                          <w:t>机构策略会（光大证券）。介绍公司</w:t>
                        </w:r>
                        <w:r>
                          <w:rPr>
                            <w:rFonts w:ascii="宋体" w:hAnsi="宋体" w:cs="宋体" w:eastAsia="宋体" w:hint="default"/>
                            <w:spacing w:val="-90"/>
                            <w:w w:val="101"/>
                            <w:sz w:val="18"/>
                            <w:szCs w:val="18"/>
                          </w:rPr>
                          <w:t> </w:t>
                        </w:r>
                        <w:r>
                          <w:rPr>
                            <w:rFonts w:ascii="宋体" w:hAnsi="宋体" w:cs="宋体" w:eastAsia="宋体" w:hint="default"/>
                            <w:spacing w:val="-90"/>
                            <w:w w:val="101"/>
                            <w:sz w:val="18"/>
                            <w:szCs w:val="18"/>
                          </w:rPr>
                        </w:r>
                        <w:r>
                          <w:rPr>
                            <w:rFonts w:ascii="Times New Roman" w:hAnsi="Times New Roman" w:cs="Times New Roman" w:eastAsia="Times New Roman" w:hint="default"/>
                            <w:w w:val="101"/>
                            <w:sz w:val="18"/>
                            <w:szCs w:val="18"/>
                          </w:rPr>
                          <w:t>2018 </w:t>
                        </w:r>
                        <w:r>
                          <w:rPr>
                            <w:rFonts w:ascii="宋体" w:hAnsi="宋体" w:cs="宋体" w:eastAsia="宋体" w:hint="default"/>
                            <w:spacing w:val="-11"/>
                            <w:w w:val="101"/>
                            <w:sz w:val="18"/>
                            <w:szCs w:val="18"/>
                          </w:rPr>
                          <w:t>年度报告、</w:t>
                        </w:r>
                        <w:r>
                          <w:rPr>
                            <w:rFonts w:ascii="Times New Roman" w:hAnsi="Times New Roman" w:cs="Times New Roman" w:eastAsia="Times New Roman" w:hint="default"/>
                            <w:spacing w:val="-11"/>
                            <w:w w:val="101"/>
                            <w:sz w:val="18"/>
                            <w:szCs w:val="18"/>
                          </w:rPr>
                          <w:t>2019</w:t>
                        </w:r>
                        <w:r>
                          <w:rPr>
                            <w:rFonts w:ascii="Times New Roman" w:hAnsi="Times New Roman" w:cs="Times New Roman" w:eastAsia="Times New Roman" w:hint="default"/>
                            <w:w w:val="101"/>
                            <w:sz w:val="18"/>
                            <w:szCs w:val="18"/>
                          </w:rPr>
                          <w:t> </w:t>
                        </w:r>
                        <w:r>
                          <w:rPr>
                            <w:rFonts w:ascii="宋体" w:hAnsi="宋体" w:cs="宋体" w:eastAsia="宋体" w:hint="default"/>
                            <w:spacing w:val="-3"/>
                            <w:w w:val="101"/>
                            <w:sz w:val="18"/>
                            <w:szCs w:val="18"/>
                          </w:rPr>
                          <w:t>年第一季度报告</w:t>
                        </w:r>
                        <w:r>
                          <w:rPr>
                            <w:rFonts w:ascii="宋体" w:hAnsi="宋体" w:cs="宋体" w:eastAsia="宋体" w:hint="default"/>
                            <w:spacing w:val="-89"/>
                            <w:w w:val="101"/>
                            <w:sz w:val="18"/>
                            <w:szCs w:val="18"/>
                          </w:rPr>
                          <w:t> </w:t>
                        </w:r>
                        <w:r>
                          <w:rPr>
                            <w:rFonts w:ascii="宋体" w:hAnsi="宋体" w:cs="宋体" w:eastAsia="宋体" w:hint="default"/>
                            <w:spacing w:val="-89"/>
                            <w:w w:val="101"/>
                            <w:sz w:val="18"/>
                            <w:szCs w:val="18"/>
                          </w:rPr>
                        </w:r>
                        <w:r>
                          <w:rPr>
                            <w:rFonts w:ascii="宋体" w:hAnsi="宋体" w:cs="宋体" w:eastAsia="宋体" w:hint="default"/>
                            <w:spacing w:val="-7"/>
                            <w:w w:val="101"/>
                            <w:sz w:val="18"/>
                            <w:szCs w:val="18"/>
                          </w:rPr>
                          <w:t>公司日常经营情况及解读，对行业的看</w:t>
                        </w:r>
                        <w:r>
                          <w:rPr>
                            <w:rFonts w:ascii="宋体" w:hAnsi="宋体" w:cs="宋体" w:eastAsia="宋体" w:hint="default"/>
                            <w:spacing w:val="-90"/>
                            <w:w w:val="101"/>
                            <w:sz w:val="18"/>
                            <w:szCs w:val="18"/>
                          </w:rPr>
                          <w:t> </w:t>
                        </w:r>
                        <w:r>
                          <w:rPr>
                            <w:rFonts w:ascii="宋体" w:hAnsi="宋体" w:cs="宋体" w:eastAsia="宋体" w:hint="default"/>
                            <w:spacing w:val="-90"/>
                            <w:w w:val="101"/>
                            <w:sz w:val="18"/>
                            <w:szCs w:val="18"/>
                          </w:rPr>
                        </w:r>
                        <w:r>
                          <w:rPr>
                            <w:rFonts w:ascii="宋体" w:hAnsi="宋体" w:cs="宋体" w:eastAsia="宋体" w:hint="default"/>
                            <w:spacing w:val="-3"/>
                            <w:sz w:val="18"/>
                            <w:szCs w:val="18"/>
                          </w:rPr>
                          <w:t>法及公司未来发展战略等</w:t>
                        </w:r>
                      </w:p>
                    </w:tc>
                  </w:tr>
                  <w:tr>
                    <w:trPr>
                      <w:trHeight w:val="1340"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040"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4"/>
                          <w:ind w:left="23" w:right="17"/>
                          <w:jc w:val="left"/>
                          <w:rPr>
                            <w:rFonts w:ascii="宋体" w:hAnsi="宋体" w:cs="宋体" w:eastAsia="宋体" w:hint="default"/>
                            <w:sz w:val="18"/>
                            <w:szCs w:val="18"/>
                          </w:rPr>
                        </w:pPr>
                        <w:r>
                          <w:rPr>
                            <w:rFonts w:ascii="宋体" w:hAnsi="宋体" w:cs="宋体" w:eastAsia="宋体" w:hint="default"/>
                            <w:spacing w:val="-8"/>
                            <w:w w:val="101"/>
                            <w:sz w:val="18"/>
                            <w:szCs w:val="18"/>
                          </w:rPr>
                          <w:t>机构策略会（民生证券）。介绍公司</w:t>
                        </w:r>
                        <w:r>
                          <w:rPr>
                            <w:rFonts w:ascii="宋体" w:hAnsi="宋体" w:cs="宋体" w:eastAsia="宋体" w:hint="default"/>
                            <w:spacing w:val="-90"/>
                            <w:w w:val="101"/>
                            <w:sz w:val="18"/>
                            <w:szCs w:val="18"/>
                          </w:rPr>
                          <w:t> </w:t>
                        </w:r>
                        <w:r>
                          <w:rPr>
                            <w:rFonts w:ascii="宋体" w:hAnsi="宋体" w:cs="宋体" w:eastAsia="宋体" w:hint="default"/>
                            <w:spacing w:val="-90"/>
                            <w:w w:val="101"/>
                            <w:sz w:val="18"/>
                            <w:szCs w:val="18"/>
                          </w:rPr>
                        </w:r>
                        <w:r>
                          <w:rPr>
                            <w:rFonts w:ascii="Times New Roman" w:hAnsi="Times New Roman" w:cs="Times New Roman" w:eastAsia="Times New Roman" w:hint="default"/>
                            <w:w w:val="101"/>
                            <w:sz w:val="18"/>
                            <w:szCs w:val="18"/>
                          </w:rPr>
                          <w:t>2018 </w:t>
                        </w:r>
                        <w:r>
                          <w:rPr>
                            <w:rFonts w:ascii="宋体" w:hAnsi="宋体" w:cs="宋体" w:eastAsia="宋体" w:hint="default"/>
                            <w:spacing w:val="-11"/>
                            <w:w w:val="101"/>
                            <w:sz w:val="18"/>
                            <w:szCs w:val="18"/>
                          </w:rPr>
                          <w:t>年度报告、</w:t>
                        </w:r>
                        <w:r>
                          <w:rPr>
                            <w:rFonts w:ascii="Times New Roman" w:hAnsi="Times New Roman" w:cs="Times New Roman" w:eastAsia="Times New Roman" w:hint="default"/>
                            <w:spacing w:val="-11"/>
                            <w:w w:val="101"/>
                            <w:sz w:val="18"/>
                            <w:szCs w:val="18"/>
                          </w:rPr>
                          <w:t>2019</w:t>
                        </w:r>
                        <w:r>
                          <w:rPr>
                            <w:rFonts w:ascii="Times New Roman" w:hAnsi="Times New Roman" w:cs="Times New Roman" w:eastAsia="Times New Roman" w:hint="default"/>
                            <w:w w:val="101"/>
                            <w:sz w:val="18"/>
                            <w:szCs w:val="18"/>
                          </w:rPr>
                          <w:t> </w:t>
                        </w:r>
                        <w:r>
                          <w:rPr>
                            <w:rFonts w:ascii="宋体" w:hAnsi="宋体" w:cs="宋体" w:eastAsia="宋体" w:hint="default"/>
                            <w:spacing w:val="-3"/>
                            <w:w w:val="101"/>
                            <w:sz w:val="18"/>
                            <w:szCs w:val="18"/>
                          </w:rPr>
                          <w:t>年第一季度报告</w:t>
                        </w:r>
                        <w:r>
                          <w:rPr>
                            <w:rFonts w:ascii="宋体" w:hAnsi="宋体" w:cs="宋体" w:eastAsia="宋体" w:hint="default"/>
                            <w:spacing w:val="-89"/>
                            <w:w w:val="101"/>
                            <w:sz w:val="18"/>
                            <w:szCs w:val="18"/>
                          </w:rPr>
                          <w:t> </w:t>
                        </w:r>
                        <w:r>
                          <w:rPr>
                            <w:rFonts w:ascii="宋体" w:hAnsi="宋体" w:cs="宋体" w:eastAsia="宋体" w:hint="default"/>
                            <w:spacing w:val="-89"/>
                            <w:w w:val="101"/>
                            <w:sz w:val="18"/>
                            <w:szCs w:val="18"/>
                          </w:rPr>
                        </w:r>
                        <w:r>
                          <w:rPr>
                            <w:rFonts w:ascii="宋体" w:hAnsi="宋体" w:cs="宋体" w:eastAsia="宋体" w:hint="default"/>
                            <w:spacing w:val="-7"/>
                            <w:w w:val="101"/>
                            <w:sz w:val="18"/>
                            <w:szCs w:val="18"/>
                          </w:rPr>
                          <w:t>公司日常经营情况及解读，对行业的看</w:t>
                        </w:r>
                        <w:r>
                          <w:rPr>
                            <w:rFonts w:ascii="宋体" w:hAnsi="宋体" w:cs="宋体" w:eastAsia="宋体" w:hint="default"/>
                            <w:spacing w:val="-90"/>
                            <w:w w:val="101"/>
                            <w:sz w:val="18"/>
                            <w:szCs w:val="18"/>
                          </w:rPr>
                          <w:t> </w:t>
                        </w:r>
                        <w:r>
                          <w:rPr>
                            <w:rFonts w:ascii="宋体" w:hAnsi="宋体" w:cs="宋体" w:eastAsia="宋体" w:hint="default"/>
                            <w:spacing w:val="-90"/>
                            <w:w w:val="101"/>
                            <w:sz w:val="18"/>
                            <w:szCs w:val="18"/>
                          </w:rPr>
                        </w:r>
                        <w:r>
                          <w:rPr>
                            <w:rFonts w:ascii="宋体" w:hAnsi="宋体" w:cs="宋体" w:eastAsia="宋体" w:hint="default"/>
                            <w:spacing w:val="-3"/>
                            <w:sz w:val="18"/>
                            <w:szCs w:val="18"/>
                          </w:rPr>
                          <w:t>法及公司未来发展战略等</w:t>
                        </w:r>
                      </w:p>
                    </w:tc>
                  </w:tr>
                  <w:tr>
                    <w:trPr>
                      <w:trHeight w:val="1647"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深圳辖区上市公司</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年度投资者网</w:t>
                        </w:r>
                      </w:p>
                      <w:p>
                        <w:pPr>
                          <w:pStyle w:val="TableParagraph"/>
                          <w:spacing w:line="314" w:lineRule="auto" w:before="58"/>
                          <w:ind w:left="23" w:right="17"/>
                          <w:jc w:val="left"/>
                          <w:rPr>
                            <w:rFonts w:ascii="宋体" w:hAnsi="宋体" w:cs="宋体" w:eastAsia="宋体" w:hint="default"/>
                            <w:sz w:val="18"/>
                            <w:szCs w:val="18"/>
                          </w:rPr>
                        </w:pPr>
                        <w:r>
                          <w:rPr>
                            <w:rFonts w:ascii="宋体" w:hAnsi="宋体" w:cs="宋体" w:eastAsia="宋体" w:hint="default"/>
                            <w:sz w:val="18"/>
                            <w:szCs w:val="18"/>
                          </w:rPr>
                          <w:t>上集体接待日。介绍公司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年半年</w:t>
                        </w:r>
                        <w:r>
                          <w:rPr>
                            <w:rFonts w:ascii="宋体" w:hAnsi="宋体" w:cs="宋体" w:eastAsia="宋体" w:hint="default"/>
                            <w:w w:val="101"/>
                            <w:sz w:val="18"/>
                            <w:szCs w:val="18"/>
                          </w:rPr>
                          <w:t> </w:t>
                        </w:r>
                        <w:r>
                          <w:rPr>
                            <w:rFonts w:ascii="宋体" w:hAnsi="宋体" w:cs="宋体" w:eastAsia="宋体" w:hint="default"/>
                            <w:spacing w:val="-7"/>
                            <w:sz w:val="18"/>
                            <w:szCs w:val="18"/>
                          </w:rPr>
                          <w:t>度报告，公司日常经营情况及解读，创</w:t>
                        </w:r>
                        <w:r>
                          <w:rPr>
                            <w:rFonts w:ascii="宋体" w:hAnsi="宋体" w:cs="宋体" w:eastAsia="宋体" w:hint="default"/>
                            <w:spacing w:val="-49"/>
                            <w:sz w:val="18"/>
                            <w:szCs w:val="18"/>
                          </w:rPr>
                          <w:t> </w:t>
                        </w:r>
                        <w:r>
                          <w:rPr>
                            <w:rFonts w:ascii="宋体" w:hAnsi="宋体" w:cs="宋体" w:eastAsia="宋体" w:hint="default"/>
                            <w:spacing w:val="-49"/>
                            <w:sz w:val="18"/>
                            <w:szCs w:val="18"/>
                          </w:rPr>
                        </w:r>
                        <w:r>
                          <w:rPr>
                            <w:rFonts w:ascii="宋体" w:hAnsi="宋体" w:cs="宋体" w:eastAsia="宋体" w:hint="default"/>
                            <w:spacing w:val="-3"/>
                            <w:sz w:val="18"/>
                            <w:szCs w:val="18"/>
                          </w:rPr>
                          <w:t>新业务进展情况及公司未来发展战略</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z w:val="18"/>
                            <w:szCs w:val="18"/>
                          </w:rPr>
                          <w:t>等</w:t>
                        </w:r>
                      </w:p>
                    </w:tc>
                  </w:tr>
                  <w:tr>
                    <w:trPr>
                      <w:trHeight w:val="1340"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04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3" w:right="17"/>
                          <w:jc w:val="left"/>
                          <w:rPr>
                            <w:rFonts w:ascii="宋体" w:hAnsi="宋体" w:cs="宋体" w:eastAsia="宋体" w:hint="default"/>
                            <w:sz w:val="18"/>
                            <w:szCs w:val="18"/>
                          </w:rPr>
                        </w:pPr>
                        <w:r>
                          <w:rPr>
                            <w:rFonts w:ascii="宋体" w:hAnsi="宋体" w:cs="宋体" w:eastAsia="宋体" w:hint="default"/>
                            <w:spacing w:val="-8"/>
                            <w:w w:val="101"/>
                            <w:sz w:val="18"/>
                            <w:szCs w:val="18"/>
                          </w:rPr>
                          <w:t>机构策略会（东吴证券）。介绍公司</w:t>
                        </w:r>
                        <w:r>
                          <w:rPr>
                            <w:rFonts w:ascii="宋体" w:hAnsi="宋体" w:cs="宋体" w:eastAsia="宋体" w:hint="default"/>
                            <w:spacing w:val="-90"/>
                            <w:w w:val="101"/>
                            <w:sz w:val="18"/>
                            <w:szCs w:val="18"/>
                          </w:rPr>
                          <w:t> </w:t>
                        </w:r>
                        <w:r>
                          <w:rPr>
                            <w:rFonts w:ascii="宋体" w:hAnsi="宋体" w:cs="宋体" w:eastAsia="宋体" w:hint="default"/>
                            <w:spacing w:val="-90"/>
                            <w:w w:val="101"/>
                            <w:sz w:val="18"/>
                            <w:szCs w:val="18"/>
                          </w:rPr>
                        </w:r>
                        <w:r>
                          <w:rPr>
                            <w:rFonts w:ascii="Times New Roman" w:hAnsi="Times New Roman" w:cs="Times New Roman" w:eastAsia="Times New Roman" w:hint="default"/>
                            <w:sz w:val="18"/>
                            <w:szCs w:val="18"/>
                          </w:rPr>
                          <w:t>2019 </w:t>
                        </w:r>
                        <w:r>
                          <w:rPr>
                            <w:rFonts w:ascii="宋体" w:hAnsi="宋体" w:cs="宋体" w:eastAsia="宋体" w:hint="default"/>
                            <w:spacing w:val="-3"/>
                            <w:sz w:val="18"/>
                            <w:szCs w:val="18"/>
                          </w:rPr>
                          <w:t>年半年度报告，公司日常经营情</w:t>
                        </w:r>
                        <w:r>
                          <w:rPr>
                            <w:rFonts w:ascii="宋体" w:hAnsi="宋体" w:cs="宋体" w:eastAsia="宋体" w:hint="default"/>
                            <w:spacing w:val="-47"/>
                            <w:sz w:val="18"/>
                            <w:szCs w:val="18"/>
                          </w:rPr>
                          <w:t> </w:t>
                        </w:r>
                        <w:r>
                          <w:rPr>
                            <w:rFonts w:ascii="宋体" w:hAnsi="宋体" w:cs="宋体" w:eastAsia="宋体" w:hint="default"/>
                            <w:spacing w:val="-47"/>
                            <w:sz w:val="18"/>
                            <w:szCs w:val="18"/>
                          </w:rPr>
                        </w:r>
                        <w:r>
                          <w:rPr>
                            <w:rFonts w:ascii="宋体" w:hAnsi="宋体" w:cs="宋体" w:eastAsia="宋体" w:hint="default"/>
                            <w:spacing w:val="-7"/>
                            <w:w w:val="101"/>
                            <w:sz w:val="18"/>
                            <w:szCs w:val="18"/>
                          </w:rPr>
                          <w:t>况及解读，创新业务进展情况及公司未</w:t>
                        </w:r>
                        <w:r>
                          <w:rPr>
                            <w:rFonts w:ascii="宋体" w:hAnsi="宋体" w:cs="宋体" w:eastAsia="宋体" w:hint="default"/>
                            <w:spacing w:val="-90"/>
                            <w:w w:val="101"/>
                            <w:sz w:val="18"/>
                            <w:szCs w:val="18"/>
                          </w:rPr>
                          <w:t> </w:t>
                        </w:r>
                        <w:r>
                          <w:rPr>
                            <w:rFonts w:ascii="宋体" w:hAnsi="宋体" w:cs="宋体" w:eastAsia="宋体" w:hint="default"/>
                            <w:spacing w:val="-90"/>
                            <w:w w:val="101"/>
                            <w:sz w:val="18"/>
                            <w:szCs w:val="18"/>
                          </w:rPr>
                        </w:r>
                        <w:r>
                          <w:rPr>
                            <w:rFonts w:ascii="宋体" w:hAnsi="宋体" w:cs="宋体" w:eastAsia="宋体" w:hint="default"/>
                            <w:sz w:val="18"/>
                            <w:szCs w:val="18"/>
                          </w:rPr>
                          <w:t>来发展战略等</w:t>
                        </w:r>
                      </w:p>
                    </w:tc>
                  </w:tr>
                </w:tbl>
                <w:p>
                  <w:pPr/>
                </w:p>
              </w:txbxContent>
            </v:textbox>
            <w10:wrap type="none"/>
          </v:shape>
        </w:pict>
      </w:r>
      <w:r>
        <w:rPr>
          <w:w w:val="101"/>
        </w:rPr>
        <w:t>、</w:t>
      </w:r>
      <w:r>
        <w:rPr/>
      </w:r>
    </w:p>
    <w:p>
      <w:pPr>
        <w:pStyle w:val="BodyText"/>
        <w:spacing w:line="240" w:lineRule="auto" w:before="82"/>
        <w:ind w:left="0" w:right="1141"/>
        <w:jc w:val="right"/>
      </w:pPr>
      <w:r>
        <w:rPr>
          <w:w w:val="101"/>
        </w:rPr>
        <w:t>。</w:t>
      </w:r>
      <w:r>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8"/>
          <w:szCs w:val="18"/>
        </w:rPr>
      </w:pPr>
    </w:p>
    <w:p>
      <w:pPr>
        <w:pStyle w:val="BodyText"/>
        <w:spacing w:line="240" w:lineRule="auto" w:before="46"/>
        <w:ind w:left="0" w:right="1127"/>
        <w:jc w:val="right"/>
      </w:pPr>
      <w:r>
        <w:rPr>
          <w:w w:val="101"/>
        </w:rPr>
        <w:t>，</w:t>
      </w:r>
      <w:r>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0"/>
          <w:szCs w:val="20"/>
        </w:rPr>
      </w:pPr>
    </w:p>
    <w:p>
      <w:pPr>
        <w:pStyle w:val="BodyText"/>
        <w:spacing w:line="240" w:lineRule="auto" w:before="46"/>
        <w:ind w:left="0" w:right="1127"/>
        <w:jc w:val="right"/>
      </w:pPr>
      <w:r>
        <w:rPr>
          <w:w w:val="101"/>
        </w:rPr>
        <w:t>，</w:t>
      </w:r>
      <w:r>
        <w:rPr/>
      </w:r>
    </w:p>
    <w:p>
      <w:pPr>
        <w:spacing w:after="0" w:line="240" w:lineRule="auto"/>
        <w:jc w:val="right"/>
        <w:sectPr>
          <w:pgSz w:w="11910" w:h="16840"/>
          <w:pgMar w:header="871" w:footer="1186" w:top="1100" w:bottom="138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6"/>
          <w:szCs w:val="16"/>
        </w:rPr>
      </w:pPr>
    </w:p>
    <w:p>
      <w:pPr>
        <w:pStyle w:val="Heading1"/>
        <w:spacing w:line="240" w:lineRule="auto"/>
        <w:ind w:right="1109"/>
        <w:jc w:val="center"/>
        <w:rPr>
          <w:b w:val="0"/>
          <w:bCs w:val="0"/>
        </w:rPr>
      </w:pPr>
      <w:bookmarkStart w:name="第五节 重要事项" w:id="61"/>
      <w:bookmarkEnd w:id="61"/>
      <w:r>
        <w:rPr>
          <w:b w:val="0"/>
          <w:bCs w:val="0"/>
        </w:rPr>
      </w:r>
      <w:bookmarkStart w:name="_bookmark4" w:id="62"/>
      <w:bookmarkEnd w:id="62"/>
      <w:r>
        <w:rPr>
          <w:b w:val="0"/>
          <w:bCs w:val="0"/>
        </w:rPr>
      </w:r>
      <w:r>
        <w:rPr/>
        <w:t>第五节</w:t>
      </w:r>
      <w:r>
        <w:rPr>
          <w:spacing w:val="-1"/>
        </w:rPr>
        <w:t> </w:t>
      </w:r>
      <w:r>
        <w:rPr/>
        <w:t>重要事项</w:t>
      </w:r>
      <w:r>
        <w:rPr>
          <w:b w:val="0"/>
          <w:bCs w:val="0"/>
        </w:rPr>
      </w:r>
    </w:p>
    <w:p>
      <w:pPr>
        <w:spacing w:line="240" w:lineRule="auto" w:before="4"/>
        <w:rPr>
          <w:rFonts w:ascii="宋体" w:hAnsi="宋体" w:cs="宋体" w:eastAsia="宋体" w:hint="default"/>
          <w:b/>
          <w:bCs/>
          <w:sz w:val="38"/>
          <w:szCs w:val="38"/>
        </w:rPr>
      </w:pPr>
    </w:p>
    <w:p>
      <w:pPr>
        <w:pStyle w:val="Heading2"/>
        <w:spacing w:line="240" w:lineRule="auto"/>
        <w:ind w:right="0"/>
        <w:jc w:val="left"/>
        <w:rPr>
          <w:b w:val="0"/>
          <w:bCs w:val="0"/>
        </w:rPr>
      </w:pPr>
      <w:bookmarkStart w:name="一、公司普通股利润分配及资本公积金转增股本情况" w:id="63"/>
      <w:bookmarkEnd w:id="63"/>
      <w:r>
        <w:rPr>
          <w:b w:val="0"/>
          <w:bCs w:val="0"/>
        </w:rPr>
      </w:r>
      <w:r>
        <w:rPr/>
        <w:t>一、公司普通股利润分配及资本公积金转增股本情况</w:t>
      </w:r>
      <w:r>
        <w:rPr>
          <w:b w:val="0"/>
          <w:bCs w:val="0"/>
        </w:rPr>
      </w:r>
    </w:p>
    <w:p>
      <w:pPr>
        <w:spacing w:line="240" w:lineRule="auto" w:before="7"/>
        <w:rPr>
          <w:rFonts w:ascii="宋体" w:hAnsi="宋体" w:cs="宋体" w:eastAsia="宋体" w:hint="default"/>
          <w:b/>
          <w:bCs/>
          <w:sz w:val="27"/>
          <w:szCs w:val="27"/>
        </w:rPr>
      </w:pPr>
    </w:p>
    <w:p>
      <w:pPr>
        <w:pStyle w:val="BodyText"/>
        <w:spacing w:line="240" w:lineRule="auto"/>
        <w:ind w:right="0"/>
        <w:jc w:val="left"/>
      </w:pPr>
      <w:r>
        <w:rPr>
          <w:spacing w:val="-3"/>
        </w:rPr>
        <w:t>报告期内普通股利润分配政策，特别是现金分红政策的制定、执行或调整情况</w:t>
      </w:r>
    </w:p>
    <w:p>
      <w:pPr>
        <w:pStyle w:val="BodyText"/>
        <w:spacing w:line="240" w:lineRule="auto" w:before="115"/>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8"/>
        <w:rPr>
          <w:rFonts w:ascii="宋体" w:hAnsi="宋体" w:cs="宋体" w:eastAsia="宋体" w:hint="default"/>
          <w:sz w:val="13"/>
          <w:szCs w:val="13"/>
        </w:rPr>
      </w:pPr>
    </w:p>
    <w:p>
      <w:pPr>
        <w:pStyle w:val="BodyText"/>
        <w:spacing w:line="240" w:lineRule="auto"/>
        <w:ind w:left="513" w:right="0"/>
        <w:jc w:val="left"/>
      </w:pPr>
      <w:r>
        <w:rPr>
          <w:w w:val="101"/>
        </w:rPr>
        <w:t>报</w:t>
      </w:r>
      <w:r>
        <w:rPr>
          <w:spacing w:val="-5"/>
          <w:w w:val="101"/>
        </w:rPr>
        <w:t>告</w:t>
      </w:r>
      <w:r>
        <w:rPr>
          <w:w w:val="101"/>
        </w:rPr>
        <w:t>期内</w:t>
      </w:r>
      <w:r>
        <w:rPr>
          <w:spacing w:val="-15"/>
          <w:w w:val="101"/>
        </w:rPr>
        <w:t>，</w:t>
      </w:r>
      <w:r>
        <w:rPr>
          <w:w w:val="101"/>
        </w:rPr>
        <w:t>公</w:t>
      </w:r>
      <w:r>
        <w:rPr>
          <w:spacing w:val="-5"/>
          <w:w w:val="101"/>
        </w:rPr>
        <w:t>司</w:t>
      </w:r>
      <w:r>
        <w:rPr>
          <w:w w:val="101"/>
        </w:rPr>
        <w:t>严</w:t>
      </w:r>
      <w:r>
        <w:rPr>
          <w:spacing w:val="-5"/>
          <w:w w:val="101"/>
        </w:rPr>
        <w:t>格</w:t>
      </w:r>
      <w:r>
        <w:rPr>
          <w:w w:val="101"/>
        </w:rPr>
        <w:t>执</w:t>
      </w:r>
      <w:r>
        <w:rPr>
          <w:spacing w:val="-10"/>
          <w:w w:val="101"/>
        </w:rPr>
        <w:t>行</w:t>
      </w:r>
      <w:r>
        <w:rPr>
          <w:spacing w:val="-5"/>
          <w:w w:val="101"/>
        </w:rPr>
        <w:t>《</w:t>
      </w:r>
      <w:r>
        <w:rPr>
          <w:w w:val="101"/>
        </w:rPr>
        <w:t>公</w:t>
      </w:r>
      <w:r>
        <w:rPr>
          <w:spacing w:val="-5"/>
          <w:w w:val="101"/>
        </w:rPr>
        <w:t>司</w:t>
      </w:r>
      <w:r>
        <w:rPr>
          <w:w w:val="101"/>
        </w:rPr>
        <w:t>章程</w:t>
      </w:r>
      <w:r>
        <w:rPr>
          <w:spacing w:val="-15"/>
          <w:w w:val="101"/>
        </w:rPr>
        <w:t>》</w:t>
      </w:r>
      <w:r>
        <w:rPr>
          <w:w w:val="101"/>
        </w:rPr>
        <w:t>有</w:t>
      </w:r>
      <w:r>
        <w:rPr>
          <w:spacing w:val="-4"/>
          <w:w w:val="101"/>
        </w:rPr>
        <w:t>关</w:t>
      </w:r>
      <w:r>
        <w:rPr>
          <w:w w:val="101"/>
        </w:rPr>
        <w:t>现</w:t>
      </w:r>
      <w:r>
        <w:rPr>
          <w:spacing w:val="-5"/>
          <w:w w:val="101"/>
        </w:rPr>
        <w:t>金</w:t>
      </w:r>
      <w:r>
        <w:rPr>
          <w:w w:val="101"/>
        </w:rPr>
        <w:t>分</w:t>
      </w:r>
      <w:r>
        <w:rPr>
          <w:spacing w:val="-5"/>
          <w:w w:val="101"/>
        </w:rPr>
        <w:t>红</w:t>
      </w:r>
      <w:r>
        <w:rPr>
          <w:w w:val="101"/>
        </w:rPr>
        <w:t>政</w:t>
      </w:r>
      <w:r>
        <w:rPr>
          <w:spacing w:val="-5"/>
          <w:w w:val="101"/>
        </w:rPr>
        <w:t>策</w:t>
      </w:r>
      <w:r>
        <w:rPr>
          <w:spacing w:val="-101"/>
          <w:w w:val="101"/>
        </w:rPr>
        <w:t>，</w:t>
      </w:r>
      <w:r>
        <w:rPr>
          <w:w w:val="101"/>
        </w:rPr>
        <w:t>《</w:t>
      </w:r>
      <w:r>
        <w:rPr>
          <w:rFonts w:ascii="Times New Roman" w:hAnsi="Times New Roman" w:cs="Times New Roman" w:eastAsia="Times New Roman" w:hint="default"/>
          <w:spacing w:val="-5"/>
          <w:w w:val="101"/>
        </w:rPr>
        <w:t>2</w:t>
      </w:r>
      <w:r>
        <w:rPr>
          <w:rFonts w:ascii="Times New Roman" w:hAnsi="Times New Roman" w:cs="Times New Roman" w:eastAsia="Times New Roman" w:hint="default"/>
          <w:w w:val="101"/>
        </w:rPr>
        <w:t>018</w:t>
      </w:r>
      <w:r>
        <w:rPr>
          <w:rFonts w:ascii="Times New Roman" w:hAnsi="Times New Roman" w:cs="Times New Roman" w:eastAsia="Times New Roman" w:hint="default"/>
          <w:spacing w:val="-2"/>
        </w:rPr>
        <w:t> </w:t>
      </w:r>
      <w:r>
        <w:rPr>
          <w:w w:val="101"/>
        </w:rPr>
        <w:t>年</w:t>
      </w:r>
      <w:r>
        <w:rPr>
          <w:spacing w:val="-5"/>
          <w:w w:val="101"/>
        </w:rPr>
        <w:t>度</w:t>
      </w:r>
      <w:r>
        <w:rPr>
          <w:w w:val="101"/>
        </w:rPr>
        <w:t>利</w:t>
      </w:r>
      <w:r>
        <w:rPr>
          <w:spacing w:val="-5"/>
          <w:w w:val="101"/>
        </w:rPr>
        <w:t>润</w:t>
      </w:r>
      <w:r>
        <w:rPr>
          <w:w w:val="101"/>
        </w:rPr>
        <w:t>分</w:t>
      </w:r>
      <w:r>
        <w:rPr>
          <w:spacing w:val="-5"/>
          <w:w w:val="101"/>
        </w:rPr>
        <w:t>配</w:t>
      </w:r>
      <w:r>
        <w:rPr>
          <w:w w:val="101"/>
        </w:rPr>
        <w:t>预案</w:t>
      </w:r>
      <w:r>
        <w:rPr>
          <w:spacing w:val="-15"/>
          <w:w w:val="101"/>
        </w:rPr>
        <w:t>》</w:t>
      </w:r>
      <w:r>
        <w:rPr>
          <w:w w:val="101"/>
        </w:rPr>
        <w:t>经</w:t>
      </w:r>
      <w:r>
        <w:rPr>
          <w:spacing w:val="-5"/>
          <w:w w:val="101"/>
        </w:rPr>
        <w:t>公</w:t>
      </w:r>
      <w:r>
        <w:rPr>
          <w:w w:val="101"/>
        </w:rPr>
        <w:t>司</w:t>
      </w:r>
      <w:r>
        <w:rPr>
          <w:spacing w:val="-47"/>
        </w:rPr>
        <w:t> </w:t>
      </w:r>
      <w:r>
        <w:rPr>
          <w:rFonts w:ascii="Times New Roman" w:hAnsi="Times New Roman" w:cs="Times New Roman" w:eastAsia="Times New Roman" w:hint="default"/>
          <w:w w:val="101"/>
        </w:rPr>
        <w:t>2019</w:t>
      </w:r>
      <w:r>
        <w:rPr>
          <w:rFonts w:ascii="Times New Roman" w:hAnsi="Times New Roman" w:cs="Times New Roman" w:eastAsia="Times New Roman" w:hint="default"/>
          <w:spacing w:val="-2"/>
        </w:rPr>
        <w:t> </w:t>
      </w:r>
      <w:r>
        <w:rPr>
          <w:w w:val="101"/>
        </w:rPr>
        <w:t>年</w:t>
      </w:r>
      <w:r>
        <w:rPr>
          <w:spacing w:val="-47"/>
        </w:rPr>
        <w:t> </w:t>
      </w:r>
      <w:r>
        <w:rPr>
          <w:rFonts w:ascii="Times New Roman" w:hAnsi="Times New Roman" w:cs="Times New Roman" w:eastAsia="Times New Roman" w:hint="default"/>
          <w:w w:val="101"/>
        </w:rPr>
        <w:t>4</w:t>
      </w:r>
      <w:r>
        <w:rPr>
          <w:rFonts w:ascii="Times New Roman" w:hAnsi="Times New Roman" w:cs="Times New Roman" w:eastAsia="Times New Roman" w:hint="default"/>
          <w:spacing w:val="-2"/>
        </w:rPr>
        <w:t> </w:t>
      </w:r>
      <w:r>
        <w:rPr>
          <w:w w:val="101"/>
        </w:rPr>
        <w:t>月</w:t>
      </w:r>
      <w:r>
        <w:rPr>
          <w:spacing w:val="-52"/>
        </w:rPr>
        <w:t> </w:t>
      </w:r>
      <w:r>
        <w:rPr>
          <w:rFonts w:ascii="Times New Roman" w:hAnsi="Times New Roman" w:cs="Times New Roman" w:eastAsia="Times New Roman" w:hint="default"/>
          <w:w w:val="101"/>
        </w:rPr>
        <w:t>22</w:t>
      </w:r>
      <w:r>
        <w:rPr>
          <w:rFonts w:ascii="Times New Roman" w:hAnsi="Times New Roman" w:cs="Times New Roman" w:eastAsia="Times New Roman" w:hint="default"/>
          <w:spacing w:val="-2"/>
        </w:rPr>
        <w:t> </w:t>
      </w:r>
      <w:r>
        <w:rPr>
          <w:spacing w:val="-5"/>
          <w:w w:val="101"/>
        </w:rPr>
        <w:t>日</w:t>
      </w:r>
      <w:r>
        <w:rPr>
          <w:w w:val="101"/>
        </w:rPr>
        <w:t>第</w:t>
      </w:r>
      <w:r>
        <w:rPr>
          <w:spacing w:val="-5"/>
          <w:w w:val="101"/>
        </w:rPr>
        <w:t>四</w:t>
      </w:r>
      <w:r>
        <w:rPr>
          <w:w w:val="101"/>
        </w:rPr>
        <w:t>届</w:t>
      </w:r>
      <w:r>
        <w:rPr/>
      </w:r>
    </w:p>
    <w:p>
      <w:pPr>
        <w:spacing w:line="240" w:lineRule="auto" w:before="12"/>
        <w:rPr>
          <w:rFonts w:ascii="宋体" w:hAnsi="宋体" w:cs="宋体" w:eastAsia="宋体" w:hint="default"/>
          <w:sz w:val="16"/>
          <w:szCs w:val="16"/>
        </w:rPr>
      </w:pPr>
    </w:p>
    <w:p>
      <w:pPr>
        <w:pStyle w:val="BodyText"/>
        <w:spacing w:line="240" w:lineRule="auto"/>
        <w:ind w:right="0"/>
        <w:jc w:val="left"/>
      </w:pPr>
      <w:r>
        <w:rPr>
          <w:w w:val="101"/>
        </w:rPr>
        <w:t>董</w:t>
      </w:r>
      <w:r>
        <w:rPr>
          <w:spacing w:val="-5"/>
          <w:w w:val="101"/>
        </w:rPr>
        <w:t>事</w:t>
      </w:r>
      <w:r>
        <w:rPr>
          <w:w w:val="101"/>
        </w:rPr>
        <w:t>会</w:t>
      </w:r>
      <w:r>
        <w:rPr>
          <w:spacing w:val="-5"/>
          <w:w w:val="101"/>
        </w:rPr>
        <w:t>第</w:t>
      </w:r>
      <w:r>
        <w:rPr>
          <w:w w:val="101"/>
        </w:rPr>
        <w:t>十</w:t>
      </w:r>
      <w:r>
        <w:rPr>
          <w:spacing w:val="-5"/>
          <w:w w:val="101"/>
        </w:rPr>
        <w:t>六</w:t>
      </w:r>
      <w:r>
        <w:rPr>
          <w:w w:val="101"/>
        </w:rPr>
        <w:t>次</w:t>
      </w:r>
      <w:r>
        <w:rPr>
          <w:spacing w:val="-5"/>
          <w:w w:val="101"/>
        </w:rPr>
        <w:t>会</w:t>
      </w:r>
      <w:r>
        <w:rPr>
          <w:w w:val="101"/>
        </w:rPr>
        <w:t>议及</w:t>
      </w:r>
      <w:r>
        <w:rPr>
          <w:spacing w:val="-52"/>
        </w:rPr>
        <w:t> </w:t>
      </w:r>
      <w:r>
        <w:rPr>
          <w:rFonts w:ascii="Times New Roman" w:hAnsi="Times New Roman" w:cs="Times New Roman" w:eastAsia="Times New Roman" w:hint="default"/>
          <w:w w:val="101"/>
        </w:rPr>
        <w:t>2</w:t>
      </w:r>
      <w:r>
        <w:rPr>
          <w:rFonts w:ascii="Times New Roman" w:hAnsi="Times New Roman" w:cs="Times New Roman" w:eastAsia="Times New Roman" w:hint="default"/>
          <w:spacing w:val="-5"/>
          <w:w w:val="101"/>
        </w:rPr>
        <w:t>0</w:t>
      </w:r>
      <w:r>
        <w:rPr>
          <w:rFonts w:ascii="Times New Roman" w:hAnsi="Times New Roman" w:cs="Times New Roman" w:eastAsia="Times New Roman" w:hint="default"/>
          <w:w w:val="101"/>
        </w:rPr>
        <w:t>19</w:t>
      </w:r>
      <w:r>
        <w:rPr>
          <w:rFonts w:ascii="Times New Roman" w:hAnsi="Times New Roman" w:cs="Times New Roman" w:eastAsia="Times New Roman" w:hint="default"/>
          <w:spacing w:val="-7"/>
        </w:rPr>
        <w:t> </w:t>
      </w:r>
      <w:r>
        <w:rPr>
          <w:w w:val="101"/>
        </w:rPr>
        <w:t>年</w:t>
      </w:r>
      <w:r>
        <w:rPr>
          <w:spacing w:val="-52"/>
        </w:rPr>
        <w:t> </w:t>
      </w:r>
      <w:r>
        <w:rPr>
          <w:rFonts w:ascii="Times New Roman" w:hAnsi="Times New Roman" w:cs="Times New Roman" w:eastAsia="Times New Roman" w:hint="default"/>
          <w:w w:val="101"/>
        </w:rPr>
        <w:t>5</w:t>
      </w:r>
      <w:r>
        <w:rPr>
          <w:rFonts w:ascii="Times New Roman" w:hAnsi="Times New Roman" w:cs="Times New Roman" w:eastAsia="Times New Roman" w:hint="default"/>
          <w:spacing w:val="-7"/>
        </w:rPr>
        <w:t> </w:t>
      </w:r>
      <w:r>
        <w:rPr>
          <w:w w:val="101"/>
        </w:rPr>
        <w:t>月</w:t>
      </w:r>
      <w:r>
        <w:rPr>
          <w:spacing w:val="-52"/>
        </w:rPr>
        <w:t> </w:t>
      </w:r>
      <w:r>
        <w:rPr>
          <w:rFonts w:ascii="Times New Roman" w:hAnsi="Times New Roman" w:cs="Times New Roman" w:eastAsia="Times New Roman" w:hint="default"/>
          <w:w w:val="101"/>
        </w:rPr>
        <w:t>15</w:t>
      </w:r>
      <w:r>
        <w:rPr>
          <w:rFonts w:ascii="Times New Roman" w:hAnsi="Times New Roman" w:cs="Times New Roman" w:eastAsia="Times New Roman" w:hint="default"/>
          <w:spacing w:val="-7"/>
        </w:rPr>
        <w:t> </w:t>
      </w:r>
      <w:r>
        <w:rPr>
          <w:w w:val="101"/>
        </w:rPr>
        <w:t>日</w:t>
      </w:r>
      <w:r>
        <w:rPr>
          <w:spacing w:val="-52"/>
        </w:rPr>
        <w:t> </w:t>
      </w:r>
      <w:r>
        <w:rPr>
          <w:rFonts w:ascii="Times New Roman" w:hAnsi="Times New Roman" w:cs="Times New Roman" w:eastAsia="Times New Roman" w:hint="default"/>
          <w:spacing w:val="-5"/>
          <w:w w:val="101"/>
        </w:rPr>
        <w:t>2</w:t>
      </w:r>
      <w:r>
        <w:rPr>
          <w:rFonts w:ascii="Times New Roman" w:hAnsi="Times New Roman" w:cs="Times New Roman" w:eastAsia="Times New Roman" w:hint="default"/>
          <w:w w:val="101"/>
        </w:rPr>
        <w:t>018</w:t>
      </w:r>
      <w:r>
        <w:rPr>
          <w:rFonts w:ascii="Times New Roman" w:hAnsi="Times New Roman" w:cs="Times New Roman" w:eastAsia="Times New Roman" w:hint="default"/>
          <w:spacing w:val="-7"/>
        </w:rPr>
        <w:t> </w:t>
      </w:r>
      <w:r>
        <w:rPr>
          <w:spacing w:val="-5"/>
          <w:w w:val="101"/>
        </w:rPr>
        <w:t>年</w:t>
      </w:r>
      <w:r>
        <w:rPr>
          <w:w w:val="101"/>
        </w:rPr>
        <w:t>度</w:t>
      </w:r>
      <w:r>
        <w:rPr>
          <w:spacing w:val="-5"/>
          <w:w w:val="101"/>
        </w:rPr>
        <w:t>股</w:t>
      </w:r>
      <w:r>
        <w:rPr>
          <w:w w:val="101"/>
        </w:rPr>
        <w:t>东</w:t>
      </w:r>
      <w:r>
        <w:rPr>
          <w:spacing w:val="-5"/>
          <w:w w:val="101"/>
        </w:rPr>
        <w:t>大</w:t>
      </w:r>
      <w:r>
        <w:rPr>
          <w:w w:val="101"/>
        </w:rPr>
        <w:t>会</w:t>
      </w:r>
      <w:r>
        <w:rPr>
          <w:spacing w:val="-5"/>
          <w:w w:val="101"/>
        </w:rPr>
        <w:t>审</w:t>
      </w:r>
      <w:r>
        <w:rPr>
          <w:w w:val="101"/>
        </w:rPr>
        <w:t>议</w:t>
      </w:r>
      <w:r>
        <w:rPr>
          <w:spacing w:val="-5"/>
          <w:w w:val="101"/>
        </w:rPr>
        <w:t>通</w:t>
      </w:r>
      <w:r>
        <w:rPr>
          <w:w w:val="101"/>
        </w:rPr>
        <w:t>过</w:t>
      </w:r>
      <w:r>
        <w:rPr>
          <w:spacing w:val="-92"/>
          <w:w w:val="101"/>
        </w:rPr>
        <w:t>，</w:t>
      </w:r>
      <w:r>
        <w:rPr>
          <w:w w:val="101"/>
        </w:rPr>
        <w:t>以</w:t>
      </w:r>
      <w:r>
        <w:rPr>
          <w:spacing w:val="-52"/>
        </w:rPr>
        <w:t> </w:t>
      </w:r>
      <w:r>
        <w:rPr>
          <w:rFonts w:ascii="Times New Roman" w:hAnsi="Times New Roman" w:cs="Times New Roman" w:eastAsia="Times New Roman" w:hint="default"/>
          <w:w w:val="101"/>
        </w:rPr>
        <w:t>2</w:t>
      </w:r>
      <w:r>
        <w:rPr>
          <w:rFonts w:ascii="Times New Roman" w:hAnsi="Times New Roman" w:cs="Times New Roman" w:eastAsia="Times New Roman" w:hint="default"/>
          <w:spacing w:val="-5"/>
          <w:w w:val="101"/>
        </w:rPr>
        <w:t>0</w:t>
      </w:r>
      <w:r>
        <w:rPr>
          <w:rFonts w:ascii="Times New Roman" w:hAnsi="Times New Roman" w:cs="Times New Roman" w:eastAsia="Times New Roman" w:hint="default"/>
          <w:w w:val="101"/>
        </w:rPr>
        <w:t>18</w:t>
      </w:r>
      <w:r>
        <w:rPr>
          <w:rFonts w:ascii="Times New Roman" w:hAnsi="Times New Roman" w:cs="Times New Roman" w:eastAsia="Times New Roman" w:hint="default"/>
          <w:spacing w:val="-7"/>
        </w:rPr>
        <w:t> </w:t>
      </w:r>
      <w:r>
        <w:rPr>
          <w:w w:val="101"/>
        </w:rPr>
        <w:t>年</w:t>
      </w:r>
      <w:r>
        <w:rPr>
          <w:spacing w:val="-52"/>
        </w:rPr>
        <w:t> </w:t>
      </w:r>
      <w:r>
        <w:rPr>
          <w:rFonts w:ascii="Times New Roman" w:hAnsi="Times New Roman" w:cs="Times New Roman" w:eastAsia="Times New Roman" w:hint="default"/>
          <w:w w:val="101"/>
        </w:rPr>
        <w:t>12</w:t>
      </w:r>
      <w:r>
        <w:rPr>
          <w:rFonts w:ascii="Times New Roman" w:hAnsi="Times New Roman" w:cs="Times New Roman" w:eastAsia="Times New Roman" w:hint="default"/>
          <w:spacing w:val="-7"/>
        </w:rPr>
        <w:t> </w:t>
      </w:r>
      <w:r>
        <w:rPr>
          <w:w w:val="101"/>
        </w:rPr>
        <w:t>月</w:t>
      </w:r>
      <w:r>
        <w:rPr>
          <w:spacing w:val="-57"/>
        </w:rPr>
        <w:t> </w:t>
      </w:r>
      <w:r>
        <w:rPr>
          <w:rFonts w:ascii="Times New Roman" w:hAnsi="Times New Roman" w:cs="Times New Roman" w:eastAsia="Times New Roman" w:hint="default"/>
          <w:w w:val="101"/>
        </w:rPr>
        <w:t>31</w:t>
      </w:r>
      <w:r>
        <w:rPr>
          <w:rFonts w:ascii="Times New Roman" w:hAnsi="Times New Roman" w:cs="Times New Roman" w:eastAsia="Times New Roman" w:hint="default"/>
          <w:spacing w:val="-7"/>
        </w:rPr>
        <w:t> </w:t>
      </w:r>
      <w:r>
        <w:rPr>
          <w:w w:val="101"/>
        </w:rPr>
        <w:t>日</w:t>
      </w:r>
      <w:r>
        <w:rPr>
          <w:spacing w:val="-5"/>
          <w:w w:val="101"/>
        </w:rPr>
        <w:t>总</w:t>
      </w:r>
      <w:r>
        <w:rPr>
          <w:w w:val="101"/>
        </w:rPr>
        <w:t>股本</w:t>
      </w:r>
      <w:r>
        <w:rPr>
          <w:spacing w:val="-52"/>
        </w:rPr>
        <w:t> </w:t>
      </w:r>
      <w:r>
        <w:rPr>
          <w:rFonts w:ascii="Times New Roman" w:hAnsi="Times New Roman" w:cs="Times New Roman" w:eastAsia="Times New Roman" w:hint="default"/>
          <w:spacing w:val="-5"/>
          <w:w w:val="101"/>
        </w:rPr>
        <w:t>7</w:t>
      </w:r>
      <w:r>
        <w:rPr>
          <w:rFonts w:ascii="Times New Roman" w:hAnsi="Times New Roman" w:cs="Times New Roman" w:eastAsia="Times New Roman" w:hint="default"/>
          <w:w w:val="101"/>
        </w:rPr>
        <w:t>0</w:t>
      </w:r>
      <w:r>
        <w:rPr>
          <w:rFonts w:ascii="Times New Roman" w:hAnsi="Times New Roman" w:cs="Times New Roman" w:eastAsia="Times New Roman" w:hint="default"/>
          <w:spacing w:val="-5"/>
          <w:w w:val="101"/>
        </w:rPr>
        <w:t>6</w:t>
      </w:r>
      <w:r>
        <w:rPr>
          <w:rFonts w:ascii="Times New Roman" w:hAnsi="Times New Roman" w:cs="Times New Roman" w:eastAsia="Times New Roman" w:hint="default"/>
          <w:spacing w:val="2"/>
          <w:w w:val="101"/>
        </w:rPr>
        <w:t>,</w:t>
      </w:r>
      <w:r>
        <w:rPr>
          <w:rFonts w:ascii="Times New Roman" w:hAnsi="Times New Roman" w:cs="Times New Roman" w:eastAsia="Times New Roman" w:hint="default"/>
          <w:w w:val="101"/>
        </w:rPr>
        <w:t>64</w:t>
      </w:r>
      <w:r>
        <w:rPr>
          <w:rFonts w:ascii="Times New Roman" w:hAnsi="Times New Roman" w:cs="Times New Roman" w:eastAsia="Times New Roman" w:hint="default"/>
          <w:spacing w:val="-5"/>
          <w:w w:val="101"/>
        </w:rPr>
        <w:t>0</w:t>
      </w:r>
      <w:r>
        <w:rPr>
          <w:rFonts w:ascii="Times New Roman" w:hAnsi="Times New Roman" w:cs="Times New Roman" w:eastAsia="Times New Roman" w:hint="default"/>
          <w:spacing w:val="2"/>
          <w:w w:val="101"/>
        </w:rPr>
        <w:t>,</w:t>
      </w:r>
      <w:r>
        <w:rPr>
          <w:rFonts w:ascii="Times New Roman" w:hAnsi="Times New Roman" w:cs="Times New Roman" w:eastAsia="Times New Roman" w:hint="default"/>
          <w:w w:val="101"/>
        </w:rPr>
        <w:t>535</w:t>
      </w:r>
      <w:r>
        <w:rPr>
          <w:rFonts w:ascii="Times New Roman" w:hAnsi="Times New Roman" w:cs="Times New Roman" w:eastAsia="Times New Roman" w:hint="default"/>
          <w:spacing w:val="-11"/>
        </w:rPr>
        <w:t> </w:t>
      </w:r>
      <w:r>
        <w:rPr>
          <w:w w:val="101"/>
        </w:rPr>
        <w:t>股</w:t>
      </w:r>
      <w:r>
        <w:rPr>
          <w:spacing w:val="-5"/>
          <w:w w:val="101"/>
        </w:rPr>
        <w:t>为</w:t>
      </w:r>
      <w:r>
        <w:rPr>
          <w:w w:val="101"/>
        </w:rPr>
        <w:t>基</w:t>
      </w:r>
      <w:r>
        <w:rPr>
          <w:spacing w:val="-5"/>
          <w:w w:val="101"/>
        </w:rPr>
        <w:t>数</w:t>
      </w:r>
      <w:r>
        <w:rPr>
          <w:w w:val="101"/>
        </w:rPr>
        <w:t>，</w:t>
      </w:r>
      <w:r>
        <w:rPr/>
      </w:r>
    </w:p>
    <w:p>
      <w:pPr>
        <w:spacing w:line="240" w:lineRule="auto" w:before="7"/>
        <w:rPr>
          <w:rFonts w:ascii="宋体" w:hAnsi="宋体" w:cs="宋体" w:eastAsia="宋体" w:hint="default"/>
          <w:sz w:val="16"/>
          <w:szCs w:val="16"/>
        </w:rPr>
      </w:pPr>
    </w:p>
    <w:p>
      <w:pPr>
        <w:pStyle w:val="BodyText"/>
        <w:spacing w:line="240" w:lineRule="auto"/>
        <w:ind w:right="0"/>
        <w:jc w:val="left"/>
        <w:rPr>
          <w:rFonts w:ascii="Times New Roman" w:hAnsi="Times New Roman" w:cs="Times New Roman" w:eastAsia="Times New Roman" w:hint="default"/>
        </w:rPr>
      </w:pPr>
      <w:r>
        <w:rPr>
          <w:w w:val="101"/>
        </w:rPr>
        <w:t>向</w:t>
      </w:r>
      <w:r>
        <w:rPr>
          <w:spacing w:val="-5"/>
          <w:w w:val="101"/>
        </w:rPr>
        <w:t>全</w:t>
      </w:r>
      <w:r>
        <w:rPr>
          <w:w w:val="101"/>
        </w:rPr>
        <w:t>体</w:t>
      </w:r>
      <w:r>
        <w:rPr>
          <w:spacing w:val="-5"/>
          <w:w w:val="101"/>
        </w:rPr>
        <w:t>股</w:t>
      </w:r>
      <w:r>
        <w:rPr>
          <w:w w:val="101"/>
        </w:rPr>
        <w:t>东每</w:t>
      </w:r>
      <w:r>
        <w:rPr>
          <w:spacing w:val="-47"/>
        </w:rPr>
        <w:t> </w:t>
      </w:r>
      <w:r>
        <w:rPr>
          <w:rFonts w:ascii="Times New Roman" w:hAnsi="Times New Roman" w:cs="Times New Roman" w:eastAsia="Times New Roman" w:hint="default"/>
          <w:w w:val="101"/>
        </w:rPr>
        <w:t>10</w:t>
      </w:r>
      <w:r>
        <w:rPr>
          <w:rFonts w:ascii="Times New Roman" w:hAnsi="Times New Roman" w:cs="Times New Roman" w:eastAsia="Times New Roman" w:hint="default"/>
          <w:spacing w:val="-2"/>
        </w:rPr>
        <w:t> </w:t>
      </w:r>
      <w:r>
        <w:rPr>
          <w:w w:val="101"/>
        </w:rPr>
        <w:t>股派</w:t>
      </w:r>
      <w:r>
        <w:rPr>
          <w:spacing w:val="-52"/>
        </w:rPr>
        <w:t> </w:t>
      </w:r>
      <w:r>
        <w:rPr>
          <w:rFonts w:ascii="Times New Roman" w:hAnsi="Times New Roman" w:cs="Times New Roman" w:eastAsia="Times New Roman" w:hint="default"/>
          <w:w w:val="101"/>
        </w:rPr>
        <w:t>0</w:t>
      </w:r>
      <w:r>
        <w:rPr>
          <w:rFonts w:ascii="Times New Roman" w:hAnsi="Times New Roman" w:cs="Times New Roman" w:eastAsia="Times New Roman" w:hint="default"/>
          <w:spacing w:val="2"/>
          <w:w w:val="101"/>
        </w:rPr>
        <w:t>.</w:t>
      </w:r>
      <w:r>
        <w:rPr>
          <w:rFonts w:ascii="Times New Roman" w:hAnsi="Times New Roman" w:cs="Times New Roman" w:eastAsia="Times New Roman" w:hint="default"/>
          <w:w w:val="101"/>
        </w:rPr>
        <w:t>2</w:t>
      </w:r>
      <w:r>
        <w:rPr>
          <w:rFonts w:ascii="Times New Roman" w:hAnsi="Times New Roman" w:cs="Times New Roman" w:eastAsia="Times New Roman" w:hint="default"/>
          <w:spacing w:val="-6"/>
        </w:rPr>
        <w:t> </w:t>
      </w:r>
      <w:r>
        <w:rPr>
          <w:w w:val="101"/>
        </w:rPr>
        <w:t>元</w:t>
      </w:r>
      <w:r>
        <w:rPr>
          <w:spacing w:val="-5"/>
          <w:w w:val="101"/>
        </w:rPr>
        <w:t>人</w:t>
      </w:r>
      <w:r>
        <w:rPr>
          <w:w w:val="101"/>
        </w:rPr>
        <w:t>民</w:t>
      </w:r>
      <w:r>
        <w:rPr>
          <w:spacing w:val="-5"/>
          <w:w w:val="101"/>
        </w:rPr>
        <w:t>币</w:t>
      </w:r>
      <w:r>
        <w:rPr>
          <w:w w:val="101"/>
        </w:rPr>
        <w:t>现</w:t>
      </w:r>
      <w:r>
        <w:rPr>
          <w:spacing w:val="-68"/>
          <w:w w:val="101"/>
        </w:rPr>
        <w:t>金</w:t>
      </w:r>
      <w:r>
        <w:rPr>
          <w:spacing w:val="-5"/>
          <w:w w:val="101"/>
        </w:rPr>
        <w:t>（</w:t>
      </w:r>
      <w:r>
        <w:rPr>
          <w:w w:val="101"/>
        </w:rPr>
        <w:t>含</w:t>
      </w:r>
      <w:r>
        <w:rPr>
          <w:spacing w:val="-5"/>
          <w:w w:val="101"/>
        </w:rPr>
        <w:t>税</w:t>
      </w:r>
      <w:r>
        <w:rPr>
          <w:spacing w:val="-92"/>
          <w:w w:val="101"/>
        </w:rPr>
        <w:t>）</w:t>
      </w:r>
      <w:r>
        <w:rPr>
          <w:spacing w:val="-68"/>
          <w:w w:val="101"/>
        </w:rPr>
        <w:t>，</w:t>
      </w:r>
      <w:r>
        <w:rPr>
          <w:spacing w:val="-5"/>
          <w:w w:val="101"/>
        </w:rPr>
        <w:t>合</w:t>
      </w:r>
      <w:r>
        <w:rPr>
          <w:w w:val="101"/>
        </w:rPr>
        <w:t>计</w:t>
      </w:r>
      <w:r>
        <w:rPr>
          <w:spacing w:val="-5"/>
          <w:w w:val="101"/>
        </w:rPr>
        <w:t>派</w:t>
      </w:r>
      <w:r>
        <w:rPr>
          <w:w w:val="101"/>
        </w:rPr>
        <w:t>发</w:t>
      </w:r>
      <w:r>
        <w:rPr>
          <w:spacing w:val="-5"/>
          <w:w w:val="101"/>
        </w:rPr>
        <w:t>现金</w:t>
      </w:r>
      <w:r>
        <w:rPr>
          <w:w w:val="101"/>
        </w:rPr>
        <w:t>股利</w:t>
      </w:r>
      <w:r>
        <w:rPr>
          <w:spacing w:val="-47"/>
        </w:rPr>
        <w:t> </w:t>
      </w:r>
      <w:r>
        <w:rPr>
          <w:rFonts w:ascii="Times New Roman" w:hAnsi="Times New Roman" w:cs="Times New Roman" w:eastAsia="Times New Roman" w:hint="default"/>
          <w:w w:val="101"/>
        </w:rPr>
        <w:t>1</w:t>
      </w:r>
      <w:r>
        <w:rPr>
          <w:rFonts w:ascii="Times New Roman" w:hAnsi="Times New Roman" w:cs="Times New Roman" w:eastAsia="Times New Roman" w:hint="default"/>
          <w:spacing w:val="-5"/>
          <w:w w:val="101"/>
        </w:rPr>
        <w:t>4</w:t>
      </w:r>
      <w:r>
        <w:rPr>
          <w:rFonts w:ascii="Times New Roman" w:hAnsi="Times New Roman" w:cs="Times New Roman" w:eastAsia="Times New Roman" w:hint="default"/>
          <w:spacing w:val="2"/>
          <w:w w:val="101"/>
        </w:rPr>
        <w:t>,</w:t>
      </w:r>
      <w:r>
        <w:rPr>
          <w:rFonts w:ascii="Times New Roman" w:hAnsi="Times New Roman" w:cs="Times New Roman" w:eastAsia="Times New Roman" w:hint="default"/>
          <w:w w:val="101"/>
        </w:rPr>
        <w:t>1</w:t>
      </w:r>
      <w:r>
        <w:rPr>
          <w:rFonts w:ascii="Times New Roman" w:hAnsi="Times New Roman" w:cs="Times New Roman" w:eastAsia="Times New Roman" w:hint="default"/>
          <w:spacing w:val="-5"/>
          <w:w w:val="101"/>
        </w:rPr>
        <w:t>3</w:t>
      </w:r>
      <w:r>
        <w:rPr>
          <w:rFonts w:ascii="Times New Roman" w:hAnsi="Times New Roman" w:cs="Times New Roman" w:eastAsia="Times New Roman" w:hint="default"/>
          <w:w w:val="101"/>
        </w:rPr>
        <w:t>2</w:t>
      </w:r>
      <w:r>
        <w:rPr>
          <w:rFonts w:ascii="Times New Roman" w:hAnsi="Times New Roman" w:cs="Times New Roman" w:eastAsia="Times New Roman" w:hint="default"/>
          <w:spacing w:val="2"/>
          <w:w w:val="101"/>
        </w:rPr>
        <w:t>,</w:t>
      </w:r>
      <w:r>
        <w:rPr>
          <w:rFonts w:ascii="Times New Roman" w:hAnsi="Times New Roman" w:cs="Times New Roman" w:eastAsia="Times New Roman" w:hint="default"/>
          <w:spacing w:val="-5"/>
          <w:w w:val="101"/>
        </w:rPr>
        <w:t>8</w:t>
      </w:r>
      <w:r>
        <w:rPr>
          <w:rFonts w:ascii="Times New Roman" w:hAnsi="Times New Roman" w:cs="Times New Roman" w:eastAsia="Times New Roman" w:hint="default"/>
          <w:w w:val="101"/>
        </w:rPr>
        <w:t>1</w:t>
      </w:r>
      <w:r>
        <w:rPr>
          <w:rFonts w:ascii="Times New Roman" w:hAnsi="Times New Roman" w:cs="Times New Roman" w:eastAsia="Times New Roman" w:hint="default"/>
          <w:spacing w:val="-5"/>
          <w:w w:val="101"/>
        </w:rPr>
        <w:t>0</w:t>
      </w:r>
      <w:r>
        <w:rPr>
          <w:rFonts w:ascii="Times New Roman" w:hAnsi="Times New Roman" w:cs="Times New Roman" w:eastAsia="Times New Roman" w:hint="default"/>
          <w:spacing w:val="2"/>
          <w:w w:val="101"/>
        </w:rPr>
        <w:t>.</w:t>
      </w:r>
      <w:r>
        <w:rPr>
          <w:rFonts w:ascii="Times New Roman" w:hAnsi="Times New Roman" w:cs="Times New Roman" w:eastAsia="Times New Roman" w:hint="default"/>
          <w:w w:val="101"/>
        </w:rPr>
        <w:t>70</w:t>
      </w:r>
      <w:r>
        <w:rPr>
          <w:rFonts w:ascii="Times New Roman" w:hAnsi="Times New Roman" w:cs="Times New Roman" w:eastAsia="Times New Roman" w:hint="default"/>
          <w:spacing w:val="-1"/>
        </w:rPr>
        <w:t> </w:t>
      </w:r>
      <w:r>
        <w:rPr>
          <w:spacing w:val="-68"/>
          <w:w w:val="101"/>
        </w:rPr>
        <w:t>元</w:t>
      </w:r>
      <w:r>
        <w:rPr>
          <w:spacing w:val="-5"/>
          <w:w w:val="101"/>
        </w:rPr>
        <w:t>（</w:t>
      </w:r>
      <w:r>
        <w:rPr>
          <w:w w:val="101"/>
        </w:rPr>
        <w:t>含</w:t>
      </w:r>
      <w:r>
        <w:rPr>
          <w:spacing w:val="-5"/>
          <w:w w:val="101"/>
        </w:rPr>
        <w:t>税</w:t>
      </w:r>
      <w:r>
        <w:rPr>
          <w:spacing w:val="-92"/>
          <w:w w:val="101"/>
        </w:rPr>
        <w:t>）</w:t>
      </w:r>
      <w:r>
        <w:rPr>
          <w:spacing w:val="-68"/>
          <w:w w:val="101"/>
        </w:rPr>
        <w:t>，</w:t>
      </w:r>
      <w:r>
        <w:rPr>
          <w:spacing w:val="-5"/>
          <w:w w:val="101"/>
        </w:rPr>
        <w:t>剩</w:t>
      </w:r>
      <w:r>
        <w:rPr>
          <w:w w:val="101"/>
        </w:rPr>
        <w:t>余</w:t>
      </w:r>
      <w:r>
        <w:rPr>
          <w:spacing w:val="-5"/>
          <w:w w:val="101"/>
        </w:rPr>
        <w:t>未</w:t>
      </w:r>
      <w:r>
        <w:rPr>
          <w:w w:val="101"/>
        </w:rPr>
        <w:t>分</w:t>
      </w:r>
      <w:r>
        <w:rPr>
          <w:spacing w:val="-5"/>
          <w:w w:val="101"/>
        </w:rPr>
        <w:t>配</w:t>
      </w:r>
      <w:r>
        <w:rPr>
          <w:w w:val="101"/>
        </w:rPr>
        <w:t>利润</w:t>
      </w:r>
      <w:r>
        <w:rPr>
          <w:spacing w:val="-47"/>
        </w:rPr>
        <w:t> </w:t>
      </w:r>
      <w:r>
        <w:rPr>
          <w:rFonts w:ascii="Times New Roman" w:hAnsi="Times New Roman" w:cs="Times New Roman" w:eastAsia="Times New Roman" w:hint="default"/>
          <w:w w:val="101"/>
        </w:rPr>
        <w:t>1</w:t>
      </w:r>
      <w:r>
        <w:rPr>
          <w:rFonts w:ascii="Times New Roman" w:hAnsi="Times New Roman" w:cs="Times New Roman" w:eastAsia="Times New Roman" w:hint="default"/>
          <w:spacing w:val="-5"/>
          <w:w w:val="101"/>
        </w:rPr>
        <w:t>0</w:t>
      </w:r>
      <w:r>
        <w:rPr>
          <w:rFonts w:ascii="Times New Roman" w:hAnsi="Times New Roman" w:cs="Times New Roman" w:eastAsia="Times New Roman" w:hint="default"/>
          <w:w w:val="101"/>
        </w:rPr>
        <w:t>9</w:t>
      </w:r>
      <w:r>
        <w:rPr>
          <w:rFonts w:ascii="Times New Roman" w:hAnsi="Times New Roman" w:cs="Times New Roman" w:eastAsia="Times New Roman" w:hint="default"/>
          <w:spacing w:val="-3"/>
          <w:w w:val="101"/>
        </w:rPr>
        <w:t>,</w:t>
      </w:r>
      <w:r>
        <w:rPr>
          <w:rFonts w:ascii="Times New Roman" w:hAnsi="Times New Roman" w:cs="Times New Roman" w:eastAsia="Times New Roman" w:hint="default"/>
          <w:w w:val="101"/>
        </w:rPr>
        <w:t>09</w:t>
      </w:r>
      <w:r>
        <w:rPr>
          <w:rFonts w:ascii="Times New Roman" w:hAnsi="Times New Roman" w:cs="Times New Roman" w:eastAsia="Times New Roman" w:hint="default"/>
          <w:spacing w:val="-5"/>
          <w:w w:val="101"/>
        </w:rPr>
        <w:t>6</w:t>
      </w:r>
      <w:r>
        <w:rPr>
          <w:rFonts w:ascii="Times New Roman" w:hAnsi="Times New Roman" w:cs="Times New Roman" w:eastAsia="Times New Roman" w:hint="default"/>
          <w:spacing w:val="2"/>
          <w:w w:val="101"/>
        </w:rPr>
        <w:t>,</w:t>
      </w:r>
      <w:r>
        <w:rPr>
          <w:rFonts w:ascii="Times New Roman" w:hAnsi="Times New Roman" w:cs="Times New Roman" w:eastAsia="Times New Roman" w:hint="default"/>
          <w:w w:val="101"/>
        </w:rPr>
        <w:t>87</w:t>
      </w:r>
      <w:r>
        <w:rPr>
          <w:rFonts w:ascii="Times New Roman" w:hAnsi="Times New Roman" w:cs="Times New Roman" w:eastAsia="Times New Roman" w:hint="default"/>
          <w:spacing w:val="-5"/>
          <w:w w:val="101"/>
        </w:rPr>
        <w:t>6</w:t>
      </w:r>
      <w:r>
        <w:rPr>
          <w:rFonts w:ascii="Times New Roman" w:hAnsi="Times New Roman" w:cs="Times New Roman" w:eastAsia="Times New Roman" w:hint="default"/>
          <w:spacing w:val="2"/>
          <w:w w:val="101"/>
        </w:rPr>
        <w:t>.</w:t>
      </w:r>
      <w:r>
        <w:rPr>
          <w:rFonts w:ascii="Times New Roman" w:hAnsi="Times New Roman" w:cs="Times New Roman" w:eastAsia="Times New Roman" w:hint="default"/>
          <w:spacing w:val="-5"/>
          <w:w w:val="101"/>
        </w:rPr>
        <w:t>4</w:t>
      </w:r>
      <w:r>
        <w:rPr>
          <w:rFonts w:ascii="Times New Roman" w:hAnsi="Times New Roman" w:cs="Times New Roman" w:eastAsia="Times New Roman" w:hint="default"/>
          <w:w w:val="101"/>
        </w:rPr>
        <w:t>7</w:t>
      </w:r>
      <w:r>
        <w:rPr>
          <w:rFonts w:ascii="Times New Roman" w:hAnsi="Times New Roman" w:cs="Times New Roman" w:eastAsia="Times New Roman" w:hint="default"/>
        </w:rPr>
      </w:r>
    </w:p>
    <w:p>
      <w:pPr>
        <w:spacing w:line="240" w:lineRule="auto" w:before="3"/>
        <w:rPr>
          <w:rFonts w:ascii="Times New Roman" w:hAnsi="Times New Roman" w:cs="Times New Roman" w:eastAsia="Times New Roman" w:hint="default"/>
          <w:sz w:val="19"/>
          <w:szCs w:val="19"/>
        </w:rPr>
      </w:pPr>
    </w:p>
    <w:p>
      <w:pPr>
        <w:pStyle w:val="BodyText"/>
        <w:spacing w:line="240" w:lineRule="auto"/>
        <w:ind w:right="0"/>
        <w:jc w:val="left"/>
      </w:pPr>
      <w:r>
        <w:rPr/>
        <w:t>元结转以后年度。根据</w:t>
      </w:r>
      <w:r>
        <w:rPr>
          <w:spacing w:val="-35"/>
        </w:rPr>
        <w:t> </w:t>
      </w:r>
      <w:r>
        <w:rPr>
          <w:rFonts w:ascii="Times New Roman" w:hAnsi="Times New Roman" w:cs="Times New Roman" w:eastAsia="Times New Roman" w:hint="default"/>
        </w:rPr>
        <w:t>2018</w:t>
      </w:r>
      <w:r>
        <w:rPr>
          <w:rFonts w:ascii="Times New Roman" w:hAnsi="Times New Roman" w:cs="Times New Roman" w:eastAsia="Times New Roman" w:hint="default"/>
          <w:spacing w:val="3"/>
        </w:rPr>
        <w:t> </w:t>
      </w:r>
      <w:r>
        <w:rPr>
          <w:spacing w:val="-3"/>
        </w:rPr>
        <w:t>年度股东大会决议，公司已于</w:t>
      </w:r>
      <w:r>
        <w:rPr>
          <w:spacing w:val="-35"/>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0"/>
        </w:rPr>
        <w:t> </w:t>
      </w:r>
      <w:r>
        <w:rPr/>
        <w:t>年</w:t>
      </w:r>
      <w:r>
        <w:rPr>
          <w:spacing w:val="-35"/>
        </w:rPr>
        <w:t> </w:t>
      </w:r>
      <w:r>
        <w:rPr>
          <w:rFonts w:ascii="Times New Roman" w:hAnsi="Times New Roman" w:cs="Times New Roman" w:eastAsia="Times New Roman" w:hint="default"/>
        </w:rPr>
        <w:t>6</w:t>
      </w:r>
      <w:r>
        <w:rPr>
          <w:rFonts w:ascii="Times New Roman" w:hAnsi="Times New Roman" w:cs="Times New Roman" w:eastAsia="Times New Roman" w:hint="default"/>
          <w:spacing w:val="10"/>
        </w:rPr>
        <w:t> </w:t>
      </w:r>
      <w:r>
        <w:rPr/>
        <w:t>月</w:t>
      </w:r>
      <w:r>
        <w:rPr>
          <w:spacing w:val="-35"/>
        </w:rPr>
        <w:t> </w:t>
      </w:r>
      <w:r>
        <w:rPr>
          <w:rFonts w:ascii="Times New Roman" w:hAnsi="Times New Roman" w:cs="Times New Roman" w:eastAsia="Times New Roman" w:hint="default"/>
        </w:rPr>
        <w:t>28</w:t>
      </w:r>
      <w:r>
        <w:rPr>
          <w:rFonts w:ascii="Times New Roman" w:hAnsi="Times New Roman" w:cs="Times New Roman" w:eastAsia="Times New Roman" w:hint="default"/>
          <w:spacing w:val="10"/>
        </w:rPr>
        <w:t> </w:t>
      </w:r>
      <w:r>
        <w:rPr>
          <w:spacing w:val="-3"/>
        </w:rPr>
        <w:t>日实施了上述利润分配方案。</w:t>
      </w:r>
    </w:p>
    <w:p>
      <w:pPr>
        <w:spacing w:line="240" w:lineRule="auto" w:before="7"/>
        <w:rPr>
          <w:rFonts w:ascii="宋体" w:hAnsi="宋体" w:cs="宋体" w:eastAsia="宋体" w:hint="default"/>
          <w:sz w:val="9"/>
          <w:szCs w:val="9"/>
        </w:rPr>
      </w:pPr>
    </w:p>
    <w:tbl>
      <w:tblPr>
        <w:tblW w:w="0" w:type="auto"/>
        <w:jc w:val="left"/>
        <w:tblInd w:w="160" w:type="dxa"/>
        <w:tblLayout w:type="fixed"/>
        <w:tblCellMar>
          <w:top w:w="0" w:type="dxa"/>
          <w:left w:w="0" w:type="dxa"/>
          <w:bottom w:w="0" w:type="dxa"/>
          <w:right w:w="0" w:type="dxa"/>
        </w:tblCellMar>
        <w:tblLook w:val="01E0"/>
      </w:tblPr>
      <w:tblGrid>
        <w:gridCol w:w="4764"/>
        <w:gridCol w:w="4794"/>
      </w:tblGrid>
      <w:tr>
        <w:trPr>
          <w:trHeight w:val="398" w:hRule="exact"/>
        </w:trPr>
        <w:tc>
          <w:tcPr>
            <w:tcW w:w="955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 w:right="0"/>
              <w:jc w:val="center"/>
              <w:rPr>
                <w:rFonts w:ascii="宋体" w:hAnsi="宋体" w:cs="宋体" w:eastAsia="宋体" w:hint="default"/>
                <w:sz w:val="18"/>
                <w:szCs w:val="18"/>
              </w:rPr>
            </w:pPr>
            <w:r>
              <w:rPr>
                <w:rFonts w:ascii="宋体" w:hAnsi="宋体" w:cs="宋体" w:eastAsia="宋体" w:hint="default"/>
                <w:spacing w:val="-3"/>
                <w:sz w:val="18"/>
                <w:szCs w:val="18"/>
              </w:rPr>
              <w:t>现金分红政策的专项说明</w:t>
            </w:r>
          </w:p>
        </w:tc>
      </w:tr>
      <w:tr>
        <w:trPr>
          <w:trHeight w:val="408"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1" w:right="0"/>
              <w:jc w:val="left"/>
              <w:rPr>
                <w:rFonts w:ascii="宋体" w:hAnsi="宋体" w:cs="宋体" w:eastAsia="宋体" w:hint="default"/>
                <w:sz w:val="18"/>
                <w:szCs w:val="18"/>
              </w:rPr>
            </w:pPr>
            <w:r>
              <w:rPr>
                <w:rFonts w:ascii="宋体" w:hAnsi="宋体" w:cs="宋体" w:eastAsia="宋体" w:hint="default"/>
                <w:spacing w:val="-3"/>
                <w:sz w:val="18"/>
                <w:szCs w:val="18"/>
              </w:rPr>
              <w:t>是否符合公司章程的规定或股东大会决议的要求：</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8"/>
              <w:ind w:left="28"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401"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分红标准和比例是否明确和清晰：</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3"/>
              <w:ind w:left="28"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401"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1" w:right="0"/>
              <w:jc w:val="left"/>
              <w:rPr>
                <w:rFonts w:ascii="宋体" w:hAnsi="宋体" w:cs="宋体" w:eastAsia="宋体" w:hint="default"/>
                <w:sz w:val="18"/>
                <w:szCs w:val="18"/>
              </w:rPr>
            </w:pPr>
            <w:r>
              <w:rPr>
                <w:rFonts w:ascii="宋体" w:hAnsi="宋体" w:cs="宋体" w:eastAsia="宋体" w:hint="default"/>
                <w:spacing w:val="-3"/>
                <w:sz w:val="18"/>
                <w:szCs w:val="18"/>
              </w:rPr>
              <w:t>相关的决策程序和机制是否完备：</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6"/>
              <w:ind w:left="28"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403"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独立董事是否履职尽责并发挥了应有的作用：</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3"/>
              <w:ind w:left="28"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715"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 w:right="54"/>
              <w:jc w:val="left"/>
              <w:rPr>
                <w:rFonts w:ascii="宋体" w:hAnsi="宋体" w:cs="宋体" w:eastAsia="宋体" w:hint="default"/>
                <w:sz w:val="18"/>
                <w:szCs w:val="18"/>
              </w:rPr>
            </w:pPr>
            <w:r>
              <w:rPr>
                <w:rFonts w:ascii="宋体" w:hAnsi="宋体" w:cs="宋体" w:eastAsia="宋体" w:hint="default"/>
                <w:spacing w:val="-3"/>
                <w:sz w:val="18"/>
                <w:szCs w:val="18"/>
              </w:rPr>
              <w:t>中小股东是否有充分表达意见和诉求的机会，其合法权益是</w:t>
            </w:r>
            <w:r>
              <w:rPr>
                <w:rFonts w:ascii="宋体" w:hAnsi="宋体" w:cs="宋体" w:eastAsia="宋体" w:hint="default"/>
                <w:spacing w:val="-10"/>
                <w:sz w:val="18"/>
                <w:szCs w:val="18"/>
              </w:rPr>
              <w:t> </w:t>
            </w:r>
            <w:r>
              <w:rPr>
                <w:rFonts w:ascii="宋体" w:hAnsi="宋体" w:cs="宋体" w:eastAsia="宋体" w:hint="default"/>
                <w:spacing w:val="-10"/>
                <w:sz w:val="18"/>
                <w:szCs w:val="18"/>
              </w:rPr>
            </w:r>
            <w:r>
              <w:rPr>
                <w:rFonts w:ascii="宋体" w:hAnsi="宋体" w:cs="宋体" w:eastAsia="宋体" w:hint="default"/>
                <w:spacing w:val="-3"/>
                <w:sz w:val="18"/>
                <w:szCs w:val="18"/>
              </w:rPr>
              <w:t>否得到了充分保护：</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716"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11" w:right="54"/>
              <w:jc w:val="left"/>
              <w:rPr>
                <w:rFonts w:ascii="宋体" w:hAnsi="宋体" w:cs="宋体" w:eastAsia="宋体" w:hint="default"/>
                <w:sz w:val="18"/>
                <w:szCs w:val="18"/>
              </w:rPr>
            </w:pPr>
            <w:r>
              <w:rPr>
                <w:rFonts w:ascii="宋体" w:hAnsi="宋体" w:cs="宋体" w:eastAsia="宋体" w:hint="default"/>
                <w:spacing w:val="-3"/>
                <w:sz w:val="18"/>
                <w:szCs w:val="18"/>
              </w:rPr>
              <w:t>现金分红政策进行调整或变更的，条件及程序是否合规、透</w:t>
            </w:r>
            <w:r>
              <w:rPr>
                <w:rFonts w:ascii="宋体" w:hAnsi="宋体" w:cs="宋体" w:eastAsia="宋体" w:hint="default"/>
                <w:spacing w:val="-10"/>
                <w:sz w:val="18"/>
                <w:szCs w:val="18"/>
              </w:rPr>
              <w:t> </w:t>
            </w:r>
            <w:r>
              <w:rPr>
                <w:rFonts w:ascii="宋体" w:hAnsi="宋体" w:cs="宋体" w:eastAsia="宋体" w:hint="default"/>
                <w:spacing w:val="-10"/>
                <w:sz w:val="18"/>
                <w:szCs w:val="18"/>
              </w:rPr>
            </w:r>
            <w:r>
              <w:rPr>
                <w:rFonts w:ascii="宋体" w:hAnsi="宋体" w:cs="宋体" w:eastAsia="宋体" w:hint="default"/>
                <w:sz w:val="18"/>
                <w:szCs w:val="18"/>
              </w:rPr>
              <w:t>明：</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bl>
    <w:p>
      <w:pPr>
        <w:pStyle w:val="BodyText"/>
        <w:spacing w:line="240" w:lineRule="auto" w:before="53"/>
        <w:ind w:right="0"/>
        <w:jc w:val="left"/>
      </w:pPr>
      <w:r>
        <w:rPr>
          <w:spacing w:val="-3"/>
        </w:rPr>
        <w:t>公司报告期利润分配预案及资本公积金转增股本预案与公司章程和分红管理办法等的相关规定一致</w:t>
      </w:r>
    </w:p>
    <w:p>
      <w:pPr>
        <w:pStyle w:val="BodyText"/>
        <w:spacing w:line="415" w:lineRule="auto" w:before="115"/>
        <w:ind w:left="513" w:right="3848" w:hanging="360"/>
        <w:jc w:val="left"/>
      </w:pP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是</w:t>
      </w:r>
      <w:r>
        <w:rPr>
          <w:spacing w:val="-4"/>
        </w:rPr>
        <w:t> </w:t>
      </w:r>
      <w:r>
        <w:rPr>
          <w:rFonts w:ascii="Times New Roman" w:hAnsi="Times New Roman" w:cs="Times New Roman" w:eastAsia="Times New Roman" w:hint="default"/>
        </w:rPr>
        <w:t>□</w:t>
      </w:r>
      <w:r>
        <w:rPr>
          <w:rFonts w:ascii="Times New Roman" w:hAnsi="Times New Roman" w:cs="Times New Roman" w:eastAsia="Times New Roman" w:hint="default"/>
          <w:spacing w:val="41"/>
        </w:rPr>
        <w:t> </w:t>
      </w:r>
      <w:r>
        <w:rPr/>
        <w:t>否</w:t>
      </w:r>
      <w:r>
        <w:rPr>
          <w:spacing w:val="1"/>
        </w:rPr>
        <w:t> </w:t>
      </w:r>
      <w:r>
        <w:rPr>
          <w:rFonts w:ascii="Times New Roman" w:hAnsi="Times New Roman" w:cs="Times New Roman" w:eastAsia="Times New Roman" w:hint="default"/>
        </w:rPr>
        <w:t>□</w:t>
      </w:r>
      <w:r>
        <w:rPr>
          <w:rFonts w:ascii="Times New Roman" w:hAnsi="Times New Roman" w:cs="Times New Roman" w:eastAsia="Times New Roman" w:hint="default"/>
          <w:spacing w:val="41"/>
        </w:rPr>
        <w:t> </w:t>
      </w:r>
      <w:r>
        <w:rPr/>
        <w:t>不适用</w:t>
      </w:r>
      <w:r>
        <w:rPr>
          <w:spacing w:val="-80"/>
        </w:rPr>
        <w:t> </w:t>
      </w:r>
      <w:r>
        <w:rPr>
          <w:spacing w:val="-80"/>
        </w:rPr>
      </w:r>
      <w:r>
        <w:rPr>
          <w:spacing w:val="-3"/>
        </w:rPr>
        <w:t>公司报告期利润分配预案及资本公积金转增股本预案符合公司章程等的相关规定。</w:t>
      </w:r>
    </w:p>
    <w:p>
      <w:pPr>
        <w:pStyle w:val="BodyText"/>
        <w:spacing w:line="240" w:lineRule="auto" w:before="60"/>
        <w:ind w:right="0"/>
        <w:jc w:val="left"/>
      </w:pPr>
      <w:r>
        <w:rPr>
          <w:spacing w:val="-3"/>
        </w:rPr>
        <w:t>本年度利润分配及资本公积金转增股本情况</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9"/>
          <w:szCs w:val="29"/>
        </w:rPr>
      </w:pPr>
    </w:p>
    <w:p>
      <w:pPr>
        <w:spacing w:line="412" w:lineRule="exact"/>
        <w:ind w:left="3879"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291pt;height:20.65pt;mso-position-horizontal-relative:char;mso-position-vertical-relative:line" coordorigin="0,0" coordsize="5820,413">
            <v:group style="position:absolute;left:10;top:10;width:2;height:394" coordorigin="10,10" coordsize="2,394">
              <v:shape style="position:absolute;left:10;top:10;width:2;height:394" coordorigin="10,10" coordsize="0,394" path="m10,10l10,403e" filled="false" stroked="true" strokeweight=".96001pt" strokecolor="#ffffff">
                <v:path arrowok="t"/>
              </v:shape>
            </v:group>
            <v:group style="position:absolute;left:19;top:10;width:5801;height:394" coordorigin="19,10" coordsize="5801,394">
              <v:shape style="position:absolute;left:19;top:10;width:5801;height:394" coordorigin="19,10" coordsize="5801,394" path="m19,403l5820,403,5820,10,19,10,19,403xe" filled="true" fillcolor="#ffffff" stroked="false">
                <v:path arrowok="t"/>
                <v:fill type="solid"/>
              </v:shape>
            </v:group>
          </v:group>
        </w:pict>
      </w:r>
      <w:r>
        <w:rPr>
          <w:rFonts w:ascii="宋体" w:hAnsi="宋体" w:cs="宋体" w:eastAsia="宋体" w:hint="default"/>
          <w:position w:val="-7"/>
          <w:sz w:val="20"/>
          <w:szCs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9"/>
          <w:szCs w:val="29"/>
        </w:rPr>
      </w:pPr>
    </w:p>
    <w:p>
      <w:pPr>
        <w:pStyle w:val="BodyText"/>
        <w:spacing w:line="240" w:lineRule="auto" w:before="46"/>
        <w:ind w:left="0" w:right="1132"/>
        <w:jc w:val="right"/>
      </w:pPr>
      <w:r>
        <w:rPr/>
        <w:pict>
          <v:shape style="position:absolute;margin-left:57.023998pt;margin-top:-197.474319pt;width:478.65pt;height:215.1pt;mso-position-horizontal-relative:page;mso-position-vertical-relative:paragraph;z-index:121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695"/>
                    <w:gridCol w:w="5863"/>
                  </w:tblGrid>
                  <w:tr>
                    <w:trPr>
                      <w:trHeight w:val="401" w:hRule="exact"/>
                    </w:trPr>
                    <w:tc>
                      <w:tcPr>
                        <w:tcW w:w="3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分配预案的股本基数（股）</w:t>
                        </w:r>
                      </w:p>
                    </w:tc>
                    <w:tc>
                      <w:tcPr>
                        <w:tcW w:w="586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706,640,535</w:t>
                        </w:r>
                      </w:p>
                    </w:tc>
                  </w:tr>
                  <w:tr>
                    <w:trPr>
                      <w:trHeight w:val="401" w:hRule="exact"/>
                    </w:trPr>
                    <w:tc>
                      <w:tcPr>
                        <w:tcW w:w="3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1" w:right="0"/>
                          <w:jc w:val="left"/>
                          <w:rPr>
                            <w:rFonts w:ascii="宋体" w:hAnsi="宋体" w:cs="宋体" w:eastAsia="宋体" w:hint="default"/>
                            <w:sz w:val="18"/>
                            <w:szCs w:val="18"/>
                          </w:rPr>
                        </w:pPr>
                        <w:r>
                          <w:rPr>
                            <w:rFonts w:ascii="宋体" w:hAnsi="宋体" w:cs="宋体" w:eastAsia="宋体" w:hint="default"/>
                            <w:w w:val="101"/>
                            <w:sz w:val="18"/>
                            <w:szCs w:val="18"/>
                          </w:rPr>
                          <w:t>现</w:t>
                        </w:r>
                        <w:r>
                          <w:rPr>
                            <w:rFonts w:ascii="宋体" w:hAnsi="宋体" w:cs="宋体" w:eastAsia="宋体" w:hint="default"/>
                            <w:spacing w:val="-5"/>
                            <w:w w:val="101"/>
                            <w:sz w:val="18"/>
                            <w:szCs w:val="18"/>
                          </w:rPr>
                          <w:t>金</w:t>
                        </w:r>
                        <w:r>
                          <w:rPr>
                            <w:rFonts w:ascii="宋体" w:hAnsi="宋体" w:cs="宋体" w:eastAsia="宋体" w:hint="default"/>
                            <w:w w:val="101"/>
                            <w:sz w:val="18"/>
                            <w:szCs w:val="18"/>
                          </w:rPr>
                          <w:t>分</w:t>
                        </w:r>
                        <w:r>
                          <w:rPr>
                            <w:rFonts w:ascii="宋体" w:hAnsi="宋体" w:cs="宋体" w:eastAsia="宋体" w:hint="default"/>
                            <w:spacing w:val="-5"/>
                            <w:w w:val="101"/>
                            <w:sz w:val="18"/>
                            <w:szCs w:val="18"/>
                          </w:rPr>
                          <w:t>红</w:t>
                        </w:r>
                        <w:r>
                          <w:rPr>
                            <w:rFonts w:ascii="宋体" w:hAnsi="宋体" w:cs="宋体" w:eastAsia="宋体" w:hint="default"/>
                            <w:w w:val="101"/>
                            <w:sz w:val="18"/>
                            <w:szCs w:val="18"/>
                          </w:rPr>
                          <w:t>金</w:t>
                        </w:r>
                        <w:r>
                          <w:rPr>
                            <w:rFonts w:ascii="宋体" w:hAnsi="宋体" w:cs="宋体" w:eastAsia="宋体" w:hint="default"/>
                            <w:spacing w:val="-5"/>
                            <w:w w:val="101"/>
                            <w:sz w:val="18"/>
                            <w:szCs w:val="18"/>
                          </w:rPr>
                          <w:t>额</w:t>
                        </w:r>
                        <w:r>
                          <w:rPr>
                            <w:rFonts w:ascii="宋体" w:hAnsi="宋体" w:cs="宋体" w:eastAsia="宋体" w:hint="default"/>
                            <w:w w:val="101"/>
                            <w:sz w:val="18"/>
                            <w:szCs w:val="18"/>
                          </w:rPr>
                          <w:t>（元</w:t>
                        </w:r>
                        <w:r>
                          <w:rPr>
                            <w:rFonts w:ascii="宋体" w:hAnsi="宋体" w:cs="宋体" w:eastAsia="宋体" w:hint="default"/>
                            <w:spacing w:val="-96"/>
                            <w:w w:val="101"/>
                            <w:sz w:val="18"/>
                            <w:szCs w:val="18"/>
                          </w:rPr>
                          <w:t>）</w:t>
                        </w:r>
                        <w:r>
                          <w:rPr>
                            <w:rFonts w:ascii="宋体" w:hAnsi="宋体" w:cs="宋体" w:eastAsia="宋体" w:hint="default"/>
                            <w:w w:val="101"/>
                            <w:sz w:val="18"/>
                            <w:szCs w:val="18"/>
                          </w:rPr>
                          <w:t>（</w:t>
                        </w:r>
                        <w:r>
                          <w:rPr>
                            <w:rFonts w:ascii="宋体" w:hAnsi="宋体" w:cs="宋体" w:eastAsia="宋体" w:hint="default"/>
                            <w:spacing w:val="-5"/>
                            <w:w w:val="101"/>
                            <w:sz w:val="18"/>
                            <w:szCs w:val="18"/>
                          </w:rPr>
                          <w:t>含</w:t>
                        </w:r>
                        <w:r>
                          <w:rPr>
                            <w:rFonts w:ascii="宋体" w:hAnsi="宋体" w:cs="宋体" w:eastAsia="宋体" w:hint="default"/>
                            <w:w w:val="101"/>
                            <w:sz w:val="18"/>
                            <w:szCs w:val="18"/>
                          </w:rPr>
                          <w:t>税）</w:t>
                        </w:r>
                        <w:r>
                          <w:rPr>
                            <w:rFonts w:ascii="宋体" w:hAnsi="宋体" w:cs="宋体" w:eastAsia="宋体" w:hint="default"/>
                            <w:sz w:val="18"/>
                            <w:szCs w:val="18"/>
                          </w:rPr>
                        </w:r>
                      </w:p>
                    </w:tc>
                    <w:tc>
                      <w:tcPr>
                        <w:tcW w:w="586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8"/>
                          <w:ind w:right="17"/>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3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4"/>
                            <w:sz w:val="18"/>
                            <w:szCs w:val="18"/>
                          </w:rPr>
                          <w:t>以其他方式（如回购股份）现金分红金额（元</w:t>
                        </w:r>
                      </w:p>
                    </w:tc>
                    <w:tc>
                      <w:tcPr>
                        <w:tcW w:w="5863" w:type="dxa"/>
                        <w:tcBorders>
                          <w:top w:val="single" w:sz="4" w:space="0" w:color="000000"/>
                          <w:left w:val="single" w:sz="10" w:space="0" w:color="D2D2D2"/>
                          <w:bottom w:val="single" w:sz="4" w:space="0" w:color="000000"/>
                          <w:right w:val="single" w:sz="4" w:space="0" w:color="000000"/>
                        </w:tcBorders>
                      </w:tcPr>
                      <w:p>
                        <w:pPr>
                          <w:pStyle w:val="TableParagraph"/>
                          <w:tabs>
                            <w:tab w:pos="5504" w:val="left" w:leader="none"/>
                          </w:tabs>
                          <w:spacing w:line="240" w:lineRule="auto" w:before="53"/>
                          <w:ind w:left="-115" w:right="17"/>
                          <w:jc w:val="right"/>
                          <w:rPr>
                            <w:rFonts w:ascii="Times New Roman" w:hAnsi="Times New Roman" w:cs="Times New Roman" w:eastAsia="Times New Roman" w:hint="default"/>
                            <w:sz w:val="18"/>
                            <w:szCs w:val="18"/>
                          </w:rPr>
                        </w:pPr>
                        <w:r>
                          <w:rPr>
                            <w:rFonts w:ascii="宋体" w:hAnsi="宋体" w:cs="宋体" w:eastAsia="宋体" w:hint="default"/>
                            <w:sz w:val="18"/>
                            <w:szCs w:val="18"/>
                          </w:rPr>
                          <w:t>）</w:t>
                          <w:tab/>
                        </w:r>
                        <w:r>
                          <w:rPr>
                            <w:rFonts w:ascii="Times New Roman" w:hAnsi="Times New Roman" w:cs="Times New Roman" w:eastAsia="Times New Roman" w:hint="default"/>
                            <w:sz w:val="18"/>
                            <w:szCs w:val="18"/>
                          </w:rPr>
                          <w:t>0.00</w:t>
                        </w:r>
                      </w:p>
                    </w:tc>
                  </w:tr>
                  <w:tr>
                    <w:trPr>
                      <w:trHeight w:val="404" w:hRule="exact"/>
                    </w:trPr>
                    <w:tc>
                      <w:tcPr>
                        <w:tcW w:w="3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w w:val="101"/>
                            <w:sz w:val="18"/>
                            <w:szCs w:val="18"/>
                          </w:rPr>
                          <w:t>现</w:t>
                        </w:r>
                        <w:r>
                          <w:rPr>
                            <w:rFonts w:ascii="宋体" w:hAnsi="宋体" w:cs="宋体" w:eastAsia="宋体" w:hint="default"/>
                            <w:spacing w:val="-5"/>
                            <w:w w:val="101"/>
                            <w:sz w:val="18"/>
                            <w:szCs w:val="18"/>
                          </w:rPr>
                          <w:t>金</w:t>
                        </w:r>
                        <w:r>
                          <w:rPr>
                            <w:rFonts w:ascii="宋体" w:hAnsi="宋体" w:cs="宋体" w:eastAsia="宋体" w:hint="default"/>
                            <w:w w:val="101"/>
                            <w:sz w:val="18"/>
                            <w:szCs w:val="18"/>
                          </w:rPr>
                          <w:t>分</w:t>
                        </w:r>
                        <w:r>
                          <w:rPr>
                            <w:rFonts w:ascii="宋体" w:hAnsi="宋体" w:cs="宋体" w:eastAsia="宋体" w:hint="default"/>
                            <w:spacing w:val="-5"/>
                            <w:w w:val="101"/>
                            <w:sz w:val="18"/>
                            <w:szCs w:val="18"/>
                          </w:rPr>
                          <w:t>红</w:t>
                        </w:r>
                        <w:r>
                          <w:rPr>
                            <w:rFonts w:ascii="宋体" w:hAnsi="宋体" w:cs="宋体" w:eastAsia="宋体" w:hint="default"/>
                            <w:w w:val="101"/>
                            <w:sz w:val="18"/>
                            <w:szCs w:val="18"/>
                          </w:rPr>
                          <w:t>总</w:t>
                        </w:r>
                        <w:r>
                          <w:rPr>
                            <w:rFonts w:ascii="宋体" w:hAnsi="宋体" w:cs="宋体" w:eastAsia="宋体" w:hint="default"/>
                            <w:spacing w:val="-5"/>
                            <w:w w:val="101"/>
                            <w:sz w:val="18"/>
                            <w:szCs w:val="18"/>
                          </w:rPr>
                          <w:t>额</w:t>
                        </w:r>
                        <w:r>
                          <w:rPr>
                            <w:rFonts w:ascii="宋体" w:hAnsi="宋体" w:cs="宋体" w:eastAsia="宋体" w:hint="default"/>
                            <w:w w:val="101"/>
                            <w:sz w:val="18"/>
                            <w:szCs w:val="18"/>
                          </w:rPr>
                          <w:t>（</w:t>
                        </w:r>
                        <w:r>
                          <w:rPr>
                            <w:rFonts w:ascii="宋体" w:hAnsi="宋体" w:cs="宋体" w:eastAsia="宋体" w:hint="default"/>
                            <w:spacing w:val="-5"/>
                            <w:w w:val="101"/>
                            <w:sz w:val="18"/>
                            <w:szCs w:val="18"/>
                          </w:rPr>
                          <w:t>含</w:t>
                        </w:r>
                        <w:r>
                          <w:rPr>
                            <w:rFonts w:ascii="宋体" w:hAnsi="宋体" w:cs="宋体" w:eastAsia="宋体" w:hint="default"/>
                            <w:w w:val="101"/>
                            <w:sz w:val="18"/>
                            <w:szCs w:val="18"/>
                          </w:rPr>
                          <w:t>其</w:t>
                        </w:r>
                        <w:r>
                          <w:rPr>
                            <w:rFonts w:ascii="宋体" w:hAnsi="宋体" w:cs="宋体" w:eastAsia="宋体" w:hint="default"/>
                            <w:spacing w:val="-5"/>
                            <w:w w:val="101"/>
                            <w:sz w:val="18"/>
                            <w:szCs w:val="18"/>
                          </w:rPr>
                          <w:t>他</w:t>
                        </w:r>
                        <w:r>
                          <w:rPr>
                            <w:rFonts w:ascii="宋体" w:hAnsi="宋体" w:cs="宋体" w:eastAsia="宋体" w:hint="default"/>
                            <w:w w:val="101"/>
                            <w:sz w:val="18"/>
                            <w:szCs w:val="18"/>
                          </w:rPr>
                          <w:t>方式</w:t>
                        </w:r>
                        <w:r>
                          <w:rPr>
                            <w:rFonts w:ascii="宋体" w:hAnsi="宋体" w:cs="宋体" w:eastAsia="宋体" w:hint="default"/>
                            <w:spacing w:val="-96"/>
                            <w:w w:val="101"/>
                            <w:sz w:val="18"/>
                            <w:szCs w:val="18"/>
                          </w:rPr>
                          <w:t>）</w:t>
                        </w:r>
                        <w:r>
                          <w:rPr>
                            <w:rFonts w:ascii="宋体" w:hAnsi="宋体" w:cs="宋体" w:eastAsia="宋体" w:hint="default"/>
                            <w:w w:val="101"/>
                            <w:sz w:val="18"/>
                            <w:szCs w:val="18"/>
                          </w:rPr>
                          <w:t>（</w:t>
                        </w:r>
                        <w:r>
                          <w:rPr>
                            <w:rFonts w:ascii="宋体" w:hAnsi="宋体" w:cs="宋体" w:eastAsia="宋体" w:hint="default"/>
                            <w:spacing w:val="-5"/>
                            <w:w w:val="101"/>
                            <w:sz w:val="18"/>
                            <w:szCs w:val="18"/>
                          </w:rPr>
                          <w:t>元</w:t>
                        </w:r>
                        <w:r>
                          <w:rPr>
                            <w:rFonts w:ascii="宋体" w:hAnsi="宋体" w:cs="宋体" w:eastAsia="宋体" w:hint="default"/>
                            <w:w w:val="101"/>
                            <w:sz w:val="18"/>
                            <w:szCs w:val="18"/>
                          </w:rPr>
                          <w:t>）</w:t>
                        </w:r>
                        <w:r>
                          <w:rPr>
                            <w:rFonts w:ascii="宋体" w:hAnsi="宋体" w:cs="宋体" w:eastAsia="宋体" w:hint="default"/>
                            <w:sz w:val="18"/>
                            <w:szCs w:val="18"/>
                          </w:rPr>
                        </w:r>
                      </w:p>
                    </w:tc>
                    <w:tc>
                      <w:tcPr>
                        <w:tcW w:w="586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0.00</w:t>
                        </w:r>
                      </w:p>
                    </w:tc>
                  </w:tr>
                  <w:tr>
                    <w:trPr>
                      <w:trHeight w:val="401" w:hRule="exact"/>
                    </w:trPr>
                    <w:tc>
                      <w:tcPr>
                        <w:tcW w:w="3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586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102,182,421.69</w:t>
                        </w:r>
                      </w:p>
                    </w:tc>
                  </w:tr>
                  <w:tr>
                    <w:trPr>
                      <w:trHeight w:val="713" w:hRule="exact"/>
                    </w:trPr>
                    <w:tc>
                      <w:tcPr>
                        <w:tcW w:w="3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6"/>
                          <w:ind w:left="11" w:right="66"/>
                          <w:jc w:val="left"/>
                          <w:rPr>
                            <w:rFonts w:ascii="宋体" w:hAnsi="宋体" w:cs="宋体" w:eastAsia="宋体" w:hint="default"/>
                            <w:sz w:val="18"/>
                            <w:szCs w:val="18"/>
                          </w:rPr>
                        </w:pPr>
                        <w:r>
                          <w:rPr>
                            <w:rFonts w:ascii="宋体" w:hAnsi="宋体" w:cs="宋体" w:eastAsia="宋体" w:hint="default"/>
                            <w:spacing w:val="-3"/>
                            <w:sz w:val="18"/>
                            <w:szCs w:val="18"/>
                          </w:rPr>
                          <w:t>现金分红总额（含其他方式）占利润分配总额</w:t>
                        </w:r>
                        <w:r>
                          <w:rPr>
                            <w:rFonts w:ascii="宋体" w:hAnsi="宋体" w:cs="宋体" w:eastAsia="宋体" w:hint="default"/>
                            <w:spacing w:val="-27"/>
                            <w:sz w:val="18"/>
                            <w:szCs w:val="18"/>
                          </w:rPr>
                          <w:t> </w:t>
                        </w:r>
                        <w:r>
                          <w:rPr>
                            <w:rFonts w:ascii="宋体" w:hAnsi="宋体" w:cs="宋体" w:eastAsia="宋体" w:hint="default"/>
                            <w:spacing w:val="-27"/>
                            <w:sz w:val="18"/>
                            <w:szCs w:val="18"/>
                          </w:rPr>
                        </w:r>
                        <w:r>
                          <w:rPr>
                            <w:rFonts w:ascii="宋体" w:hAnsi="宋体" w:cs="宋体" w:eastAsia="宋体" w:hint="default"/>
                            <w:sz w:val="18"/>
                            <w:szCs w:val="18"/>
                          </w:rPr>
                          <w:t>的比例</w:t>
                        </w:r>
                      </w:p>
                    </w:tc>
                    <w:tc>
                      <w:tcPr>
                        <w:tcW w:w="586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955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本次现金分红情况</w:t>
                        </w:r>
                      </w:p>
                    </w:tc>
                  </w:tr>
                  <w:tr>
                    <w:trPr>
                      <w:trHeight w:val="404" w:hRule="exact"/>
                    </w:trPr>
                    <w:tc>
                      <w:tcPr>
                        <w:tcW w:w="95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398" w:hRule="exact"/>
                    </w:trPr>
                    <w:tc>
                      <w:tcPr>
                        <w:tcW w:w="955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878" w:right="0"/>
                          <w:jc w:val="left"/>
                          <w:rPr>
                            <w:rFonts w:ascii="宋体" w:hAnsi="宋体" w:cs="宋体" w:eastAsia="宋体" w:hint="default"/>
                            <w:sz w:val="18"/>
                            <w:szCs w:val="18"/>
                          </w:rPr>
                        </w:pPr>
                        <w:r>
                          <w:rPr>
                            <w:rFonts w:ascii="宋体" w:hAnsi="宋体" w:cs="宋体" w:eastAsia="宋体" w:hint="default"/>
                            <w:spacing w:val="-3"/>
                            <w:sz w:val="18"/>
                            <w:szCs w:val="18"/>
                          </w:rPr>
                          <w:t>利润分配或资本公积金转增预案的详细情况说明</w:t>
                        </w:r>
                      </w:p>
                    </w:tc>
                  </w:tr>
                  <w:tr>
                    <w:trPr>
                      <w:trHeight w:val="365" w:hRule="exact"/>
                    </w:trPr>
                    <w:tc>
                      <w:tcPr>
                        <w:tcW w:w="95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1" w:right="0"/>
                          <w:jc w:val="left"/>
                          <w:rPr>
                            <w:rFonts w:ascii="宋体" w:hAnsi="宋体" w:cs="宋体" w:eastAsia="宋体" w:hint="default"/>
                            <w:sz w:val="18"/>
                            <w:szCs w:val="18"/>
                          </w:rPr>
                        </w:pPr>
                        <w:r>
                          <w:rPr>
                            <w:rFonts w:ascii="宋体" w:hAnsi="宋体" w:cs="宋体" w:eastAsia="宋体" w:hint="default"/>
                            <w:spacing w:val="-5"/>
                            <w:sz w:val="18"/>
                            <w:szCs w:val="18"/>
                          </w:rPr>
                          <w:t>经中汇会计师事务所（特殊普通合伙）审计，</w:t>
                        </w:r>
                        <w:r>
                          <w:rPr>
                            <w:rFonts w:ascii="Times New Roman" w:hAnsi="Times New Roman" w:cs="Times New Roman" w:eastAsia="Times New Roman" w:hint="default"/>
                            <w:spacing w:val="-5"/>
                            <w:sz w:val="18"/>
                            <w:szCs w:val="18"/>
                          </w:rPr>
                          <w:t>2019  </w:t>
                        </w:r>
                        <w:r>
                          <w:rPr>
                            <w:rFonts w:ascii="宋体" w:hAnsi="宋体" w:cs="宋体" w:eastAsia="宋体" w:hint="default"/>
                            <w:sz w:val="18"/>
                            <w:szCs w:val="18"/>
                          </w:rPr>
                          <w:t>年度母公司实现净利润 </w:t>
                        </w:r>
                        <w:r>
                          <w:rPr>
                            <w:rFonts w:ascii="Times New Roman" w:hAnsi="Times New Roman" w:cs="Times New Roman" w:eastAsia="Times New Roman" w:hint="default"/>
                            <w:sz w:val="18"/>
                            <w:szCs w:val="18"/>
                          </w:rPr>
                          <w:t>9,446,488.03</w:t>
                        </w:r>
                        <w:r>
                          <w:rPr>
                            <w:rFonts w:ascii="Times New Roman" w:hAnsi="Times New Roman" w:cs="Times New Roman" w:eastAsia="Times New Roman" w:hint="default"/>
                            <w:spacing w:val="31"/>
                            <w:sz w:val="18"/>
                            <w:szCs w:val="18"/>
                          </w:rPr>
                          <w:t> </w:t>
                        </w:r>
                        <w:r>
                          <w:rPr>
                            <w:rFonts w:ascii="宋体" w:hAnsi="宋体" w:cs="宋体" w:eastAsia="宋体" w:hint="default"/>
                            <w:spacing w:val="-8"/>
                            <w:sz w:val="18"/>
                            <w:szCs w:val="18"/>
                          </w:rPr>
                          <w:t>元，根据《公司法》和《公司章程</w:t>
                        </w:r>
                      </w:p>
                    </w:tc>
                  </w:tr>
                </w:tbl>
                <w:p>
                  <w:pPr/>
                </w:p>
              </w:txbxContent>
            </v:textbox>
            <w10:wrap type="none"/>
          </v:shape>
        </w:pict>
      </w:r>
      <w:r>
        <w:rPr>
          <w:w w:val="101"/>
        </w:rPr>
        <w:t>》</w:t>
      </w:r>
      <w:r>
        <w:rPr/>
      </w:r>
    </w:p>
    <w:p>
      <w:pPr>
        <w:spacing w:after="0" w:line="240" w:lineRule="auto"/>
        <w:jc w:val="right"/>
        <w:sectPr>
          <w:pgSz w:w="11910" w:h="16840"/>
          <w:pgMar w:header="871" w:footer="1186" w:top="1100" w:bottom="1380" w:left="980" w:right="0"/>
        </w:sectPr>
      </w:pPr>
    </w:p>
    <w:p>
      <w:pPr>
        <w:spacing w:line="240" w:lineRule="auto" w:before="3"/>
        <w:rPr>
          <w:rFonts w:ascii="宋体" w:hAnsi="宋体" w:cs="宋体" w:eastAsia="宋体" w:hint="default"/>
          <w:sz w:val="24"/>
          <w:szCs w:val="24"/>
        </w:rPr>
      </w:pPr>
    </w:p>
    <w:p>
      <w:pPr>
        <w:spacing w:line="1983" w:lineRule="exact"/>
        <w:ind w:left="148" w:right="0" w:firstLine="0"/>
        <w:rPr>
          <w:rFonts w:ascii="宋体" w:hAnsi="宋体" w:cs="宋体" w:eastAsia="宋体" w:hint="default"/>
          <w:sz w:val="20"/>
          <w:szCs w:val="20"/>
        </w:rPr>
      </w:pPr>
      <w:r>
        <w:rPr>
          <w:rFonts w:ascii="宋体" w:hAnsi="宋体" w:cs="宋体" w:eastAsia="宋体" w:hint="default"/>
          <w:position w:val="-39"/>
          <w:sz w:val="20"/>
          <w:szCs w:val="20"/>
        </w:rPr>
        <w:pict>
          <v:group style="width:480.2pt;height:99.15pt;mso-position-horizontal-relative:char;mso-position-vertical-relative:line" coordorigin="0,0" coordsize="9604,1983">
            <v:group style="position:absolute;left:10;top:10;width:9561;height:2" coordorigin="10,10" coordsize="9561,2">
              <v:shape style="position:absolute;left:10;top:10;width:9561;height:2" coordorigin="10,10" coordsize="9561,0" path="m10,10l9570,10e" filled="false" stroked="true" strokeweight=".48pt" strokecolor="#000000">
                <v:path arrowok="t"/>
              </v:shape>
            </v:group>
            <v:group style="position:absolute;left:5;top:5;width:2;height:1974" coordorigin="5,5" coordsize="2,1974">
              <v:shape style="position:absolute;left:5;top:5;width:2;height:1974" coordorigin="5,5" coordsize="0,1974" path="m5,5l5,1978e" filled="false" stroked="true" strokeweight=".48pt" strokecolor="#000000">
                <v:path arrowok="t"/>
              </v:shape>
            </v:group>
            <v:group style="position:absolute;left:10;top:1973;width:9561;height:2" coordorigin="10,1973" coordsize="9561,2">
              <v:shape style="position:absolute;left:10;top:1973;width:9561;height:2" coordorigin="10,1973" coordsize="9561,0" path="m10,1973l9570,1973e" filled="false" stroked="true" strokeweight=".48pt" strokecolor="#000000">
                <v:path arrowok="t"/>
              </v:shape>
            </v:group>
            <v:group style="position:absolute;left:9575;top:5;width:2;height:1974" coordorigin="9575,5" coordsize="2,1974">
              <v:shape style="position:absolute;left:9575;top:5;width:2;height:1974" coordorigin="9575,5" coordsize="0,1974" path="m9575,5l9575,1978e" filled="false" stroked="true" strokeweight=".48004pt" strokecolor="#000000">
                <v:path arrowok="t"/>
              </v:shape>
              <v:shape style="position:absolute;left:0;top:0;width:9604;height:1983" type="#_x0000_t202" filled="false" stroked="false">
                <v:textbox inset="0,0,0,0">
                  <w:txbxContent>
                    <w:p>
                      <w:pPr>
                        <w:spacing w:before="25"/>
                        <w:ind w:left="33" w:right="0" w:firstLine="0"/>
                        <w:jc w:val="left"/>
                        <w:rPr>
                          <w:rFonts w:ascii="Times New Roman" w:hAnsi="Times New Roman" w:cs="Times New Roman" w:eastAsia="Times New Roman" w:hint="default"/>
                          <w:sz w:val="18"/>
                          <w:szCs w:val="18"/>
                        </w:rPr>
                      </w:pPr>
                      <w:r>
                        <w:rPr>
                          <w:rFonts w:ascii="宋体" w:hAnsi="宋体" w:cs="宋体" w:eastAsia="宋体" w:hint="default"/>
                          <w:w w:val="101"/>
                          <w:sz w:val="18"/>
                          <w:szCs w:val="18"/>
                        </w:rPr>
                        <w:t>的</w:t>
                      </w:r>
                      <w:r>
                        <w:rPr>
                          <w:rFonts w:ascii="宋体" w:hAnsi="宋体" w:cs="宋体" w:eastAsia="宋体" w:hint="default"/>
                          <w:spacing w:val="-5"/>
                          <w:w w:val="101"/>
                          <w:sz w:val="18"/>
                          <w:szCs w:val="18"/>
                        </w:rPr>
                        <w:t>有</w:t>
                      </w:r>
                      <w:r>
                        <w:rPr>
                          <w:rFonts w:ascii="宋体" w:hAnsi="宋体" w:cs="宋体" w:eastAsia="宋体" w:hint="default"/>
                          <w:w w:val="101"/>
                          <w:sz w:val="18"/>
                          <w:szCs w:val="18"/>
                        </w:rPr>
                        <w:t>关</w:t>
                      </w:r>
                      <w:r>
                        <w:rPr>
                          <w:rFonts w:ascii="宋体" w:hAnsi="宋体" w:cs="宋体" w:eastAsia="宋体" w:hint="default"/>
                          <w:spacing w:val="-5"/>
                          <w:w w:val="101"/>
                          <w:sz w:val="18"/>
                          <w:szCs w:val="18"/>
                        </w:rPr>
                        <w:t>规</w:t>
                      </w:r>
                      <w:r>
                        <w:rPr>
                          <w:rFonts w:ascii="宋体" w:hAnsi="宋体" w:cs="宋体" w:eastAsia="宋体" w:hint="default"/>
                          <w:w w:val="101"/>
                          <w:sz w:val="18"/>
                          <w:szCs w:val="18"/>
                        </w:rPr>
                        <w:t>定</w:t>
                      </w:r>
                      <w:r>
                        <w:rPr>
                          <w:rFonts w:ascii="宋体" w:hAnsi="宋体" w:cs="宋体" w:eastAsia="宋体" w:hint="default"/>
                          <w:spacing w:val="-87"/>
                          <w:w w:val="101"/>
                          <w:sz w:val="18"/>
                          <w:szCs w:val="18"/>
                        </w:rPr>
                        <w:t>，</w:t>
                      </w:r>
                      <w:r>
                        <w:rPr>
                          <w:rFonts w:ascii="宋体" w:hAnsi="宋体" w:cs="宋体" w:eastAsia="宋体" w:hint="default"/>
                          <w:spacing w:val="-5"/>
                          <w:w w:val="101"/>
                          <w:sz w:val="18"/>
                          <w:szCs w:val="18"/>
                        </w:rPr>
                        <w:t>按</w:t>
                      </w:r>
                      <w:r>
                        <w:rPr>
                          <w:rFonts w:ascii="宋体" w:hAnsi="宋体" w:cs="宋体" w:eastAsia="宋体" w:hint="default"/>
                          <w:w w:val="101"/>
                          <w:sz w:val="18"/>
                          <w:szCs w:val="18"/>
                        </w:rPr>
                        <w:t>照</w:t>
                      </w:r>
                      <w:r>
                        <w:rPr>
                          <w:rFonts w:ascii="宋体" w:hAnsi="宋体" w:cs="宋体" w:eastAsia="宋体" w:hint="default"/>
                          <w:spacing w:val="-5"/>
                          <w:w w:val="101"/>
                          <w:sz w:val="18"/>
                          <w:szCs w:val="18"/>
                        </w:rPr>
                        <w:t>实</w:t>
                      </w:r>
                      <w:r>
                        <w:rPr>
                          <w:rFonts w:ascii="宋体" w:hAnsi="宋体" w:cs="宋体" w:eastAsia="宋体" w:hint="default"/>
                          <w:w w:val="101"/>
                          <w:sz w:val="18"/>
                          <w:szCs w:val="18"/>
                        </w:rPr>
                        <w:t>现</w:t>
                      </w:r>
                      <w:r>
                        <w:rPr>
                          <w:rFonts w:ascii="宋体" w:hAnsi="宋体" w:cs="宋体" w:eastAsia="宋体" w:hint="default"/>
                          <w:spacing w:val="-5"/>
                          <w:w w:val="101"/>
                          <w:sz w:val="18"/>
                          <w:szCs w:val="18"/>
                        </w:rPr>
                        <w:t>净</w:t>
                      </w:r>
                      <w:r>
                        <w:rPr>
                          <w:rFonts w:ascii="宋体" w:hAnsi="宋体" w:cs="宋体" w:eastAsia="宋体" w:hint="default"/>
                          <w:w w:val="101"/>
                          <w:sz w:val="18"/>
                          <w:szCs w:val="18"/>
                        </w:rPr>
                        <w:t>利润的</w:t>
                      </w:r>
                      <w:r>
                        <w:rPr>
                          <w:rFonts w:ascii="宋体" w:hAnsi="宋体" w:cs="宋体" w:eastAsia="宋体" w:hint="default"/>
                          <w:spacing w:val="-51"/>
                          <w:sz w:val="18"/>
                          <w:szCs w:val="18"/>
                        </w:rPr>
                        <w:t> </w:t>
                      </w:r>
                      <w:r>
                        <w:rPr>
                          <w:rFonts w:ascii="Times New Roman" w:hAnsi="Times New Roman" w:cs="Times New Roman" w:eastAsia="Times New Roman" w:hint="default"/>
                          <w:w w:val="101"/>
                          <w:sz w:val="18"/>
                          <w:szCs w:val="18"/>
                        </w:rPr>
                        <w:t>10</w:t>
                      </w:r>
                      <w:r>
                        <w:rPr>
                          <w:rFonts w:ascii="宋体" w:hAnsi="宋体" w:cs="宋体" w:eastAsia="宋体" w:hint="default"/>
                          <w:spacing w:val="-5"/>
                          <w:w w:val="101"/>
                          <w:sz w:val="18"/>
                          <w:szCs w:val="18"/>
                        </w:rPr>
                        <w:t>％</w:t>
                      </w:r>
                      <w:r>
                        <w:rPr>
                          <w:rFonts w:ascii="宋体" w:hAnsi="宋体" w:cs="宋体" w:eastAsia="宋体" w:hint="default"/>
                          <w:w w:val="101"/>
                          <w:sz w:val="18"/>
                          <w:szCs w:val="18"/>
                        </w:rPr>
                        <w:t>提</w:t>
                      </w:r>
                      <w:r>
                        <w:rPr>
                          <w:rFonts w:ascii="宋体" w:hAnsi="宋体" w:cs="宋体" w:eastAsia="宋体" w:hint="default"/>
                          <w:spacing w:val="-5"/>
                          <w:w w:val="101"/>
                          <w:sz w:val="18"/>
                          <w:szCs w:val="18"/>
                        </w:rPr>
                        <w:t>取</w:t>
                      </w:r>
                      <w:r>
                        <w:rPr>
                          <w:rFonts w:ascii="宋体" w:hAnsi="宋体" w:cs="宋体" w:eastAsia="宋体" w:hint="default"/>
                          <w:w w:val="101"/>
                          <w:sz w:val="18"/>
                          <w:szCs w:val="18"/>
                        </w:rPr>
                        <w:t>法</w:t>
                      </w:r>
                      <w:r>
                        <w:rPr>
                          <w:rFonts w:ascii="宋体" w:hAnsi="宋体" w:cs="宋体" w:eastAsia="宋体" w:hint="default"/>
                          <w:spacing w:val="-5"/>
                          <w:w w:val="101"/>
                          <w:sz w:val="18"/>
                          <w:szCs w:val="18"/>
                        </w:rPr>
                        <w:t>定</w:t>
                      </w:r>
                      <w:r>
                        <w:rPr>
                          <w:rFonts w:ascii="宋体" w:hAnsi="宋体" w:cs="宋体" w:eastAsia="宋体" w:hint="default"/>
                          <w:w w:val="101"/>
                          <w:sz w:val="18"/>
                          <w:szCs w:val="18"/>
                        </w:rPr>
                        <w:t>盈</w:t>
                      </w:r>
                      <w:r>
                        <w:rPr>
                          <w:rFonts w:ascii="宋体" w:hAnsi="宋体" w:cs="宋体" w:eastAsia="宋体" w:hint="default"/>
                          <w:spacing w:val="-5"/>
                          <w:w w:val="101"/>
                          <w:sz w:val="18"/>
                          <w:szCs w:val="18"/>
                        </w:rPr>
                        <w:t>余</w:t>
                      </w:r>
                      <w:r>
                        <w:rPr>
                          <w:rFonts w:ascii="宋体" w:hAnsi="宋体" w:cs="宋体" w:eastAsia="宋体" w:hint="default"/>
                          <w:w w:val="101"/>
                          <w:sz w:val="18"/>
                          <w:szCs w:val="18"/>
                        </w:rPr>
                        <w:t>公积</w:t>
                      </w:r>
                      <w:r>
                        <w:rPr>
                          <w:rFonts w:ascii="宋体" w:hAnsi="宋体" w:cs="宋体" w:eastAsia="宋体" w:hint="default"/>
                          <w:spacing w:val="-47"/>
                          <w:sz w:val="18"/>
                          <w:szCs w:val="18"/>
                        </w:rPr>
                        <w:t> </w:t>
                      </w:r>
                      <w:r>
                        <w:rPr>
                          <w:rFonts w:ascii="Times New Roman" w:hAnsi="Times New Roman" w:cs="Times New Roman" w:eastAsia="Times New Roman" w:hint="default"/>
                          <w:w w:val="101"/>
                          <w:sz w:val="18"/>
                          <w:szCs w:val="18"/>
                        </w:rPr>
                        <w:t>9</w:t>
                      </w:r>
                      <w:r>
                        <w:rPr>
                          <w:rFonts w:ascii="Times New Roman" w:hAnsi="Times New Roman" w:cs="Times New Roman" w:eastAsia="Times New Roman" w:hint="default"/>
                          <w:spacing w:val="-5"/>
                          <w:w w:val="101"/>
                          <w:sz w:val="18"/>
                          <w:szCs w:val="18"/>
                        </w:rPr>
                        <w:t>4</w:t>
                      </w:r>
                      <w:r>
                        <w:rPr>
                          <w:rFonts w:ascii="Times New Roman" w:hAnsi="Times New Roman" w:cs="Times New Roman" w:eastAsia="Times New Roman" w:hint="default"/>
                          <w:w w:val="101"/>
                          <w:sz w:val="18"/>
                          <w:szCs w:val="18"/>
                        </w:rPr>
                        <w:t>4</w:t>
                      </w:r>
                      <w:r>
                        <w:rPr>
                          <w:rFonts w:ascii="Times New Roman" w:hAnsi="Times New Roman" w:cs="Times New Roman" w:eastAsia="Times New Roman" w:hint="default"/>
                          <w:spacing w:val="-3"/>
                          <w:w w:val="101"/>
                          <w:sz w:val="18"/>
                          <w:szCs w:val="18"/>
                        </w:rPr>
                        <w:t>,</w:t>
                      </w:r>
                      <w:r>
                        <w:rPr>
                          <w:rFonts w:ascii="Times New Roman" w:hAnsi="Times New Roman" w:cs="Times New Roman" w:eastAsia="Times New Roman" w:hint="default"/>
                          <w:w w:val="101"/>
                          <w:sz w:val="18"/>
                          <w:szCs w:val="18"/>
                        </w:rPr>
                        <w:t>64</w:t>
                      </w:r>
                      <w:r>
                        <w:rPr>
                          <w:rFonts w:ascii="Times New Roman" w:hAnsi="Times New Roman" w:cs="Times New Roman" w:eastAsia="Times New Roman" w:hint="default"/>
                          <w:spacing w:val="-5"/>
                          <w:w w:val="101"/>
                          <w:sz w:val="18"/>
                          <w:szCs w:val="18"/>
                        </w:rPr>
                        <w:t>8</w:t>
                      </w:r>
                      <w:r>
                        <w:rPr>
                          <w:rFonts w:ascii="Times New Roman" w:hAnsi="Times New Roman" w:cs="Times New Roman" w:eastAsia="Times New Roman" w:hint="default"/>
                          <w:spacing w:val="2"/>
                          <w:w w:val="101"/>
                          <w:sz w:val="18"/>
                          <w:szCs w:val="18"/>
                        </w:rPr>
                        <w:t>.</w:t>
                      </w:r>
                      <w:r>
                        <w:rPr>
                          <w:rFonts w:ascii="Times New Roman" w:hAnsi="Times New Roman" w:cs="Times New Roman" w:eastAsia="Times New Roman" w:hint="default"/>
                          <w:w w:val="101"/>
                          <w:sz w:val="18"/>
                          <w:szCs w:val="18"/>
                        </w:rPr>
                        <w:t>80</w:t>
                      </w:r>
                      <w:r>
                        <w:rPr>
                          <w:rFonts w:ascii="Times New Roman" w:hAnsi="Times New Roman" w:cs="Times New Roman" w:eastAsia="Times New Roman" w:hint="default"/>
                          <w:spacing w:val="-2"/>
                          <w:sz w:val="18"/>
                          <w:szCs w:val="18"/>
                        </w:rPr>
                        <w:t> </w:t>
                      </w:r>
                      <w:r>
                        <w:rPr>
                          <w:rFonts w:ascii="宋体" w:hAnsi="宋体" w:cs="宋体" w:eastAsia="宋体" w:hint="default"/>
                          <w:spacing w:val="-5"/>
                          <w:w w:val="101"/>
                          <w:sz w:val="18"/>
                          <w:szCs w:val="18"/>
                        </w:rPr>
                        <w:t>元</w:t>
                      </w:r>
                      <w:r>
                        <w:rPr>
                          <w:rFonts w:ascii="宋体" w:hAnsi="宋体" w:cs="宋体" w:eastAsia="宋体" w:hint="default"/>
                          <w:w w:val="101"/>
                          <w:sz w:val="18"/>
                          <w:szCs w:val="18"/>
                        </w:rPr>
                        <w:t>后</w:t>
                      </w:r>
                      <w:r>
                        <w:rPr>
                          <w:rFonts w:ascii="宋体" w:hAnsi="宋体" w:cs="宋体" w:eastAsia="宋体" w:hint="default"/>
                          <w:spacing w:val="-87"/>
                          <w:w w:val="101"/>
                          <w:sz w:val="18"/>
                          <w:szCs w:val="18"/>
                        </w:rPr>
                        <w:t>，</w:t>
                      </w:r>
                      <w:r>
                        <w:rPr>
                          <w:rFonts w:ascii="宋体" w:hAnsi="宋体" w:cs="宋体" w:eastAsia="宋体" w:hint="default"/>
                          <w:spacing w:val="-5"/>
                          <w:w w:val="101"/>
                          <w:sz w:val="18"/>
                          <w:szCs w:val="18"/>
                        </w:rPr>
                        <w:t>加</w:t>
                      </w:r>
                      <w:r>
                        <w:rPr>
                          <w:rFonts w:ascii="宋体" w:hAnsi="宋体" w:cs="宋体" w:eastAsia="宋体" w:hint="default"/>
                          <w:w w:val="101"/>
                          <w:sz w:val="18"/>
                          <w:szCs w:val="18"/>
                        </w:rPr>
                        <w:t>上</w:t>
                      </w:r>
                      <w:r>
                        <w:rPr>
                          <w:rFonts w:ascii="宋体" w:hAnsi="宋体" w:cs="宋体" w:eastAsia="宋体" w:hint="default"/>
                          <w:spacing w:val="-5"/>
                          <w:w w:val="101"/>
                          <w:sz w:val="18"/>
                          <w:szCs w:val="18"/>
                        </w:rPr>
                        <w:t>年</w:t>
                      </w:r>
                      <w:r>
                        <w:rPr>
                          <w:rFonts w:ascii="宋体" w:hAnsi="宋体" w:cs="宋体" w:eastAsia="宋体" w:hint="default"/>
                          <w:w w:val="101"/>
                          <w:sz w:val="18"/>
                          <w:szCs w:val="18"/>
                        </w:rPr>
                        <w:t>初</w:t>
                      </w:r>
                      <w:r>
                        <w:rPr>
                          <w:rFonts w:ascii="宋体" w:hAnsi="宋体" w:cs="宋体" w:eastAsia="宋体" w:hint="default"/>
                          <w:spacing w:val="-5"/>
                          <w:w w:val="101"/>
                          <w:sz w:val="18"/>
                          <w:szCs w:val="18"/>
                        </w:rPr>
                        <w:t>未</w:t>
                      </w:r>
                      <w:r>
                        <w:rPr>
                          <w:rFonts w:ascii="宋体" w:hAnsi="宋体" w:cs="宋体" w:eastAsia="宋体" w:hint="default"/>
                          <w:w w:val="101"/>
                          <w:sz w:val="18"/>
                          <w:szCs w:val="18"/>
                        </w:rPr>
                        <w:t>分</w:t>
                      </w:r>
                      <w:r>
                        <w:rPr>
                          <w:rFonts w:ascii="宋体" w:hAnsi="宋体" w:cs="宋体" w:eastAsia="宋体" w:hint="default"/>
                          <w:spacing w:val="-5"/>
                          <w:w w:val="101"/>
                          <w:sz w:val="18"/>
                          <w:szCs w:val="18"/>
                        </w:rPr>
                        <w:t>配</w:t>
                      </w:r>
                      <w:r>
                        <w:rPr>
                          <w:rFonts w:ascii="宋体" w:hAnsi="宋体" w:cs="宋体" w:eastAsia="宋体" w:hint="default"/>
                          <w:w w:val="101"/>
                          <w:sz w:val="18"/>
                          <w:szCs w:val="18"/>
                        </w:rPr>
                        <w:t>利润</w:t>
                      </w:r>
                      <w:r>
                        <w:rPr>
                          <w:rFonts w:ascii="宋体" w:hAnsi="宋体" w:cs="宋体" w:eastAsia="宋体" w:hint="default"/>
                          <w:spacing w:val="-47"/>
                          <w:sz w:val="18"/>
                          <w:szCs w:val="18"/>
                        </w:rPr>
                        <w:t> </w:t>
                      </w:r>
                      <w:r>
                        <w:rPr>
                          <w:rFonts w:ascii="Times New Roman" w:hAnsi="Times New Roman" w:cs="Times New Roman" w:eastAsia="Times New Roman" w:hint="default"/>
                          <w:spacing w:val="-5"/>
                          <w:w w:val="101"/>
                          <w:sz w:val="18"/>
                          <w:szCs w:val="18"/>
                        </w:rPr>
                        <w:t>1</w:t>
                      </w:r>
                      <w:r>
                        <w:rPr>
                          <w:rFonts w:ascii="Times New Roman" w:hAnsi="Times New Roman" w:cs="Times New Roman" w:eastAsia="Times New Roman" w:hint="default"/>
                          <w:w w:val="101"/>
                          <w:sz w:val="18"/>
                          <w:szCs w:val="18"/>
                        </w:rPr>
                        <w:t>07</w:t>
                      </w:r>
                      <w:r>
                        <w:rPr>
                          <w:rFonts w:ascii="Times New Roman" w:hAnsi="Times New Roman" w:cs="Times New Roman" w:eastAsia="Times New Roman" w:hint="default"/>
                          <w:spacing w:val="-3"/>
                          <w:w w:val="101"/>
                          <w:sz w:val="18"/>
                          <w:szCs w:val="18"/>
                        </w:rPr>
                        <w:t>,</w:t>
                      </w:r>
                      <w:r>
                        <w:rPr>
                          <w:rFonts w:ascii="Times New Roman" w:hAnsi="Times New Roman" w:cs="Times New Roman" w:eastAsia="Times New Roman" w:hint="default"/>
                          <w:w w:val="101"/>
                          <w:sz w:val="18"/>
                          <w:szCs w:val="18"/>
                        </w:rPr>
                        <w:t>81</w:t>
                      </w:r>
                      <w:r>
                        <w:rPr>
                          <w:rFonts w:ascii="Times New Roman" w:hAnsi="Times New Roman" w:cs="Times New Roman" w:eastAsia="Times New Roman" w:hint="default"/>
                          <w:spacing w:val="-5"/>
                          <w:w w:val="101"/>
                          <w:sz w:val="18"/>
                          <w:szCs w:val="18"/>
                        </w:rPr>
                        <w:t>3</w:t>
                      </w:r>
                      <w:r>
                        <w:rPr>
                          <w:rFonts w:ascii="Times New Roman" w:hAnsi="Times New Roman" w:cs="Times New Roman" w:eastAsia="Times New Roman" w:hint="default"/>
                          <w:spacing w:val="2"/>
                          <w:w w:val="101"/>
                          <w:sz w:val="18"/>
                          <w:szCs w:val="18"/>
                        </w:rPr>
                        <w:t>,</w:t>
                      </w:r>
                      <w:r>
                        <w:rPr>
                          <w:rFonts w:ascii="Times New Roman" w:hAnsi="Times New Roman" w:cs="Times New Roman" w:eastAsia="Times New Roman" w:hint="default"/>
                          <w:w w:val="101"/>
                          <w:sz w:val="18"/>
                          <w:szCs w:val="18"/>
                        </w:rPr>
                        <w:t>3</w:t>
                      </w:r>
                      <w:r>
                        <w:rPr>
                          <w:rFonts w:ascii="Times New Roman" w:hAnsi="Times New Roman" w:cs="Times New Roman" w:eastAsia="Times New Roman" w:hint="default"/>
                          <w:spacing w:val="-5"/>
                          <w:w w:val="101"/>
                          <w:sz w:val="18"/>
                          <w:szCs w:val="18"/>
                        </w:rPr>
                        <w:t>9</w:t>
                      </w:r>
                      <w:r>
                        <w:rPr>
                          <w:rFonts w:ascii="Times New Roman" w:hAnsi="Times New Roman" w:cs="Times New Roman" w:eastAsia="Times New Roman" w:hint="default"/>
                          <w:w w:val="101"/>
                          <w:sz w:val="18"/>
                          <w:szCs w:val="18"/>
                        </w:rPr>
                        <w:t>3</w:t>
                      </w:r>
                      <w:r>
                        <w:rPr>
                          <w:rFonts w:ascii="Times New Roman" w:hAnsi="Times New Roman" w:cs="Times New Roman" w:eastAsia="Times New Roman" w:hint="default"/>
                          <w:spacing w:val="2"/>
                          <w:w w:val="101"/>
                          <w:sz w:val="18"/>
                          <w:szCs w:val="18"/>
                        </w:rPr>
                        <w:t>.</w:t>
                      </w:r>
                      <w:r>
                        <w:rPr>
                          <w:rFonts w:ascii="Times New Roman" w:hAnsi="Times New Roman" w:cs="Times New Roman" w:eastAsia="Times New Roman" w:hint="default"/>
                          <w:w w:val="101"/>
                          <w:sz w:val="18"/>
                          <w:szCs w:val="18"/>
                        </w:rPr>
                        <w:t>16</w:t>
                      </w:r>
                      <w:r>
                        <w:rPr>
                          <w:rFonts w:ascii="Times New Roman" w:hAnsi="Times New Roman" w:cs="Times New Roman" w:eastAsia="Times New Roman" w:hint="default"/>
                          <w:spacing w:val="-6"/>
                          <w:sz w:val="18"/>
                          <w:szCs w:val="18"/>
                        </w:rPr>
                        <w:t> </w:t>
                      </w:r>
                      <w:r>
                        <w:rPr>
                          <w:rFonts w:ascii="宋体" w:hAnsi="宋体" w:cs="宋体" w:eastAsia="宋体" w:hint="default"/>
                          <w:w w:val="101"/>
                          <w:sz w:val="18"/>
                          <w:szCs w:val="18"/>
                        </w:rPr>
                        <w:t>元</w:t>
                      </w:r>
                      <w:r>
                        <w:rPr>
                          <w:rFonts w:ascii="宋体" w:hAnsi="宋体" w:cs="宋体" w:eastAsia="宋体" w:hint="default"/>
                          <w:spacing w:val="-87"/>
                          <w:w w:val="101"/>
                          <w:sz w:val="18"/>
                          <w:szCs w:val="18"/>
                        </w:rPr>
                        <w:t>，</w:t>
                      </w:r>
                      <w:r>
                        <w:rPr>
                          <w:rFonts w:ascii="宋体" w:hAnsi="宋体" w:cs="宋体" w:eastAsia="宋体" w:hint="default"/>
                          <w:spacing w:val="-5"/>
                          <w:w w:val="101"/>
                          <w:sz w:val="18"/>
                          <w:szCs w:val="18"/>
                        </w:rPr>
                        <w:t>减</w:t>
                      </w:r>
                      <w:r>
                        <w:rPr>
                          <w:rFonts w:ascii="宋体" w:hAnsi="宋体" w:cs="宋体" w:eastAsia="宋体" w:hint="default"/>
                          <w:w w:val="101"/>
                          <w:sz w:val="18"/>
                          <w:szCs w:val="18"/>
                        </w:rPr>
                        <w:t>去</w:t>
                      </w:r>
                      <w:r>
                        <w:rPr>
                          <w:rFonts w:ascii="宋体" w:hAnsi="宋体" w:cs="宋体" w:eastAsia="宋体" w:hint="default"/>
                          <w:spacing w:val="-47"/>
                          <w:sz w:val="18"/>
                          <w:szCs w:val="18"/>
                        </w:rPr>
                        <w:t> </w:t>
                      </w:r>
                      <w:r>
                        <w:rPr>
                          <w:rFonts w:ascii="Times New Roman" w:hAnsi="Times New Roman" w:cs="Times New Roman" w:eastAsia="Times New Roman" w:hint="default"/>
                          <w:w w:val="101"/>
                          <w:sz w:val="18"/>
                          <w:szCs w:val="18"/>
                        </w:rPr>
                        <w:t>20</w:t>
                      </w:r>
                      <w:r>
                        <w:rPr>
                          <w:rFonts w:ascii="Times New Roman" w:hAnsi="Times New Roman" w:cs="Times New Roman" w:eastAsia="Times New Roman" w:hint="default"/>
                          <w:spacing w:val="-5"/>
                          <w:w w:val="101"/>
                          <w:sz w:val="18"/>
                          <w:szCs w:val="18"/>
                        </w:rPr>
                        <w:t>1</w:t>
                      </w:r>
                      <w:r>
                        <w:rPr>
                          <w:rFonts w:ascii="Times New Roman" w:hAnsi="Times New Roman" w:cs="Times New Roman" w:eastAsia="Times New Roman" w:hint="default"/>
                          <w:w w:val="101"/>
                          <w:sz w:val="18"/>
                          <w:szCs w:val="18"/>
                        </w:rPr>
                        <w:t>8</w:t>
                      </w:r>
                      <w:r>
                        <w:rPr>
                          <w:rFonts w:ascii="Times New Roman" w:hAnsi="Times New Roman" w:cs="Times New Roman" w:eastAsia="Times New Roman" w:hint="default"/>
                          <w:sz w:val="18"/>
                          <w:szCs w:val="18"/>
                        </w:rPr>
                      </w:r>
                    </w:p>
                    <w:p>
                      <w:pPr>
                        <w:spacing w:line="319" w:lineRule="auto" w:before="63"/>
                        <w:ind w:left="33" w:right="0" w:firstLine="0"/>
                        <w:jc w:val="left"/>
                        <w:rPr>
                          <w:rFonts w:ascii="宋体" w:hAnsi="宋体" w:cs="宋体" w:eastAsia="宋体" w:hint="default"/>
                          <w:sz w:val="18"/>
                          <w:szCs w:val="18"/>
                        </w:rPr>
                      </w:pPr>
                      <w:r>
                        <w:rPr>
                          <w:rFonts w:ascii="宋体" w:hAnsi="宋体" w:cs="宋体" w:eastAsia="宋体" w:hint="default"/>
                          <w:sz w:val="18"/>
                          <w:szCs w:val="18"/>
                        </w:rPr>
                        <w:t>年度现金分红</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14,132,810.70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元，截至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3"/>
                          <w:sz w:val="18"/>
                          <w:szCs w:val="18"/>
                        </w:rPr>
                        <w:t> </w:t>
                      </w:r>
                      <w:r>
                        <w:rPr>
                          <w:rFonts w:ascii="宋体" w:hAnsi="宋体" w:cs="宋体" w:eastAsia="宋体" w:hint="default"/>
                          <w:spacing w:val="-3"/>
                          <w:sz w:val="18"/>
                          <w:szCs w:val="18"/>
                        </w:rPr>
                        <w:t>日，母公司可供股东分配的利润为</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102,182,421.69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年度母</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公司经营活动产生的现金流量净额为</w:t>
                      </w:r>
                      <w:r>
                        <w:rPr>
                          <w:rFonts w:ascii="Times New Roman" w:hAnsi="Times New Roman" w:cs="Times New Roman" w:eastAsia="Times New Roman" w:hint="default"/>
                          <w:sz w:val="18"/>
                          <w:szCs w:val="18"/>
                        </w:rPr>
                        <w:t>-105,568,976.42 </w:t>
                      </w:r>
                      <w:r>
                        <w:rPr>
                          <w:rFonts w:ascii="宋体" w:hAnsi="宋体" w:cs="宋体" w:eastAsia="宋体" w:hint="default"/>
                          <w:spacing w:val="-3"/>
                          <w:sz w:val="18"/>
                          <w:szCs w:val="18"/>
                        </w:rPr>
                        <w:t>元，合并口径公司经营活动产生的现金流量净额为</w:t>
                      </w:r>
                      <w:r>
                        <w:rPr>
                          <w:rFonts w:ascii="Times New Roman" w:hAnsi="Times New Roman" w:cs="Times New Roman" w:eastAsia="Times New Roman" w:hint="default"/>
                          <w:spacing w:val="-3"/>
                          <w:sz w:val="18"/>
                          <w:szCs w:val="18"/>
                        </w:rPr>
                        <w:t>-53,425,673.79 </w:t>
                      </w:r>
                      <w:r>
                        <w:rPr>
                          <w:rFonts w:ascii="宋体" w:hAnsi="宋体" w:cs="宋体" w:eastAsia="宋体" w:hint="default"/>
                          <w:spacing w:val="-5"/>
                          <w:sz w:val="18"/>
                          <w:szCs w:val="18"/>
                        </w:rPr>
                        <w:t>元。</w:t>
                      </w:r>
                      <w:r>
                        <w:rPr>
                          <w:rFonts w:ascii="宋体" w:hAnsi="宋体" w:cs="宋体" w:eastAsia="宋体" w:hint="default"/>
                          <w:spacing w:val="-68"/>
                          <w:sz w:val="18"/>
                          <w:szCs w:val="18"/>
                        </w:rPr>
                        <w:t> </w:t>
                      </w:r>
                      <w:r>
                        <w:rPr>
                          <w:rFonts w:ascii="宋体" w:hAnsi="宋体" w:cs="宋体" w:eastAsia="宋体" w:hint="default"/>
                          <w:spacing w:val="-3"/>
                          <w:sz w:val="18"/>
                          <w:szCs w:val="18"/>
                        </w:rPr>
                        <w:t>根据《公司章程》关于利润分配的有关规定，鉴于公司上年度盈利情况、现金流情况以及未来经营发展需要，为保障公司</w:t>
                      </w:r>
                      <w:r>
                        <w:rPr>
                          <w:rFonts w:ascii="宋体" w:hAnsi="宋体" w:cs="宋体" w:eastAsia="宋体" w:hint="default"/>
                          <w:spacing w:val="41"/>
                          <w:sz w:val="18"/>
                          <w:szCs w:val="18"/>
                        </w:rPr>
                        <w:t> </w:t>
                      </w:r>
                      <w:r>
                        <w:rPr>
                          <w:rFonts w:ascii="宋体" w:hAnsi="宋体" w:cs="宋体" w:eastAsia="宋体" w:hint="default"/>
                          <w:spacing w:val="41"/>
                          <w:sz w:val="18"/>
                          <w:szCs w:val="18"/>
                        </w:rPr>
                      </w:r>
                      <w:r>
                        <w:rPr>
                          <w:rFonts w:ascii="宋体" w:hAnsi="宋体" w:cs="宋体" w:eastAsia="宋体" w:hint="default"/>
                          <w:spacing w:val="-3"/>
                          <w:sz w:val="18"/>
                          <w:szCs w:val="18"/>
                        </w:rPr>
                        <w:t>生产经营的正常运行，增强抵御风险能力，实现公司持续、稳定、健康发展，更好的维护全体股东的长远利益，经公司董</w:t>
                      </w:r>
                      <w:r>
                        <w:rPr>
                          <w:rFonts w:ascii="宋体" w:hAnsi="宋体" w:cs="宋体" w:eastAsia="宋体" w:hint="default"/>
                          <w:spacing w:val="36"/>
                          <w:sz w:val="18"/>
                          <w:szCs w:val="18"/>
                        </w:rPr>
                        <w:t> </w:t>
                      </w:r>
                      <w:r>
                        <w:rPr>
                          <w:rFonts w:ascii="宋体" w:hAnsi="宋体" w:cs="宋体" w:eastAsia="宋体" w:hint="default"/>
                          <w:spacing w:val="36"/>
                          <w:sz w:val="18"/>
                          <w:szCs w:val="18"/>
                        </w:rPr>
                      </w:r>
                      <w:r>
                        <w:rPr>
                          <w:rFonts w:ascii="宋体" w:hAnsi="宋体" w:cs="宋体" w:eastAsia="宋体" w:hint="default"/>
                          <w:sz w:val="18"/>
                          <w:szCs w:val="18"/>
                        </w:rPr>
                        <w:t>事会研究决定：</w:t>
                      </w:r>
                      <w:r>
                        <w:rPr>
                          <w:rFonts w:ascii="Times New Roman" w:hAnsi="Times New Roman" w:cs="Times New Roman" w:eastAsia="Times New Roman" w:hint="default"/>
                          <w:sz w:val="18"/>
                          <w:szCs w:val="18"/>
                        </w:rPr>
                        <w:t>2019  </w:t>
                      </w:r>
                      <w:r>
                        <w:rPr>
                          <w:rFonts w:ascii="Times New Roman" w:hAnsi="Times New Roman" w:cs="Times New Roman" w:eastAsia="Times New Roman" w:hint="default"/>
                          <w:spacing w:val="30"/>
                          <w:sz w:val="18"/>
                          <w:szCs w:val="18"/>
                        </w:rPr>
                        <w:t> </w:t>
                      </w:r>
                      <w:r>
                        <w:rPr>
                          <w:rFonts w:ascii="宋体" w:hAnsi="宋体" w:cs="宋体" w:eastAsia="宋体" w:hint="default"/>
                          <w:spacing w:val="-3"/>
                          <w:sz w:val="18"/>
                          <w:szCs w:val="18"/>
                        </w:rPr>
                        <w:t>年度不进行现金分红，也不进行资本公积金转增股本，可供股东分配的利润结转以后年度。</w:t>
                      </w:r>
                    </w:p>
                  </w:txbxContent>
                </v:textbox>
                <w10:wrap type="none"/>
              </v:shape>
            </v:group>
          </v:group>
        </w:pict>
      </w:r>
      <w:r>
        <w:rPr>
          <w:rFonts w:ascii="宋体" w:hAnsi="宋体" w:cs="宋体" w:eastAsia="宋体" w:hint="default"/>
          <w:position w:val="-39"/>
          <w:sz w:val="20"/>
          <w:szCs w:val="20"/>
        </w:rPr>
      </w:r>
    </w:p>
    <w:p>
      <w:pPr>
        <w:spacing w:line="240" w:lineRule="auto" w:before="13"/>
        <w:rPr>
          <w:rFonts w:ascii="宋体" w:hAnsi="宋体" w:cs="宋体" w:eastAsia="宋体" w:hint="default"/>
          <w:sz w:val="26"/>
          <w:szCs w:val="26"/>
        </w:rPr>
      </w:pPr>
    </w:p>
    <w:p>
      <w:pPr>
        <w:pStyle w:val="BodyText"/>
        <w:spacing w:line="240" w:lineRule="auto" w:before="46"/>
        <w:ind w:right="0"/>
        <w:jc w:val="both"/>
      </w:pPr>
      <w:r>
        <w:rPr>
          <w:w w:val="101"/>
        </w:rPr>
        <w:t>公司近</w:t>
      </w:r>
      <w:r>
        <w:rPr>
          <w:spacing w:val="-47"/>
        </w:rPr>
        <w:t> </w:t>
      </w:r>
      <w:r>
        <w:rPr>
          <w:rFonts w:ascii="Times New Roman" w:hAnsi="Times New Roman" w:cs="Times New Roman" w:eastAsia="Times New Roman" w:hint="default"/>
          <w:w w:val="101"/>
        </w:rPr>
        <w:t>3</w:t>
      </w:r>
      <w:r>
        <w:rPr>
          <w:rFonts w:ascii="Times New Roman" w:hAnsi="Times New Roman" w:cs="Times New Roman" w:eastAsia="Times New Roman" w:hint="default"/>
          <w:spacing w:val="-7"/>
        </w:rPr>
        <w:t> </w:t>
      </w:r>
      <w:r>
        <w:rPr>
          <w:w w:val="101"/>
        </w:rPr>
        <w:t>年</w:t>
      </w:r>
      <w:r>
        <w:rPr>
          <w:spacing w:val="-5"/>
          <w:w w:val="101"/>
        </w:rPr>
        <w:t>（</w:t>
      </w:r>
      <w:r>
        <w:rPr>
          <w:w w:val="101"/>
        </w:rPr>
        <w:t>包</w:t>
      </w:r>
      <w:r>
        <w:rPr>
          <w:spacing w:val="-5"/>
          <w:w w:val="101"/>
        </w:rPr>
        <w:t>括</w:t>
      </w:r>
      <w:r>
        <w:rPr>
          <w:w w:val="101"/>
        </w:rPr>
        <w:t>本</w:t>
      </w:r>
      <w:r>
        <w:rPr>
          <w:spacing w:val="-5"/>
          <w:w w:val="101"/>
        </w:rPr>
        <w:t>报</w:t>
      </w:r>
      <w:r>
        <w:rPr>
          <w:w w:val="101"/>
        </w:rPr>
        <w:t>告</w:t>
      </w:r>
      <w:r>
        <w:rPr>
          <w:spacing w:val="-5"/>
          <w:w w:val="101"/>
        </w:rPr>
        <w:t>期</w:t>
      </w:r>
      <w:r>
        <w:rPr>
          <w:w w:val="101"/>
        </w:rPr>
        <w:t>）</w:t>
      </w:r>
      <w:r>
        <w:rPr>
          <w:spacing w:val="-5"/>
          <w:w w:val="101"/>
        </w:rPr>
        <w:t>的</w:t>
      </w:r>
      <w:r>
        <w:rPr>
          <w:w w:val="101"/>
        </w:rPr>
        <w:t>普</w:t>
      </w:r>
      <w:r>
        <w:rPr>
          <w:spacing w:val="-5"/>
          <w:w w:val="101"/>
        </w:rPr>
        <w:t>通</w:t>
      </w:r>
      <w:r>
        <w:rPr>
          <w:w w:val="101"/>
        </w:rPr>
        <w:t>股</w:t>
      </w:r>
      <w:r>
        <w:rPr>
          <w:spacing w:val="-5"/>
          <w:w w:val="101"/>
        </w:rPr>
        <w:t>股</w:t>
      </w:r>
      <w:r>
        <w:rPr>
          <w:w w:val="101"/>
        </w:rPr>
        <w:t>利</w:t>
      </w:r>
      <w:r>
        <w:rPr>
          <w:spacing w:val="-5"/>
          <w:w w:val="101"/>
        </w:rPr>
        <w:t>分</w:t>
      </w:r>
      <w:r>
        <w:rPr>
          <w:w w:val="101"/>
        </w:rPr>
        <w:t>配</w:t>
      </w:r>
      <w:r>
        <w:rPr>
          <w:spacing w:val="-5"/>
          <w:w w:val="101"/>
        </w:rPr>
        <w:t>方</w:t>
      </w:r>
      <w:r>
        <w:rPr>
          <w:w w:val="101"/>
        </w:rPr>
        <w:t>案</w:t>
      </w:r>
      <w:r>
        <w:rPr>
          <w:spacing w:val="-5"/>
          <w:w w:val="101"/>
        </w:rPr>
        <w:t>（</w:t>
      </w:r>
      <w:r>
        <w:rPr>
          <w:w w:val="101"/>
        </w:rPr>
        <w:t>预案</w:t>
      </w:r>
      <w:r>
        <w:rPr>
          <w:spacing w:val="-96"/>
          <w:w w:val="101"/>
        </w:rPr>
        <w:t>）</w:t>
      </w:r>
      <w:r>
        <w:rPr>
          <w:w w:val="101"/>
        </w:rPr>
        <w:t>、</w:t>
      </w:r>
      <w:r>
        <w:rPr>
          <w:spacing w:val="-5"/>
          <w:w w:val="101"/>
        </w:rPr>
        <w:t>资</w:t>
      </w:r>
      <w:r>
        <w:rPr>
          <w:w w:val="101"/>
        </w:rPr>
        <w:t>本</w:t>
      </w:r>
      <w:r>
        <w:rPr>
          <w:spacing w:val="-5"/>
          <w:w w:val="101"/>
        </w:rPr>
        <w:t>公</w:t>
      </w:r>
      <w:r>
        <w:rPr>
          <w:w w:val="101"/>
        </w:rPr>
        <w:t>积</w:t>
      </w:r>
      <w:r>
        <w:rPr>
          <w:spacing w:val="-5"/>
          <w:w w:val="101"/>
        </w:rPr>
        <w:t>金</w:t>
      </w:r>
      <w:r>
        <w:rPr>
          <w:w w:val="101"/>
        </w:rPr>
        <w:t>转</w:t>
      </w:r>
      <w:r>
        <w:rPr>
          <w:spacing w:val="-5"/>
          <w:w w:val="101"/>
        </w:rPr>
        <w:t>增</w:t>
      </w:r>
      <w:r>
        <w:rPr>
          <w:w w:val="101"/>
        </w:rPr>
        <w:t>股</w:t>
      </w:r>
      <w:r>
        <w:rPr>
          <w:spacing w:val="-5"/>
          <w:w w:val="101"/>
        </w:rPr>
        <w:t>本</w:t>
      </w:r>
      <w:r>
        <w:rPr>
          <w:w w:val="101"/>
        </w:rPr>
        <w:t>方</w:t>
      </w:r>
      <w:r>
        <w:rPr>
          <w:spacing w:val="-5"/>
          <w:w w:val="101"/>
        </w:rPr>
        <w:t>案</w:t>
      </w:r>
      <w:r>
        <w:rPr>
          <w:w w:val="101"/>
        </w:rPr>
        <w:t>（</w:t>
      </w:r>
      <w:r>
        <w:rPr>
          <w:spacing w:val="-5"/>
          <w:w w:val="101"/>
        </w:rPr>
        <w:t>预</w:t>
      </w:r>
      <w:r>
        <w:rPr>
          <w:w w:val="101"/>
        </w:rPr>
        <w:t>案</w:t>
      </w:r>
      <w:r>
        <w:rPr>
          <w:spacing w:val="-5"/>
          <w:w w:val="101"/>
        </w:rPr>
        <w:t>）</w:t>
      </w:r>
      <w:r>
        <w:rPr>
          <w:w w:val="101"/>
        </w:rPr>
        <w:t>情况</w:t>
      </w:r>
      <w:r>
        <w:rPr/>
      </w:r>
    </w:p>
    <w:p>
      <w:pPr>
        <w:spacing w:line="240" w:lineRule="auto" w:before="0"/>
        <w:rPr>
          <w:rFonts w:ascii="宋体" w:hAnsi="宋体" w:cs="宋体" w:eastAsia="宋体" w:hint="default"/>
          <w:sz w:val="14"/>
          <w:szCs w:val="14"/>
        </w:rPr>
      </w:pPr>
    </w:p>
    <w:p>
      <w:pPr>
        <w:pStyle w:val="BodyText"/>
        <w:spacing w:line="240" w:lineRule="auto"/>
        <w:ind w:left="513" w:right="0"/>
        <w:jc w:val="left"/>
      </w:pPr>
      <w:r>
        <w:rPr>
          <w:rFonts w:ascii="Times New Roman" w:hAnsi="Times New Roman" w:cs="Times New Roman" w:eastAsia="Times New Roman" w:hint="default"/>
        </w:rPr>
        <w:t>1.2019</w:t>
      </w:r>
      <w:r>
        <w:rPr>
          <w:rFonts w:ascii="Times New Roman" w:hAnsi="Times New Roman" w:cs="Times New Roman" w:eastAsia="Times New Roman" w:hint="default"/>
          <w:spacing w:val="-4"/>
        </w:rPr>
        <w:t> </w:t>
      </w:r>
      <w:r>
        <w:rPr/>
        <w:t>年度利润分配预案</w:t>
      </w:r>
    </w:p>
    <w:p>
      <w:pPr>
        <w:spacing w:line="240" w:lineRule="auto" w:before="7"/>
        <w:rPr>
          <w:rFonts w:ascii="宋体" w:hAnsi="宋体" w:cs="宋体" w:eastAsia="宋体" w:hint="default"/>
          <w:sz w:val="16"/>
          <w:szCs w:val="16"/>
        </w:rPr>
      </w:pPr>
    </w:p>
    <w:p>
      <w:pPr>
        <w:pStyle w:val="BodyText"/>
        <w:spacing w:line="480" w:lineRule="auto"/>
        <w:ind w:right="1123" w:firstLine="360"/>
        <w:jc w:val="left"/>
      </w:pPr>
      <w:r>
        <w:rPr>
          <w:spacing w:val="-3"/>
        </w:rPr>
        <w:t>经中汇会计师事务所（特殊普通合伙）审计，</w:t>
      </w:r>
      <w:r>
        <w:rPr>
          <w:rFonts w:ascii="宋体" w:hAnsi="宋体" w:cs="宋体" w:eastAsia="宋体" w:hint="default"/>
          <w:spacing w:val="-3"/>
        </w:rPr>
        <w:t>2019 </w:t>
      </w:r>
      <w:r>
        <w:rPr/>
        <w:t>年度母公司实现净利润 </w:t>
      </w:r>
      <w:r>
        <w:rPr>
          <w:rFonts w:ascii="宋体" w:hAnsi="宋体" w:cs="宋体" w:eastAsia="宋体" w:hint="default"/>
        </w:rPr>
        <w:t>9,446,488.03</w:t>
      </w:r>
      <w:r>
        <w:rPr>
          <w:rFonts w:ascii="宋体" w:hAnsi="宋体" w:cs="宋体" w:eastAsia="宋体" w:hint="default"/>
          <w:spacing w:val="-51"/>
        </w:rPr>
        <w:t> </w:t>
      </w:r>
      <w:r>
        <w:rPr>
          <w:spacing w:val="-5"/>
        </w:rPr>
        <w:t>元，根据《公司法》和《公司</w:t>
      </w:r>
      <w:r>
        <w:rPr>
          <w:w w:val="101"/>
        </w:rPr>
        <w:t> </w:t>
      </w:r>
      <w:r>
        <w:rPr>
          <w:spacing w:val="-8"/>
        </w:rPr>
        <w:t>章程》的有关规定，按照实现净利润的</w:t>
      </w:r>
      <w:r>
        <w:rPr>
          <w:spacing w:val="-19"/>
        </w:rPr>
        <w:t> </w:t>
      </w:r>
      <w:r>
        <w:rPr>
          <w:rFonts w:ascii="宋体" w:hAnsi="宋体" w:cs="宋体" w:eastAsia="宋体" w:hint="default"/>
          <w:spacing w:val="-3"/>
        </w:rPr>
        <w:t>10</w:t>
      </w:r>
      <w:r>
        <w:rPr>
          <w:spacing w:val="-3"/>
        </w:rPr>
        <w:t>％提取法定盈余公积</w:t>
      </w:r>
      <w:r>
        <w:rPr>
          <w:spacing w:val="-26"/>
        </w:rPr>
        <w:t> </w:t>
      </w:r>
      <w:r>
        <w:rPr>
          <w:rFonts w:ascii="宋体" w:hAnsi="宋体" w:cs="宋体" w:eastAsia="宋体" w:hint="default"/>
        </w:rPr>
        <w:t>944,648.80</w:t>
      </w:r>
      <w:r>
        <w:rPr>
          <w:rFonts w:ascii="宋体" w:hAnsi="宋体" w:cs="宋体" w:eastAsia="宋体" w:hint="default"/>
          <w:spacing w:val="-28"/>
        </w:rPr>
        <w:t> </w:t>
      </w:r>
      <w:r>
        <w:rPr>
          <w:spacing w:val="-6"/>
        </w:rPr>
        <w:t>元后，加上年初未分配利润</w:t>
      </w:r>
      <w:r>
        <w:rPr>
          <w:spacing w:val="-19"/>
        </w:rPr>
        <w:t> </w:t>
      </w:r>
      <w:r>
        <w:rPr>
          <w:rFonts w:ascii="宋体" w:hAnsi="宋体" w:cs="宋体" w:eastAsia="宋体" w:hint="default"/>
        </w:rPr>
        <w:t>107,813,393.16</w:t>
      </w:r>
      <w:r>
        <w:rPr>
          <w:rFonts w:ascii="宋体" w:hAnsi="宋体" w:cs="宋体" w:eastAsia="宋体" w:hint="default"/>
          <w:spacing w:val="-19"/>
        </w:rPr>
        <w:t> </w:t>
      </w:r>
      <w:r>
        <w:rPr>
          <w:spacing w:val="-5"/>
        </w:rPr>
        <w:t>元，</w:t>
      </w:r>
      <w:r>
        <w:rPr/>
      </w:r>
    </w:p>
    <w:p>
      <w:pPr>
        <w:pStyle w:val="BodyText"/>
        <w:spacing w:line="240" w:lineRule="auto" w:before="50"/>
        <w:ind w:right="0"/>
        <w:jc w:val="both"/>
      </w:pPr>
      <w:r>
        <w:rPr/>
        <w:t>减去</w:t>
      </w:r>
      <w:r>
        <w:rPr>
          <w:spacing w:val="-43"/>
        </w:rPr>
        <w:t> </w:t>
      </w:r>
      <w:r>
        <w:rPr>
          <w:rFonts w:ascii="宋体" w:hAnsi="宋体" w:cs="宋体" w:eastAsia="宋体" w:hint="default"/>
        </w:rPr>
        <w:t>2018</w:t>
      </w:r>
      <w:r>
        <w:rPr>
          <w:rFonts w:ascii="宋体" w:hAnsi="宋体" w:cs="宋体" w:eastAsia="宋体" w:hint="default"/>
          <w:spacing w:val="-48"/>
        </w:rPr>
        <w:t> </w:t>
      </w:r>
      <w:r>
        <w:rPr/>
        <w:t>年度现金分红</w:t>
      </w:r>
      <w:r>
        <w:rPr>
          <w:spacing w:val="-43"/>
        </w:rPr>
        <w:t> </w:t>
      </w:r>
      <w:r>
        <w:rPr>
          <w:rFonts w:ascii="宋体" w:hAnsi="宋体" w:cs="宋体" w:eastAsia="宋体" w:hint="default"/>
        </w:rPr>
        <w:t>14,132,810.70</w:t>
      </w:r>
      <w:r>
        <w:rPr>
          <w:rFonts w:ascii="宋体" w:hAnsi="宋体" w:cs="宋体" w:eastAsia="宋体" w:hint="default"/>
          <w:spacing w:val="-43"/>
        </w:rPr>
        <w:t> </w:t>
      </w:r>
      <w:r>
        <w:rPr>
          <w:spacing w:val="-3"/>
        </w:rPr>
        <w:t>元，截至</w:t>
      </w:r>
      <w:r>
        <w:rPr>
          <w:spacing w:val="-43"/>
        </w:rPr>
        <w:t> </w:t>
      </w:r>
      <w:r>
        <w:rPr>
          <w:rFonts w:ascii="宋体" w:hAnsi="宋体" w:cs="宋体" w:eastAsia="宋体" w:hint="default"/>
        </w:rPr>
        <w:t>2019</w:t>
      </w:r>
      <w:r>
        <w:rPr>
          <w:rFonts w:ascii="宋体" w:hAnsi="宋体" w:cs="宋体" w:eastAsia="宋体" w:hint="default"/>
          <w:spacing w:val="-43"/>
        </w:rPr>
        <w:t> </w:t>
      </w:r>
      <w:r>
        <w:rPr/>
        <w:t>年</w:t>
      </w:r>
      <w:r>
        <w:rPr>
          <w:spacing w:val="-48"/>
        </w:rPr>
        <w:t> </w:t>
      </w:r>
      <w:r>
        <w:rPr>
          <w:rFonts w:ascii="宋体" w:hAnsi="宋体" w:cs="宋体" w:eastAsia="宋体" w:hint="default"/>
        </w:rPr>
        <w:t>12</w:t>
      </w:r>
      <w:r>
        <w:rPr>
          <w:rFonts w:ascii="宋体" w:hAnsi="宋体" w:cs="宋体" w:eastAsia="宋体" w:hint="default"/>
          <w:spacing w:val="-43"/>
        </w:rPr>
        <w:t> </w:t>
      </w:r>
      <w:r>
        <w:rPr/>
        <w:t>月</w:t>
      </w:r>
      <w:r>
        <w:rPr>
          <w:spacing w:val="-43"/>
        </w:rPr>
        <w:t> </w:t>
      </w:r>
      <w:r>
        <w:rPr>
          <w:rFonts w:ascii="宋体" w:hAnsi="宋体" w:cs="宋体" w:eastAsia="宋体" w:hint="default"/>
        </w:rPr>
        <w:t>31</w:t>
      </w:r>
      <w:r>
        <w:rPr>
          <w:rFonts w:ascii="宋体" w:hAnsi="宋体" w:cs="宋体" w:eastAsia="宋体" w:hint="default"/>
          <w:spacing w:val="-43"/>
        </w:rPr>
        <w:t> </w:t>
      </w:r>
      <w:r>
        <w:rPr/>
        <w:t>日，母公司可供股东分配的利润为</w:t>
      </w:r>
      <w:r>
        <w:rPr>
          <w:spacing w:val="-47"/>
        </w:rPr>
        <w:t> </w:t>
      </w:r>
      <w:r>
        <w:rPr>
          <w:rFonts w:ascii="宋体" w:hAnsi="宋体" w:cs="宋体" w:eastAsia="宋体" w:hint="default"/>
        </w:rPr>
        <w:t>102,182,421.69</w:t>
      </w:r>
      <w:r>
        <w:rPr>
          <w:rFonts w:ascii="宋体" w:hAnsi="宋体" w:cs="宋体" w:eastAsia="宋体" w:hint="default"/>
          <w:spacing w:val="-43"/>
        </w:rPr>
        <w:t> </w:t>
      </w:r>
      <w:r>
        <w:rPr>
          <w:spacing w:val="-5"/>
        </w:rPr>
        <w:t>元。</w:t>
      </w:r>
      <w:r>
        <w:rPr/>
      </w:r>
    </w:p>
    <w:p>
      <w:pPr>
        <w:spacing w:line="240" w:lineRule="auto" w:before="13"/>
        <w:rPr>
          <w:rFonts w:ascii="宋体" w:hAnsi="宋体" w:cs="宋体" w:eastAsia="宋体" w:hint="default"/>
          <w:sz w:val="17"/>
          <w:szCs w:val="17"/>
        </w:rPr>
      </w:pPr>
    </w:p>
    <w:p>
      <w:pPr>
        <w:pStyle w:val="BodyText"/>
        <w:spacing w:line="240" w:lineRule="auto"/>
        <w:ind w:right="0"/>
        <w:jc w:val="both"/>
      </w:pPr>
      <w:r>
        <w:rPr>
          <w:rFonts w:ascii="宋体" w:hAnsi="宋体" w:cs="宋体" w:eastAsia="宋体" w:hint="default"/>
        </w:rPr>
        <w:t>2019 </w:t>
      </w:r>
      <w:r>
        <w:rPr/>
        <w:t>年度母公司经营活动产生的现金流量净额为</w:t>
      </w:r>
      <w:r>
        <w:rPr>
          <w:rFonts w:ascii="宋体" w:hAnsi="宋体" w:cs="宋体" w:eastAsia="宋体" w:hint="default"/>
        </w:rPr>
        <w:t>-105,568,976.42</w:t>
      </w:r>
      <w:r>
        <w:rPr>
          <w:rFonts w:ascii="宋体" w:hAnsi="宋体" w:cs="宋体" w:eastAsia="宋体" w:hint="default"/>
          <w:spacing w:val="-26"/>
        </w:rPr>
        <w:t> </w:t>
      </w:r>
      <w:r>
        <w:rPr>
          <w:spacing w:val="-3"/>
        </w:rPr>
        <w:t>元，合并口径公司经营活动产生的现金流量净额为</w:t>
      </w:r>
    </w:p>
    <w:p>
      <w:pPr>
        <w:spacing w:line="240" w:lineRule="auto" w:before="8"/>
        <w:rPr>
          <w:rFonts w:ascii="宋体" w:hAnsi="宋体" w:cs="宋体" w:eastAsia="宋体" w:hint="default"/>
          <w:sz w:val="17"/>
          <w:szCs w:val="17"/>
        </w:rPr>
      </w:pPr>
    </w:p>
    <w:p>
      <w:pPr>
        <w:pStyle w:val="BodyText"/>
        <w:spacing w:line="240" w:lineRule="auto"/>
        <w:ind w:right="0"/>
        <w:jc w:val="both"/>
      </w:pPr>
      <w:r>
        <w:rPr>
          <w:rFonts w:ascii="宋体" w:hAnsi="宋体" w:cs="宋体" w:eastAsia="宋体" w:hint="default"/>
        </w:rPr>
        <w:t>-53,425,673.79</w:t>
      </w:r>
      <w:r>
        <w:rPr>
          <w:rFonts w:ascii="宋体" w:hAnsi="宋体" w:cs="宋体" w:eastAsia="宋体" w:hint="default"/>
          <w:spacing w:val="-41"/>
        </w:rPr>
        <w:t> </w:t>
      </w:r>
      <w:r>
        <w:rPr/>
        <w:t>元。</w:t>
      </w:r>
    </w:p>
    <w:p>
      <w:pPr>
        <w:spacing w:line="240" w:lineRule="auto" w:before="12"/>
        <w:rPr>
          <w:rFonts w:ascii="宋体" w:hAnsi="宋体" w:cs="宋体" w:eastAsia="宋体" w:hint="default"/>
          <w:sz w:val="17"/>
          <w:szCs w:val="17"/>
        </w:rPr>
      </w:pPr>
    </w:p>
    <w:p>
      <w:pPr>
        <w:pStyle w:val="BodyText"/>
        <w:spacing w:line="477" w:lineRule="auto"/>
        <w:ind w:right="1124" w:firstLine="360"/>
        <w:jc w:val="both"/>
      </w:pPr>
      <w:r>
        <w:rPr>
          <w:spacing w:val="-5"/>
        </w:rPr>
        <w:t>根据《公司章程》关于利润分配的有关规定，鉴于公司上年度盈利情况、现金流情况以及未来经营发展需要，为保障公</w:t>
      </w:r>
      <w:r>
        <w:rPr>
          <w:w w:val="101"/>
        </w:rPr>
        <w:t> </w:t>
      </w:r>
      <w:r>
        <w:rPr>
          <w:spacing w:val="-4"/>
        </w:rPr>
        <w:t>司生产经营的正常运行，增强抵御风险能力，实现公司持续、稳定、健康发展，更好的维护全体股东的长远利益，经公司董</w:t>
      </w:r>
      <w:r>
        <w:rPr>
          <w:spacing w:val="40"/>
        </w:rPr>
        <w:t> </w:t>
      </w:r>
      <w:r>
        <w:rPr>
          <w:spacing w:val="40"/>
        </w:rPr>
      </w:r>
      <w:r>
        <w:rPr/>
        <w:t>事会研究决定：</w:t>
      </w:r>
      <w:r>
        <w:rPr>
          <w:rFonts w:ascii="Times New Roman" w:hAnsi="Times New Roman" w:cs="Times New Roman" w:eastAsia="Times New Roman" w:hint="default"/>
        </w:rPr>
        <w:t>2019  </w:t>
      </w:r>
      <w:r>
        <w:rPr>
          <w:rFonts w:ascii="Times New Roman" w:hAnsi="Times New Roman" w:cs="Times New Roman" w:eastAsia="Times New Roman" w:hint="default"/>
          <w:spacing w:val="20"/>
        </w:rPr>
        <w:t> </w:t>
      </w:r>
      <w:r>
        <w:rPr>
          <w:spacing w:val="-3"/>
        </w:rPr>
        <w:t>年度不进行现金分红，也不进行资本公积金转增股本，可供股东分配的利润结转以后年度。</w:t>
      </w:r>
    </w:p>
    <w:p>
      <w:pPr>
        <w:pStyle w:val="BodyText"/>
        <w:spacing w:line="460" w:lineRule="auto" w:before="19"/>
        <w:ind w:right="0" w:firstLine="360"/>
        <w:jc w:val="left"/>
      </w:pPr>
      <w:r>
        <w:rPr/>
        <w:t>公司独立董事认为：综合考虑公司 </w:t>
      </w:r>
      <w:r>
        <w:rPr>
          <w:rFonts w:ascii="Times New Roman" w:hAnsi="Times New Roman" w:cs="Times New Roman" w:eastAsia="Times New Roman" w:hint="default"/>
          <w:spacing w:val="-3"/>
        </w:rPr>
        <w:t>2019</w:t>
      </w:r>
      <w:r>
        <w:rPr>
          <w:rFonts w:ascii="Times New Roman" w:hAnsi="Times New Roman" w:cs="Times New Roman" w:eastAsia="Times New Roman" w:hint="default"/>
          <w:spacing w:val="-8"/>
        </w:rPr>
        <w:t> </w:t>
      </w:r>
      <w:r>
        <w:rPr>
          <w:spacing w:val="-3"/>
        </w:rPr>
        <w:t>年度的盈利情况、现金流情况以及未来经营发展需要，公司董事会关于</w:t>
      </w:r>
      <w:r>
        <w:rPr>
          <w:rFonts w:ascii="Times New Roman" w:hAnsi="Times New Roman" w:cs="Times New Roman" w:eastAsia="Times New Roman" w:hint="default"/>
          <w:spacing w:val="-3"/>
        </w:rPr>
        <w:t>“2019</w:t>
      </w:r>
      <w:r>
        <w:rPr>
          <w:rFonts w:ascii="Times New Roman" w:hAnsi="Times New Roman" w:cs="Times New Roman" w:eastAsia="Times New Roman" w:hint="default"/>
          <w:w w:val="101"/>
        </w:rPr>
        <w:t> </w:t>
      </w:r>
      <w:r>
        <w:rPr>
          <w:spacing w:val="-3"/>
        </w:rPr>
        <w:t>年度不进行现金分红，也不进行资本公积金转增股本</w:t>
      </w:r>
      <w:r>
        <w:rPr>
          <w:rFonts w:ascii="Times New Roman" w:hAnsi="Times New Roman" w:cs="Times New Roman" w:eastAsia="Times New Roman" w:hint="default"/>
          <w:spacing w:val="-3"/>
        </w:rPr>
        <w:t>”</w:t>
      </w:r>
      <w:r>
        <w:rPr>
          <w:spacing w:val="-3"/>
        </w:rPr>
        <w:t>的预案符合公司实际情况，是基于公司持续经营与长期发展的考虑，</w:t>
      </w:r>
      <w:r>
        <w:rPr>
          <w:spacing w:val="65"/>
        </w:rPr>
        <w:t> </w:t>
      </w:r>
      <w:r>
        <w:rPr>
          <w:spacing w:val="65"/>
        </w:rPr>
      </w:r>
      <w:r>
        <w:rPr>
          <w:spacing w:val="-4"/>
        </w:rPr>
        <w:t>符合《公司章程》中利润分配政策的有关规定，不存在损害公司股东特别是中小股东利益的情形，有利于公司的正常经营和</w:t>
      </w:r>
      <w:r>
        <w:rPr>
          <w:spacing w:val="40"/>
        </w:rPr>
        <w:t> </w:t>
      </w:r>
      <w:r>
        <w:rPr>
          <w:spacing w:val="40"/>
        </w:rPr>
      </w:r>
      <w:r>
        <w:rPr>
          <w:spacing w:val="-3"/>
        </w:rPr>
        <w:t>可持续发展。因此，我们同意董事会制定的 </w:t>
      </w:r>
      <w:r>
        <w:rPr>
          <w:rFonts w:ascii="Times New Roman" w:hAnsi="Times New Roman" w:cs="Times New Roman" w:eastAsia="Times New Roman" w:hint="default"/>
          <w:spacing w:val="-3"/>
        </w:rPr>
        <w:t>2019  </w:t>
      </w:r>
      <w:r>
        <w:rPr>
          <w:rFonts w:ascii="Times New Roman" w:hAnsi="Times New Roman" w:cs="Times New Roman" w:eastAsia="Times New Roman" w:hint="default"/>
          <w:spacing w:val="16"/>
        </w:rPr>
        <w:t> </w:t>
      </w:r>
      <w:r>
        <w:rPr>
          <w:spacing w:val="-3"/>
        </w:rPr>
        <w:t>年度不进行利润分配的议案，并同意提交公司股东大会审议。</w:t>
      </w:r>
    </w:p>
    <w:p>
      <w:pPr>
        <w:pStyle w:val="BodyText"/>
        <w:spacing w:line="240" w:lineRule="auto" w:before="33"/>
        <w:ind w:left="513" w:right="0"/>
        <w:jc w:val="left"/>
      </w:pPr>
      <w:r>
        <w:rPr>
          <w:rFonts w:ascii="Times New Roman" w:hAnsi="Times New Roman" w:cs="Times New Roman" w:eastAsia="Times New Roman" w:hint="default"/>
        </w:rPr>
        <w:t>2019 </w:t>
      </w:r>
      <w:r>
        <w:rPr>
          <w:spacing w:val="-3"/>
        </w:rPr>
        <w:t>年度不进行利润分配的预案尚需提交公司 </w:t>
      </w:r>
      <w:r>
        <w:rPr>
          <w:rFonts w:ascii="Times New Roman" w:hAnsi="Times New Roman" w:cs="Times New Roman" w:eastAsia="Times New Roman" w:hint="default"/>
          <w:spacing w:val="-3"/>
        </w:rPr>
        <w:t>2019</w:t>
      </w:r>
      <w:r>
        <w:rPr>
          <w:rFonts w:ascii="Times New Roman" w:hAnsi="Times New Roman" w:cs="Times New Roman" w:eastAsia="Times New Roman" w:hint="default"/>
          <w:spacing w:val="30"/>
        </w:rPr>
        <w:t> </w:t>
      </w:r>
      <w:r>
        <w:rPr>
          <w:spacing w:val="-3"/>
        </w:rPr>
        <w:t>年度股东大会审议。</w:t>
      </w:r>
    </w:p>
    <w:p>
      <w:pPr>
        <w:spacing w:line="240" w:lineRule="auto" w:before="12"/>
        <w:rPr>
          <w:rFonts w:ascii="宋体" w:hAnsi="宋体" w:cs="宋体" w:eastAsia="宋体" w:hint="default"/>
          <w:sz w:val="16"/>
          <w:szCs w:val="16"/>
        </w:rPr>
      </w:pPr>
    </w:p>
    <w:p>
      <w:pPr>
        <w:pStyle w:val="BodyText"/>
        <w:spacing w:line="240" w:lineRule="auto"/>
        <w:ind w:left="513" w:right="0"/>
        <w:jc w:val="left"/>
      </w:pPr>
      <w:r>
        <w:rPr>
          <w:rFonts w:ascii="Times New Roman" w:hAnsi="Times New Roman" w:cs="Times New Roman" w:eastAsia="Times New Roman" w:hint="default"/>
        </w:rPr>
        <w:t>2.2018</w:t>
      </w:r>
      <w:r>
        <w:rPr>
          <w:rFonts w:ascii="Times New Roman" w:hAnsi="Times New Roman" w:cs="Times New Roman" w:eastAsia="Times New Roman" w:hint="default"/>
          <w:spacing w:val="-4"/>
        </w:rPr>
        <w:t> </w:t>
      </w:r>
      <w:r>
        <w:rPr/>
        <w:t>年度利润分配预案</w:t>
      </w:r>
    </w:p>
    <w:p>
      <w:pPr>
        <w:spacing w:line="240" w:lineRule="auto" w:before="7"/>
        <w:rPr>
          <w:rFonts w:ascii="宋体" w:hAnsi="宋体" w:cs="宋体" w:eastAsia="宋体" w:hint="default"/>
          <w:sz w:val="16"/>
          <w:szCs w:val="16"/>
        </w:rPr>
      </w:pPr>
    </w:p>
    <w:p>
      <w:pPr>
        <w:pStyle w:val="BodyText"/>
        <w:spacing w:line="240" w:lineRule="auto"/>
        <w:ind w:left="513" w:right="0"/>
        <w:jc w:val="left"/>
      </w:pPr>
      <w:r>
        <w:rPr>
          <w:rFonts w:ascii="Times New Roman" w:hAnsi="Times New Roman" w:cs="Times New Roman" w:eastAsia="Times New Roman" w:hint="default"/>
        </w:rPr>
        <w:t>2018 </w:t>
      </w:r>
      <w:r>
        <w:rPr>
          <w:spacing w:val="-7"/>
        </w:rPr>
        <w:t>年度，公司以经瑞华会计师事务所审计的母公司可供分配利润为基础，以 </w:t>
      </w:r>
      <w:r>
        <w:rPr>
          <w:rFonts w:ascii="Times New Roman" w:hAnsi="Times New Roman" w:cs="Times New Roman" w:eastAsia="Times New Roman" w:hint="default"/>
        </w:rPr>
        <w:t>2018 </w:t>
      </w:r>
      <w:r>
        <w:rPr/>
        <w:t>年末总股本 </w:t>
      </w:r>
      <w:r>
        <w:rPr>
          <w:rFonts w:ascii="Times New Roman" w:hAnsi="Times New Roman" w:cs="Times New Roman" w:eastAsia="Times New Roman" w:hint="default"/>
        </w:rPr>
        <w:t>706,640,535</w:t>
      </w:r>
      <w:r>
        <w:rPr>
          <w:rFonts w:ascii="Times New Roman" w:hAnsi="Times New Roman" w:cs="Times New Roman" w:eastAsia="Times New Roman" w:hint="default"/>
          <w:spacing w:val="8"/>
        </w:rPr>
        <w:t> </w:t>
      </w:r>
      <w:r>
        <w:rPr/>
        <w:t>股为基数，</w:t>
      </w:r>
    </w:p>
    <w:p>
      <w:pPr>
        <w:spacing w:line="240" w:lineRule="auto" w:before="12"/>
        <w:rPr>
          <w:rFonts w:ascii="宋体" w:hAnsi="宋体" w:cs="宋体" w:eastAsia="宋体" w:hint="default"/>
          <w:sz w:val="16"/>
          <w:szCs w:val="16"/>
        </w:rPr>
      </w:pPr>
    </w:p>
    <w:p>
      <w:pPr>
        <w:pStyle w:val="BodyText"/>
        <w:spacing w:line="451" w:lineRule="auto"/>
        <w:ind w:right="1122"/>
        <w:jc w:val="both"/>
      </w:pPr>
      <w:r>
        <w:rPr>
          <w:spacing w:val="-2"/>
          <w:w w:val="101"/>
        </w:rPr>
        <w:t>向全体股东每</w:t>
      </w:r>
      <w:r>
        <w:rPr>
          <w:spacing w:val="-47"/>
          <w:w w:val="101"/>
        </w:rPr>
        <w:t> </w:t>
      </w:r>
      <w:r>
        <w:rPr>
          <w:rFonts w:ascii="Times New Roman" w:hAnsi="Times New Roman" w:cs="Times New Roman" w:eastAsia="Times New Roman" w:hint="default"/>
          <w:w w:val="101"/>
        </w:rPr>
        <w:t>10</w:t>
      </w:r>
      <w:r>
        <w:rPr>
          <w:rFonts w:ascii="Times New Roman" w:hAnsi="Times New Roman" w:cs="Times New Roman" w:eastAsia="Times New Roman" w:hint="default"/>
          <w:spacing w:val="-1"/>
          <w:w w:val="101"/>
        </w:rPr>
        <w:t> </w:t>
      </w:r>
      <w:r>
        <w:rPr>
          <w:spacing w:val="-2"/>
          <w:w w:val="101"/>
        </w:rPr>
        <w:t>股派发人民币</w:t>
      </w:r>
      <w:r>
        <w:rPr>
          <w:spacing w:val="-52"/>
          <w:w w:val="101"/>
        </w:rPr>
        <w:t> </w:t>
      </w:r>
      <w:r>
        <w:rPr>
          <w:rFonts w:ascii="Times New Roman" w:hAnsi="Times New Roman" w:cs="Times New Roman" w:eastAsia="Times New Roman" w:hint="default"/>
          <w:w w:val="101"/>
        </w:rPr>
        <w:t>0.2</w:t>
      </w:r>
      <w:r>
        <w:rPr>
          <w:rFonts w:ascii="Times New Roman" w:hAnsi="Times New Roman" w:cs="Times New Roman" w:eastAsia="Times New Roman" w:hint="default"/>
          <w:spacing w:val="-6"/>
          <w:w w:val="101"/>
        </w:rPr>
        <w:t> </w:t>
      </w:r>
      <w:r>
        <w:rPr>
          <w:spacing w:val="-4"/>
          <w:w w:val="101"/>
        </w:rPr>
        <w:t>元现金（含税）</w:t>
      </w:r>
      <w:r>
        <w:rPr>
          <w:rFonts w:ascii="Times New Roman" w:hAnsi="Times New Roman" w:cs="Times New Roman" w:eastAsia="Times New Roman" w:hint="default"/>
          <w:spacing w:val="-4"/>
          <w:w w:val="101"/>
        </w:rPr>
        <w:t>,</w:t>
      </w:r>
      <w:r>
        <w:rPr>
          <w:spacing w:val="-4"/>
          <w:w w:val="101"/>
        </w:rPr>
        <w:t>合计派发现金股利利</w:t>
      </w:r>
      <w:r>
        <w:rPr>
          <w:spacing w:val="-47"/>
          <w:w w:val="101"/>
        </w:rPr>
        <w:t> </w:t>
      </w:r>
      <w:r>
        <w:rPr>
          <w:rFonts w:ascii="Times New Roman" w:hAnsi="Times New Roman" w:cs="Times New Roman" w:eastAsia="Times New Roman" w:hint="default"/>
          <w:spacing w:val="-2"/>
          <w:w w:val="101"/>
        </w:rPr>
        <w:t>14,132,810.70</w:t>
      </w:r>
      <w:r>
        <w:rPr>
          <w:rFonts w:ascii="Times New Roman" w:hAnsi="Times New Roman" w:cs="Times New Roman" w:eastAsia="Times New Roman" w:hint="default"/>
          <w:spacing w:val="-5"/>
          <w:w w:val="101"/>
        </w:rPr>
        <w:t> </w:t>
      </w:r>
      <w:r>
        <w:rPr>
          <w:spacing w:val="-14"/>
          <w:w w:val="101"/>
        </w:rPr>
        <w:t>元（含税）。</w:t>
      </w:r>
      <w:r>
        <w:rPr>
          <w:rFonts w:ascii="Times New Roman" w:hAnsi="Times New Roman" w:cs="Times New Roman" w:eastAsia="Times New Roman" w:hint="default"/>
          <w:spacing w:val="-14"/>
          <w:w w:val="101"/>
        </w:rPr>
        <w:t>2019</w:t>
      </w:r>
      <w:r>
        <w:rPr>
          <w:rFonts w:ascii="Times New Roman" w:hAnsi="Times New Roman" w:cs="Times New Roman" w:eastAsia="Times New Roman" w:hint="default"/>
          <w:spacing w:val="-1"/>
          <w:w w:val="101"/>
        </w:rPr>
        <w:t> </w:t>
      </w:r>
      <w:r>
        <w:rPr>
          <w:w w:val="101"/>
        </w:rPr>
        <w:t>年</w:t>
      </w:r>
      <w:r>
        <w:rPr>
          <w:spacing w:val="-47"/>
          <w:w w:val="101"/>
        </w:rPr>
        <w:t> </w:t>
      </w:r>
      <w:r>
        <w:rPr>
          <w:rFonts w:ascii="Times New Roman" w:hAnsi="Times New Roman" w:cs="Times New Roman" w:eastAsia="Times New Roman" w:hint="default"/>
          <w:w w:val="101"/>
        </w:rPr>
        <w:t>4</w:t>
      </w:r>
      <w:r>
        <w:rPr>
          <w:rFonts w:ascii="Times New Roman" w:hAnsi="Times New Roman" w:cs="Times New Roman" w:eastAsia="Times New Roman" w:hint="default"/>
          <w:spacing w:val="-1"/>
          <w:w w:val="101"/>
        </w:rPr>
        <w:t> </w:t>
      </w:r>
      <w:r>
        <w:rPr>
          <w:w w:val="101"/>
        </w:rPr>
        <w:t>月</w:t>
      </w:r>
      <w:r>
        <w:rPr>
          <w:spacing w:val="-47"/>
          <w:w w:val="101"/>
        </w:rPr>
        <w:t> </w:t>
      </w:r>
      <w:r>
        <w:rPr>
          <w:rFonts w:ascii="Times New Roman" w:hAnsi="Times New Roman" w:cs="Times New Roman" w:eastAsia="Times New Roman" w:hint="default"/>
          <w:w w:val="101"/>
        </w:rPr>
        <w:t>22</w:t>
      </w:r>
      <w:r>
        <w:rPr>
          <w:rFonts w:ascii="Times New Roman" w:hAnsi="Times New Roman" w:cs="Times New Roman" w:eastAsia="Times New Roman" w:hint="default"/>
          <w:spacing w:val="-1"/>
          <w:w w:val="101"/>
        </w:rPr>
        <w:t> </w:t>
      </w:r>
      <w:r>
        <w:rPr>
          <w:spacing w:val="-7"/>
          <w:w w:val="101"/>
        </w:rPr>
        <w:t>日，公司</w:t>
      </w:r>
      <w:r>
        <w:rPr>
          <w:w w:val="101"/>
        </w:rPr>
        <w:t> </w:t>
      </w:r>
      <w:r>
        <w:rPr>
          <w:spacing w:val="-3"/>
          <w:w w:val="101"/>
        </w:rPr>
        <w:t>第四届董事会第十六次会议审议通过了《</w:t>
      </w:r>
      <w:r>
        <w:rPr>
          <w:rFonts w:ascii="Times New Roman" w:hAnsi="Times New Roman" w:cs="Times New Roman" w:eastAsia="Times New Roman" w:hint="default"/>
          <w:spacing w:val="-3"/>
          <w:w w:val="101"/>
        </w:rPr>
        <w:t>2018</w:t>
      </w:r>
      <w:r>
        <w:rPr>
          <w:rFonts w:ascii="Times New Roman" w:hAnsi="Times New Roman" w:cs="Times New Roman" w:eastAsia="Times New Roman" w:hint="default"/>
          <w:spacing w:val="-4"/>
          <w:w w:val="101"/>
        </w:rPr>
        <w:t> </w:t>
      </w:r>
      <w:r>
        <w:rPr>
          <w:spacing w:val="-10"/>
          <w:w w:val="101"/>
        </w:rPr>
        <w:t>年度利润分配预案》；</w:t>
      </w:r>
      <w:r>
        <w:rPr>
          <w:rFonts w:ascii="Times New Roman" w:hAnsi="Times New Roman" w:cs="Times New Roman" w:eastAsia="Times New Roman" w:hint="default"/>
          <w:spacing w:val="-10"/>
          <w:w w:val="101"/>
        </w:rPr>
        <w:t>2019</w:t>
      </w:r>
      <w:r>
        <w:rPr>
          <w:rFonts w:ascii="Times New Roman" w:hAnsi="Times New Roman" w:cs="Times New Roman" w:eastAsia="Times New Roman" w:hint="default"/>
          <w:spacing w:val="1"/>
          <w:w w:val="101"/>
        </w:rPr>
        <w:t> </w:t>
      </w:r>
      <w:r>
        <w:rPr>
          <w:w w:val="101"/>
        </w:rPr>
        <w:t>年</w:t>
      </w:r>
      <w:r>
        <w:rPr>
          <w:spacing w:val="-45"/>
          <w:w w:val="101"/>
        </w:rPr>
        <w:t> </w:t>
      </w:r>
      <w:r>
        <w:rPr>
          <w:rFonts w:ascii="Times New Roman" w:hAnsi="Times New Roman" w:cs="Times New Roman" w:eastAsia="Times New Roman" w:hint="default"/>
          <w:w w:val="101"/>
        </w:rPr>
        <w:t>5</w:t>
      </w:r>
      <w:r>
        <w:rPr>
          <w:rFonts w:ascii="Times New Roman" w:hAnsi="Times New Roman" w:cs="Times New Roman" w:eastAsia="Times New Roman" w:hint="default"/>
          <w:spacing w:val="1"/>
          <w:w w:val="101"/>
        </w:rPr>
        <w:t> </w:t>
      </w:r>
      <w:r>
        <w:rPr>
          <w:w w:val="101"/>
        </w:rPr>
        <w:t>月</w:t>
      </w:r>
      <w:r>
        <w:rPr>
          <w:spacing w:val="-45"/>
          <w:w w:val="101"/>
        </w:rPr>
        <w:t> </w:t>
      </w:r>
      <w:r>
        <w:rPr>
          <w:rFonts w:ascii="Times New Roman" w:hAnsi="Times New Roman" w:cs="Times New Roman" w:eastAsia="Times New Roman" w:hint="default"/>
          <w:w w:val="101"/>
        </w:rPr>
        <w:t>15</w:t>
      </w:r>
      <w:r>
        <w:rPr>
          <w:rFonts w:ascii="Times New Roman" w:hAnsi="Times New Roman" w:cs="Times New Roman" w:eastAsia="Times New Roman" w:hint="default"/>
          <w:spacing w:val="1"/>
          <w:w w:val="101"/>
        </w:rPr>
        <w:t> </w:t>
      </w:r>
      <w:r>
        <w:rPr>
          <w:spacing w:val="-4"/>
          <w:w w:val="101"/>
        </w:rPr>
        <w:t>日，</w:t>
      </w:r>
      <w:r>
        <w:rPr>
          <w:rFonts w:ascii="Times New Roman" w:hAnsi="Times New Roman" w:cs="Times New Roman" w:eastAsia="Times New Roman" w:hint="default"/>
          <w:spacing w:val="-4"/>
          <w:w w:val="101"/>
        </w:rPr>
        <w:t>2018</w:t>
      </w:r>
      <w:r>
        <w:rPr>
          <w:rFonts w:ascii="Times New Roman" w:hAnsi="Times New Roman" w:cs="Times New Roman" w:eastAsia="Times New Roman" w:hint="default"/>
          <w:spacing w:val="1"/>
          <w:w w:val="101"/>
        </w:rPr>
        <w:t> </w:t>
      </w:r>
      <w:r>
        <w:rPr>
          <w:spacing w:val="-3"/>
          <w:w w:val="101"/>
        </w:rPr>
        <w:t>年度股东大会审议通过上述权</w:t>
      </w:r>
      <w:r>
        <w:rPr>
          <w:spacing w:val="-90"/>
          <w:w w:val="101"/>
        </w:rPr>
        <w:t> </w:t>
      </w:r>
      <w:r>
        <w:rPr>
          <w:spacing w:val="-90"/>
          <w:w w:val="101"/>
        </w:rPr>
      </w:r>
      <w:r>
        <w:rPr/>
        <w:t>益分派方案；</w:t>
      </w:r>
      <w:r>
        <w:rPr>
          <w:rFonts w:ascii="Times New Roman" w:hAnsi="Times New Roman" w:cs="Times New Roman" w:eastAsia="Times New Roman" w:hint="default"/>
        </w:rPr>
        <w:t>2019</w:t>
      </w:r>
      <w:r>
        <w:rPr>
          <w:rFonts w:ascii="Times New Roman" w:hAnsi="Times New Roman" w:cs="Times New Roman" w:eastAsia="Times New Roman" w:hint="default"/>
          <w:spacing w:val="7"/>
        </w:rPr>
        <w:t> </w:t>
      </w:r>
      <w:r>
        <w:rPr/>
        <w:t>年</w:t>
      </w:r>
      <w:r>
        <w:rPr>
          <w:spacing w:val="-38"/>
        </w:rPr>
        <w:t> </w:t>
      </w:r>
      <w:r>
        <w:rPr>
          <w:rFonts w:ascii="Times New Roman" w:hAnsi="Times New Roman" w:cs="Times New Roman" w:eastAsia="Times New Roman" w:hint="default"/>
        </w:rPr>
        <w:t>6</w:t>
      </w:r>
      <w:r>
        <w:rPr>
          <w:rFonts w:ascii="Times New Roman" w:hAnsi="Times New Roman" w:cs="Times New Roman" w:eastAsia="Times New Roman" w:hint="default"/>
          <w:spacing w:val="7"/>
        </w:rPr>
        <w:t> </w:t>
      </w:r>
      <w:r>
        <w:rPr/>
        <w:t>月</w:t>
      </w:r>
      <w:r>
        <w:rPr>
          <w:spacing w:val="-38"/>
        </w:rPr>
        <w:t> </w:t>
      </w:r>
      <w:r>
        <w:rPr>
          <w:rFonts w:ascii="Times New Roman" w:hAnsi="Times New Roman" w:cs="Times New Roman" w:eastAsia="Times New Roman" w:hint="default"/>
        </w:rPr>
        <w:t>28</w:t>
      </w:r>
      <w:r>
        <w:rPr>
          <w:rFonts w:ascii="Times New Roman" w:hAnsi="Times New Roman" w:cs="Times New Roman" w:eastAsia="Times New Roman" w:hint="default"/>
          <w:spacing w:val="7"/>
        </w:rPr>
        <w:t> </w:t>
      </w:r>
      <w:r>
        <w:rPr>
          <w:spacing w:val="-3"/>
        </w:rPr>
        <w:t>日，上述已方案实施完毕。</w:t>
      </w:r>
    </w:p>
    <w:p>
      <w:pPr>
        <w:pStyle w:val="BodyText"/>
        <w:spacing w:line="240" w:lineRule="auto" w:before="41"/>
        <w:ind w:left="513" w:right="0"/>
        <w:jc w:val="left"/>
      </w:pPr>
      <w:r>
        <w:rPr>
          <w:rFonts w:ascii="Times New Roman" w:hAnsi="Times New Roman" w:cs="Times New Roman" w:eastAsia="Times New Roman" w:hint="default"/>
        </w:rPr>
        <w:t>3.2017</w:t>
      </w:r>
      <w:r>
        <w:rPr>
          <w:rFonts w:ascii="Times New Roman" w:hAnsi="Times New Roman" w:cs="Times New Roman" w:eastAsia="Times New Roman" w:hint="default"/>
          <w:spacing w:val="-4"/>
        </w:rPr>
        <w:t> </w:t>
      </w:r>
      <w:r>
        <w:rPr/>
        <w:t>年度利润分配预案</w:t>
      </w:r>
    </w:p>
    <w:p>
      <w:pPr>
        <w:spacing w:line="240" w:lineRule="auto" w:before="12"/>
        <w:rPr>
          <w:rFonts w:ascii="宋体" w:hAnsi="宋体" w:cs="宋体" w:eastAsia="宋体" w:hint="default"/>
          <w:sz w:val="16"/>
          <w:szCs w:val="16"/>
        </w:rPr>
      </w:pPr>
    </w:p>
    <w:p>
      <w:pPr>
        <w:pStyle w:val="BodyText"/>
        <w:spacing w:line="448" w:lineRule="auto"/>
        <w:ind w:right="0" w:firstLine="360"/>
        <w:jc w:val="left"/>
      </w:pPr>
      <w:r>
        <w:rPr>
          <w:spacing w:val="-3"/>
        </w:rPr>
        <w:t>经瑞华会计师事务所审计，</w:t>
      </w:r>
      <w:r>
        <w:rPr>
          <w:rFonts w:ascii="Times New Roman" w:hAnsi="Times New Roman" w:cs="Times New Roman" w:eastAsia="Times New Roman" w:hint="default"/>
          <w:spacing w:val="-3"/>
        </w:rPr>
        <w:t>2017 </w:t>
      </w:r>
      <w:r>
        <w:rPr/>
        <w:t>年度母公司实现净利润 </w:t>
      </w:r>
      <w:r>
        <w:rPr>
          <w:rFonts w:ascii="Times New Roman" w:hAnsi="Times New Roman" w:cs="Times New Roman" w:eastAsia="Times New Roman" w:hint="default"/>
        </w:rPr>
        <w:t>8,022,901.23</w:t>
      </w:r>
      <w:r>
        <w:rPr>
          <w:rFonts w:ascii="Times New Roman" w:hAnsi="Times New Roman" w:cs="Times New Roman" w:eastAsia="Times New Roman" w:hint="default"/>
          <w:spacing w:val="-4"/>
        </w:rPr>
        <w:t> </w:t>
      </w:r>
      <w:r>
        <w:rPr/>
        <w:t>元，根据《公司法》和《公司章程》的有关规定，</w:t>
      </w:r>
      <w:r>
        <w:rPr>
          <w:w w:val="101"/>
        </w:rPr>
        <w:t> </w:t>
      </w:r>
      <w:r>
        <w:rPr/>
        <w:t>按照实现净利润的</w:t>
      </w:r>
      <w:r>
        <w:rPr>
          <w:spacing w:val="-35"/>
        </w:rPr>
        <w:t> </w:t>
      </w:r>
      <w:r>
        <w:rPr>
          <w:rFonts w:ascii="Times New Roman" w:hAnsi="Times New Roman" w:cs="Times New Roman" w:eastAsia="Times New Roman" w:hint="default"/>
        </w:rPr>
        <w:t>10</w:t>
      </w:r>
      <w:r>
        <w:rPr/>
        <w:t>％提取法定盈余公积</w:t>
      </w:r>
      <w:r>
        <w:rPr>
          <w:spacing w:val="-40"/>
        </w:rPr>
        <w:t> </w:t>
      </w:r>
      <w:r>
        <w:rPr>
          <w:rFonts w:ascii="Times New Roman" w:hAnsi="Times New Roman" w:cs="Times New Roman" w:eastAsia="Times New Roman" w:hint="default"/>
        </w:rPr>
        <w:t>802,290.12</w:t>
      </w:r>
      <w:r>
        <w:rPr>
          <w:rFonts w:ascii="Times New Roman" w:hAnsi="Times New Roman" w:cs="Times New Roman" w:eastAsia="Times New Roman" w:hint="default"/>
          <w:spacing w:val="-3"/>
        </w:rPr>
        <w:t> </w:t>
      </w:r>
      <w:r>
        <w:rPr>
          <w:spacing w:val="-3"/>
        </w:rPr>
        <w:t>元后，加上年初未分配利润</w:t>
      </w:r>
      <w:r>
        <w:rPr>
          <w:spacing w:val="-35"/>
        </w:rPr>
        <w:t> </w:t>
      </w:r>
      <w:r>
        <w:rPr>
          <w:rFonts w:ascii="Times New Roman" w:hAnsi="Times New Roman" w:cs="Times New Roman" w:eastAsia="Times New Roman" w:hint="default"/>
          <w:spacing w:val="-3"/>
        </w:rPr>
        <w:t>111,505,855.40</w:t>
      </w:r>
      <w:r>
        <w:rPr>
          <w:rFonts w:ascii="Times New Roman" w:hAnsi="Times New Roman" w:cs="Times New Roman" w:eastAsia="Times New Roman" w:hint="default"/>
          <w:spacing w:val="5"/>
        </w:rPr>
        <w:t> </w:t>
      </w:r>
      <w:r>
        <w:rPr/>
        <w:t>元，减去</w:t>
      </w:r>
      <w:r>
        <w:rPr>
          <w:spacing w:val="-42"/>
        </w:rPr>
        <w:t> </w:t>
      </w:r>
      <w:r>
        <w:rPr>
          <w:rFonts w:ascii="Times New Roman" w:hAnsi="Times New Roman" w:cs="Times New Roman" w:eastAsia="Times New Roman" w:hint="default"/>
        </w:rPr>
        <w:t>2016</w:t>
      </w:r>
      <w:r>
        <w:rPr>
          <w:rFonts w:ascii="Times New Roman" w:hAnsi="Times New Roman" w:cs="Times New Roman" w:eastAsia="Times New Roman" w:hint="default"/>
          <w:spacing w:val="3"/>
        </w:rPr>
        <w:t> </w:t>
      </w:r>
      <w:r>
        <w:rPr/>
        <w:t>年度现金分</w:t>
      </w:r>
    </w:p>
    <w:p>
      <w:pPr>
        <w:pStyle w:val="BodyText"/>
        <w:spacing w:line="448" w:lineRule="auto" w:before="48"/>
        <w:ind w:right="1136"/>
        <w:jc w:val="both"/>
      </w:pPr>
      <w:r>
        <w:rPr/>
        <w:t>红</w:t>
      </w:r>
      <w:r>
        <w:rPr>
          <w:spacing w:val="-43"/>
        </w:rPr>
        <w:t> </w:t>
      </w:r>
      <w:r>
        <w:rPr>
          <w:rFonts w:ascii="Times New Roman" w:hAnsi="Times New Roman" w:cs="Times New Roman" w:eastAsia="Times New Roman" w:hint="default"/>
        </w:rPr>
        <w:t>10,260,202.48</w:t>
      </w:r>
      <w:r>
        <w:rPr>
          <w:rFonts w:ascii="Times New Roman" w:hAnsi="Times New Roman" w:cs="Times New Roman" w:eastAsia="Times New Roman" w:hint="default"/>
          <w:spacing w:val="-8"/>
        </w:rPr>
        <w:t> </w:t>
      </w:r>
      <w:r>
        <w:rPr/>
        <w:t>元，截至</w:t>
      </w:r>
      <w:r>
        <w:rPr>
          <w:spacing w:val="-43"/>
        </w:rPr>
        <w:t> </w:t>
      </w:r>
      <w:r>
        <w:rPr>
          <w:rFonts w:ascii="Times New Roman" w:hAnsi="Times New Roman" w:cs="Times New Roman" w:eastAsia="Times New Roman" w:hint="default"/>
        </w:rPr>
        <w:t>2017</w:t>
      </w:r>
      <w:r>
        <w:rPr>
          <w:rFonts w:ascii="Times New Roman" w:hAnsi="Times New Roman" w:cs="Times New Roman" w:eastAsia="Times New Roman" w:hint="default"/>
          <w:spacing w:val="-3"/>
        </w:rPr>
        <w:t> </w:t>
      </w:r>
      <w:r>
        <w:rPr/>
        <w:t>年</w:t>
      </w:r>
      <w:r>
        <w:rPr>
          <w:spacing w:val="-48"/>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r>
        <w:rPr>
          <w:spacing w:val="-48"/>
        </w:rPr>
        <w:t> </w:t>
      </w:r>
      <w:r>
        <w:rPr>
          <w:rFonts w:ascii="Times New Roman" w:hAnsi="Times New Roman" w:cs="Times New Roman" w:eastAsia="Times New Roman" w:hint="default"/>
        </w:rPr>
        <w:t>31</w:t>
      </w:r>
      <w:r>
        <w:rPr>
          <w:rFonts w:ascii="Times New Roman" w:hAnsi="Times New Roman" w:cs="Times New Roman" w:eastAsia="Times New Roman" w:hint="default"/>
          <w:spacing w:val="-8"/>
        </w:rPr>
        <w:t> </w:t>
      </w:r>
      <w:r>
        <w:rPr/>
        <w:t>日，母公司可供股东分配的利润为</w:t>
      </w:r>
      <w:r>
        <w:rPr>
          <w:spacing w:val="-43"/>
        </w:rPr>
        <w:t> </w:t>
      </w:r>
      <w:r>
        <w:rPr>
          <w:rFonts w:ascii="Times New Roman" w:hAnsi="Times New Roman" w:cs="Times New Roman" w:eastAsia="Times New Roman" w:hint="default"/>
        </w:rPr>
        <w:t>108,466,264.03</w:t>
      </w:r>
      <w:r>
        <w:rPr>
          <w:rFonts w:ascii="Times New Roman" w:hAnsi="Times New Roman" w:cs="Times New Roman" w:eastAsia="Times New Roman" w:hint="default"/>
          <w:spacing w:val="-8"/>
        </w:rPr>
        <w:t> </w:t>
      </w:r>
      <w:r>
        <w:rPr/>
        <w:t>元。</w:t>
      </w:r>
      <w:r>
        <w:rPr>
          <w:rFonts w:ascii="Times New Roman" w:hAnsi="Times New Roman" w:cs="Times New Roman" w:eastAsia="Times New Roman" w:hint="default"/>
        </w:rPr>
        <w:t>2017</w:t>
      </w:r>
      <w:r>
        <w:rPr>
          <w:rFonts w:ascii="Times New Roman" w:hAnsi="Times New Roman" w:cs="Times New Roman" w:eastAsia="Times New Roman" w:hint="default"/>
          <w:spacing w:val="-3"/>
        </w:rPr>
        <w:t> </w:t>
      </w:r>
      <w:r>
        <w:rPr>
          <w:spacing w:val="-3"/>
        </w:rPr>
        <w:t>年度母公司经营活动</w:t>
      </w:r>
      <w:r>
        <w:rPr>
          <w:spacing w:val="-88"/>
        </w:rPr>
        <w:t> </w:t>
      </w:r>
      <w:r>
        <w:rPr>
          <w:spacing w:val="-88"/>
        </w:rPr>
      </w:r>
      <w:r>
        <w:rPr/>
        <w:t>产生的现金流量净额为</w:t>
      </w:r>
      <w:r>
        <w:rPr>
          <w:rFonts w:ascii="Times New Roman" w:hAnsi="Times New Roman" w:cs="Times New Roman" w:eastAsia="Times New Roman" w:hint="default"/>
        </w:rPr>
        <w:t>-122,034,463.02  </w:t>
      </w:r>
      <w:r>
        <w:rPr>
          <w:spacing w:val="-3"/>
        </w:rPr>
        <w:t>元，合并口径公司经营活动产生的现金流量净额为</w:t>
      </w:r>
      <w:r>
        <w:rPr>
          <w:rFonts w:ascii="Times New Roman" w:hAnsi="Times New Roman" w:cs="Times New Roman" w:eastAsia="Times New Roman" w:hint="default"/>
          <w:spacing w:val="-3"/>
        </w:rPr>
        <w:t>-69,662,634.00 </w:t>
      </w:r>
      <w:r>
        <w:rPr>
          <w:rFonts w:ascii="Times New Roman" w:hAnsi="Times New Roman" w:cs="Times New Roman" w:eastAsia="Times New Roman" w:hint="default"/>
          <w:spacing w:val="-1"/>
        </w:rPr>
        <w:t> </w:t>
      </w:r>
      <w:r>
        <w:rPr/>
        <w:t>元。</w:t>
      </w:r>
    </w:p>
    <w:p>
      <w:pPr>
        <w:spacing w:after="0" w:line="448" w:lineRule="auto"/>
        <w:jc w:val="both"/>
        <w:sectPr>
          <w:pgSz w:w="11910" w:h="16840"/>
          <w:pgMar w:header="871" w:footer="1186" w:top="1100" w:bottom="1380" w:left="980" w:right="0"/>
        </w:sectPr>
      </w:pPr>
    </w:p>
    <w:p>
      <w:pPr>
        <w:spacing w:line="240" w:lineRule="auto" w:before="1"/>
        <w:rPr>
          <w:rFonts w:ascii="宋体" w:hAnsi="宋体" w:cs="宋体" w:eastAsia="宋体" w:hint="default"/>
          <w:sz w:val="28"/>
          <w:szCs w:val="28"/>
        </w:rPr>
      </w:pPr>
      <w:r>
        <w:rPr/>
        <w:pict>
          <v:shape style="position:absolute;margin-left:290.241516pt;margin-top:650.835999pt;width:244.95pt;height:71.350pt;mso-position-horizontal-relative:page;mso-position-vertical-relative:page;z-index:-1026328"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49"/>
                    <w:ind w:left="0" w:right="0"/>
                    <w:jc w:val="left"/>
                  </w:pPr>
                  <w:r>
                    <w:rPr>
                      <w:w w:val="101"/>
                    </w:rPr>
                    <w:t>。</w:t>
                  </w:r>
                  <w:r>
                    <w:rPr/>
                  </w:r>
                </w:p>
              </w:txbxContent>
            </v:textbox>
            <w10:wrap type="none"/>
          </v:shape>
        </w:pict>
      </w:r>
      <w:r>
        <w:rPr/>
        <w:pict>
          <v:group style="position:absolute;margin-left:296.279999pt;margin-top:650.835999pt;width:238.9pt;height:71.350pt;mso-position-horizontal-relative:page;mso-position-vertical-relative:page;z-index:-1026304" coordorigin="5926,13017" coordsize="4778,1427">
            <v:shape style="position:absolute;left:5926;top:13017;width:4778;height:1427" coordorigin="5926,13017" coordsize="4778,1427" path="m5926,14443l10703,14443,10703,13017,5926,13017,5926,14443xe" filled="true" fillcolor="#ffffff" stroked="false">
              <v:path arrowok="t"/>
              <v:fill type="solid"/>
            </v:shape>
            <w10:wrap type="none"/>
          </v:group>
        </w:pict>
      </w:r>
    </w:p>
    <w:p>
      <w:pPr>
        <w:pStyle w:val="BodyText"/>
        <w:spacing w:line="477" w:lineRule="auto" w:before="46"/>
        <w:ind w:right="1124" w:firstLine="360"/>
        <w:jc w:val="both"/>
      </w:pPr>
      <w:r>
        <w:rPr>
          <w:spacing w:val="-5"/>
        </w:rPr>
        <w:t>根据《公司章程》关于利润分配的有关规定，鉴于公司上年度盈利情况、现金流情况以及未来经营发展需要，为保障公</w:t>
      </w:r>
      <w:r>
        <w:rPr>
          <w:w w:val="101"/>
        </w:rPr>
        <w:t> </w:t>
      </w:r>
      <w:r>
        <w:rPr>
          <w:spacing w:val="-4"/>
        </w:rPr>
        <w:t>司生产经营的正常运行，增强抵御风险能力，实现公司持续、稳定、健康发展，更好的维护全体股东的长远利益，经公司董</w:t>
      </w:r>
      <w:r>
        <w:rPr>
          <w:spacing w:val="40"/>
        </w:rPr>
        <w:t> </w:t>
      </w:r>
      <w:r>
        <w:rPr>
          <w:spacing w:val="40"/>
        </w:rPr>
      </w:r>
      <w:r>
        <w:rPr/>
        <w:t>事会研究决定：</w:t>
      </w:r>
      <w:r>
        <w:rPr>
          <w:rFonts w:ascii="Times New Roman" w:hAnsi="Times New Roman" w:cs="Times New Roman" w:eastAsia="Times New Roman" w:hint="default"/>
        </w:rPr>
        <w:t>2017  </w:t>
      </w:r>
      <w:r>
        <w:rPr>
          <w:rFonts w:ascii="Times New Roman" w:hAnsi="Times New Roman" w:cs="Times New Roman" w:eastAsia="Times New Roman" w:hint="default"/>
          <w:spacing w:val="20"/>
        </w:rPr>
        <w:t> </w:t>
      </w:r>
      <w:r>
        <w:rPr>
          <w:spacing w:val="-3"/>
        </w:rPr>
        <w:t>年度不进行现金分红，也不进行资本公积金转增股本，可供股东分配的利润结转以后年度。</w:t>
      </w:r>
    </w:p>
    <w:p>
      <w:pPr>
        <w:pStyle w:val="BodyText"/>
        <w:spacing w:line="468" w:lineRule="auto" w:before="19"/>
        <w:ind w:right="0" w:firstLine="360"/>
        <w:jc w:val="left"/>
      </w:pPr>
      <w:r>
        <w:rPr/>
        <w:t>公司独立董事认为：综合考虑公司 </w:t>
      </w:r>
      <w:r>
        <w:rPr>
          <w:rFonts w:ascii="Times New Roman" w:hAnsi="Times New Roman" w:cs="Times New Roman" w:eastAsia="Times New Roman" w:hint="default"/>
          <w:spacing w:val="-3"/>
        </w:rPr>
        <w:t>2017</w:t>
      </w:r>
      <w:r>
        <w:rPr>
          <w:rFonts w:ascii="Times New Roman" w:hAnsi="Times New Roman" w:cs="Times New Roman" w:eastAsia="Times New Roman" w:hint="default"/>
          <w:spacing w:val="-14"/>
        </w:rPr>
        <w:t> </w:t>
      </w:r>
      <w:r>
        <w:rPr>
          <w:spacing w:val="-3"/>
        </w:rPr>
        <w:t>年度的盈利情况、现金流情况以及未来经营发展需要，公司董事会关于</w:t>
      </w:r>
      <w:r>
        <w:rPr>
          <w:rFonts w:ascii="Times New Roman" w:hAnsi="Times New Roman" w:cs="Times New Roman" w:eastAsia="Times New Roman" w:hint="default"/>
          <w:spacing w:val="-3"/>
        </w:rPr>
        <w:t>¡2017</w:t>
      </w:r>
      <w:r>
        <w:rPr>
          <w:rFonts w:ascii="Times New Roman" w:hAnsi="Times New Roman" w:cs="Times New Roman" w:eastAsia="Times New Roman" w:hint="default"/>
          <w:w w:val="101"/>
        </w:rPr>
        <w:t> </w:t>
      </w:r>
      <w:r>
        <w:rPr>
          <w:spacing w:val="-4"/>
        </w:rPr>
        <w:t>年度不进行现金分红，也不进行资本公积金转增股本的预案符合公司实际情况，是基于公司持续经营与长期发展的考虑，符</w:t>
      </w:r>
      <w:r>
        <w:rPr>
          <w:spacing w:val="43"/>
        </w:rPr>
        <w:t> </w:t>
      </w:r>
      <w:r>
        <w:rPr>
          <w:spacing w:val="43"/>
        </w:rPr>
      </w:r>
      <w:r>
        <w:rPr>
          <w:spacing w:val="-4"/>
        </w:rPr>
        <w:t>合《公司章程》中利润分配政策的有关规定，不存在损害公司股东特别是中小股东利益的情形，有利于公司的正常经营和可</w:t>
      </w:r>
      <w:r>
        <w:rPr>
          <w:spacing w:val="40"/>
        </w:rPr>
        <w:t> </w:t>
      </w:r>
      <w:r>
        <w:rPr>
          <w:spacing w:val="40"/>
        </w:rPr>
      </w:r>
      <w:r>
        <w:rPr>
          <w:spacing w:val="-3"/>
        </w:rPr>
        <w:t>持续发展。因此，我们同意董事会制定的 </w:t>
      </w:r>
      <w:r>
        <w:rPr>
          <w:rFonts w:ascii="Times New Roman" w:hAnsi="Times New Roman" w:cs="Times New Roman" w:eastAsia="Times New Roman" w:hint="default"/>
        </w:rPr>
        <w:t>2017 </w:t>
      </w:r>
      <w:r>
        <w:rPr>
          <w:rFonts w:ascii="Times New Roman" w:hAnsi="Times New Roman" w:cs="Times New Roman" w:eastAsia="Times New Roman" w:hint="default"/>
          <w:spacing w:val="37"/>
        </w:rPr>
        <w:t> </w:t>
      </w:r>
      <w:r>
        <w:rPr>
          <w:spacing w:val="-3"/>
        </w:rPr>
        <w:t>年度不进行利润分配的议案，并同意提交公司股东大会审议。</w:t>
      </w:r>
    </w:p>
    <w:p>
      <w:pPr>
        <w:pStyle w:val="BodyText"/>
        <w:spacing w:line="240" w:lineRule="auto" w:before="27"/>
        <w:ind w:left="513" w:right="0"/>
        <w:jc w:val="left"/>
      </w:pPr>
      <w:r>
        <w:rPr>
          <w:rFonts w:ascii="Times New Roman" w:hAnsi="Times New Roman" w:cs="Times New Roman" w:eastAsia="Times New Roman" w:hint="default"/>
        </w:rPr>
        <w:t>2017 </w:t>
      </w:r>
      <w:r>
        <w:rPr>
          <w:spacing w:val="-3"/>
        </w:rPr>
        <w:t>年度不进行利润分配的预案已提交公司 </w:t>
      </w:r>
      <w:r>
        <w:rPr>
          <w:rFonts w:ascii="Times New Roman" w:hAnsi="Times New Roman" w:cs="Times New Roman" w:eastAsia="Times New Roman" w:hint="default"/>
        </w:rPr>
        <w:t>2017</w:t>
      </w:r>
      <w:r>
        <w:rPr>
          <w:rFonts w:ascii="Times New Roman" w:hAnsi="Times New Roman" w:cs="Times New Roman" w:eastAsia="Times New Roman" w:hint="default"/>
          <w:spacing w:val="23"/>
        </w:rPr>
        <w:t> </w:t>
      </w:r>
      <w:r>
        <w:rPr>
          <w:spacing w:val="-3"/>
        </w:rPr>
        <w:t>年度股东大会审议通过。</w:t>
      </w:r>
    </w:p>
    <w:p>
      <w:pPr>
        <w:spacing w:line="240" w:lineRule="auto" w:before="5"/>
        <w:rPr>
          <w:rFonts w:ascii="宋体" w:hAnsi="宋体" w:cs="宋体" w:eastAsia="宋体" w:hint="default"/>
          <w:sz w:val="10"/>
          <w:szCs w:val="10"/>
        </w:rPr>
      </w:pPr>
    </w:p>
    <w:p>
      <w:pPr>
        <w:pStyle w:val="BodyText"/>
        <w:spacing w:line="240" w:lineRule="auto" w:before="46"/>
        <w:ind w:right="0"/>
        <w:jc w:val="left"/>
      </w:pPr>
      <w:r>
        <w:rPr>
          <w:spacing w:val="-3"/>
        </w:rPr>
        <w:t>公司近三年（包括本报告期）普通股现金分红情况表</w:t>
      </w:r>
    </w:p>
    <w:p>
      <w:pPr>
        <w:pStyle w:val="BodyText"/>
        <w:spacing w:line="240" w:lineRule="auto" w:before="119"/>
        <w:ind w:left="0" w:right="1122"/>
        <w:jc w:val="right"/>
      </w:pPr>
      <w:r>
        <w:rPr>
          <w:spacing w:val="-2"/>
        </w:rPr>
        <w:t>单位：元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196"/>
        <w:gridCol w:w="1196"/>
        <w:gridCol w:w="1201"/>
        <w:gridCol w:w="1196"/>
        <w:gridCol w:w="1196"/>
        <w:gridCol w:w="1184"/>
        <w:gridCol w:w="1220"/>
        <w:gridCol w:w="1174"/>
      </w:tblGrid>
      <w:tr>
        <w:trPr>
          <w:trHeight w:val="163" w:hRule="exact"/>
        </w:trPr>
        <w:tc>
          <w:tcPr>
            <w:tcW w:w="1196" w:type="dxa"/>
            <w:vMerge w:val="restart"/>
            <w:tcBorders>
              <w:top w:val="single" w:sz="4" w:space="0" w:color="000000"/>
              <w:left w:val="single" w:sz="4" w:space="0" w:color="000000"/>
              <w:right w:val="single" w:sz="4" w:space="0" w:color="000000"/>
            </w:tcBorders>
            <w:shd w:val="clear" w:color="auto" w:fill="D2D2D2"/>
          </w:tcPr>
          <w:p>
            <w:pPr/>
          </w:p>
        </w:tc>
        <w:tc>
          <w:tcPr>
            <w:tcW w:w="1196" w:type="dxa"/>
            <w:vMerge w:val="restart"/>
            <w:tcBorders>
              <w:top w:val="single" w:sz="4" w:space="0" w:color="000000"/>
              <w:left w:val="single" w:sz="4" w:space="0" w:color="000000"/>
              <w:right w:val="single" w:sz="4" w:space="0" w:color="000000"/>
            </w:tcBorders>
            <w:shd w:val="clear" w:color="auto" w:fill="D2D2D2"/>
          </w:tcPr>
          <w:p>
            <w:pPr/>
          </w:p>
        </w:tc>
        <w:tc>
          <w:tcPr>
            <w:tcW w:w="1201" w:type="dxa"/>
            <w:vMerge w:val="restart"/>
            <w:tcBorders>
              <w:top w:val="single" w:sz="4" w:space="0" w:color="000000"/>
              <w:left w:val="single" w:sz="4" w:space="0" w:color="000000"/>
              <w:right w:val="single" w:sz="4" w:space="0" w:color="000000"/>
            </w:tcBorders>
            <w:shd w:val="clear" w:color="auto" w:fill="D2D2D2"/>
          </w:tcPr>
          <w:p>
            <w:pPr/>
          </w:p>
        </w:tc>
        <w:tc>
          <w:tcPr>
            <w:tcW w:w="119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6" w:type="dxa"/>
            <w:vMerge w:val="restart"/>
            <w:tcBorders>
              <w:top w:val="single" w:sz="4" w:space="0" w:color="000000"/>
              <w:left w:val="single" w:sz="4" w:space="0" w:color="000000"/>
              <w:right w:val="single" w:sz="4" w:space="0" w:color="000000"/>
            </w:tcBorders>
            <w:shd w:val="clear" w:color="auto" w:fill="D2D2D2"/>
          </w:tcPr>
          <w:p>
            <w:pPr/>
          </w:p>
        </w:tc>
        <w:tc>
          <w:tcPr>
            <w:tcW w:w="1184" w:type="dxa"/>
            <w:tcBorders>
              <w:top w:val="single" w:sz="4" w:space="0" w:color="000000"/>
              <w:left w:val="single" w:sz="4" w:space="0" w:color="000000"/>
              <w:bottom w:val="nil" w:sz="6" w:space="0" w:color="auto"/>
              <w:right w:val="single" w:sz="4" w:space="0" w:color="000000"/>
            </w:tcBorders>
            <w:shd w:val="clear" w:color="auto" w:fill="D2D2D2"/>
          </w:tcPr>
          <w:p>
            <w:pPr/>
          </w:p>
        </w:tc>
        <w:tc>
          <w:tcPr>
            <w:tcW w:w="1220" w:type="dxa"/>
            <w:vMerge w:val="restart"/>
            <w:tcBorders>
              <w:top w:val="single" w:sz="4" w:space="0" w:color="000000"/>
              <w:left w:val="single" w:sz="4" w:space="0" w:color="000000"/>
              <w:right w:val="single" w:sz="4" w:space="0" w:color="000000"/>
            </w:tcBorders>
            <w:shd w:val="clear" w:color="auto" w:fill="D2D2D2"/>
          </w:tcPr>
          <w:p>
            <w:pPr/>
          </w:p>
        </w:tc>
        <w:tc>
          <w:tcPr>
            <w:tcW w:w="117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现金分红总额</w:t>
            </w:r>
          </w:p>
          <w:p>
            <w:pPr>
              <w:pStyle w:val="TableParagraph"/>
              <w:spacing w:line="319" w:lineRule="auto" w:before="71"/>
              <w:ind w:left="40" w:right="36"/>
              <w:jc w:val="center"/>
              <w:rPr>
                <w:rFonts w:ascii="宋体" w:hAnsi="宋体" w:cs="宋体" w:eastAsia="宋体" w:hint="default"/>
                <w:sz w:val="18"/>
                <w:szCs w:val="18"/>
              </w:rPr>
            </w:pPr>
            <w:r>
              <w:rPr>
                <w:rFonts w:ascii="宋体" w:hAnsi="宋体" w:cs="宋体" w:eastAsia="宋体" w:hint="default"/>
                <w:sz w:val="18"/>
                <w:szCs w:val="18"/>
              </w:rPr>
              <w:t>（含其他方</w:t>
            </w:r>
            <w:r>
              <w:rPr>
                <w:rFonts w:ascii="宋体" w:hAnsi="宋体" w:cs="宋体" w:eastAsia="宋体" w:hint="default"/>
                <w:w w:val="101"/>
                <w:sz w:val="18"/>
                <w:szCs w:val="18"/>
              </w:rPr>
              <w:t> </w:t>
            </w:r>
            <w:r>
              <w:rPr>
                <w:rFonts w:ascii="宋体" w:hAnsi="宋体" w:cs="宋体" w:eastAsia="宋体" w:hint="default"/>
                <w:spacing w:val="-2"/>
                <w:sz w:val="18"/>
                <w:szCs w:val="18"/>
              </w:rPr>
              <w:t>式）占合并报</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2"/>
                <w:sz w:val="18"/>
                <w:szCs w:val="18"/>
              </w:rPr>
              <w:t>表中归属于上</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2"/>
                <w:sz w:val="18"/>
                <w:szCs w:val="18"/>
              </w:rPr>
              <w:t>市公司普通股</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2"/>
                <w:sz w:val="18"/>
                <w:szCs w:val="18"/>
              </w:rPr>
              <w:t>股东的净利润</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的比率</w:t>
            </w:r>
          </w:p>
        </w:tc>
      </w:tr>
      <w:tr>
        <w:trPr>
          <w:trHeight w:val="154" w:hRule="exact"/>
        </w:trPr>
        <w:tc>
          <w:tcPr>
            <w:tcW w:w="1196"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201" w:type="dxa"/>
            <w:vMerge/>
            <w:tcBorders>
              <w:left w:val="single" w:sz="4" w:space="0" w:color="000000"/>
              <w:bottom w:val="nil" w:sz="6" w:space="0" w:color="auto"/>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3"/>
              <w:ind w:left="52" w:right="46"/>
              <w:jc w:val="center"/>
              <w:rPr>
                <w:rFonts w:ascii="宋体" w:hAnsi="宋体" w:cs="宋体" w:eastAsia="宋体" w:hint="default"/>
                <w:sz w:val="18"/>
                <w:szCs w:val="18"/>
              </w:rPr>
            </w:pPr>
            <w:r>
              <w:rPr>
                <w:rFonts w:ascii="宋体" w:hAnsi="宋体" w:cs="宋体" w:eastAsia="宋体" w:hint="default"/>
                <w:spacing w:val="-2"/>
                <w:sz w:val="18"/>
                <w:szCs w:val="18"/>
              </w:rPr>
              <w:t>现金分红金额</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2"/>
                <w:sz w:val="18"/>
                <w:szCs w:val="18"/>
              </w:rPr>
              <w:t>占合并报表中</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2"/>
                <w:sz w:val="18"/>
                <w:szCs w:val="18"/>
              </w:rPr>
              <w:t>归属于上市公</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2"/>
                <w:sz w:val="18"/>
                <w:szCs w:val="18"/>
              </w:rPr>
              <w:t>司普通股股东</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2"/>
                <w:sz w:val="18"/>
                <w:szCs w:val="18"/>
              </w:rPr>
              <w:t>的净利润的比</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率</w:t>
            </w:r>
          </w:p>
        </w:tc>
        <w:tc>
          <w:tcPr>
            <w:tcW w:w="1196" w:type="dxa"/>
            <w:vMerge/>
            <w:tcBorders>
              <w:left w:val="single" w:sz="4" w:space="0" w:color="000000"/>
              <w:right w:val="single" w:sz="4" w:space="0" w:color="000000"/>
            </w:tcBorders>
            <w:shd w:val="clear" w:color="auto" w:fill="D2D2D2"/>
          </w:tcPr>
          <w:p>
            <w:pPr/>
          </w:p>
        </w:tc>
        <w:tc>
          <w:tcPr>
            <w:tcW w:w="118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3"/>
              <w:ind w:left="52" w:right="34"/>
              <w:jc w:val="both"/>
              <w:rPr>
                <w:rFonts w:ascii="宋体" w:hAnsi="宋体" w:cs="宋体" w:eastAsia="宋体" w:hint="default"/>
                <w:sz w:val="18"/>
                <w:szCs w:val="18"/>
              </w:rPr>
            </w:pPr>
            <w:r>
              <w:rPr>
                <w:rFonts w:ascii="宋体" w:hAnsi="宋体" w:cs="宋体" w:eastAsia="宋体" w:hint="default"/>
                <w:spacing w:val="-2"/>
                <w:sz w:val="18"/>
                <w:szCs w:val="18"/>
              </w:rPr>
              <w:t>以其他方式现</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金分红金额占</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合并报表中归</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属于上市公司</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普通股股东的</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净利润的比例</w:t>
            </w:r>
          </w:p>
        </w:tc>
        <w:tc>
          <w:tcPr>
            <w:tcW w:w="1220" w:type="dxa"/>
            <w:vMerge/>
            <w:tcBorders>
              <w:left w:val="single" w:sz="4" w:space="0" w:color="000000"/>
              <w:right w:val="single" w:sz="4" w:space="0" w:color="000000"/>
            </w:tcBorders>
            <w:shd w:val="clear" w:color="auto" w:fill="D2D2D2"/>
          </w:tcPr>
          <w:p>
            <w:pPr/>
          </w:p>
        </w:tc>
        <w:tc>
          <w:tcPr>
            <w:tcW w:w="1174" w:type="dxa"/>
            <w:vMerge/>
            <w:tcBorders>
              <w:left w:val="single" w:sz="4" w:space="0" w:color="000000"/>
              <w:right w:val="single" w:sz="4" w:space="0" w:color="000000"/>
            </w:tcBorders>
            <w:shd w:val="clear" w:color="auto" w:fill="D2D2D2"/>
          </w:tcPr>
          <w:p>
            <w:pPr/>
          </w:p>
        </w:tc>
      </w:tr>
      <w:tr>
        <w:trPr>
          <w:trHeight w:val="158" w:hRule="exact"/>
        </w:trPr>
        <w:tc>
          <w:tcPr>
            <w:tcW w:w="1196"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201"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3"/>
              <w:ind w:left="52" w:right="51"/>
              <w:jc w:val="center"/>
              <w:rPr>
                <w:rFonts w:ascii="宋体" w:hAnsi="宋体" w:cs="宋体" w:eastAsia="宋体" w:hint="default"/>
                <w:sz w:val="18"/>
                <w:szCs w:val="18"/>
              </w:rPr>
            </w:pPr>
            <w:r>
              <w:rPr>
                <w:rFonts w:ascii="宋体" w:hAnsi="宋体" w:cs="宋体" w:eastAsia="宋体" w:hint="default"/>
                <w:spacing w:val="-2"/>
                <w:sz w:val="18"/>
                <w:szCs w:val="18"/>
              </w:rPr>
              <w:t>分红年度合并</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2"/>
                <w:sz w:val="18"/>
                <w:szCs w:val="18"/>
              </w:rPr>
              <w:t>报表中归属于</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2"/>
                <w:sz w:val="18"/>
                <w:szCs w:val="18"/>
              </w:rPr>
              <w:t>上市公司普通</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2"/>
                <w:sz w:val="18"/>
                <w:szCs w:val="18"/>
              </w:rPr>
              <w:t>股股东的净利</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润</w:t>
            </w:r>
          </w:p>
        </w:tc>
        <w:tc>
          <w:tcPr>
            <w:tcW w:w="1196"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c>
          <w:tcPr>
            <w:tcW w:w="1220" w:type="dxa"/>
            <w:vMerge/>
            <w:tcBorders>
              <w:left w:val="single" w:sz="4" w:space="0" w:color="000000"/>
              <w:right w:val="single" w:sz="4" w:space="0" w:color="000000"/>
            </w:tcBorders>
            <w:shd w:val="clear" w:color="auto" w:fill="D2D2D2"/>
          </w:tcPr>
          <w:p>
            <w:pPr/>
          </w:p>
        </w:tc>
        <w:tc>
          <w:tcPr>
            <w:tcW w:w="1174" w:type="dxa"/>
            <w:vMerge/>
            <w:tcBorders>
              <w:left w:val="single" w:sz="4" w:space="0" w:color="000000"/>
              <w:right w:val="single" w:sz="4" w:space="0" w:color="000000"/>
            </w:tcBorders>
            <w:shd w:val="clear" w:color="auto" w:fill="D2D2D2"/>
          </w:tcPr>
          <w:p>
            <w:pPr/>
          </w:p>
        </w:tc>
      </w:tr>
      <w:tr>
        <w:trPr>
          <w:trHeight w:val="154" w:hRule="exact"/>
        </w:trPr>
        <w:tc>
          <w:tcPr>
            <w:tcW w:w="1196"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201"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以其他方式</w:t>
            </w:r>
          </w:p>
          <w:p>
            <w:pPr>
              <w:pStyle w:val="TableParagraph"/>
              <w:spacing w:line="321" w:lineRule="auto" w:before="71"/>
              <w:ind w:left="52" w:right="46"/>
              <w:jc w:val="center"/>
              <w:rPr>
                <w:rFonts w:ascii="宋体" w:hAnsi="宋体" w:cs="宋体" w:eastAsia="宋体" w:hint="default"/>
                <w:sz w:val="18"/>
                <w:szCs w:val="18"/>
              </w:rPr>
            </w:pPr>
            <w:r>
              <w:rPr>
                <w:rFonts w:ascii="宋体" w:hAnsi="宋体" w:cs="宋体" w:eastAsia="宋体" w:hint="default"/>
                <w:sz w:val="18"/>
                <w:szCs w:val="18"/>
              </w:rPr>
              <w:t>（如回购股</w:t>
            </w:r>
            <w:r>
              <w:rPr>
                <w:rFonts w:ascii="宋体" w:hAnsi="宋体" w:cs="宋体" w:eastAsia="宋体" w:hint="default"/>
                <w:w w:val="101"/>
                <w:sz w:val="18"/>
                <w:szCs w:val="18"/>
              </w:rPr>
              <w:t> </w:t>
            </w:r>
            <w:r>
              <w:rPr>
                <w:rFonts w:ascii="宋体" w:hAnsi="宋体" w:cs="宋体" w:eastAsia="宋体" w:hint="default"/>
                <w:spacing w:val="-2"/>
                <w:sz w:val="18"/>
                <w:szCs w:val="18"/>
              </w:rPr>
              <w:t>份）现金分红</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的金额</w:t>
            </w:r>
          </w:p>
        </w:tc>
        <w:tc>
          <w:tcPr>
            <w:tcW w:w="1184" w:type="dxa"/>
            <w:vMerge/>
            <w:tcBorders>
              <w:left w:val="single" w:sz="4" w:space="0" w:color="000000"/>
              <w:right w:val="single" w:sz="4" w:space="0" w:color="000000"/>
            </w:tcBorders>
            <w:shd w:val="clear" w:color="auto" w:fill="D2D2D2"/>
          </w:tcPr>
          <w:p>
            <w:pPr/>
          </w:p>
        </w:tc>
        <w:tc>
          <w:tcPr>
            <w:tcW w:w="1220" w:type="dxa"/>
            <w:vMerge/>
            <w:tcBorders>
              <w:left w:val="single" w:sz="4" w:space="0" w:color="000000"/>
              <w:bottom w:val="nil" w:sz="6" w:space="0" w:color="auto"/>
              <w:right w:val="single" w:sz="4" w:space="0" w:color="000000"/>
            </w:tcBorders>
            <w:shd w:val="clear" w:color="auto" w:fill="D2D2D2"/>
          </w:tcPr>
          <w:p>
            <w:pPr/>
          </w:p>
        </w:tc>
        <w:tc>
          <w:tcPr>
            <w:tcW w:w="1174" w:type="dxa"/>
            <w:vMerge/>
            <w:tcBorders>
              <w:left w:val="single" w:sz="4" w:space="0" w:color="000000"/>
              <w:right w:val="single" w:sz="4" w:space="0" w:color="000000"/>
            </w:tcBorders>
            <w:shd w:val="clear" w:color="auto" w:fill="D2D2D2"/>
          </w:tcPr>
          <w:p>
            <w:pPr/>
          </w:p>
        </w:tc>
      </w:tr>
      <w:tr>
        <w:trPr>
          <w:trHeight w:val="158" w:hRule="exact"/>
        </w:trPr>
        <w:tc>
          <w:tcPr>
            <w:tcW w:w="1196"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201"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c>
          <w:tcPr>
            <w:tcW w:w="122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64" w:right="0"/>
              <w:jc w:val="left"/>
              <w:rPr>
                <w:rFonts w:ascii="宋体" w:hAnsi="宋体" w:cs="宋体" w:eastAsia="宋体" w:hint="default"/>
                <w:sz w:val="18"/>
                <w:szCs w:val="18"/>
              </w:rPr>
            </w:pPr>
            <w:r>
              <w:rPr>
                <w:rFonts w:ascii="宋体" w:hAnsi="宋体" w:cs="宋体" w:eastAsia="宋体" w:hint="default"/>
                <w:sz w:val="18"/>
                <w:szCs w:val="18"/>
              </w:rPr>
              <w:t>现金分红总额</w:t>
            </w:r>
          </w:p>
          <w:p>
            <w:pPr>
              <w:pStyle w:val="TableParagraph"/>
              <w:spacing w:line="321" w:lineRule="auto" w:before="71"/>
              <w:ind w:left="424" w:right="149" w:hanging="269"/>
              <w:jc w:val="left"/>
              <w:rPr>
                <w:rFonts w:ascii="宋体" w:hAnsi="宋体" w:cs="宋体" w:eastAsia="宋体" w:hint="default"/>
                <w:sz w:val="18"/>
                <w:szCs w:val="18"/>
              </w:rPr>
            </w:pPr>
            <w:r>
              <w:rPr>
                <w:rFonts w:ascii="宋体" w:hAnsi="宋体" w:cs="宋体" w:eastAsia="宋体" w:hint="default"/>
                <w:spacing w:val="-2"/>
                <w:sz w:val="18"/>
                <w:szCs w:val="18"/>
              </w:rPr>
              <w:t>（含其他方</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式）</w:t>
            </w:r>
          </w:p>
        </w:tc>
        <w:tc>
          <w:tcPr>
            <w:tcW w:w="1174" w:type="dxa"/>
            <w:vMerge/>
            <w:tcBorders>
              <w:left w:val="single" w:sz="4" w:space="0" w:color="000000"/>
              <w:right w:val="single" w:sz="4" w:space="0" w:color="000000"/>
            </w:tcBorders>
            <w:shd w:val="clear" w:color="auto" w:fill="D2D2D2"/>
          </w:tcPr>
          <w:p>
            <w:pPr/>
          </w:p>
        </w:tc>
      </w:tr>
      <w:tr>
        <w:trPr>
          <w:trHeight w:val="154" w:hRule="exact"/>
        </w:trPr>
        <w:tc>
          <w:tcPr>
            <w:tcW w:w="1196" w:type="dxa"/>
            <w:vMerge/>
            <w:tcBorders>
              <w:left w:val="single" w:sz="4" w:space="0" w:color="000000"/>
              <w:bottom w:val="nil" w:sz="6" w:space="0" w:color="auto"/>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现金分红金额</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（含税）</w:t>
            </w:r>
          </w:p>
        </w:tc>
        <w:tc>
          <w:tcPr>
            <w:tcW w:w="1201"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c>
          <w:tcPr>
            <w:tcW w:w="1220" w:type="dxa"/>
            <w:vMerge/>
            <w:tcBorders>
              <w:left w:val="single" w:sz="4" w:space="0" w:color="000000"/>
              <w:right w:val="single" w:sz="4" w:space="0" w:color="000000"/>
            </w:tcBorders>
            <w:shd w:val="clear" w:color="auto" w:fill="D2D2D2"/>
          </w:tcPr>
          <w:p>
            <w:pPr/>
          </w:p>
        </w:tc>
        <w:tc>
          <w:tcPr>
            <w:tcW w:w="1174" w:type="dxa"/>
            <w:vMerge/>
            <w:tcBorders>
              <w:left w:val="single" w:sz="4" w:space="0" w:color="000000"/>
              <w:right w:val="single" w:sz="4" w:space="0" w:color="000000"/>
            </w:tcBorders>
            <w:shd w:val="clear" w:color="auto" w:fill="D2D2D2"/>
          </w:tcPr>
          <w:p>
            <w:pPr/>
          </w:p>
        </w:tc>
      </w:tr>
      <w:tr>
        <w:trPr>
          <w:trHeight w:val="394" w:hRule="exact"/>
        </w:trPr>
        <w:tc>
          <w:tcPr>
            <w:tcW w:w="11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235"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1196" w:type="dxa"/>
            <w:vMerge/>
            <w:tcBorders>
              <w:left w:val="single" w:sz="4" w:space="0" w:color="000000"/>
              <w:right w:val="single" w:sz="4" w:space="0" w:color="000000"/>
            </w:tcBorders>
            <w:shd w:val="clear" w:color="auto" w:fill="D2D2D2"/>
          </w:tcPr>
          <w:p>
            <w:pPr/>
          </w:p>
        </w:tc>
        <w:tc>
          <w:tcPr>
            <w:tcW w:w="1201"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c>
          <w:tcPr>
            <w:tcW w:w="1220" w:type="dxa"/>
            <w:vMerge/>
            <w:tcBorders>
              <w:left w:val="single" w:sz="4" w:space="0" w:color="000000"/>
              <w:right w:val="single" w:sz="4" w:space="0" w:color="000000"/>
            </w:tcBorders>
            <w:shd w:val="clear" w:color="auto" w:fill="D2D2D2"/>
          </w:tcPr>
          <w:p>
            <w:pPr/>
          </w:p>
        </w:tc>
        <w:tc>
          <w:tcPr>
            <w:tcW w:w="1174" w:type="dxa"/>
            <w:vMerge/>
            <w:tcBorders>
              <w:left w:val="single" w:sz="4" w:space="0" w:color="000000"/>
              <w:right w:val="single" w:sz="4" w:space="0" w:color="000000"/>
            </w:tcBorders>
            <w:shd w:val="clear" w:color="auto" w:fill="D2D2D2"/>
          </w:tcPr>
          <w:p>
            <w:pPr/>
          </w:p>
        </w:tc>
      </w:tr>
      <w:tr>
        <w:trPr>
          <w:trHeight w:val="154" w:hRule="exact"/>
        </w:trPr>
        <w:tc>
          <w:tcPr>
            <w:tcW w:w="1196" w:type="dxa"/>
            <w:vMerge w:val="restart"/>
            <w:tcBorders>
              <w:top w:val="nil" w:sz="6" w:space="0" w:color="auto"/>
              <w:left w:val="single" w:sz="4" w:space="0" w:color="000000"/>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201"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c>
          <w:tcPr>
            <w:tcW w:w="1220" w:type="dxa"/>
            <w:vMerge/>
            <w:tcBorders>
              <w:left w:val="single" w:sz="4" w:space="0" w:color="000000"/>
              <w:right w:val="single" w:sz="4" w:space="0" w:color="000000"/>
            </w:tcBorders>
            <w:shd w:val="clear" w:color="auto" w:fill="D2D2D2"/>
          </w:tcPr>
          <w:p>
            <w:pPr/>
          </w:p>
        </w:tc>
        <w:tc>
          <w:tcPr>
            <w:tcW w:w="1174" w:type="dxa"/>
            <w:vMerge/>
            <w:tcBorders>
              <w:left w:val="single" w:sz="4" w:space="0" w:color="000000"/>
              <w:right w:val="single" w:sz="4" w:space="0" w:color="000000"/>
            </w:tcBorders>
            <w:shd w:val="clear" w:color="auto" w:fill="D2D2D2"/>
          </w:tcPr>
          <w:p>
            <w:pPr/>
          </w:p>
        </w:tc>
      </w:tr>
      <w:tr>
        <w:trPr>
          <w:trHeight w:val="159" w:hRule="exact"/>
        </w:trPr>
        <w:tc>
          <w:tcPr>
            <w:tcW w:w="1196" w:type="dxa"/>
            <w:vMerge/>
            <w:tcBorders>
              <w:left w:val="single" w:sz="4" w:space="0" w:color="000000"/>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
        </w:tc>
        <w:tc>
          <w:tcPr>
            <w:tcW w:w="1201"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c>
          <w:tcPr>
            <w:tcW w:w="1220" w:type="dxa"/>
            <w:vMerge/>
            <w:tcBorders>
              <w:left w:val="single" w:sz="4" w:space="0" w:color="000000"/>
              <w:bottom w:val="nil" w:sz="6" w:space="0" w:color="auto"/>
              <w:right w:val="single" w:sz="4" w:space="0" w:color="000000"/>
            </w:tcBorders>
            <w:shd w:val="clear" w:color="auto" w:fill="D2D2D2"/>
          </w:tcPr>
          <w:p>
            <w:pPr/>
          </w:p>
        </w:tc>
        <w:tc>
          <w:tcPr>
            <w:tcW w:w="1174" w:type="dxa"/>
            <w:vMerge/>
            <w:tcBorders>
              <w:left w:val="single" w:sz="4" w:space="0" w:color="000000"/>
              <w:right w:val="single" w:sz="4" w:space="0" w:color="000000"/>
            </w:tcBorders>
            <w:shd w:val="clear" w:color="auto" w:fill="D2D2D2"/>
          </w:tcPr>
          <w:p>
            <w:pPr/>
          </w:p>
        </w:tc>
      </w:tr>
      <w:tr>
        <w:trPr>
          <w:trHeight w:val="154" w:hRule="exact"/>
        </w:trPr>
        <w:tc>
          <w:tcPr>
            <w:tcW w:w="1196"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201"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c>
          <w:tcPr>
            <w:tcW w:w="1220" w:type="dxa"/>
            <w:vMerge w:val="restart"/>
            <w:tcBorders>
              <w:top w:val="nil" w:sz="6" w:space="0" w:color="auto"/>
              <w:left w:val="single" w:sz="4" w:space="0" w:color="000000"/>
              <w:right w:val="single" w:sz="4" w:space="0" w:color="000000"/>
            </w:tcBorders>
            <w:shd w:val="clear" w:color="auto" w:fill="D2D2D2"/>
          </w:tcPr>
          <w:p>
            <w:pPr/>
          </w:p>
        </w:tc>
        <w:tc>
          <w:tcPr>
            <w:tcW w:w="1174" w:type="dxa"/>
            <w:vMerge/>
            <w:tcBorders>
              <w:left w:val="single" w:sz="4" w:space="0" w:color="000000"/>
              <w:right w:val="single" w:sz="4" w:space="0" w:color="000000"/>
            </w:tcBorders>
            <w:shd w:val="clear" w:color="auto" w:fill="D2D2D2"/>
          </w:tcPr>
          <w:p>
            <w:pPr/>
          </w:p>
        </w:tc>
      </w:tr>
      <w:tr>
        <w:trPr>
          <w:trHeight w:val="158" w:hRule="exact"/>
        </w:trPr>
        <w:tc>
          <w:tcPr>
            <w:tcW w:w="1196"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201" w:type="dxa"/>
            <w:vMerge/>
            <w:tcBorders>
              <w:left w:val="single" w:sz="4" w:space="0" w:color="000000"/>
              <w:bottom w:val="nil" w:sz="6" w:space="0" w:color="auto"/>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c>
          <w:tcPr>
            <w:tcW w:w="1220" w:type="dxa"/>
            <w:vMerge/>
            <w:tcBorders>
              <w:left w:val="single" w:sz="4" w:space="0" w:color="000000"/>
              <w:right w:val="single" w:sz="4" w:space="0" w:color="000000"/>
            </w:tcBorders>
            <w:shd w:val="clear" w:color="auto" w:fill="D2D2D2"/>
          </w:tcPr>
          <w:p>
            <w:pPr/>
          </w:p>
        </w:tc>
        <w:tc>
          <w:tcPr>
            <w:tcW w:w="1174" w:type="dxa"/>
            <w:vMerge/>
            <w:tcBorders>
              <w:left w:val="single" w:sz="4" w:space="0" w:color="000000"/>
              <w:right w:val="single" w:sz="4" w:space="0" w:color="000000"/>
            </w:tcBorders>
            <w:shd w:val="clear" w:color="auto" w:fill="D2D2D2"/>
          </w:tcPr>
          <w:p>
            <w:pPr/>
          </w:p>
        </w:tc>
      </w:tr>
      <w:tr>
        <w:trPr>
          <w:trHeight w:val="154" w:hRule="exact"/>
        </w:trPr>
        <w:tc>
          <w:tcPr>
            <w:tcW w:w="1196"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201" w:type="dxa"/>
            <w:vMerge w:val="restart"/>
            <w:tcBorders>
              <w:top w:val="nil" w:sz="6" w:space="0" w:color="auto"/>
              <w:left w:val="single" w:sz="4" w:space="0" w:color="000000"/>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bottom w:val="nil" w:sz="6" w:space="0" w:color="auto"/>
              <w:right w:val="single" w:sz="4" w:space="0" w:color="000000"/>
            </w:tcBorders>
            <w:shd w:val="clear" w:color="auto" w:fill="D2D2D2"/>
          </w:tcPr>
          <w:p>
            <w:pPr/>
          </w:p>
        </w:tc>
        <w:tc>
          <w:tcPr>
            <w:tcW w:w="1220" w:type="dxa"/>
            <w:vMerge/>
            <w:tcBorders>
              <w:left w:val="single" w:sz="4" w:space="0" w:color="000000"/>
              <w:right w:val="single" w:sz="4" w:space="0" w:color="000000"/>
            </w:tcBorders>
            <w:shd w:val="clear" w:color="auto" w:fill="D2D2D2"/>
          </w:tcPr>
          <w:p>
            <w:pPr/>
          </w:p>
        </w:tc>
        <w:tc>
          <w:tcPr>
            <w:tcW w:w="1174" w:type="dxa"/>
            <w:vMerge/>
            <w:tcBorders>
              <w:left w:val="single" w:sz="4" w:space="0" w:color="000000"/>
              <w:right w:val="single" w:sz="4" w:space="0" w:color="000000"/>
            </w:tcBorders>
            <w:shd w:val="clear" w:color="auto" w:fill="D2D2D2"/>
          </w:tcPr>
          <w:p>
            <w:pPr/>
          </w:p>
        </w:tc>
      </w:tr>
      <w:tr>
        <w:trPr>
          <w:trHeight w:val="163" w:hRule="exact"/>
        </w:trPr>
        <w:tc>
          <w:tcPr>
            <w:tcW w:w="1196"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201" w:type="dxa"/>
            <w:vMerge/>
            <w:tcBorders>
              <w:left w:val="single" w:sz="4" w:space="0" w:color="000000"/>
              <w:bottom w:val="single" w:sz="4" w:space="0" w:color="000000"/>
              <w:right w:val="single" w:sz="4" w:space="0" w:color="000000"/>
            </w:tcBorders>
            <w:shd w:val="clear" w:color="auto" w:fill="D2D2D2"/>
          </w:tcPr>
          <w:p>
            <w:pPr/>
          </w:p>
        </w:tc>
        <w:tc>
          <w:tcPr>
            <w:tcW w:w="11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220" w:type="dxa"/>
            <w:vMerge/>
            <w:tcBorders>
              <w:left w:val="single" w:sz="4" w:space="0" w:color="000000"/>
              <w:bottom w:val="single" w:sz="4" w:space="0" w:color="000000"/>
              <w:right w:val="single" w:sz="4" w:space="0" w:color="000000"/>
            </w:tcBorders>
            <w:shd w:val="clear" w:color="auto" w:fill="D2D2D2"/>
          </w:tcPr>
          <w:p>
            <w:pPr/>
          </w:p>
        </w:tc>
        <w:tc>
          <w:tcPr>
            <w:tcW w:w="1174" w:type="dxa"/>
            <w:vMerge/>
            <w:tcBorders>
              <w:left w:val="single" w:sz="4" w:space="0" w:color="000000"/>
              <w:bottom w:val="single" w:sz="4" w:space="0" w:color="000000"/>
              <w:right w:val="single" w:sz="4" w:space="0" w:color="000000"/>
            </w:tcBorders>
            <w:shd w:val="clear" w:color="auto" w:fill="D2D2D2"/>
          </w:tcPr>
          <w:p>
            <w:pPr/>
          </w:p>
        </w:tc>
      </w:tr>
      <w:tr>
        <w:trPr>
          <w:trHeight w:val="398"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119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0.00</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4,917,894.10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z w:val="18"/>
              </w:rPr>
              <w:t>0.00</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
              <w:jc w:val="right"/>
              <w:rPr>
                <w:rFonts w:ascii="Times New Roman" w:hAnsi="Times New Roman" w:cs="Times New Roman" w:eastAsia="Times New Roman" w:hint="default"/>
                <w:sz w:val="18"/>
                <w:szCs w:val="18"/>
              </w:rPr>
            </w:pPr>
            <w:r>
              <w:rPr>
                <w:rFonts w:ascii="Times New Roman"/>
                <w:spacing w:val="-1"/>
                <w:sz w:val="18"/>
              </w:rPr>
              <w:t>0.00%</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5"/>
              <w:jc w:val="right"/>
              <w:rPr>
                <w:rFonts w:ascii="Times New Roman" w:hAnsi="Times New Roman" w:cs="Times New Roman" w:eastAsia="Times New Roman" w:hint="default"/>
                <w:sz w:val="18"/>
                <w:szCs w:val="18"/>
              </w:rPr>
            </w:pPr>
            <w:r>
              <w:rPr>
                <w:rFonts w:ascii="Times New Roman"/>
                <w:sz w:val="18"/>
              </w:rPr>
              <w:t>0.00</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4"/>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119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14,132,810.70</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35,750,737.69</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4"/>
              <w:jc w:val="right"/>
              <w:rPr>
                <w:rFonts w:ascii="Times New Roman" w:hAnsi="Times New Roman" w:cs="Times New Roman" w:eastAsia="Times New Roman" w:hint="default"/>
                <w:sz w:val="18"/>
                <w:szCs w:val="18"/>
              </w:rPr>
            </w:pPr>
            <w:r>
              <w:rPr>
                <w:rFonts w:ascii="Times New Roman"/>
                <w:spacing w:val="-1"/>
                <w:sz w:val="18"/>
              </w:rPr>
              <w:t>39.53%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z w:val="18"/>
              </w:rPr>
              <w:t>0.00</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
              <w:jc w:val="right"/>
              <w:rPr>
                <w:rFonts w:ascii="Times New Roman" w:hAnsi="Times New Roman" w:cs="Times New Roman" w:eastAsia="Times New Roman" w:hint="default"/>
                <w:sz w:val="18"/>
                <w:szCs w:val="18"/>
              </w:rPr>
            </w:pPr>
            <w:r>
              <w:rPr>
                <w:rFonts w:ascii="Times New Roman"/>
                <w:spacing w:val="-1"/>
                <w:sz w:val="18"/>
              </w:rPr>
              <w:t>0.00%</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5"/>
              <w:jc w:val="right"/>
              <w:rPr>
                <w:rFonts w:ascii="Times New Roman" w:hAnsi="Times New Roman" w:cs="Times New Roman" w:eastAsia="Times New Roman" w:hint="default"/>
                <w:sz w:val="18"/>
                <w:szCs w:val="18"/>
              </w:rPr>
            </w:pPr>
            <w:r>
              <w:rPr>
                <w:rFonts w:ascii="Times New Roman"/>
                <w:spacing w:val="-1"/>
                <w:sz w:val="18"/>
              </w:rPr>
              <w:t>14,132,810.70</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4"/>
              <w:jc w:val="right"/>
              <w:rPr>
                <w:rFonts w:ascii="Times New Roman" w:hAnsi="Times New Roman" w:cs="Times New Roman" w:eastAsia="Times New Roman" w:hint="default"/>
                <w:sz w:val="18"/>
                <w:szCs w:val="18"/>
              </w:rPr>
            </w:pPr>
            <w:r>
              <w:rPr>
                <w:rFonts w:ascii="Times New Roman"/>
                <w:spacing w:val="-1"/>
                <w:sz w:val="18"/>
              </w:rPr>
              <w:t>39.53%</w:t>
            </w:r>
          </w:p>
        </w:tc>
      </w:tr>
      <w:tr>
        <w:trPr>
          <w:trHeight w:val="404"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119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0.00</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22,238,457.43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z w:val="18"/>
              </w:rPr>
              <w:t>0.00</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
              <w:jc w:val="right"/>
              <w:rPr>
                <w:rFonts w:ascii="Times New Roman" w:hAnsi="Times New Roman" w:cs="Times New Roman" w:eastAsia="Times New Roman" w:hint="default"/>
                <w:sz w:val="18"/>
                <w:szCs w:val="18"/>
              </w:rPr>
            </w:pPr>
            <w:r>
              <w:rPr>
                <w:rFonts w:ascii="Times New Roman"/>
                <w:spacing w:val="-1"/>
                <w:sz w:val="18"/>
              </w:rPr>
              <w:t>0.00%</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5"/>
              <w:jc w:val="right"/>
              <w:rPr>
                <w:rFonts w:ascii="Times New Roman" w:hAnsi="Times New Roman" w:cs="Times New Roman" w:eastAsia="Times New Roman" w:hint="default"/>
                <w:sz w:val="18"/>
                <w:szCs w:val="18"/>
              </w:rPr>
            </w:pPr>
            <w:r>
              <w:rPr>
                <w:rFonts w:ascii="Times New Roman"/>
                <w:sz w:val="18"/>
              </w:rPr>
              <w:t>0.00</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4"/>
              <w:jc w:val="right"/>
              <w:rPr>
                <w:rFonts w:ascii="Times New Roman" w:hAnsi="Times New Roman" w:cs="Times New Roman" w:eastAsia="Times New Roman" w:hint="default"/>
                <w:sz w:val="18"/>
                <w:szCs w:val="18"/>
              </w:rPr>
            </w:pPr>
            <w:r>
              <w:rPr>
                <w:rFonts w:ascii="Times New Roman"/>
                <w:spacing w:val="-1"/>
                <w:sz w:val="18"/>
              </w:rPr>
              <w:t>0.00%</w:t>
            </w:r>
          </w:p>
        </w:tc>
      </w:tr>
    </w:tbl>
    <w:p>
      <w:pPr>
        <w:pStyle w:val="BodyText"/>
        <w:spacing w:line="240" w:lineRule="auto" w:before="53"/>
        <w:ind w:right="0"/>
        <w:jc w:val="left"/>
      </w:pPr>
      <w:r>
        <w:rPr>
          <w:spacing w:val="-3"/>
        </w:rPr>
        <w:t>公司报告期内盈利且母公司可供普通股股东分配利润为正但未提出普通股现金红利分配预案</w:t>
      </w:r>
    </w:p>
    <w:p>
      <w:pPr>
        <w:pStyle w:val="BodyText"/>
        <w:spacing w:line="240" w:lineRule="auto" w:before="119"/>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7"/>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4788"/>
        <w:gridCol w:w="4782"/>
      </w:tblGrid>
      <w:tr>
        <w:trPr>
          <w:trHeight w:val="715"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037" w:right="42" w:hanging="990"/>
              <w:jc w:val="left"/>
              <w:rPr>
                <w:rFonts w:ascii="宋体" w:hAnsi="宋体" w:cs="宋体" w:eastAsia="宋体" w:hint="default"/>
                <w:sz w:val="18"/>
                <w:szCs w:val="18"/>
              </w:rPr>
            </w:pPr>
            <w:r>
              <w:rPr>
                <w:rFonts w:ascii="宋体" w:hAnsi="宋体" w:cs="宋体" w:eastAsia="宋体" w:hint="default"/>
                <w:spacing w:val="-3"/>
                <w:sz w:val="18"/>
                <w:szCs w:val="18"/>
              </w:rPr>
              <w:t>报告期内盈利且母公司可供普通股股东分配利润为正但未提</w:t>
            </w:r>
            <w:r>
              <w:rPr>
                <w:rFonts w:ascii="宋体" w:hAnsi="宋体" w:cs="宋体" w:eastAsia="宋体" w:hint="default"/>
                <w:spacing w:val="-10"/>
                <w:sz w:val="18"/>
                <w:szCs w:val="18"/>
              </w:rPr>
              <w:t> </w:t>
            </w:r>
            <w:r>
              <w:rPr>
                <w:rFonts w:ascii="宋体" w:hAnsi="宋体" w:cs="宋体" w:eastAsia="宋体" w:hint="default"/>
                <w:spacing w:val="-10"/>
                <w:sz w:val="18"/>
                <w:szCs w:val="18"/>
              </w:rPr>
            </w:r>
            <w:r>
              <w:rPr>
                <w:rFonts w:ascii="宋体" w:hAnsi="宋体" w:cs="宋体" w:eastAsia="宋体" w:hint="default"/>
                <w:spacing w:val="-3"/>
                <w:sz w:val="18"/>
                <w:szCs w:val="18"/>
              </w:rPr>
              <w:t>出普通股现金红利分配预案的原因</w:t>
            </w:r>
          </w:p>
        </w:tc>
        <w:tc>
          <w:tcPr>
            <w:tcW w:w="4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37" w:right="0"/>
              <w:jc w:val="left"/>
              <w:rPr>
                <w:rFonts w:ascii="宋体" w:hAnsi="宋体" w:cs="宋体" w:eastAsia="宋体" w:hint="default"/>
                <w:sz w:val="18"/>
                <w:szCs w:val="18"/>
              </w:rPr>
            </w:pPr>
            <w:r>
              <w:rPr>
                <w:rFonts w:ascii="宋体" w:hAnsi="宋体" w:cs="宋体" w:eastAsia="宋体" w:hint="default"/>
                <w:spacing w:val="-3"/>
                <w:sz w:val="18"/>
                <w:szCs w:val="18"/>
              </w:rPr>
              <w:t>公司未分配利润的用途和使用计划</w:t>
            </w:r>
          </w:p>
        </w:tc>
      </w:tr>
      <w:tr>
        <w:trPr>
          <w:trHeight w:val="3563" w:hRule="exact"/>
        </w:trPr>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4"/>
              <w:ind w:left="24" w:right="-14"/>
              <w:jc w:val="left"/>
              <w:rPr>
                <w:rFonts w:ascii="宋体" w:hAnsi="宋体" w:cs="宋体" w:eastAsia="宋体" w:hint="default"/>
                <w:sz w:val="18"/>
                <w:szCs w:val="18"/>
              </w:rPr>
            </w:pPr>
            <w:r>
              <w:rPr>
                <w:rFonts w:ascii="宋体" w:hAnsi="宋体" w:cs="宋体" w:eastAsia="宋体" w:hint="default"/>
                <w:spacing w:val="-3"/>
                <w:sz w:val="18"/>
                <w:szCs w:val="18"/>
              </w:rPr>
              <w:t>根据《公司章程》第一百五十七条实施现金分红条件的第一</w:t>
            </w:r>
            <w:r>
              <w:rPr>
                <w:rFonts w:ascii="宋体" w:hAnsi="宋体" w:cs="宋体" w:eastAsia="宋体" w:hint="default"/>
                <w:spacing w:val="-10"/>
                <w:sz w:val="18"/>
                <w:szCs w:val="18"/>
              </w:rPr>
              <w:t> </w:t>
            </w:r>
            <w:r>
              <w:rPr>
                <w:rFonts w:ascii="宋体" w:hAnsi="宋体" w:cs="宋体" w:eastAsia="宋体" w:hint="default"/>
                <w:spacing w:val="-10"/>
                <w:sz w:val="18"/>
                <w:szCs w:val="18"/>
              </w:rPr>
            </w:r>
            <w:r>
              <w:rPr>
                <w:rFonts w:ascii="宋体" w:hAnsi="宋体" w:cs="宋体" w:eastAsia="宋体" w:hint="default"/>
                <w:spacing w:val="-3"/>
                <w:sz w:val="18"/>
                <w:szCs w:val="18"/>
              </w:rPr>
              <w:t>款</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公司当年合并报表实现的可分配利润（即公司弥补亏损、</w:t>
            </w:r>
            <w:r>
              <w:rPr>
                <w:rFonts w:ascii="宋体" w:hAnsi="宋体" w:cs="宋体" w:eastAsia="宋体" w:hint="default"/>
                <w:spacing w:val="-6"/>
                <w:sz w:val="18"/>
                <w:szCs w:val="18"/>
              </w:rPr>
              <w:t> </w:t>
            </w:r>
            <w:r>
              <w:rPr>
                <w:rFonts w:ascii="宋体" w:hAnsi="宋体" w:cs="宋体" w:eastAsia="宋体" w:hint="default"/>
                <w:spacing w:val="-6"/>
                <w:sz w:val="18"/>
                <w:szCs w:val="18"/>
              </w:rPr>
            </w:r>
            <w:r>
              <w:rPr>
                <w:rFonts w:ascii="宋体" w:hAnsi="宋体" w:cs="宋体" w:eastAsia="宋体" w:hint="default"/>
                <w:spacing w:val="-3"/>
                <w:sz w:val="18"/>
                <w:szCs w:val="18"/>
              </w:rPr>
              <w:t>提取公积金后所余的税后利润）为正值，且现金流充裕，实</w:t>
            </w:r>
            <w:r>
              <w:rPr>
                <w:rFonts w:ascii="宋体" w:hAnsi="宋体" w:cs="宋体" w:eastAsia="宋体" w:hint="default"/>
                <w:spacing w:val="-10"/>
                <w:sz w:val="18"/>
                <w:szCs w:val="18"/>
              </w:rPr>
              <w:t> </w:t>
            </w:r>
            <w:r>
              <w:rPr>
                <w:rFonts w:ascii="宋体" w:hAnsi="宋体" w:cs="宋体" w:eastAsia="宋体" w:hint="default"/>
                <w:spacing w:val="-10"/>
                <w:sz w:val="18"/>
                <w:szCs w:val="18"/>
              </w:rPr>
            </w:r>
            <w:r>
              <w:rPr>
                <w:rFonts w:ascii="宋体" w:hAnsi="宋体" w:cs="宋体" w:eastAsia="宋体" w:hint="default"/>
                <w:spacing w:val="-3"/>
                <w:sz w:val="18"/>
                <w:szCs w:val="18"/>
              </w:rPr>
              <w:t>施现金分红不会影响公司后续持续经营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宋体" w:hAnsi="宋体" w:cs="宋体" w:eastAsia="宋体" w:hint="default"/>
                <w:spacing w:val="-29"/>
                <w:sz w:val="18"/>
                <w:szCs w:val="18"/>
              </w:rPr>
              <w:t> </w:t>
            </w:r>
            <w:r>
              <w:rPr>
                <w:rFonts w:ascii="宋体" w:hAnsi="宋体" w:cs="宋体" w:eastAsia="宋体" w:hint="default"/>
                <w:spacing w:val="-3"/>
                <w:sz w:val="18"/>
                <w:szCs w:val="18"/>
              </w:rPr>
              <w:t>经中汇会计师事务所（特殊普通合伙）审计，</w:t>
            </w:r>
            <w:r>
              <w:rPr>
                <w:rFonts w:ascii="Times New Roman" w:hAnsi="Times New Roman" w:cs="Times New Roman" w:eastAsia="Times New Roman" w:hint="default"/>
                <w:spacing w:val="-3"/>
                <w:sz w:val="18"/>
                <w:szCs w:val="18"/>
              </w:rPr>
              <w:t>2019 </w:t>
            </w:r>
            <w:r>
              <w:rPr>
                <w:rFonts w:ascii="宋体" w:hAnsi="宋体" w:cs="宋体" w:eastAsia="宋体" w:hint="default"/>
                <w:spacing w:val="-3"/>
                <w:sz w:val="18"/>
                <w:szCs w:val="18"/>
              </w:rPr>
              <w:t>年度母公</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2"/>
                <w:sz w:val="18"/>
                <w:szCs w:val="18"/>
              </w:rPr>
              <w:t>司经营活动产生的现金流量净额为</w:t>
            </w:r>
            <w:r>
              <w:rPr>
                <w:rFonts w:ascii="Times New Roman" w:hAnsi="Times New Roman" w:cs="Times New Roman" w:eastAsia="Times New Roman" w:hint="default"/>
                <w:spacing w:val="-2"/>
                <w:sz w:val="18"/>
                <w:szCs w:val="18"/>
              </w:rPr>
              <w:t>-105,568,976.42</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4"/>
                <w:sz w:val="18"/>
                <w:szCs w:val="18"/>
              </w:rPr>
              <w:t> </w:t>
            </w:r>
            <w:r>
              <w:rPr>
                <w:rFonts w:ascii="宋体" w:hAnsi="宋体" w:cs="宋体" w:eastAsia="宋体" w:hint="default"/>
                <w:spacing w:val="-2"/>
                <w:sz w:val="18"/>
                <w:szCs w:val="18"/>
              </w:rPr>
              <w:t>元，合并</w:t>
            </w:r>
          </w:p>
          <w:p>
            <w:pPr>
              <w:pStyle w:val="TableParagraph"/>
              <w:spacing w:line="314" w:lineRule="auto" w:before="1"/>
              <w:ind w:left="24" w:right="7"/>
              <w:jc w:val="both"/>
              <w:rPr>
                <w:rFonts w:ascii="宋体" w:hAnsi="宋体" w:cs="宋体" w:eastAsia="宋体" w:hint="default"/>
                <w:sz w:val="18"/>
                <w:szCs w:val="18"/>
              </w:rPr>
            </w:pPr>
            <w:r>
              <w:rPr>
                <w:rFonts w:ascii="宋体" w:hAnsi="宋体" w:cs="宋体" w:eastAsia="宋体" w:hint="default"/>
                <w:spacing w:val="-2"/>
                <w:sz w:val="18"/>
                <w:szCs w:val="18"/>
              </w:rPr>
              <w:t>口径公司经营活动产生的现金流量净额为</w:t>
            </w:r>
            <w:r>
              <w:rPr>
                <w:rFonts w:ascii="Times New Roman" w:hAnsi="Times New Roman" w:cs="Times New Roman" w:eastAsia="Times New Roman" w:hint="default"/>
                <w:spacing w:val="-2"/>
                <w:sz w:val="18"/>
                <w:szCs w:val="18"/>
              </w:rPr>
              <w:t>-53,425,673.79</w:t>
            </w: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元。</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pacing w:val="-3"/>
                <w:sz w:val="18"/>
                <w:szCs w:val="18"/>
              </w:rPr>
              <w:t>鉴于公司上年度盈利情况、现金流情况以及未来经营发展需</w:t>
            </w:r>
            <w:r>
              <w:rPr>
                <w:rFonts w:ascii="宋体" w:hAnsi="宋体" w:cs="宋体" w:eastAsia="宋体" w:hint="default"/>
                <w:spacing w:val="-10"/>
                <w:sz w:val="18"/>
                <w:szCs w:val="18"/>
              </w:rPr>
              <w:t> </w:t>
            </w:r>
            <w:r>
              <w:rPr>
                <w:rFonts w:ascii="宋体" w:hAnsi="宋体" w:cs="宋体" w:eastAsia="宋体" w:hint="default"/>
                <w:spacing w:val="-10"/>
                <w:sz w:val="18"/>
                <w:szCs w:val="18"/>
              </w:rPr>
            </w:r>
            <w:r>
              <w:rPr>
                <w:rFonts w:ascii="宋体" w:hAnsi="宋体" w:cs="宋体" w:eastAsia="宋体" w:hint="default"/>
                <w:spacing w:val="-3"/>
                <w:sz w:val="18"/>
                <w:szCs w:val="18"/>
              </w:rPr>
              <w:t>要，为保障公司生产经营的正常运行，增强抵御风险能力，</w:t>
            </w:r>
            <w:r>
              <w:rPr>
                <w:rFonts w:ascii="宋体" w:hAnsi="宋体" w:cs="宋体" w:eastAsia="宋体" w:hint="default"/>
                <w:spacing w:val="-10"/>
                <w:sz w:val="18"/>
                <w:szCs w:val="18"/>
              </w:rPr>
              <w:t> </w:t>
            </w:r>
            <w:r>
              <w:rPr>
                <w:rFonts w:ascii="宋体" w:hAnsi="宋体" w:cs="宋体" w:eastAsia="宋体" w:hint="default"/>
                <w:spacing w:val="-10"/>
                <w:sz w:val="18"/>
                <w:szCs w:val="18"/>
              </w:rPr>
            </w:r>
            <w:r>
              <w:rPr>
                <w:rFonts w:ascii="宋体" w:hAnsi="宋体" w:cs="宋体" w:eastAsia="宋体" w:hint="default"/>
                <w:spacing w:val="-3"/>
                <w:sz w:val="18"/>
                <w:szCs w:val="18"/>
              </w:rPr>
              <w:t>实现公司持续、稳定、健康发展，更好的维护全体股东的长</w:t>
            </w:r>
            <w:r>
              <w:rPr>
                <w:rFonts w:ascii="宋体" w:hAnsi="宋体" w:cs="宋体" w:eastAsia="宋体" w:hint="default"/>
                <w:spacing w:val="-10"/>
                <w:sz w:val="18"/>
                <w:szCs w:val="18"/>
              </w:rPr>
              <w:t> </w:t>
            </w:r>
            <w:r>
              <w:rPr>
                <w:rFonts w:ascii="宋体" w:hAnsi="宋体" w:cs="宋体" w:eastAsia="宋体" w:hint="default"/>
                <w:spacing w:val="-10"/>
                <w:sz w:val="18"/>
                <w:szCs w:val="18"/>
              </w:rPr>
            </w:r>
            <w:r>
              <w:rPr>
                <w:rFonts w:ascii="宋体" w:hAnsi="宋体" w:cs="宋体" w:eastAsia="宋体" w:hint="default"/>
                <w:spacing w:val="-7"/>
                <w:sz w:val="18"/>
                <w:szCs w:val="18"/>
              </w:rPr>
              <w:t>远利益，经公司董事会研究决定：</w:t>
            </w:r>
            <w:r>
              <w:rPr>
                <w:rFonts w:ascii="Times New Roman" w:hAnsi="Times New Roman" w:cs="Times New Roman" w:eastAsia="Times New Roman" w:hint="default"/>
                <w:spacing w:val="-7"/>
                <w:sz w:val="18"/>
                <w:szCs w:val="18"/>
              </w:rPr>
              <w:t>2019  </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年度不进行现金分红</w:t>
            </w:r>
          </w:p>
        </w:tc>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3"/>
                <w:szCs w:val="23"/>
              </w:rPr>
            </w:pPr>
          </w:p>
          <w:p>
            <w:pPr>
              <w:pStyle w:val="TableParagraph"/>
              <w:spacing w:line="300" w:lineRule="auto"/>
              <w:ind w:left="23" w:right="13"/>
              <w:jc w:val="left"/>
              <w:rPr>
                <w:rFonts w:ascii="宋体" w:hAnsi="宋体" w:cs="宋体" w:eastAsia="宋体" w:hint="default"/>
                <w:sz w:val="18"/>
                <w:szCs w:val="18"/>
              </w:rPr>
            </w:pPr>
            <w:r>
              <w:rPr>
                <w:rFonts w:ascii="宋体" w:hAnsi="宋体" w:cs="宋体" w:eastAsia="宋体" w:hint="default"/>
                <w:sz w:val="18"/>
                <w:szCs w:val="18"/>
              </w:rPr>
              <w:t>公司 </w:t>
            </w:r>
            <w:r>
              <w:rPr>
                <w:rFonts w:ascii="Times New Roman" w:hAnsi="Times New Roman" w:cs="Times New Roman" w:eastAsia="Times New Roman" w:hint="default"/>
                <w:sz w:val="18"/>
                <w:szCs w:val="18"/>
              </w:rPr>
              <w:t>2019 </w:t>
            </w:r>
            <w:r>
              <w:rPr>
                <w:rFonts w:ascii="宋体" w:hAnsi="宋体" w:cs="宋体" w:eastAsia="宋体" w:hint="default"/>
                <w:spacing w:val="-5"/>
                <w:sz w:val="18"/>
                <w:szCs w:val="18"/>
              </w:rPr>
              <w:t>年度未分配利润将结转以后年度，用于公司日常经</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3"/>
                <w:sz w:val="18"/>
                <w:szCs w:val="18"/>
              </w:rPr>
              <w:t>营资金周转及未来利润分配需要。</w:t>
            </w:r>
          </w:p>
        </w:tc>
      </w:tr>
    </w:tbl>
    <w:p>
      <w:pPr>
        <w:spacing w:after="0" w:line="300" w:lineRule="auto"/>
        <w:jc w:val="left"/>
        <w:rPr>
          <w:rFonts w:ascii="宋体" w:hAnsi="宋体" w:cs="宋体" w:eastAsia="宋体" w:hint="default"/>
          <w:sz w:val="18"/>
          <w:szCs w:val="18"/>
        </w:rPr>
        <w:sectPr>
          <w:pgSz w:w="11910" w:h="16840"/>
          <w:pgMar w:header="871" w:footer="1186" w:top="1100" w:bottom="1380" w:left="980" w:right="0"/>
        </w:sectPr>
      </w:pPr>
    </w:p>
    <w:p>
      <w:pPr>
        <w:spacing w:line="240" w:lineRule="auto" w:before="7"/>
        <w:rPr>
          <w:rFonts w:ascii="宋体" w:hAnsi="宋体" w:cs="宋体" w:eastAsia="宋体" w:hint="default"/>
          <w:sz w:val="19"/>
          <w:szCs w:val="19"/>
        </w:rPr>
      </w:pPr>
    </w:p>
    <w:p>
      <w:pPr>
        <w:pStyle w:val="Heading2"/>
        <w:spacing w:line="240" w:lineRule="auto" w:before="26"/>
        <w:ind w:right="0"/>
        <w:jc w:val="left"/>
        <w:rPr>
          <w:b w:val="0"/>
          <w:bCs w:val="0"/>
        </w:rPr>
      </w:pPr>
      <w:bookmarkStart w:name="二、承诺事项履行情况" w:id="64"/>
      <w:bookmarkEnd w:id="64"/>
      <w:r>
        <w:rPr>
          <w:b w:val="0"/>
          <w:bCs w:val="0"/>
        </w:rPr>
      </w:r>
      <w:r>
        <w:rPr/>
        <w:t>二、承诺事项履行情况</w:t>
      </w:r>
      <w:r>
        <w:rPr>
          <w:b w:val="0"/>
          <w:bCs w:val="0"/>
        </w:rPr>
      </w:r>
    </w:p>
    <w:p>
      <w:pPr>
        <w:spacing w:line="240" w:lineRule="auto" w:before="3"/>
        <w:rPr>
          <w:rFonts w:ascii="宋体" w:hAnsi="宋体" w:cs="宋体" w:eastAsia="宋体" w:hint="default"/>
          <w:b/>
          <w:bCs/>
          <w:sz w:val="25"/>
          <w:szCs w:val="25"/>
        </w:rPr>
      </w:pPr>
    </w:p>
    <w:p>
      <w:pPr>
        <w:pStyle w:val="Heading3"/>
        <w:spacing w:line="254" w:lineRule="auto"/>
        <w:ind w:right="0"/>
        <w:jc w:val="left"/>
        <w:rPr>
          <w:b w:val="0"/>
          <w:bCs w:val="0"/>
        </w:rPr>
      </w:pPr>
      <w:bookmarkStart w:name="1、公司实际控制人、股东、关联方、收购人以及公司等承诺相关方在报告期内履行完毕及" w:id="65"/>
      <w:bookmarkEnd w:id="65"/>
      <w:r>
        <w:rPr>
          <w:b w:val="0"/>
          <w:bCs w:val="0"/>
        </w:rPr>
      </w:r>
      <w:r>
        <w:rPr>
          <w:rFonts w:ascii="Times New Roman" w:hAnsi="Times New Roman" w:cs="Times New Roman" w:eastAsia="Times New Roman" w:hint="default"/>
        </w:rPr>
        <w:t>1</w:t>
      </w:r>
      <w:r>
        <w:rPr/>
        <w:t>、公司实际控制人、股东、关联方、收购人以及公司等承诺相关方在报告期内履行完毕及截至报告期末</w:t>
      </w:r>
      <w:r>
        <w:rPr>
          <w:spacing w:val="-65"/>
        </w:rPr>
        <w:t> </w:t>
      </w:r>
      <w:r>
        <w:rPr>
          <w:spacing w:val="-65"/>
        </w:rPr>
      </w:r>
      <w:r>
        <w:rPr/>
        <w:t>尚未履行完毕的承诺事项</w:t>
      </w:r>
      <w:r>
        <w:rPr>
          <w:b w:val="0"/>
          <w:bCs w:val="0"/>
        </w:rPr>
      </w:r>
    </w:p>
    <w:p>
      <w:pPr>
        <w:spacing w:line="240" w:lineRule="auto" w:before="4"/>
        <w:rPr>
          <w:rFonts w:ascii="宋体" w:hAnsi="宋体" w:cs="宋体" w:eastAsia="宋体" w:hint="default"/>
          <w:b/>
          <w:bCs/>
          <w:sz w:val="27"/>
          <w:szCs w:val="27"/>
        </w:rPr>
      </w:pPr>
    </w:p>
    <w:p>
      <w:pPr>
        <w:pStyle w:val="BodyText"/>
        <w:spacing w:line="240" w:lineRule="auto"/>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11"/>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2838"/>
        <w:gridCol w:w="1124"/>
        <w:gridCol w:w="1128"/>
        <w:gridCol w:w="1124"/>
        <w:gridCol w:w="1129"/>
        <w:gridCol w:w="1124"/>
        <w:gridCol w:w="1104"/>
      </w:tblGrid>
      <w:tr>
        <w:trPr>
          <w:trHeight w:val="403" w:hRule="exact"/>
        </w:trPr>
        <w:tc>
          <w:tcPr>
            <w:tcW w:w="2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right="0"/>
              <w:jc w:val="center"/>
              <w:rPr>
                <w:rFonts w:ascii="宋体" w:hAnsi="宋体" w:cs="宋体" w:eastAsia="宋体" w:hint="default"/>
                <w:sz w:val="18"/>
                <w:szCs w:val="18"/>
              </w:rPr>
            </w:pPr>
            <w:r>
              <w:rPr>
                <w:rFonts w:ascii="宋体" w:hAnsi="宋体" w:cs="宋体" w:eastAsia="宋体" w:hint="default"/>
                <w:sz w:val="18"/>
                <w:szCs w:val="18"/>
              </w:rPr>
              <w:t>承诺来源</w:t>
            </w:r>
          </w:p>
        </w:tc>
        <w:tc>
          <w:tcPr>
            <w:tcW w:w="11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287"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11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196" w:right="0"/>
              <w:jc w:val="left"/>
              <w:rPr>
                <w:rFonts w:ascii="宋体" w:hAnsi="宋体" w:cs="宋体" w:eastAsia="宋体" w:hint="default"/>
                <w:sz w:val="18"/>
                <w:szCs w:val="18"/>
              </w:rPr>
            </w:pPr>
            <w:r>
              <w:rPr>
                <w:rFonts w:ascii="宋体" w:hAnsi="宋体" w:cs="宋体" w:eastAsia="宋体" w:hint="default"/>
                <w:sz w:val="18"/>
                <w:szCs w:val="18"/>
              </w:rPr>
              <w:t>承诺类型</w:t>
            </w:r>
          </w:p>
        </w:tc>
        <w:tc>
          <w:tcPr>
            <w:tcW w:w="11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196" w:right="0"/>
              <w:jc w:val="left"/>
              <w:rPr>
                <w:rFonts w:ascii="宋体" w:hAnsi="宋体" w:cs="宋体" w:eastAsia="宋体" w:hint="default"/>
                <w:sz w:val="18"/>
                <w:szCs w:val="18"/>
              </w:rPr>
            </w:pPr>
            <w:r>
              <w:rPr>
                <w:rFonts w:ascii="宋体" w:hAnsi="宋体" w:cs="宋体" w:eastAsia="宋体" w:hint="default"/>
                <w:sz w:val="18"/>
                <w:szCs w:val="18"/>
              </w:rPr>
              <w:t>承诺内容</w:t>
            </w:r>
          </w:p>
        </w:tc>
        <w:tc>
          <w:tcPr>
            <w:tcW w:w="1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196"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11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196"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1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187"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716" w:hRule="exact"/>
        </w:trPr>
        <w:tc>
          <w:tcPr>
            <w:tcW w:w="2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63"/>
              <w:ind w:left="24" w:right="99"/>
              <w:jc w:val="left"/>
              <w:rPr>
                <w:rFonts w:ascii="宋体" w:hAnsi="宋体" w:cs="宋体" w:eastAsia="宋体" w:hint="default"/>
                <w:sz w:val="18"/>
                <w:szCs w:val="18"/>
              </w:rPr>
            </w:pPr>
            <w:r>
              <w:rPr>
                <w:rFonts w:ascii="宋体" w:hAnsi="宋体" w:cs="宋体" w:eastAsia="宋体" w:hint="default"/>
                <w:spacing w:val="-3"/>
                <w:sz w:val="18"/>
                <w:szCs w:val="18"/>
              </w:rPr>
              <w:t>收购报告书或权益变动报告书中所</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z w:val="18"/>
                <w:szCs w:val="18"/>
              </w:rPr>
              <w:t>作承诺</w:t>
            </w:r>
          </w:p>
        </w:tc>
        <w:tc>
          <w:tcPr>
            <w:tcW w:w="1124" w:type="dxa"/>
            <w:tcBorders>
              <w:top w:val="single" w:sz="4" w:space="0" w:color="000000"/>
              <w:left w:val="single" w:sz="13" w:space="0" w:color="D2D2D2"/>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4" w:type="dxa"/>
            <w:tcBorders>
              <w:top w:val="single" w:sz="4" w:space="0" w:color="000000"/>
              <w:left w:val="single" w:sz="4" w:space="0" w:color="000000"/>
              <w:bottom w:val="single" w:sz="4" w:space="0" w:color="000000"/>
              <w:right w:val="single" w:sz="4" w:space="0" w:color="000000"/>
            </w:tcBorders>
          </w:tcPr>
          <w:p>
            <w:pPr/>
          </w:p>
        </w:tc>
        <w:tc>
          <w:tcPr>
            <w:tcW w:w="1129" w:type="dxa"/>
            <w:tcBorders>
              <w:top w:val="single" w:sz="4" w:space="0" w:color="000000"/>
              <w:left w:val="single" w:sz="4" w:space="0" w:color="000000"/>
              <w:bottom w:val="single" w:sz="4" w:space="0" w:color="000000"/>
              <w:right w:val="single" w:sz="4" w:space="0" w:color="000000"/>
            </w:tcBorders>
          </w:tcPr>
          <w:p>
            <w:pPr/>
          </w:p>
        </w:tc>
        <w:tc>
          <w:tcPr>
            <w:tcW w:w="1124"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
        </w:tc>
      </w:tr>
      <w:tr>
        <w:trPr>
          <w:trHeight w:val="2079" w:hRule="exact"/>
        </w:trPr>
        <w:tc>
          <w:tcPr>
            <w:tcW w:w="2838" w:type="dxa"/>
            <w:tcBorders>
              <w:top w:val="single" w:sz="4" w:space="0" w:color="000000"/>
              <w:left w:val="single" w:sz="4" w:space="0" w:color="000000"/>
              <w:bottom w:val="nil" w:sz="6" w:space="0" w:color="auto"/>
              <w:right w:val="single" w:sz="4" w:space="0" w:color="000000"/>
            </w:tcBorders>
            <w:shd w:val="clear" w:color="auto" w:fill="D2D2D2"/>
          </w:tcPr>
          <w:p>
            <w:pPr/>
          </w:p>
        </w:tc>
        <w:tc>
          <w:tcPr>
            <w:tcW w:w="1124" w:type="dxa"/>
            <w:vMerge w:val="restart"/>
            <w:tcBorders>
              <w:top w:val="single" w:sz="4" w:space="0" w:color="000000"/>
              <w:left w:val="single" w:sz="10"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2"/>
                <w:szCs w:val="22"/>
              </w:rPr>
            </w:pPr>
          </w:p>
          <w:p>
            <w:pPr>
              <w:pStyle w:val="TableParagraph"/>
              <w:spacing w:line="319" w:lineRule="auto"/>
              <w:ind w:left="16" w:right="3"/>
              <w:jc w:val="left"/>
              <w:rPr>
                <w:rFonts w:ascii="宋体" w:hAnsi="宋体" w:cs="宋体" w:eastAsia="宋体" w:hint="default"/>
                <w:sz w:val="18"/>
                <w:szCs w:val="18"/>
              </w:rPr>
            </w:pPr>
            <w:r>
              <w:rPr>
                <w:rFonts w:ascii="宋体" w:hAnsi="宋体" w:cs="宋体" w:eastAsia="宋体" w:hint="default"/>
                <w:sz w:val="18"/>
                <w:szCs w:val="18"/>
              </w:rPr>
              <w:t>冯军、李岩、</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深圳弘道天</w:t>
            </w:r>
            <w:r>
              <w:rPr>
                <w:rFonts w:ascii="宋体" w:hAnsi="宋体" w:cs="宋体" w:eastAsia="宋体" w:hint="default"/>
                <w:w w:val="101"/>
                <w:sz w:val="18"/>
                <w:szCs w:val="18"/>
              </w:rPr>
              <w:t> </w:t>
            </w:r>
            <w:r>
              <w:rPr>
                <w:rFonts w:ascii="宋体" w:hAnsi="宋体" w:cs="宋体" w:eastAsia="宋体" w:hint="default"/>
                <w:sz w:val="18"/>
                <w:szCs w:val="18"/>
              </w:rPr>
              <w:t>瑞投资有限</w:t>
            </w:r>
            <w:r>
              <w:rPr>
                <w:rFonts w:ascii="宋体" w:hAnsi="宋体" w:cs="宋体" w:eastAsia="宋体" w:hint="default"/>
                <w:w w:val="101"/>
                <w:sz w:val="18"/>
                <w:szCs w:val="18"/>
              </w:rPr>
              <w:t> </w:t>
            </w:r>
            <w:r>
              <w:rPr>
                <w:rFonts w:ascii="宋体" w:hAnsi="宋体" w:cs="宋体" w:eastAsia="宋体" w:hint="default"/>
                <w:sz w:val="18"/>
                <w:szCs w:val="18"/>
              </w:rPr>
              <w:t>责任公司</w:t>
            </w:r>
          </w:p>
        </w:tc>
        <w:tc>
          <w:tcPr>
            <w:tcW w:w="112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2"/>
                <w:szCs w:val="22"/>
              </w:rPr>
            </w:pPr>
          </w:p>
          <w:p>
            <w:pPr>
              <w:pStyle w:val="TableParagraph"/>
              <w:spacing w:line="319" w:lineRule="auto"/>
              <w:ind w:left="23" w:right="17"/>
              <w:jc w:val="left"/>
              <w:rPr>
                <w:rFonts w:ascii="宋体" w:hAnsi="宋体" w:cs="宋体" w:eastAsia="宋体" w:hint="default"/>
                <w:sz w:val="18"/>
                <w:szCs w:val="18"/>
              </w:rPr>
            </w:pPr>
            <w:r>
              <w:rPr>
                <w:rFonts w:ascii="宋体" w:hAnsi="宋体" w:cs="宋体" w:eastAsia="宋体" w:hint="default"/>
                <w:sz w:val="18"/>
                <w:szCs w:val="18"/>
              </w:rPr>
              <w:t>关于同业竞</w:t>
            </w:r>
            <w:r>
              <w:rPr>
                <w:rFonts w:ascii="宋体" w:hAnsi="宋体" w:cs="宋体" w:eastAsia="宋体" w:hint="default"/>
                <w:w w:val="101"/>
                <w:sz w:val="18"/>
                <w:szCs w:val="18"/>
              </w:rPr>
              <w:t> </w:t>
            </w:r>
            <w:r>
              <w:rPr>
                <w:rFonts w:ascii="宋体" w:hAnsi="宋体" w:cs="宋体" w:eastAsia="宋体" w:hint="default"/>
                <w:sz w:val="18"/>
                <w:szCs w:val="18"/>
              </w:rPr>
              <w:t>争、关联交</w:t>
            </w:r>
            <w:r>
              <w:rPr>
                <w:rFonts w:ascii="宋体" w:hAnsi="宋体" w:cs="宋体" w:eastAsia="宋体" w:hint="default"/>
                <w:w w:val="101"/>
                <w:sz w:val="18"/>
                <w:szCs w:val="18"/>
              </w:rPr>
              <w:t> </w:t>
            </w:r>
            <w:r>
              <w:rPr>
                <w:rFonts w:ascii="宋体" w:hAnsi="宋体" w:cs="宋体" w:eastAsia="宋体" w:hint="default"/>
                <w:spacing w:val="-4"/>
                <w:sz w:val="18"/>
                <w:szCs w:val="18"/>
              </w:rPr>
              <w:t>易、资金占用</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方面的承诺</w:t>
            </w:r>
          </w:p>
        </w:tc>
        <w:tc>
          <w:tcPr>
            <w:tcW w:w="112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6"/>
                <w:szCs w:val="16"/>
              </w:rPr>
            </w:pPr>
          </w:p>
          <w:p>
            <w:pPr>
              <w:pStyle w:val="TableParagraph"/>
              <w:spacing w:line="328" w:lineRule="auto"/>
              <w:ind w:left="24" w:right="122"/>
              <w:jc w:val="left"/>
              <w:rPr>
                <w:rFonts w:ascii="Times New Roman" w:hAnsi="Times New Roman" w:cs="Times New Roman" w:eastAsia="Times New Roman" w:hint="default"/>
                <w:sz w:val="18"/>
                <w:szCs w:val="18"/>
              </w:rPr>
            </w:pPr>
            <w:r>
              <w:rPr>
                <w:rFonts w:ascii="宋体" w:hAnsi="宋体" w:cs="宋体" w:eastAsia="宋体" w:hint="default"/>
                <w:sz w:val="18"/>
                <w:szCs w:val="18"/>
              </w:rPr>
              <w:t>避免关联交</w:t>
            </w:r>
            <w:r>
              <w:rPr>
                <w:rFonts w:ascii="宋体" w:hAnsi="宋体" w:cs="宋体" w:eastAsia="宋体" w:hint="default"/>
                <w:w w:val="101"/>
                <w:sz w:val="18"/>
                <w:szCs w:val="18"/>
              </w:rPr>
              <w:t> </w:t>
            </w:r>
            <w:r>
              <w:rPr>
                <w:rFonts w:ascii="宋体" w:hAnsi="宋体" w:cs="宋体" w:eastAsia="宋体" w:hint="default"/>
                <w:sz w:val="18"/>
                <w:szCs w:val="18"/>
              </w:rPr>
              <w:t>易的承诺</w:t>
            </w: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宋体" w:hAnsi="宋体" w:cs="宋体" w:eastAsia="宋体" w:hint="default"/>
                <w:spacing w:val="-87"/>
                <w:sz w:val="18"/>
                <w:szCs w:val="18"/>
              </w:rPr>
              <w:t> </w:t>
            </w:r>
            <w:r>
              <w:rPr>
                <w:rFonts w:ascii="Times New Roman" w:hAnsi="Times New Roman" w:cs="Times New Roman" w:eastAsia="Times New Roman" w:hint="default"/>
                <w:sz w:val="18"/>
                <w:szCs w:val="18"/>
              </w:rPr>
              <w:t>1]</w:t>
            </w:r>
          </w:p>
        </w:tc>
        <w:tc>
          <w:tcPr>
            <w:tcW w:w="112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7"/>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104" w:type="dxa"/>
            <w:vMerge w:val="restart"/>
            <w:tcBorders>
              <w:top w:val="single" w:sz="4" w:space="0" w:color="000000"/>
              <w:left w:val="single" w:sz="4" w:space="0" w:color="000000"/>
              <w:right w:val="single" w:sz="4" w:space="0" w:color="000000"/>
            </w:tcBorders>
          </w:tcPr>
          <w:p>
            <w:pPr>
              <w:pStyle w:val="TableParagraph"/>
              <w:spacing w:line="319" w:lineRule="auto" w:before="63"/>
              <w:ind w:left="23" w:right="12"/>
              <w:jc w:val="left"/>
              <w:rPr>
                <w:rFonts w:ascii="宋体" w:hAnsi="宋体" w:cs="宋体" w:eastAsia="宋体" w:hint="default"/>
                <w:sz w:val="18"/>
                <w:szCs w:val="18"/>
              </w:rPr>
            </w:pPr>
            <w:r>
              <w:rPr>
                <w:rFonts w:ascii="宋体" w:hAnsi="宋体" w:cs="宋体" w:eastAsia="宋体" w:hint="default"/>
                <w:sz w:val="18"/>
                <w:szCs w:val="18"/>
              </w:rPr>
              <w:t>截止报告期</w:t>
            </w:r>
            <w:r>
              <w:rPr>
                <w:rFonts w:ascii="宋体" w:hAnsi="宋体" w:cs="宋体" w:eastAsia="宋体" w:hint="default"/>
                <w:w w:val="101"/>
                <w:sz w:val="18"/>
                <w:szCs w:val="18"/>
              </w:rPr>
              <w:t> </w:t>
            </w:r>
            <w:r>
              <w:rPr>
                <w:rFonts w:ascii="宋体" w:hAnsi="宋体" w:cs="宋体" w:eastAsia="宋体" w:hint="default"/>
                <w:spacing w:val="-7"/>
                <w:sz w:val="18"/>
                <w:szCs w:val="18"/>
              </w:rPr>
              <w:t>末，公司上述</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股东均遵守</w:t>
            </w:r>
            <w:r>
              <w:rPr>
                <w:rFonts w:ascii="宋体" w:hAnsi="宋体" w:cs="宋体" w:eastAsia="宋体" w:hint="default"/>
                <w:w w:val="101"/>
                <w:sz w:val="18"/>
                <w:szCs w:val="18"/>
              </w:rPr>
              <w:t> </w:t>
            </w:r>
            <w:r>
              <w:rPr>
                <w:rFonts w:ascii="宋体" w:hAnsi="宋体" w:cs="宋体" w:eastAsia="宋体" w:hint="default"/>
                <w:spacing w:val="-7"/>
                <w:sz w:val="18"/>
                <w:szCs w:val="18"/>
              </w:rPr>
              <w:t>以上承诺，未</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发生违反上</w:t>
            </w:r>
            <w:r>
              <w:rPr>
                <w:rFonts w:ascii="宋体" w:hAnsi="宋体" w:cs="宋体" w:eastAsia="宋体" w:hint="default"/>
                <w:w w:val="101"/>
                <w:sz w:val="18"/>
                <w:szCs w:val="18"/>
              </w:rPr>
              <w:t> </w:t>
            </w:r>
            <w:r>
              <w:rPr>
                <w:rFonts w:ascii="宋体" w:hAnsi="宋体" w:cs="宋体" w:eastAsia="宋体" w:hint="default"/>
                <w:sz w:val="18"/>
                <w:szCs w:val="18"/>
              </w:rPr>
              <w:t>述承诺的情</w:t>
            </w:r>
            <w:r>
              <w:rPr>
                <w:rFonts w:ascii="宋体" w:hAnsi="宋体" w:cs="宋体" w:eastAsia="宋体" w:hint="default"/>
                <w:w w:val="101"/>
                <w:sz w:val="18"/>
                <w:szCs w:val="18"/>
              </w:rPr>
              <w:t> </w:t>
            </w:r>
            <w:r>
              <w:rPr>
                <w:rFonts w:ascii="宋体" w:hAnsi="宋体" w:cs="宋体" w:eastAsia="宋体" w:hint="default"/>
                <w:sz w:val="18"/>
                <w:szCs w:val="18"/>
              </w:rPr>
              <w:t>况。</w:t>
            </w:r>
          </w:p>
        </w:tc>
      </w:tr>
      <w:tr>
        <w:trPr>
          <w:trHeight w:val="192" w:hRule="exact"/>
        </w:trPr>
        <w:tc>
          <w:tcPr>
            <w:tcW w:w="283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pacing w:val="-3"/>
                <w:sz w:val="18"/>
                <w:szCs w:val="18"/>
              </w:rPr>
              <w:t>资产重组时所作承诺</w:t>
            </w:r>
          </w:p>
        </w:tc>
        <w:tc>
          <w:tcPr>
            <w:tcW w:w="1124" w:type="dxa"/>
            <w:vMerge/>
            <w:tcBorders>
              <w:left w:val="single" w:sz="10" w:space="0" w:color="D2D2D2"/>
              <w:bottom w:val="single" w:sz="4" w:space="0" w:color="000000"/>
              <w:right w:val="single" w:sz="4" w:space="0" w:color="000000"/>
            </w:tcBorders>
          </w:tcPr>
          <w:p>
            <w:pPr/>
          </w:p>
        </w:tc>
        <w:tc>
          <w:tcPr>
            <w:tcW w:w="1128" w:type="dxa"/>
            <w:vMerge/>
            <w:tcBorders>
              <w:left w:val="single" w:sz="4" w:space="0" w:color="000000"/>
              <w:bottom w:val="single" w:sz="4" w:space="0" w:color="000000"/>
              <w:right w:val="single" w:sz="4" w:space="0" w:color="000000"/>
            </w:tcBorders>
          </w:tcPr>
          <w:p>
            <w:pPr/>
          </w:p>
        </w:tc>
        <w:tc>
          <w:tcPr>
            <w:tcW w:w="1124" w:type="dxa"/>
            <w:vMerge/>
            <w:tcBorders>
              <w:left w:val="single" w:sz="4" w:space="0" w:color="000000"/>
              <w:bottom w:val="single" w:sz="4" w:space="0" w:color="000000"/>
              <w:right w:val="single" w:sz="4" w:space="0" w:color="000000"/>
            </w:tcBorders>
          </w:tcPr>
          <w:p>
            <w:pPr/>
          </w:p>
        </w:tc>
        <w:tc>
          <w:tcPr>
            <w:tcW w:w="1129" w:type="dxa"/>
            <w:vMerge/>
            <w:tcBorders>
              <w:left w:val="single" w:sz="4" w:space="0" w:color="000000"/>
              <w:bottom w:val="single" w:sz="4" w:space="0" w:color="000000"/>
              <w:right w:val="single" w:sz="4" w:space="0" w:color="000000"/>
            </w:tcBorders>
          </w:tcPr>
          <w:p>
            <w:pPr/>
          </w:p>
        </w:tc>
        <w:tc>
          <w:tcPr>
            <w:tcW w:w="1124" w:type="dxa"/>
            <w:vMerge/>
            <w:tcBorders>
              <w:left w:val="single" w:sz="4" w:space="0" w:color="000000"/>
              <w:bottom w:val="single" w:sz="4" w:space="0" w:color="000000"/>
              <w:right w:val="single" w:sz="4" w:space="0" w:color="000000"/>
            </w:tcBorders>
          </w:tcPr>
          <w:p>
            <w:pPr/>
          </w:p>
        </w:tc>
        <w:tc>
          <w:tcPr>
            <w:tcW w:w="1104" w:type="dxa"/>
            <w:vMerge/>
            <w:tcBorders>
              <w:left w:val="single" w:sz="4" w:space="0" w:color="000000"/>
              <w:bottom w:val="single" w:sz="4" w:space="0" w:color="000000"/>
              <w:right w:val="single" w:sz="4" w:space="0" w:color="000000"/>
            </w:tcBorders>
          </w:tcPr>
          <w:p>
            <w:pPr/>
          </w:p>
        </w:tc>
      </w:tr>
      <w:tr>
        <w:trPr>
          <w:trHeight w:val="197" w:hRule="exact"/>
        </w:trPr>
        <w:tc>
          <w:tcPr>
            <w:tcW w:w="2838" w:type="dxa"/>
            <w:vMerge/>
            <w:tcBorders>
              <w:left w:val="single" w:sz="4" w:space="0" w:color="000000"/>
              <w:bottom w:val="nil" w:sz="6" w:space="0" w:color="auto"/>
              <w:right w:val="single" w:sz="4" w:space="0" w:color="000000"/>
            </w:tcBorders>
            <w:shd w:val="clear" w:color="auto" w:fill="D2D2D2"/>
          </w:tcPr>
          <w:p>
            <w:pPr/>
          </w:p>
        </w:tc>
        <w:tc>
          <w:tcPr>
            <w:tcW w:w="1124" w:type="dxa"/>
            <w:vMerge w:val="restart"/>
            <w:tcBorders>
              <w:top w:val="single" w:sz="4" w:space="0" w:color="000000"/>
              <w:left w:val="single" w:sz="10"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2"/>
                <w:szCs w:val="22"/>
              </w:rPr>
            </w:pPr>
          </w:p>
          <w:p>
            <w:pPr>
              <w:pStyle w:val="TableParagraph"/>
              <w:spacing w:line="319" w:lineRule="auto"/>
              <w:ind w:left="16" w:right="3"/>
              <w:jc w:val="left"/>
              <w:rPr>
                <w:rFonts w:ascii="宋体" w:hAnsi="宋体" w:cs="宋体" w:eastAsia="宋体" w:hint="default"/>
                <w:sz w:val="18"/>
                <w:szCs w:val="18"/>
              </w:rPr>
            </w:pPr>
            <w:r>
              <w:rPr>
                <w:rFonts w:ascii="宋体" w:hAnsi="宋体" w:cs="宋体" w:eastAsia="宋体" w:hint="default"/>
                <w:sz w:val="18"/>
                <w:szCs w:val="18"/>
              </w:rPr>
              <w:t>冯军、李岩、</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深圳弘道天</w:t>
            </w:r>
            <w:r>
              <w:rPr>
                <w:rFonts w:ascii="宋体" w:hAnsi="宋体" w:cs="宋体" w:eastAsia="宋体" w:hint="default"/>
                <w:w w:val="101"/>
                <w:sz w:val="18"/>
                <w:szCs w:val="18"/>
              </w:rPr>
              <w:t> </w:t>
            </w:r>
            <w:r>
              <w:rPr>
                <w:rFonts w:ascii="宋体" w:hAnsi="宋体" w:cs="宋体" w:eastAsia="宋体" w:hint="default"/>
                <w:sz w:val="18"/>
                <w:szCs w:val="18"/>
              </w:rPr>
              <w:t>瑞投资有限</w:t>
            </w:r>
            <w:r>
              <w:rPr>
                <w:rFonts w:ascii="宋体" w:hAnsi="宋体" w:cs="宋体" w:eastAsia="宋体" w:hint="default"/>
                <w:w w:val="101"/>
                <w:sz w:val="18"/>
                <w:szCs w:val="18"/>
              </w:rPr>
              <w:t> </w:t>
            </w:r>
            <w:r>
              <w:rPr>
                <w:rFonts w:ascii="宋体" w:hAnsi="宋体" w:cs="宋体" w:eastAsia="宋体" w:hint="default"/>
                <w:sz w:val="18"/>
                <w:szCs w:val="18"/>
              </w:rPr>
              <w:t>责任公司</w:t>
            </w:r>
          </w:p>
        </w:tc>
        <w:tc>
          <w:tcPr>
            <w:tcW w:w="112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2"/>
                <w:szCs w:val="22"/>
              </w:rPr>
            </w:pPr>
          </w:p>
          <w:p>
            <w:pPr>
              <w:pStyle w:val="TableParagraph"/>
              <w:spacing w:line="319" w:lineRule="auto"/>
              <w:ind w:left="23" w:right="17"/>
              <w:jc w:val="left"/>
              <w:rPr>
                <w:rFonts w:ascii="宋体" w:hAnsi="宋体" w:cs="宋体" w:eastAsia="宋体" w:hint="default"/>
                <w:sz w:val="18"/>
                <w:szCs w:val="18"/>
              </w:rPr>
            </w:pPr>
            <w:r>
              <w:rPr>
                <w:rFonts w:ascii="宋体" w:hAnsi="宋体" w:cs="宋体" w:eastAsia="宋体" w:hint="default"/>
                <w:sz w:val="18"/>
                <w:szCs w:val="18"/>
              </w:rPr>
              <w:t>关于同业竞</w:t>
            </w:r>
            <w:r>
              <w:rPr>
                <w:rFonts w:ascii="宋体" w:hAnsi="宋体" w:cs="宋体" w:eastAsia="宋体" w:hint="default"/>
                <w:w w:val="101"/>
                <w:sz w:val="18"/>
                <w:szCs w:val="18"/>
              </w:rPr>
              <w:t> </w:t>
            </w:r>
            <w:r>
              <w:rPr>
                <w:rFonts w:ascii="宋体" w:hAnsi="宋体" w:cs="宋体" w:eastAsia="宋体" w:hint="default"/>
                <w:sz w:val="18"/>
                <w:szCs w:val="18"/>
              </w:rPr>
              <w:t>争、关联交</w:t>
            </w:r>
            <w:r>
              <w:rPr>
                <w:rFonts w:ascii="宋体" w:hAnsi="宋体" w:cs="宋体" w:eastAsia="宋体" w:hint="default"/>
                <w:w w:val="101"/>
                <w:sz w:val="18"/>
                <w:szCs w:val="18"/>
              </w:rPr>
              <w:t> </w:t>
            </w:r>
            <w:r>
              <w:rPr>
                <w:rFonts w:ascii="宋体" w:hAnsi="宋体" w:cs="宋体" w:eastAsia="宋体" w:hint="default"/>
                <w:spacing w:val="-4"/>
                <w:sz w:val="18"/>
                <w:szCs w:val="18"/>
              </w:rPr>
              <w:t>易、资金占用</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方面的承诺</w:t>
            </w:r>
          </w:p>
        </w:tc>
        <w:tc>
          <w:tcPr>
            <w:tcW w:w="112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6"/>
                <w:szCs w:val="16"/>
              </w:rPr>
            </w:pPr>
          </w:p>
          <w:p>
            <w:pPr>
              <w:pStyle w:val="TableParagraph"/>
              <w:spacing w:line="331" w:lineRule="auto"/>
              <w:ind w:left="24" w:right="122"/>
              <w:jc w:val="left"/>
              <w:rPr>
                <w:rFonts w:ascii="Times New Roman" w:hAnsi="Times New Roman" w:cs="Times New Roman" w:eastAsia="Times New Roman" w:hint="default"/>
                <w:sz w:val="18"/>
                <w:szCs w:val="18"/>
              </w:rPr>
            </w:pPr>
            <w:r>
              <w:rPr>
                <w:rFonts w:ascii="宋体" w:hAnsi="宋体" w:cs="宋体" w:eastAsia="宋体" w:hint="default"/>
                <w:sz w:val="18"/>
                <w:szCs w:val="18"/>
              </w:rPr>
              <w:t>避免同业竞</w:t>
            </w:r>
            <w:r>
              <w:rPr>
                <w:rFonts w:ascii="宋体" w:hAnsi="宋体" w:cs="宋体" w:eastAsia="宋体" w:hint="default"/>
                <w:w w:val="101"/>
                <w:sz w:val="18"/>
                <w:szCs w:val="18"/>
              </w:rPr>
              <w:t> </w:t>
            </w:r>
            <w:r>
              <w:rPr>
                <w:rFonts w:ascii="宋体" w:hAnsi="宋体" w:cs="宋体" w:eastAsia="宋体" w:hint="default"/>
                <w:sz w:val="18"/>
                <w:szCs w:val="18"/>
              </w:rPr>
              <w:t>争的承诺</w:t>
            </w: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宋体" w:hAnsi="宋体" w:cs="宋体" w:eastAsia="宋体" w:hint="default"/>
                <w:spacing w:val="-87"/>
                <w:sz w:val="18"/>
                <w:szCs w:val="18"/>
              </w:rPr>
              <w:t> </w:t>
            </w:r>
            <w:r>
              <w:rPr>
                <w:rFonts w:ascii="Times New Roman" w:hAnsi="Times New Roman" w:cs="Times New Roman" w:eastAsia="Times New Roman" w:hint="default"/>
                <w:sz w:val="18"/>
                <w:szCs w:val="18"/>
              </w:rPr>
              <w:t>2]</w:t>
            </w:r>
          </w:p>
        </w:tc>
        <w:tc>
          <w:tcPr>
            <w:tcW w:w="112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日至</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2020</w:t>
            </w:r>
          </w:p>
          <w:p>
            <w:pPr>
              <w:pStyle w:val="TableParagraph"/>
              <w:spacing w:line="240" w:lineRule="auto" w:before="67"/>
              <w:ind w:left="24"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pacing w:val="-3"/>
                <w:sz w:val="18"/>
                <w:szCs w:val="18"/>
              </w:rPr>
              <w:t>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pacing w:val="-3"/>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04" w:type="dxa"/>
            <w:vMerge w:val="restart"/>
            <w:tcBorders>
              <w:top w:val="single" w:sz="4" w:space="0" w:color="000000"/>
              <w:left w:val="single" w:sz="4" w:space="0" w:color="000000"/>
              <w:right w:val="single" w:sz="4" w:space="0" w:color="000000"/>
            </w:tcBorders>
          </w:tcPr>
          <w:p>
            <w:pPr>
              <w:pStyle w:val="TableParagraph"/>
              <w:spacing w:line="319" w:lineRule="auto" w:before="63"/>
              <w:ind w:left="23" w:right="12"/>
              <w:jc w:val="left"/>
              <w:rPr>
                <w:rFonts w:ascii="宋体" w:hAnsi="宋体" w:cs="宋体" w:eastAsia="宋体" w:hint="default"/>
                <w:sz w:val="18"/>
                <w:szCs w:val="18"/>
              </w:rPr>
            </w:pPr>
            <w:r>
              <w:rPr>
                <w:rFonts w:ascii="宋体" w:hAnsi="宋体" w:cs="宋体" w:eastAsia="宋体" w:hint="default"/>
                <w:sz w:val="18"/>
                <w:szCs w:val="18"/>
              </w:rPr>
              <w:t>截止报告期</w:t>
            </w:r>
            <w:r>
              <w:rPr>
                <w:rFonts w:ascii="宋体" w:hAnsi="宋体" w:cs="宋体" w:eastAsia="宋体" w:hint="default"/>
                <w:w w:val="101"/>
                <w:sz w:val="18"/>
                <w:szCs w:val="18"/>
              </w:rPr>
              <w:t> </w:t>
            </w:r>
            <w:r>
              <w:rPr>
                <w:rFonts w:ascii="宋体" w:hAnsi="宋体" w:cs="宋体" w:eastAsia="宋体" w:hint="default"/>
                <w:spacing w:val="-7"/>
                <w:sz w:val="18"/>
                <w:szCs w:val="18"/>
              </w:rPr>
              <w:t>末，公司上述</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股东均遵守</w:t>
            </w:r>
            <w:r>
              <w:rPr>
                <w:rFonts w:ascii="宋体" w:hAnsi="宋体" w:cs="宋体" w:eastAsia="宋体" w:hint="default"/>
                <w:w w:val="101"/>
                <w:sz w:val="18"/>
                <w:szCs w:val="18"/>
              </w:rPr>
              <w:t> </w:t>
            </w:r>
            <w:r>
              <w:rPr>
                <w:rFonts w:ascii="宋体" w:hAnsi="宋体" w:cs="宋体" w:eastAsia="宋体" w:hint="default"/>
                <w:spacing w:val="-7"/>
                <w:sz w:val="18"/>
                <w:szCs w:val="18"/>
              </w:rPr>
              <w:t>以上承诺，未</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发生违反上</w:t>
            </w:r>
            <w:r>
              <w:rPr>
                <w:rFonts w:ascii="宋体" w:hAnsi="宋体" w:cs="宋体" w:eastAsia="宋体" w:hint="default"/>
                <w:w w:val="101"/>
                <w:sz w:val="18"/>
                <w:szCs w:val="18"/>
              </w:rPr>
              <w:t> </w:t>
            </w:r>
            <w:r>
              <w:rPr>
                <w:rFonts w:ascii="宋体" w:hAnsi="宋体" w:cs="宋体" w:eastAsia="宋体" w:hint="default"/>
                <w:sz w:val="18"/>
                <w:szCs w:val="18"/>
              </w:rPr>
              <w:t>述承诺的情</w:t>
            </w:r>
            <w:r>
              <w:rPr>
                <w:rFonts w:ascii="宋体" w:hAnsi="宋体" w:cs="宋体" w:eastAsia="宋体" w:hint="default"/>
                <w:w w:val="101"/>
                <w:sz w:val="18"/>
                <w:szCs w:val="18"/>
              </w:rPr>
              <w:t> </w:t>
            </w:r>
            <w:r>
              <w:rPr>
                <w:rFonts w:ascii="宋体" w:hAnsi="宋体" w:cs="宋体" w:eastAsia="宋体" w:hint="default"/>
                <w:sz w:val="18"/>
                <w:szCs w:val="18"/>
              </w:rPr>
              <w:t>况。</w:t>
            </w:r>
          </w:p>
        </w:tc>
      </w:tr>
      <w:tr>
        <w:trPr>
          <w:trHeight w:val="2079" w:hRule="exact"/>
        </w:trPr>
        <w:tc>
          <w:tcPr>
            <w:tcW w:w="283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24" w:type="dxa"/>
            <w:vMerge/>
            <w:tcBorders>
              <w:left w:val="single" w:sz="10" w:space="0" w:color="D2D2D2"/>
              <w:bottom w:val="single" w:sz="4" w:space="0" w:color="000000"/>
              <w:right w:val="single" w:sz="4" w:space="0" w:color="000000"/>
            </w:tcBorders>
          </w:tcPr>
          <w:p>
            <w:pPr/>
          </w:p>
        </w:tc>
        <w:tc>
          <w:tcPr>
            <w:tcW w:w="1128" w:type="dxa"/>
            <w:vMerge/>
            <w:tcBorders>
              <w:left w:val="single" w:sz="4" w:space="0" w:color="000000"/>
              <w:bottom w:val="single" w:sz="4" w:space="0" w:color="000000"/>
              <w:right w:val="single" w:sz="4" w:space="0" w:color="000000"/>
            </w:tcBorders>
          </w:tcPr>
          <w:p>
            <w:pPr/>
          </w:p>
        </w:tc>
        <w:tc>
          <w:tcPr>
            <w:tcW w:w="1124" w:type="dxa"/>
            <w:vMerge/>
            <w:tcBorders>
              <w:left w:val="single" w:sz="4" w:space="0" w:color="000000"/>
              <w:bottom w:val="single" w:sz="4" w:space="0" w:color="000000"/>
              <w:right w:val="single" w:sz="4" w:space="0" w:color="000000"/>
            </w:tcBorders>
          </w:tcPr>
          <w:p>
            <w:pPr/>
          </w:p>
        </w:tc>
        <w:tc>
          <w:tcPr>
            <w:tcW w:w="1129" w:type="dxa"/>
            <w:vMerge/>
            <w:tcBorders>
              <w:left w:val="single" w:sz="4" w:space="0" w:color="000000"/>
              <w:bottom w:val="single" w:sz="4" w:space="0" w:color="000000"/>
              <w:right w:val="single" w:sz="4" w:space="0" w:color="000000"/>
            </w:tcBorders>
          </w:tcPr>
          <w:p>
            <w:pPr/>
          </w:p>
        </w:tc>
        <w:tc>
          <w:tcPr>
            <w:tcW w:w="1124" w:type="dxa"/>
            <w:vMerge/>
            <w:tcBorders>
              <w:left w:val="single" w:sz="4" w:space="0" w:color="000000"/>
              <w:bottom w:val="single" w:sz="4" w:space="0" w:color="000000"/>
              <w:right w:val="single" w:sz="4" w:space="0" w:color="000000"/>
            </w:tcBorders>
          </w:tcPr>
          <w:p>
            <w:pPr/>
          </w:p>
        </w:tc>
        <w:tc>
          <w:tcPr>
            <w:tcW w:w="1104" w:type="dxa"/>
            <w:vMerge/>
            <w:tcBorders>
              <w:left w:val="single" w:sz="4" w:space="0" w:color="000000"/>
              <w:bottom w:val="single" w:sz="4" w:space="0" w:color="000000"/>
              <w:right w:val="single" w:sz="4" w:space="0" w:color="000000"/>
            </w:tcBorders>
          </w:tcPr>
          <w:p>
            <w:pPr/>
          </w:p>
        </w:tc>
      </w:tr>
      <w:tr>
        <w:trPr>
          <w:trHeight w:val="2996" w:hRule="exact"/>
        </w:trPr>
        <w:tc>
          <w:tcPr>
            <w:tcW w:w="2838" w:type="dxa"/>
            <w:tcBorders>
              <w:top w:val="single" w:sz="4" w:space="0" w:color="000000"/>
              <w:left w:val="single" w:sz="4" w:space="0" w:color="000000"/>
              <w:bottom w:val="nil" w:sz="6" w:space="0" w:color="auto"/>
              <w:right w:val="single" w:sz="4" w:space="0" w:color="000000"/>
            </w:tcBorders>
            <w:shd w:val="clear" w:color="auto" w:fill="D2D2D2"/>
          </w:tcPr>
          <w:p>
            <w:pPr/>
          </w:p>
        </w:tc>
        <w:tc>
          <w:tcPr>
            <w:tcW w:w="1124" w:type="dxa"/>
            <w:vMerge w:val="restart"/>
            <w:tcBorders>
              <w:top w:val="single" w:sz="4" w:space="0" w:color="000000"/>
              <w:left w:val="single" w:sz="10"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6"/>
                <w:szCs w:val="16"/>
              </w:rPr>
            </w:pPr>
          </w:p>
          <w:p>
            <w:pPr>
              <w:pStyle w:val="TableParagraph"/>
              <w:spacing w:line="319" w:lineRule="auto"/>
              <w:ind w:left="16" w:right="3"/>
              <w:jc w:val="left"/>
              <w:rPr>
                <w:rFonts w:ascii="宋体" w:hAnsi="宋体" w:cs="宋体" w:eastAsia="宋体" w:hint="default"/>
                <w:sz w:val="18"/>
                <w:szCs w:val="18"/>
              </w:rPr>
            </w:pPr>
            <w:r>
              <w:rPr>
                <w:rFonts w:ascii="宋体" w:hAnsi="宋体" w:cs="宋体" w:eastAsia="宋体" w:hint="default"/>
                <w:sz w:val="18"/>
                <w:szCs w:val="18"/>
              </w:rPr>
              <w:t>上市前股东、</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共同实际控</w:t>
            </w:r>
            <w:r>
              <w:rPr>
                <w:rFonts w:ascii="宋体" w:hAnsi="宋体" w:cs="宋体" w:eastAsia="宋体" w:hint="default"/>
                <w:w w:val="101"/>
                <w:sz w:val="18"/>
                <w:szCs w:val="18"/>
              </w:rPr>
              <w:t> </w:t>
            </w:r>
            <w:r>
              <w:rPr>
                <w:rFonts w:ascii="宋体" w:hAnsi="宋体" w:cs="宋体" w:eastAsia="宋体" w:hint="default"/>
                <w:sz w:val="18"/>
                <w:szCs w:val="18"/>
              </w:rPr>
              <w:t>制人</w:t>
            </w:r>
          </w:p>
        </w:tc>
        <w:tc>
          <w:tcPr>
            <w:tcW w:w="112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2"/>
                <w:szCs w:val="22"/>
              </w:rPr>
            </w:pPr>
          </w:p>
          <w:p>
            <w:pPr>
              <w:pStyle w:val="TableParagraph"/>
              <w:spacing w:line="319" w:lineRule="auto"/>
              <w:ind w:left="23" w:right="17"/>
              <w:jc w:val="left"/>
              <w:rPr>
                <w:rFonts w:ascii="宋体" w:hAnsi="宋体" w:cs="宋体" w:eastAsia="宋体" w:hint="default"/>
                <w:sz w:val="18"/>
                <w:szCs w:val="18"/>
              </w:rPr>
            </w:pPr>
            <w:r>
              <w:rPr>
                <w:rFonts w:ascii="宋体" w:hAnsi="宋体" w:cs="宋体" w:eastAsia="宋体" w:hint="default"/>
                <w:sz w:val="18"/>
                <w:szCs w:val="18"/>
              </w:rPr>
              <w:t>关于同业竞</w:t>
            </w:r>
            <w:r>
              <w:rPr>
                <w:rFonts w:ascii="宋体" w:hAnsi="宋体" w:cs="宋体" w:eastAsia="宋体" w:hint="default"/>
                <w:w w:val="101"/>
                <w:sz w:val="18"/>
                <w:szCs w:val="18"/>
              </w:rPr>
              <w:t> </w:t>
            </w:r>
            <w:r>
              <w:rPr>
                <w:rFonts w:ascii="宋体" w:hAnsi="宋体" w:cs="宋体" w:eastAsia="宋体" w:hint="default"/>
                <w:sz w:val="18"/>
                <w:szCs w:val="18"/>
              </w:rPr>
              <w:t>争、关联交</w:t>
            </w:r>
            <w:r>
              <w:rPr>
                <w:rFonts w:ascii="宋体" w:hAnsi="宋体" w:cs="宋体" w:eastAsia="宋体" w:hint="default"/>
                <w:w w:val="101"/>
                <w:sz w:val="18"/>
                <w:szCs w:val="18"/>
              </w:rPr>
              <w:t> </w:t>
            </w:r>
            <w:r>
              <w:rPr>
                <w:rFonts w:ascii="宋体" w:hAnsi="宋体" w:cs="宋体" w:eastAsia="宋体" w:hint="default"/>
                <w:spacing w:val="-4"/>
                <w:sz w:val="18"/>
                <w:szCs w:val="18"/>
              </w:rPr>
              <w:t>易、资金占用</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方面的承诺</w:t>
            </w:r>
          </w:p>
        </w:tc>
        <w:tc>
          <w:tcPr>
            <w:tcW w:w="1124" w:type="dxa"/>
            <w:vMerge w:val="restart"/>
            <w:tcBorders>
              <w:top w:val="single" w:sz="4" w:space="0" w:color="000000"/>
              <w:left w:val="single" w:sz="4" w:space="0" w:color="000000"/>
              <w:right w:val="single" w:sz="4" w:space="0" w:color="000000"/>
            </w:tcBorders>
          </w:tcPr>
          <w:p>
            <w:pPr>
              <w:pStyle w:val="TableParagraph"/>
              <w:spacing w:line="316" w:lineRule="auto" w:before="63"/>
              <w:ind w:left="24" w:right="12"/>
              <w:jc w:val="left"/>
              <w:rPr>
                <w:rFonts w:ascii="宋体" w:hAnsi="宋体" w:cs="宋体" w:eastAsia="宋体" w:hint="default"/>
                <w:sz w:val="18"/>
                <w:szCs w:val="18"/>
              </w:rPr>
            </w:pPr>
            <w:r>
              <w:rPr>
                <w:rFonts w:ascii="宋体" w:hAnsi="宋体" w:cs="宋体" w:eastAsia="宋体" w:hint="default"/>
                <w:spacing w:val="-4"/>
                <w:sz w:val="18"/>
                <w:szCs w:val="18"/>
              </w:rPr>
              <w:t>（一）公司股</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票上市前股</w:t>
            </w:r>
            <w:r>
              <w:rPr>
                <w:rFonts w:ascii="宋体" w:hAnsi="宋体" w:cs="宋体" w:eastAsia="宋体" w:hint="default"/>
                <w:w w:val="101"/>
                <w:sz w:val="18"/>
                <w:szCs w:val="18"/>
              </w:rPr>
              <w:t> </w:t>
            </w:r>
            <w:r>
              <w:rPr>
                <w:rFonts w:ascii="宋体" w:hAnsi="宋体" w:cs="宋体" w:eastAsia="宋体" w:hint="default"/>
                <w:sz w:val="18"/>
                <w:szCs w:val="18"/>
              </w:rPr>
              <w:t>东所持股份</w:t>
            </w:r>
            <w:r>
              <w:rPr>
                <w:rFonts w:ascii="宋体" w:hAnsi="宋体" w:cs="宋体" w:eastAsia="宋体" w:hint="default"/>
                <w:w w:val="101"/>
                <w:sz w:val="18"/>
                <w:szCs w:val="18"/>
              </w:rPr>
              <w:t> </w:t>
            </w:r>
            <w:r>
              <w:rPr>
                <w:rFonts w:ascii="宋体" w:hAnsi="宋体" w:cs="宋体" w:eastAsia="宋体" w:hint="default"/>
                <w:sz w:val="18"/>
                <w:szCs w:val="18"/>
              </w:rPr>
              <w:t>的流通限制</w:t>
            </w:r>
            <w:r>
              <w:rPr>
                <w:rFonts w:ascii="宋体" w:hAnsi="宋体" w:cs="宋体" w:eastAsia="宋体" w:hint="default"/>
                <w:w w:val="101"/>
                <w:sz w:val="18"/>
                <w:szCs w:val="18"/>
              </w:rPr>
              <w:t> </w:t>
            </w:r>
            <w:r>
              <w:rPr>
                <w:rFonts w:ascii="宋体" w:hAnsi="宋体" w:cs="宋体" w:eastAsia="宋体" w:hint="default"/>
                <w:sz w:val="18"/>
                <w:szCs w:val="18"/>
              </w:rPr>
              <w:t>和自愿锁定</w:t>
            </w:r>
            <w:r>
              <w:rPr>
                <w:rFonts w:ascii="宋体" w:hAnsi="宋体" w:cs="宋体" w:eastAsia="宋体" w:hint="default"/>
                <w:w w:val="101"/>
                <w:sz w:val="18"/>
                <w:szCs w:val="18"/>
              </w:rPr>
              <w:t> </w:t>
            </w:r>
            <w:r>
              <w:rPr>
                <w:rFonts w:ascii="宋体" w:hAnsi="宋体" w:cs="宋体" w:eastAsia="宋体" w:hint="default"/>
                <w:sz w:val="18"/>
                <w:szCs w:val="18"/>
              </w:rPr>
              <w:t>股份的承诺</w:t>
            </w:r>
            <w:r>
              <w:rPr>
                <w:rFonts w:ascii="宋体" w:hAnsi="宋体" w:cs="宋体" w:eastAsia="宋体" w:hint="default"/>
                <w:w w:val="101"/>
                <w:sz w:val="18"/>
                <w:szCs w:val="18"/>
              </w:rPr>
              <w:t> </w:t>
            </w:r>
            <w:r>
              <w:rPr>
                <w:rFonts w:ascii="Times New Roman" w:hAnsi="Times New Roman" w:cs="Times New Roman" w:eastAsia="Times New Roman" w:hint="default"/>
                <w:sz w:val="18"/>
                <w:szCs w:val="18"/>
              </w:rPr>
              <w:t>[</w:t>
            </w:r>
            <w:r>
              <w:rPr>
                <w:rFonts w:ascii="宋体" w:hAnsi="宋体" w:cs="宋体" w:eastAsia="宋体" w:hint="default"/>
                <w:sz w:val="18"/>
                <w:szCs w:val="18"/>
              </w:rPr>
              <w:t>注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（二）</w:t>
            </w:r>
            <w:r>
              <w:rPr>
                <w:rFonts w:ascii="宋体" w:hAnsi="宋体" w:cs="宋体" w:eastAsia="宋体" w:hint="default"/>
                <w:w w:val="101"/>
                <w:sz w:val="18"/>
                <w:szCs w:val="18"/>
              </w:rPr>
              <w:t> </w:t>
            </w:r>
            <w:r>
              <w:rPr>
                <w:rFonts w:ascii="宋体" w:hAnsi="宋体" w:cs="宋体" w:eastAsia="宋体" w:hint="default"/>
                <w:sz w:val="18"/>
                <w:szCs w:val="18"/>
              </w:rPr>
              <w:t>避免同业竞</w:t>
            </w:r>
            <w:r>
              <w:rPr>
                <w:rFonts w:ascii="宋体" w:hAnsi="宋体" w:cs="宋体" w:eastAsia="宋体" w:hint="default"/>
                <w:w w:val="101"/>
                <w:sz w:val="18"/>
                <w:szCs w:val="18"/>
              </w:rPr>
              <w:t> </w:t>
            </w:r>
            <w:r>
              <w:rPr>
                <w:rFonts w:ascii="宋体" w:hAnsi="宋体" w:cs="宋体" w:eastAsia="宋体" w:hint="default"/>
                <w:sz w:val="18"/>
                <w:szCs w:val="18"/>
              </w:rPr>
              <w:t>争的承诺</w:t>
            </w:r>
            <w:r>
              <w:rPr>
                <w:rFonts w:ascii="Times New Roman" w:hAnsi="Times New Roman" w:cs="Times New Roman" w:eastAsia="Times New Roman" w:hint="default"/>
                <w:sz w:val="18"/>
                <w:szCs w:val="18"/>
              </w:rPr>
              <w:t>[</w:t>
            </w:r>
            <w:r>
              <w:rPr>
                <w:rFonts w:ascii="宋体" w:hAnsi="宋体" w:cs="宋体" w:eastAsia="宋体" w:hint="default"/>
                <w:sz w:val="18"/>
                <w:szCs w:val="18"/>
              </w:rPr>
              <w:t>注</w:t>
            </w:r>
          </w:p>
          <w:p>
            <w:pPr>
              <w:pStyle w:val="TableParagraph"/>
              <w:spacing w:line="240" w:lineRule="auto" w:before="46"/>
              <w:ind w:left="24" w:right="0"/>
              <w:jc w:val="left"/>
              <w:rPr>
                <w:rFonts w:ascii="Times New Roman" w:hAnsi="Times New Roman" w:cs="Times New Roman" w:eastAsia="Times New Roman" w:hint="default"/>
                <w:sz w:val="18"/>
                <w:szCs w:val="18"/>
              </w:rPr>
            </w:pPr>
            <w:r>
              <w:rPr>
                <w:rFonts w:ascii="Times New Roman"/>
                <w:sz w:val="18"/>
              </w:rPr>
              <w:t>4]</w:t>
            </w:r>
          </w:p>
        </w:tc>
        <w:tc>
          <w:tcPr>
            <w:tcW w:w="112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7"/>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4" w:type="dxa"/>
            <w:vMerge w:val="restart"/>
            <w:tcBorders>
              <w:top w:val="single" w:sz="4" w:space="0" w:color="000000"/>
              <w:left w:val="single" w:sz="4" w:space="0" w:color="000000"/>
              <w:right w:val="single" w:sz="4" w:space="0" w:color="000000"/>
            </w:tcBorders>
          </w:tcPr>
          <w:p>
            <w:pPr>
              <w:pStyle w:val="TableParagraph"/>
              <w:spacing w:line="319" w:lineRule="auto" w:before="63"/>
              <w:ind w:left="24" w:right="3"/>
              <w:jc w:val="left"/>
              <w:rPr>
                <w:rFonts w:ascii="宋体" w:hAnsi="宋体" w:cs="宋体" w:eastAsia="宋体" w:hint="default"/>
                <w:sz w:val="18"/>
                <w:szCs w:val="18"/>
              </w:rPr>
            </w:pPr>
            <w:r>
              <w:rPr>
                <w:rFonts w:ascii="宋体" w:hAnsi="宋体" w:cs="宋体" w:eastAsia="宋体" w:hint="default"/>
                <w:spacing w:val="-5"/>
                <w:sz w:val="18"/>
                <w:szCs w:val="18"/>
              </w:rPr>
              <w:t>（一）公司股</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票上市前股</w:t>
            </w:r>
            <w:r>
              <w:rPr>
                <w:rFonts w:ascii="宋体" w:hAnsi="宋体" w:cs="宋体" w:eastAsia="宋体" w:hint="default"/>
                <w:w w:val="101"/>
                <w:sz w:val="18"/>
                <w:szCs w:val="18"/>
              </w:rPr>
              <w:t> </w:t>
            </w:r>
            <w:r>
              <w:rPr>
                <w:rFonts w:ascii="宋体" w:hAnsi="宋体" w:cs="宋体" w:eastAsia="宋体" w:hint="default"/>
                <w:sz w:val="18"/>
                <w:szCs w:val="18"/>
              </w:rPr>
              <w:t>东所持股份</w:t>
            </w:r>
            <w:r>
              <w:rPr>
                <w:rFonts w:ascii="宋体" w:hAnsi="宋体" w:cs="宋体" w:eastAsia="宋体" w:hint="default"/>
                <w:w w:val="101"/>
                <w:sz w:val="18"/>
                <w:szCs w:val="18"/>
              </w:rPr>
              <w:t> </w:t>
            </w:r>
            <w:r>
              <w:rPr>
                <w:rFonts w:ascii="宋体" w:hAnsi="宋体" w:cs="宋体" w:eastAsia="宋体" w:hint="default"/>
                <w:sz w:val="18"/>
                <w:szCs w:val="18"/>
              </w:rPr>
              <w:t>的流通限制</w:t>
            </w:r>
            <w:r>
              <w:rPr>
                <w:rFonts w:ascii="宋体" w:hAnsi="宋体" w:cs="宋体" w:eastAsia="宋体" w:hint="default"/>
                <w:w w:val="101"/>
                <w:sz w:val="18"/>
                <w:szCs w:val="18"/>
              </w:rPr>
              <w:t> </w:t>
            </w:r>
            <w:r>
              <w:rPr>
                <w:rFonts w:ascii="宋体" w:hAnsi="宋体" w:cs="宋体" w:eastAsia="宋体" w:hint="default"/>
                <w:sz w:val="18"/>
                <w:szCs w:val="18"/>
              </w:rPr>
              <w:t>和自愿锁定</w:t>
            </w:r>
            <w:r>
              <w:rPr>
                <w:rFonts w:ascii="宋体" w:hAnsi="宋体" w:cs="宋体" w:eastAsia="宋体" w:hint="default"/>
                <w:w w:val="101"/>
                <w:sz w:val="18"/>
                <w:szCs w:val="18"/>
              </w:rPr>
              <w:t> </w:t>
            </w:r>
            <w:r>
              <w:rPr>
                <w:rFonts w:ascii="宋体" w:hAnsi="宋体" w:cs="宋体" w:eastAsia="宋体" w:hint="default"/>
                <w:spacing w:val="-2"/>
                <w:sz w:val="18"/>
                <w:szCs w:val="18"/>
              </w:rPr>
              <w:t>股份的承诺：</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三十六个月；</w:t>
            </w:r>
          </w:p>
          <w:p>
            <w:pPr>
              <w:pStyle w:val="TableParagraph"/>
              <w:spacing w:line="319" w:lineRule="auto" w:before="17"/>
              <w:ind w:left="24" w:right="17"/>
              <w:jc w:val="left"/>
              <w:rPr>
                <w:rFonts w:ascii="宋体" w:hAnsi="宋体" w:cs="宋体" w:eastAsia="宋体" w:hint="default"/>
                <w:sz w:val="18"/>
                <w:szCs w:val="18"/>
              </w:rPr>
            </w:pPr>
            <w:r>
              <w:rPr>
                <w:rFonts w:ascii="宋体" w:hAnsi="宋体" w:cs="宋体" w:eastAsia="宋体" w:hint="default"/>
                <w:spacing w:val="-5"/>
                <w:sz w:val="18"/>
                <w:szCs w:val="18"/>
              </w:rPr>
              <w:t>（二）避免同</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业竞争的承</w:t>
            </w:r>
            <w:r>
              <w:rPr>
                <w:rFonts w:ascii="宋体" w:hAnsi="宋体" w:cs="宋体" w:eastAsia="宋体" w:hint="default"/>
                <w:w w:val="101"/>
                <w:sz w:val="18"/>
                <w:szCs w:val="18"/>
              </w:rPr>
              <w:t> </w:t>
            </w:r>
            <w:r>
              <w:rPr>
                <w:rFonts w:ascii="宋体" w:hAnsi="宋体" w:cs="宋体" w:eastAsia="宋体" w:hint="default"/>
                <w:sz w:val="18"/>
                <w:szCs w:val="18"/>
              </w:rPr>
              <w:t>诺：长期。</w:t>
            </w:r>
          </w:p>
        </w:tc>
        <w:tc>
          <w:tcPr>
            <w:tcW w:w="110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2"/>
                <w:szCs w:val="22"/>
              </w:rPr>
            </w:pPr>
          </w:p>
          <w:p>
            <w:pPr>
              <w:pStyle w:val="TableParagraph"/>
              <w:spacing w:line="319" w:lineRule="auto"/>
              <w:ind w:left="23" w:right="12"/>
              <w:jc w:val="left"/>
              <w:rPr>
                <w:rFonts w:ascii="宋体" w:hAnsi="宋体" w:cs="宋体" w:eastAsia="宋体" w:hint="default"/>
                <w:sz w:val="18"/>
                <w:szCs w:val="18"/>
              </w:rPr>
            </w:pPr>
            <w:r>
              <w:rPr>
                <w:rFonts w:ascii="宋体" w:hAnsi="宋体" w:cs="宋体" w:eastAsia="宋体" w:hint="default"/>
                <w:sz w:val="18"/>
                <w:szCs w:val="18"/>
              </w:rPr>
              <w:t>截止报告期</w:t>
            </w:r>
            <w:r>
              <w:rPr>
                <w:rFonts w:ascii="宋体" w:hAnsi="宋体" w:cs="宋体" w:eastAsia="宋体" w:hint="default"/>
                <w:w w:val="101"/>
                <w:sz w:val="18"/>
                <w:szCs w:val="18"/>
              </w:rPr>
              <w:t> </w:t>
            </w:r>
            <w:r>
              <w:rPr>
                <w:rFonts w:ascii="宋体" w:hAnsi="宋体" w:cs="宋体" w:eastAsia="宋体" w:hint="default"/>
                <w:spacing w:val="-7"/>
                <w:sz w:val="18"/>
                <w:szCs w:val="18"/>
              </w:rPr>
              <w:t>末，公司上述</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股东均遵守</w:t>
            </w:r>
            <w:r>
              <w:rPr>
                <w:rFonts w:ascii="宋体" w:hAnsi="宋体" w:cs="宋体" w:eastAsia="宋体" w:hint="default"/>
                <w:w w:val="101"/>
                <w:sz w:val="18"/>
                <w:szCs w:val="18"/>
              </w:rPr>
              <w:t> </w:t>
            </w:r>
            <w:r>
              <w:rPr>
                <w:rFonts w:ascii="宋体" w:hAnsi="宋体" w:cs="宋体" w:eastAsia="宋体" w:hint="default"/>
                <w:spacing w:val="-7"/>
                <w:sz w:val="18"/>
                <w:szCs w:val="18"/>
              </w:rPr>
              <w:t>以上承诺，未</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发生违反上</w:t>
            </w:r>
            <w:r>
              <w:rPr>
                <w:rFonts w:ascii="宋体" w:hAnsi="宋体" w:cs="宋体" w:eastAsia="宋体" w:hint="default"/>
                <w:w w:val="101"/>
                <w:sz w:val="18"/>
                <w:szCs w:val="18"/>
              </w:rPr>
              <w:t> </w:t>
            </w:r>
            <w:r>
              <w:rPr>
                <w:rFonts w:ascii="宋体" w:hAnsi="宋体" w:cs="宋体" w:eastAsia="宋体" w:hint="default"/>
                <w:sz w:val="18"/>
                <w:szCs w:val="18"/>
              </w:rPr>
              <w:t>述承诺的情</w:t>
            </w:r>
            <w:r>
              <w:rPr>
                <w:rFonts w:ascii="宋体" w:hAnsi="宋体" w:cs="宋体" w:eastAsia="宋体" w:hint="default"/>
                <w:w w:val="101"/>
                <w:sz w:val="18"/>
                <w:szCs w:val="18"/>
              </w:rPr>
              <w:t> </w:t>
            </w:r>
            <w:r>
              <w:rPr>
                <w:rFonts w:ascii="宋体" w:hAnsi="宋体" w:cs="宋体" w:eastAsia="宋体" w:hint="default"/>
                <w:sz w:val="18"/>
                <w:szCs w:val="18"/>
              </w:rPr>
              <w:t>况。</w:t>
            </w:r>
          </w:p>
        </w:tc>
      </w:tr>
      <w:tr>
        <w:trPr>
          <w:trHeight w:val="216" w:hRule="exact"/>
        </w:trPr>
        <w:tc>
          <w:tcPr>
            <w:tcW w:w="283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pacing w:val="-3"/>
                <w:sz w:val="18"/>
                <w:szCs w:val="18"/>
              </w:rPr>
              <w:t>首次公开发行或再融资时所作承诺</w:t>
            </w:r>
          </w:p>
        </w:tc>
        <w:tc>
          <w:tcPr>
            <w:tcW w:w="1124" w:type="dxa"/>
            <w:vMerge/>
            <w:tcBorders>
              <w:left w:val="single" w:sz="10" w:space="0" w:color="D2D2D2"/>
              <w:bottom w:val="single" w:sz="4" w:space="0" w:color="000000"/>
              <w:right w:val="single" w:sz="4" w:space="0" w:color="000000"/>
            </w:tcBorders>
          </w:tcPr>
          <w:p>
            <w:pPr/>
          </w:p>
        </w:tc>
        <w:tc>
          <w:tcPr>
            <w:tcW w:w="1128" w:type="dxa"/>
            <w:vMerge/>
            <w:tcBorders>
              <w:left w:val="single" w:sz="4" w:space="0" w:color="000000"/>
              <w:bottom w:val="single" w:sz="4" w:space="0" w:color="000000"/>
              <w:right w:val="single" w:sz="4" w:space="0" w:color="000000"/>
            </w:tcBorders>
          </w:tcPr>
          <w:p>
            <w:pPr/>
          </w:p>
        </w:tc>
        <w:tc>
          <w:tcPr>
            <w:tcW w:w="1124" w:type="dxa"/>
            <w:vMerge/>
            <w:tcBorders>
              <w:left w:val="single" w:sz="4" w:space="0" w:color="000000"/>
              <w:bottom w:val="single" w:sz="4" w:space="0" w:color="000000"/>
              <w:right w:val="single" w:sz="4" w:space="0" w:color="000000"/>
            </w:tcBorders>
          </w:tcPr>
          <w:p>
            <w:pPr/>
          </w:p>
        </w:tc>
        <w:tc>
          <w:tcPr>
            <w:tcW w:w="1129" w:type="dxa"/>
            <w:vMerge/>
            <w:tcBorders>
              <w:left w:val="single" w:sz="4" w:space="0" w:color="000000"/>
              <w:bottom w:val="single" w:sz="4" w:space="0" w:color="000000"/>
              <w:right w:val="single" w:sz="4" w:space="0" w:color="000000"/>
            </w:tcBorders>
          </w:tcPr>
          <w:p>
            <w:pPr/>
          </w:p>
        </w:tc>
        <w:tc>
          <w:tcPr>
            <w:tcW w:w="1124" w:type="dxa"/>
            <w:vMerge/>
            <w:tcBorders>
              <w:left w:val="single" w:sz="4" w:space="0" w:color="000000"/>
              <w:bottom w:val="single" w:sz="4" w:space="0" w:color="000000"/>
              <w:right w:val="single" w:sz="4" w:space="0" w:color="000000"/>
            </w:tcBorders>
          </w:tcPr>
          <w:p>
            <w:pPr/>
          </w:p>
        </w:tc>
        <w:tc>
          <w:tcPr>
            <w:tcW w:w="1104" w:type="dxa"/>
            <w:vMerge/>
            <w:tcBorders>
              <w:left w:val="single" w:sz="4" w:space="0" w:color="000000"/>
              <w:bottom w:val="single" w:sz="4" w:space="0" w:color="000000"/>
              <w:right w:val="single" w:sz="4" w:space="0" w:color="000000"/>
            </w:tcBorders>
          </w:tcPr>
          <w:p>
            <w:pPr/>
          </w:p>
        </w:tc>
      </w:tr>
      <w:tr>
        <w:trPr>
          <w:trHeight w:val="178" w:hRule="exact"/>
        </w:trPr>
        <w:tc>
          <w:tcPr>
            <w:tcW w:w="2838" w:type="dxa"/>
            <w:vMerge/>
            <w:tcBorders>
              <w:left w:val="single" w:sz="4" w:space="0" w:color="000000"/>
              <w:bottom w:val="nil" w:sz="6" w:space="0" w:color="auto"/>
              <w:right w:val="single" w:sz="4" w:space="0" w:color="000000"/>
            </w:tcBorders>
            <w:shd w:val="clear" w:color="auto" w:fill="D2D2D2"/>
          </w:tcPr>
          <w:p>
            <w:pPr/>
          </w:p>
        </w:tc>
        <w:tc>
          <w:tcPr>
            <w:tcW w:w="1124" w:type="dxa"/>
            <w:vMerge w:val="restart"/>
            <w:tcBorders>
              <w:top w:val="single" w:sz="4" w:space="0" w:color="000000"/>
              <w:left w:val="single" w:sz="10"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316" w:lineRule="auto"/>
              <w:ind w:left="16" w:right="12"/>
              <w:jc w:val="left"/>
              <w:rPr>
                <w:rFonts w:ascii="宋体" w:hAnsi="宋体" w:cs="宋体" w:eastAsia="宋体" w:hint="default"/>
                <w:sz w:val="18"/>
                <w:szCs w:val="18"/>
              </w:rPr>
            </w:pPr>
            <w:r>
              <w:rPr>
                <w:rFonts w:ascii="宋体" w:hAnsi="宋体" w:cs="宋体" w:eastAsia="宋体" w:hint="default"/>
                <w:spacing w:val="-4"/>
                <w:sz w:val="18"/>
                <w:szCs w:val="18"/>
              </w:rPr>
              <w:t>张学君、陈向</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军、李军</w:t>
            </w:r>
          </w:p>
        </w:tc>
        <w:tc>
          <w:tcPr>
            <w:tcW w:w="112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319" w:lineRule="auto"/>
              <w:ind w:left="23" w:right="190"/>
              <w:jc w:val="both"/>
              <w:rPr>
                <w:rFonts w:ascii="宋体" w:hAnsi="宋体" w:cs="宋体" w:eastAsia="宋体" w:hint="default"/>
                <w:sz w:val="18"/>
                <w:szCs w:val="18"/>
              </w:rPr>
            </w:pPr>
            <w:r>
              <w:rPr>
                <w:rFonts w:ascii="宋体" w:hAnsi="宋体" w:cs="宋体" w:eastAsia="宋体" w:hint="default"/>
                <w:spacing w:val="-2"/>
                <w:sz w:val="18"/>
                <w:szCs w:val="18"/>
              </w:rPr>
              <w:t>关于干预公</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司经营的承</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诺</w:t>
            </w:r>
          </w:p>
        </w:tc>
        <w:tc>
          <w:tcPr>
            <w:tcW w:w="1124" w:type="dxa"/>
            <w:vMerge w:val="restart"/>
            <w:tcBorders>
              <w:top w:val="single" w:sz="4" w:space="0" w:color="000000"/>
              <w:left w:val="single" w:sz="4" w:space="0" w:color="000000"/>
              <w:right w:val="single" w:sz="4" w:space="0" w:color="000000"/>
            </w:tcBorders>
          </w:tcPr>
          <w:p>
            <w:pPr>
              <w:pStyle w:val="TableParagraph"/>
              <w:spacing w:line="314" w:lineRule="auto" w:before="63"/>
              <w:ind w:left="24" w:right="3"/>
              <w:jc w:val="left"/>
              <w:rPr>
                <w:rFonts w:ascii="宋体" w:hAnsi="宋体" w:cs="宋体" w:eastAsia="宋体" w:hint="default"/>
                <w:sz w:val="18"/>
                <w:szCs w:val="18"/>
              </w:rPr>
            </w:pPr>
            <w:r>
              <w:rPr>
                <w:rFonts w:ascii="宋体" w:hAnsi="宋体" w:cs="宋体" w:eastAsia="宋体" w:hint="default"/>
                <w:sz w:val="18"/>
                <w:szCs w:val="18"/>
              </w:rPr>
              <w:t>公司共同控</w:t>
            </w:r>
            <w:r>
              <w:rPr>
                <w:rFonts w:ascii="宋体" w:hAnsi="宋体" w:cs="宋体" w:eastAsia="宋体" w:hint="default"/>
                <w:w w:val="101"/>
                <w:sz w:val="18"/>
                <w:szCs w:val="18"/>
              </w:rPr>
              <w:t> </w:t>
            </w:r>
            <w:r>
              <w:rPr>
                <w:rFonts w:ascii="宋体" w:hAnsi="宋体" w:cs="宋体" w:eastAsia="宋体" w:hint="default"/>
                <w:spacing w:val="-2"/>
                <w:sz w:val="18"/>
                <w:szCs w:val="18"/>
              </w:rPr>
              <w:t>制人张学君、</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陈向军和李</w:t>
            </w:r>
            <w:r>
              <w:rPr>
                <w:rFonts w:ascii="宋体" w:hAnsi="宋体" w:cs="宋体" w:eastAsia="宋体" w:hint="default"/>
                <w:w w:val="101"/>
                <w:sz w:val="18"/>
                <w:szCs w:val="18"/>
              </w:rPr>
              <w:t> </w:t>
            </w:r>
            <w:r>
              <w:rPr>
                <w:rFonts w:ascii="宋体" w:hAnsi="宋体" w:cs="宋体" w:eastAsia="宋体" w:hint="default"/>
                <w:sz w:val="18"/>
                <w:szCs w:val="18"/>
              </w:rPr>
              <w:t>军就非公开</w:t>
            </w:r>
            <w:r>
              <w:rPr>
                <w:rFonts w:ascii="宋体" w:hAnsi="宋体" w:cs="宋体" w:eastAsia="宋体" w:hint="default"/>
                <w:w w:val="101"/>
                <w:sz w:val="18"/>
                <w:szCs w:val="18"/>
              </w:rPr>
              <w:t> </w:t>
            </w:r>
            <w:r>
              <w:rPr>
                <w:rFonts w:ascii="宋体" w:hAnsi="宋体" w:cs="宋体" w:eastAsia="宋体" w:hint="default"/>
                <w:sz w:val="18"/>
                <w:szCs w:val="18"/>
              </w:rPr>
              <w:t>发行股票的</w:t>
            </w:r>
            <w:r>
              <w:rPr>
                <w:rFonts w:ascii="宋体" w:hAnsi="宋体" w:cs="宋体" w:eastAsia="宋体" w:hint="default"/>
                <w:w w:val="101"/>
                <w:sz w:val="18"/>
                <w:szCs w:val="18"/>
              </w:rPr>
              <w:t> </w:t>
            </w:r>
            <w:r>
              <w:rPr>
                <w:rFonts w:ascii="宋体" w:hAnsi="宋体" w:cs="宋体" w:eastAsia="宋体" w:hint="default"/>
                <w:sz w:val="18"/>
                <w:szCs w:val="18"/>
              </w:rPr>
              <w:t>相关事项承</w:t>
            </w:r>
            <w:r>
              <w:rPr>
                <w:rFonts w:ascii="宋体" w:hAnsi="宋体" w:cs="宋体" w:eastAsia="宋体" w:hint="default"/>
                <w:w w:val="101"/>
                <w:sz w:val="18"/>
                <w:szCs w:val="18"/>
              </w:rPr>
              <w:t> </w:t>
            </w:r>
            <w:r>
              <w:rPr>
                <w:rFonts w:ascii="宋体" w:hAnsi="宋体" w:cs="宋体" w:eastAsia="宋体" w:hint="default"/>
                <w:spacing w:val="-14"/>
                <w:w w:val="101"/>
                <w:sz w:val="18"/>
                <w:szCs w:val="18"/>
              </w:rPr>
              <w:t>诺如下：</w:t>
            </w:r>
            <w:r>
              <w:rPr>
                <w:rFonts w:ascii="Times New Roman" w:hAnsi="Times New Roman" w:cs="Times New Roman" w:eastAsia="Times New Roman" w:hint="default"/>
                <w:spacing w:val="-14"/>
                <w:w w:val="101"/>
                <w:sz w:val="18"/>
                <w:szCs w:val="18"/>
              </w:rPr>
              <w:t>"</w:t>
            </w:r>
            <w:r>
              <w:rPr>
                <w:rFonts w:ascii="宋体" w:hAnsi="宋体" w:cs="宋体" w:eastAsia="宋体" w:hint="default"/>
                <w:spacing w:val="-14"/>
                <w:w w:val="101"/>
                <w:sz w:val="18"/>
                <w:szCs w:val="18"/>
              </w:rPr>
              <w:t>本人</w:t>
            </w:r>
            <w:r>
              <w:rPr>
                <w:rFonts w:ascii="宋体" w:hAnsi="宋体" w:cs="宋体" w:eastAsia="宋体" w:hint="default"/>
                <w:spacing w:val="-88"/>
                <w:w w:val="101"/>
                <w:sz w:val="18"/>
                <w:szCs w:val="18"/>
              </w:rPr>
              <w:t> </w:t>
            </w:r>
            <w:r>
              <w:rPr>
                <w:rFonts w:ascii="宋体" w:hAnsi="宋体" w:cs="宋体" w:eastAsia="宋体" w:hint="default"/>
                <w:sz w:val="18"/>
                <w:szCs w:val="18"/>
              </w:rPr>
              <w:t>承诺不越权</w:t>
            </w:r>
            <w:r>
              <w:rPr>
                <w:rFonts w:ascii="宋体" w:hAnsi="宋体" w:cs="宋体" w:eastAsia="宋体" w:hint="default"/>
                <w:w w:val="101"/>
                <w:sz w:val="18"/>
                <w:szCs w:val="18"/>
              </w:rPr>
              <w:t> </w:t>
            </w:r>
            <w:r>
              <w:rPr>
                <w:rFonts w:ascii="宋体" w:hAnsi="宋体" w:cs="宋体" w:eastAsia="宋体" w:hint="default"/>
                <w:sz w:val="18"/>
                <w:szCs w:val="18"/>
              </w:rPr>
              <w:t>干预公司经</w:t>
            </w:r>
            <w:r>
              <w:rPr>
                <w:rFonts w:ascii="宋体" w:hAnsi="宋体" w:cs="宋体" w:eastAsia="宋体" w:hint="default"/>
                <w:w w:val="101"/>
                <w:sz w:val="18"/>
                <w:szCs w:val="18"/>
              </w:rPr>
              <w:t> </w:t>
            </w:r>
            <w:r>
              <w:rPr>
                <w:rFonts w:ascii="宋体" w:hAnsi="宋体" w:cs="宋体" w:eastAsia="宋体" w:hint="default"/>
                <w:spacing w:val="-2"/>
                <w:sz w:val="18"/>
                <w:szCs w:val="18"/>
              </w:rPr>
              <w:t>营管理活动，</w:t>
            </w:r>
          </w:p>
        </w:tc>
        <w:tc>
          <w:tcPr>
            <w:tcW w:w="112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10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0"/>
                <w:szCs w:val="20"/>
              </w:rPr>
            </w:pPr>
          </w:p>
          <w:p>
            <w:pPr>
              <w:pStyle w:val="TableParagraph"/>
              <w:spacing w:line="319" w:lineRule="auto"/>
              <w:ind w:left="23" w:right="12"/>
              <w:jc w:val="left"/>
              <w:rPr>
                <w:rFonts w:ascii="宋体" w:hAnsi="宋体" w:cs="宋体" w:eastAsia="宋体" w:hint="default"/>
                <w:sz w:val="18"/>
                <w:szCs w:val="18"/>
              </w:rPr>
            </w:pPr>
            <w:r>
              <w:rPr>
                <w:rFonts w:ascii="宋体" w:hAnsi="宋体" w:cs="宋体" w:eastAsia="宋体" w:hint="default"/>
                <w:sz w:val="18"/>
                <w:szCs w:val="18"/>
              </w:rPr>
              <w:t>截止报告期</w:t>
            </w:r>
            <w:r>
              <w:rPr>
                <w:rFonts w:ascii="宋体" w:hAnsi="宋体" w:cs="宋体" w:eastAsia="宋体" w:hint="default"/>
                <w:w w:val="101"/>
                <w:sz w:val="18"/>
                <w:szCs w:val="18"/>
              </w:rPr>
              <w:t> </w:t>
            </w:r>
            <w:r>
              <w:rPr>
                <w:rFonts w:ascii="宋体" w:hAnsi="宋体" w:cs="宋体" w:eastAsia="宋体" w:hint="default"/>
                <w:spacing w:val="-7"/>
                <w:sz w:val="18"/>
                <w:szCs w:val="18"/>
              </w:rPr>
              <w:t>末，公司上述</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股东均遵守</w:t>
            </w:r>
            <w:r>
              <w:rPr>
                <w:rFonts w:ascii="宋体" w:hAnsi="宋体" w:cs="宋体" w:eastAsia="宋体" w:hint="default"/>
                <w:w w:val="101"/>
                <w:sz w:val="18"/>
                <w:szCs w:val="18"/>
              </w:rPr>
              <w:t> </w:t>
            </w:r>
            <w:r>
              <w:rPr>
                <w:rFonts w:ascii="宋体" w:hAnsi="宋体" w:cs="宋体" w:eastAsia="宋体" w:hint="default"/>
                <w:spacing w:val="-7"/>
                <w:sz w:val="18"/>
                <w:szCs w:val="18"/>
              </w:rPr>
              <w:t>以上承诺，未</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发生违反上</w:t>
            </w:r>
            <w:r>
              <w:rPr>
                <w:rFonts w:ascii="宋体" w:hAnsi="宋体" w:cs="宋体" w:eastAsia="宋体" w:hint="default"/>
                <w:w w:val="101"/>
                <w:sz w:val="18"/>
                <w:szCs w:val="18"/>
              </w:rPr>
              <w:t> </w:t>
            </w:r>
            <w:r>
              <w:rPr>
                <w:rFonts w:ascii="宋体" w:hAnsi="宋体" w:cs="宋体" w:eastAsia="宋体" w:hint="default"/>
                <w:sz w:val="18"/>
                <w:szCs w:val="18"/>
              </w:rPr>
              <w:t>述承诺的情</w:t>
            </w:r>
            <w:r>
              <w:rPr>
                <w:rFonts w:ascii="宋体" w:hAnsi="宋体" w:cs="宋体" w:eastAsia="宋体" w:hint="default"/>
                <w:w w:val="101"/>
                <w:sz w:val="18"/>
                <w:szCs w:val="18"/>
              </w:rPr>
              <w:t> </w:t>
            </w:r>
            <w:r>
              <w:rPr>
                <w:rFonts w:ascii="宋体" w:hAnsi="宋体" w:cs="宋体" w:eastAsia="宋体" w:hint="default"/>
                <w:sz w:val="18"/>
                <w:szCs w:val="18"/>
              </w:rPr>
              <w:t>况。</w:t>
            </w:r>
          </w:p>
        </w:tc>
      </w:tr>
      <w:tr>
        <w:trPr>
          <w:trHeight w:val="2991" w:hRule="exact"/>
        </w:trPr>
        <w:tc>
          <w:tcPr>
            <w:tcW w:w="283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24" w:type="dxa"/>
            <w:vMerge/>
            <w:tcBorders>
              <w:left w:val="single" w:sz="10" w:space="0" w:color="D2D2D2"/>
              <w:bottom w:val="single" w:sz="4" w:space="0" w:color="000000"/>
              <w:right w:val="single" w:sz="4" w:space="0" w:color="000000"/>
            </w:tcBorders>
          </w:tcPr>
          <w:p>
            <w:pPr/>
          </w:p>
        </w:tc>
        <w:tc>
          <w:tcPr>
            <w:tcW w:w="1128" w:type="dxa"/>
            <w:vMerge/>
            <w:tcBorders>
              <w:left w:val="single" w:sz="4" w:space="0" w:color="000000"/>
              <w:bottom w:val="single" w:sz="4" w:space="0" w:color="000000"/>
              <w:right w:val="single" w:sz="4" w:space="0" w:color="000000"/>
            </w:tcBorders>
          </w:tcPr>
          <w:p>
            <w:pPr/>
          </w:p>
        </w:tc>
        <w:tc>
          <w:tcPr>
            <w:tcW w:w="1124" w:type="dxa"/>
            <w:vMerge/>
            <w:tcBorders>
              <w:left w:val="single" w:sz="4" w:space="0" w:color="000000"/>
              <w:bottom w:val="single" w:sz="4" w:space="0" w:color="000000"/>
              <w:right w:val="single" w:sz="4" w:space="0" w:color="000000"/>
            </w:tcBorders>
          </w:tcPr>
          <w:p>
            <w:pPr/>
          </w:p>
        </w:tc>
        <w:tc>
          <w:tcPr>
            <w:tcW w:w="1129" w:type="dxa"/>
            <w:vMerge/>
            <w:tcBorders>
              <w:left w:val="single" w:sz="4" w:space="0" w:color="000000"/>
              <w:bottom w:val="single" w:sz="4" w:space="0" w:color="000000"/>
              <w:right w:val="single" w:sz="4" w:space="0" w:color="000000"/>
            </w:tcBorders>
          </w:tcPr>
          <w:p>
            <w:pPr/>
          </w:p>
        </w:tc>
        <w:tc>
          <w:tcPr>
            <w:tcW w:w="1124" w:type="dxa"/>
            <w:vMerge/>
            <w:tcBorders>
              <w:left w:val="single" w:sz="4" w:space="0" w:color="000000"/>
              <w:bottom w:val="single" w:sz="4" w:space="0" w:color="000000"/>
              <w:right w:val="single" w:sz="4" w:space="0" w:color="000000"/>
            </w:tcBorders>
          </w:tcPr>
          <w:p>
            <w:pPr/>
          </w:p>
        </w:tc>
        <w:tc>
          <w:tcPr>
            <w:tcW w:w="1104" w:type="dxa"/>
            <w:vMerge/>
            <w:tcBorders>
              <w:left w:val="single" w:sz="4" w:space="0" w:color="000000"/>
              <w:bottom w:val="single" w:sz="4" w:space="0" w:color="000000"/>
              <w:right w:val="single" w:sz="4" w:space="0" w:color="000000"/>
            </w:tcBorders>
          </w:tcPr>
          <w:p>
            <w:pPr/>
          </w:p>
        </w:tc>
      </w:tr>
    </w:tbl>
    <w:p>
      <w:pPr>
        <w:spacing w:after="0"/>
        <w:sectPr>
          <w:pgSz w:w="11910" w:h="16840"/>
          <w:pgMar w:header="871" w:footer="1186" w:top="1100" w:bottom="1440" w:left="980" w:right="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2838"/>
        <w:gridCol w:w="1124"/>
        <w:gridCol w:w="1128"/>
        <w:gridCol w:w="1124"/>
        <w:gridCol w:w="1129"/>
        <w:gridCol w:w="1124"/>
        <w:gridCol w:w="1104"/>
      </w:tblGrid>
      <w:tr>
        <w:trPr>
          <w:trHeight w:val="672" w:hRule="exact"/>
        </w:trPr>
        <w:tc>
          <w:tcPr>
            <w:tcW w:w="2838" w:type="dxa"/>
            <w:vMerge w:val="restart"/>
            <w:tcBorders>
              <w:top w:val="single" w:sz="4" w:space="0" w:color="000000"/>
              <w:left w:val="single" w:sz="4" w:space="0" w:color="000000"/>
              <w:right w:val="single" w:sz="4" w:space="0" w:color="000000"/>
            </w:tcBorders>
            <w:shd w:val="clear" w:color="auto" w:fill="D2D2D2"/>
          </w:tcPr>
          <w:p>
            <w:pPr/>
          </w:p>
        </w:tc>
        <w:tc>
          <w:tcPr>
            <w:tcW w:w="1124"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10"/>
              <w:ind w:left="24" w:right="185"/>
              <w:jc w:val="left"/>
              <w:rPr>
                <w:rFonts w:ascii="Times New Roman" w:hAnsi="Times New Roman" w:cs="Times New Roman" w:eastAsia="Times New Roman" w:hint="default"/>
                <w:sz w:val="18"/>
                <w:szCs w:val="18"/>
              </w:rPr>
            </w:pPr>
            <w:r>
              <w:rPr>
                <w:rFonts w:ascii="宋体" w:hAnsi="宋体" w:cs="宋体" w:eastAsia="宋体" w:hint="default"/>
                <w:spacing w:val="-2"/>
                <w:sz w:val="18"/>
                <w:szCs w:val="18"/>
              </w:rPr>
              <w:t>不会侵占公</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司利益。</w:t>
            </w:r>
            <w:r>
              <w:rPr>
                <w:rFonts w:ascii="Times New Roman" w:hAnsi="Times New Roman" w:cs="Times New Roman" w:eastAsia="Times New Roman" w:hint="default"/>
                <w:sz w:val="18"/>
                <w:szCs w:val="18"/>
              </w:rPr>
              <w:t>"</w:t>
            </w:r>
          </w:p>
        </w:tc>
        <w:tc>
          <w:tcPr>
            <w:tcW w:w="1129" w:type="dxa"/>
            <w:tcBorders>
              <w:top w:val="single" w:sz="4" w:space="0" w:color="000000"/>
              <w:left w:val="single" w:sz="4" w:space="0" w:color="000000"/>
              <w:bottom w:val="single" w:sz="4" w:space="0" w:color="000000"/>
              <w:right w:val="single" w:sz="4" w:space="0" w:color="000000"/>
            </w:tcBorders>
          </w:tcPr>
          <w:p>
            <w:pPr/>
          </w:p>
        </w:tc>
        <w:tc>
          <w:tcPr>
            <w:tcW w:w="1124"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
        </w:tc>
      </w:tr>
      <w:tr>
        <w:trPr>
          <w:trHeight w:val="2276" w:hRule="exact"/>
        </w:trPr>
        <w:tc>
          <w:tcPr>
            <w:tcW w:w="2838" w:type="dxa"/>
            <w:vMerge/>
            <w:tcBorders>
              <w:left w:val="single" w:sz="4" w:space="0" w:color="000000"/>
              <w:bottom w:val="single" w:sz="4" w:space="0" w:color="000000"/>
              <w:right w:val="single" w:sz="4" w:space="0" w:color="000000"/>
            </w:tcBorders>
            <w:shd w:val="clear" w:color="auto" w:fill="D2D2D2"/>
          </w:tcPr>
          <w:p>
            <w:pP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316" w:lineRule="auto"/>
              <w:ind w:left="23" w:right="3"/>
              <w:jc w:val="left"/>
              <w:rPr>
                <w:rFonts w:ascii="宋体" w:hAnsi="宋体" w:cs="宋体" w:eastAsia="宋体" w:hint="default"/>
                <w:sz w:val="18"/>
                <w:szCs w:val="18"/>
              </w:rPr>
            </w:pPr>
            <w:r>
              <w:rPr>
                <w:rFonts w:ascii="宋体" w:hAnsi="宋体" w:cs="宋体" w:eastAsia="宋体" w:hint="default"/>
                <w:sz w:val="18"/>
                <w:szCs w:val="18"/>
              </w:rPr>
              <w:t>张学君、何</w:t>
            </w:r>
            <w:r>
              <w:rPr>
                <w:rFonts w:ascii="宋体" w:hAnsi="宋体" w:cs="宋体" w:eastAsia="宋体" w:hint="default"/>
                <w:w w:val="101"/>
                <w:sz w:val="18"/>
                <w:szCs w:val="18"/>
              </w:rPr>
              <w:t> </w:t>
            </w:r>
            <w:r>
              <w:rPr>
                <w:rFonts w:ascii="宋体" w:hAnsi="宋体" w:cs="宋体" w:eastAsia="宋体" w:hint="default"/>
                <w:spacing w:val="-2"/>
                <w:sz w:val="18"/>
                <w:szCs w:val="18"/>
              </w:rPr>
              <w:t>晔、陈向军、</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李军、冯军、</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刘奕、郑学</w:t>
            </w:r>
            <w:r>
              <w:rPr>
                <w:rFonts w:ascii="宋体" w:hAnsi="宋体" w:cs="宋体" w:eastAsia="宋体" w:hint="default"/>
                <w:w w:val="101"/>
                <w:sz w:val="18"/>
                <w:szCs w:val="18"/>
              </w:rPr>
              <w:t> </w:t>
            </w:r>
            <w:r>
              <w:rPr>
                <w:rFonts w:ascii="宋体" w:hAnsi="宋体" w:cs="宋体" w:eastAsia="宋体" w:hint="default"/>
                <w:spacing w:val="-4"/>
                <w:sz w:val="18"/>
                <w:szCs w:val="18"/>
              </w:rPr>
              <w:t>定、郭斐、何</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剑、许秋江</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31"/>
              <w:ind w:left="23" w:right="190"/>
              <w:jc w:val="both"/>
              <w:rPr>
                <w:rFonts w:ascii="宋体" w:hAnsi="宋体" w:cs="宋体" w:eastAsia="宋体" w:hint="default"/>
                <w:sz w:val="18"/>
                <w:szCs w:val="18"/>
              </w:rPr>
            </w:pPr>
            <w:r>
              <w:rPr>
                <w:rFonts w:ascii="宋体" w:hAnsi="宋体" w:cs="宋体" w:eastAsia="宋体" w:hint="default"/>
                <w:spacing w:val="-2"/>
                <w:sz w:val="18"/>
                <w:szCs w:val="18"/>
              </w:rPr>
              <w:t>关于非公开</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发行股票摊</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薄即期回报</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采取填补措</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施的承诺</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4" w:right="110"/>
              <w:jc w:val="both"/>
              <w:rPr>
                <w:rFonts w:ascii="Times New Roman" w:hAnsi="Times New Roman" w:cs="Times New Roman" w:eastAsia="Times New Roman" w:hint="default"/>
                <w:sz w:val="18"/>
                <w:szCs w:val="18"/>
              </w:rPr>
            </w:pPr>
            <w:r>
              <w:rPr>
                <w:rFonts w:ascii="宋体" w:hAnsi="宋体" w:cs="宋体" w:eastAsia="宋体" w:hint="default"/>
                <w:sz w:val="18"/>
                <w:szCs w:val="18"/>
              </w:rPr>
              <w:t>非公开发行</w:t>
            </w:r>
            <w:r>
              <w:rPr>
                <w:rFonts w:ascii="宋体" w:hAnsi="宋体" w:cs="宋体" w:eastAsia="宋体" w:hint="default"/>
                <w:w w:val="101"/>
                <w:sz w:val="18"/>
                <w:szCs w:val="18"/>
              </w:rPr>
              <w:t> </w:t>
            </w:r>
            <w:r>
              <w:rPr>
                <w:rFonts w:ascii="宋体" w:hAnsi="宋体" w:cs="宋体" w:eastAsia="宋体" w:hint="default"/>
                <w:sz w:val="18"/>
                <w:szCs w:val="18"/>
              </w:rPr>
              <w:t>股票相关事</w:t>
            </w:r>
            <w:r>
              <w:rPr>
                <w:rFonts w:ascii="宋体" w:hAnsi="宋体" w:cs="宋体" w:eastAsia="宋体" w:hint="default"/>
                <w:w w:val="101"/>
                <w:sz w:val="18"/>
                <w:szCs w:val="18"/>
              </w:rPr>
              <w:t> </w:t>
            </w:r>
            <w:r>
              <w:rPr>
                <w:rFonts w:ascii="宋体" w:hAnsi="宋体" w:cs="宋体" w:eastAsia="宋体" w:hint="default"/>
                <w:sz w:val="18"/>
                <w:szCs w:val="18"/>
              </w:rPr>
              <w:t>项承诺</w:t>
            </w: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3" w:right="12"/>
              <w:jc w:val="left"/>
              <w:rPr>
                <w:rFonts w:ascii="宋体" w:hAnsi="宋体" w:cs="宋体" w:eastAsia="宋体" w:hint="default"/>
                <w:sz w:val="18"/>
                <w:szCs w:val="18"/>
              </w:rPr>
            </w:pPr>
            <w:r>
              <w:rPr>
                <w:rFonts w:ascii="宋体" w:hAnsi="宋体" w:cs="宋体" w:eastAsia="宋体" w:hint="default"/>
                <w:sz w:val="18"/>
                <w:szCs w:val="18"/>
              </w:rPr>
              <w:t>截止报告期</w:t>
            </w:r>
            <w:r>
              <w:rPr>
                <w:rFonts w:ascii="宋体" w:hAnsi="宋体" w:cs="宋体" w:eastAsia="宋体" w:hint="default"/>
                <w:w w:val="101"/>
                <w:sz w:val="18"/>
                <w:szCs w:val="18"/>
              </w:rPr>
              <w:t> </w:t>
            </w:r>
            <w:r>
              <w:rPr>
                <w:rFonts w:ascii="宋体" w:hAnsi="宋体" w:cs="宋体" w:eastAsia="宋体" w:hint="default"/>
                <w:spacing w:val="-7"/>
                <w:sz w:val="18"/>
                <w:szCs w:val="18"/>
              </w:rPr>
              <w:t>末，公司上述</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人员均遵守</w:t>
            </w:r>
            <w:r>
              <w:rPr>
                <w:rFonts w:ascii="宋体" w:hAnsi="宋体" w:cs="宋体" w:eastAsia="宋体" w:hint="default"/>
                <w:w w:val="101"/>
                <w:sz w:val="18"/>
                <w:szCs w:val="18"/>
              </w:rPr>
              <w:t> </w:t>
            </w:r>
            <w:r>
              <w:rPr>
                <w:rFonts w:ascii="宋体" w:hAnsi="宋体" w:cs="宋体" w:eastAsia="宋体" w:hint="default"/>
                <w:spacing w:val="-7"/>
                <w:sz w:val="18"/>
                <w:szCs w:val="18"/>
              </w:rPr>
              <w:t>以上承诺，未</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发生违反上</w:t>
            </w:r>
            <w:r>
              <w:rPr>
                <w:rFonts w:ascii="宋体" w:hAnsi="宋体" w:cs="宋体" w:eastAsia="宋体" w:hint="default"/>
                <w:w w:val="101"/>
                <w:sz w:val="18"/>
                <w:szCs w:val="18"/>
              </w:rPr>
              <w:t> </w:t>
            </w:r>
            <w:r>
              <w:rPr>
                <w:rFonts w:ascii="宋体" w:hAnsi="宋体" w:cs="宋体" w:eastAsia="宋体" w:hint="default"/>
                <w:sz w:val="18"/>
                <w:szCs w:val="18"/>
              </w:rPr>
              <w:t>述承诺的情</w:t>
            </w:r>
            <w:r>
              <w:rPr>
                <w:rFonts w:ascii="宋体" w:hAnsi="宋体" w:cs="宋体" w:eastAsia="宋体" w:hint="default"/>
                <w:w w:val="101"/>
                <w:sz w:val="18"/>
                <w:szCs w:val="18"/>
              </w:rPr>
              <w:t> </w:t>
            </w:r>
            <w:r>
              <w:rPr>
                <w:rFonts w:ascii="宋体" w:hAnsi="宋体" w:cs="宋体" w:eastAsia="宋体" w:hint="default"/>
                <w:sz w:val="18"/>
                <w:szCs w:val="18"/>
              </w:rPr>
              <w:t>况。</w:t>
            </w:r>
          </w:p>
        </w:tc>
      </w:tr>
      <w:tr>
        <w:trPr>
          <w:trHeight w:val="403" w:hRule="exact"/>
        </w:trPr>
        <w:tc>
          <w:tcPr>
            <w:tcW w:w="2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股权激励承诺</w:t>
            </w:r>
          </w:p>
        </w:tc>
        <w:tc>
          <w:tcPr>
            <w:tcW w:w="1124"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4" w:type="dxa"/>
            <w:tcBorders>
              <w:top w:val="single" w:sz="4" w:space="0" w:color="000000"/>
              <w:left w:val="single" w:sz="4" w:space="0" w:color="000000"/>
              <w:bottom w:val="single" w:sz="4" w:space="0" w:color="000000"/>
              <w:right w:val="single" w:sz="4" w:space="0" w:color="000000"/>
            </w:tcBorders>
          </w:tcPr>
          <w:p>
            <w:pPr/>
          </w:p>
        </w:tc>
        <w:tc>
          <w:tcPr>
            <w:tcW w:w="1129" w:type="dxa"/>
            <w:tcBorders>
              <w:top w:val="single" w:sz="4" w:space="0" w:color="000000"/>
              <w:left w:val="single" w:sz="4" w:space="0" w:color="000000"/>
              <w:bottom w:val="single" w:sz="4" w:space="0" w:color="000000"/>
              <w:right w:val="single" w:sz="4" w:space="0" w:color="000000"/>
            </w:tcBorders>
          </w:tcPr>
          <w:p>
            <w:pPr/>
          </w:p>
        </w:tc>
        <w:tc>
          <w:tcPr>
            <w:tcW w:w="1124"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其他对公司中小股东所作承诺</w:t>
            </w:r>
          </w:p>
        </w:tc>
        <w:tc>
          <w:tcPr>
            <w:tcW w:w="1124"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4" w:type="dxa"/>
            <w:tcBorders>
              <w:top w:val="single" w:sz="4" w:space="0" w:color="000000"/>
              <w:left w:val="single" w:sz="4" w:space="0" w:color="000000"/>
              <w:bottom w:val="single" w:sz="4" w:space="0" w:color="000000"/>
              <w:right w:val="single" w:sz="4" w:space="0" w:color="000000"/>
            </w:tcBorders>
          </w:tcPr>
          <w:p>
            <w:pPr/>
          </w:p>
        </w:tc>
        <w:tc>
          <w:tcPr>
            <w:tcW w:w="1129" w:type="dxa"/>
            <w:tcBorders>
              <w:top w:val="single" w:sz="4" w:space="0" w:color="000000"/>
              <w:left w:val="single" w:sz="4" w:space="0" w:color="000000"/>
              <w:bottom w:val="single" w:sz="4" w:space="0" w:color="000000"/>
              <w:right w:val="single" w:sz="4" w:space="0" w:color="000000"/>
            </w:tcBorders>
          </w:tcPr>
          <w:p>
            <w:pPr/>
          </w:p>
        </w:tc>
        <w:tc>
          <w:tcPr>
            <w:tcW w:w="1124"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承诺是否按时履行</w:t>
            </w:r>
          </w:p>
        </w:tc>
        <w:tc>
          <w:tcPr>
            <w:tcW w:w="6732"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1028" w:hRule="exact"/>
        </w:trPr>
        <w:tc>
          <w:tcPr>
            <w:tcW w:w="2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24" w:right="99"/>
              <w:jc w:val="both"/>
              <w:rPr>
                <w:rFonts w:ascii="宋体" w:hAnsi="宋体" w:cs="宋体" w:eastAsia="宋体" w:hint="default"/>
                <w:sz w:val="18"/>
                <w:szCs w:val="18"/>
              </w:rPr>
            </w:pPr>
            <w:r>
              <w:rPr>
                <w:rFonts w:ascii="宋体" w:hAnsi="宋体" w:cs="宋体" w:eastAsia="宋体" w:hint="default"/>
                <w:spacing w:val="-3"/>
                <w:sz w:val="18"/>
                <w:szCs w:val="18"/>
              </w:rPr>
              <w:t>如承诺超期未履行完毕的，应当详</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3"/>
                <w:sz w:val="18"/>
                <w:szCs w:val="18"/>
              </w:rPr>
              <w:t>细说明未完成履行的具体原因及下</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3"/>
                <w:sz w:val="18"/>
                <w:szCs w:val="18"/>
              </w:rPr>
              <w:t>一步的工作计划</w:t>
            </w:r>
          </w:p>
        </w:tc>
        <w:tc>
          <w:tcPr>
            <w:tcW w:w="6732"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pStyle w:val="BodyText"/>
        <w:spacing w:line="240" w:lineRule="auto" w:before="92"/>
        <w:ind w:right="0"/>
        <w:jc w:val="left"/>
      </w:pPr>
      <w:r>
        <w:rPr/>
        <w:t>注</w:t>
      </w:r>
      <w:r>
        <w:rPr>
          <w:spacing w:val="-41"/>
        </w:rPr>
        <w:t> </w:t>
      </w:r>
      <w:r>
        <w:rPr>
          <w:rFonts w:ascii="Times New Roman" w:hAnsi="Times New Roman" w:cs="Times New Roman" w:eastAsia="Times New Roman" w:hint="default"/>
        </w:rPr>
        <w:t>1</w:t>
      </w:r>
      <w:r>
        <w:rPr/>
        <w:t>：</w:t>
      </w:r>
    </w:p>
    <w:p>
      <w:pPr>
        <w:spacing w:line="240" w:lineRule="auto" w:before="12"/>
        <w:rPr>
          <w:rFonts w:ascii="宋体" w:hAnsi="宋体" w:cs="宋体" w:eastAsia="宋体" w:hint="default"/>
          <w:sz w:val="16"/>
          <w:szCs w:val="16"/>
        </w:rPr>
      </w:pPr>
    </w:p>
    <w:p>
      <w:pPr>
        <w:pStyle w:val="BodyText"/>
        <w:spacing w:line="468" w:lineRule="auto"/>
        <w:ind w:right="1124" w:firstLine="360"/>
        <w:jc w:val="both"/>
      </w:pPr>
      <w:r>
        <w:rPr>
          <w:rFonts w:ascii="Times New Roman" w:hAnsi="Times New Roman" w:cs="Times New Roman" w:eastAsia="Times New Roman" w:hint="default"/>
          <w:spacing w:val="-5"/>
          <w:w w:val="101"/>
        </w:rPr>
        <w:t>1</w:t>
      </w:r>
      <w:r>
        <w:rPr>
          <w:spacing w:val="-5"/>
          <w:w w:val="101"/>
        </w:rPr>
        <w:t>、本次交易完成后，本人</w:t>
      </w:r>
      <w:r>
        <w:rPr>
          <w:rFonts w:ascii="Times New Roman" w:hAnsi="Times New Roman" w:cs="Times New Roman" w:eastAsia="Times New Roman" w:hint="default"/>
          <w:spacing w:val="-5"/>
          <w:w w:val="101"/>
        </w:rPr>
        <w:t>/</w:t>
      </w:r>
      <w:r>
        <w:rPr>
          <w:spacing w:val="-5"/>
          <w:w w:val="101"/>
        </w:rPr>
        <w:t>本公司及本人</w:t>
      </w:r>
      <w:r>
        <w:rPr>
          <w:rFonts w:ascii="Times New Roman" w:hAnsi="Times New Roman" w:cs="Times New Roman" w:eastAsia="Times New Roman" w:hint="default"/>
          <w:spacing w:val="-5"/>
          <w:w w:val="101"/>
        </w:rPr>
        <w:t>/</w:t>
      </w:r>
      <w:r>
        <w:rPr>
          <w:spacing w:val="-5"/>
          <w:w w:val="101"/>
        </w:rPr>
        <w:t>本公司对外投资的企业（包括但不限于直接持股、间接持股或委托持股）、实</w:t>
      </w:r>
      <w:r>
        <w:rPr>
          <w:w w:val="101"/>
        </w:rPr>
        <w:t> </w:t>
      </w:r>
      <w:r>
        <w:rPr>
          <w:spacing w:val="-4"/>
        </w:rPr>
        <w:t>际控制或担任董事、高级管理人员的企业将尽可能减少与银之杰及其下属公司（包括但不限于亿美软通）的关联交易，不会</w:t>
      </w:r>
      <w:r>
        <w:rPr>
          <w:spacing w:val="40"/>
        </w:rPr>
        <w:t> </w:t>
      </w:r>
      <w:r>
        <w:rPr>
          <w:spacing w:val="40"/>
        </w:rPr>
      </w:r>
      <w:r>
        <w:rPr>
          <w:spacing w:val="-4"/>
        </w:rPr>
        <w:t>利用自身作为银之杰股东之地位谋求与银之杰及其下属公司（包括但不限于亿美软通）在业务合作等方面给予优于市场第三</w:t>
      </w:r>
      <w:r>
        <w:rPr>
          <w:spacing w:val="43"/>
        </w:rPr>
        <w:t> </w:t>
      </w:r>
      <w:r>
        <w:rPr>
          <w:spacing w:val="43"/>
        </w:rPr>
      </w:r>
      <w:r>
        <w:rPr>
          <w:spacing w:val="-8"/>
          <w:w w:val="101"/>
        </w:rPr>
        <w:t>方的权利；不会利用自身作为银之杰股东之地位谋求与银之杰及其下属公司（包括但不限于亿美软通）达成交易的优先权利。</w:t>
      </w:r>
      <w:r>
        <w:rPr>
          <w:spacing w:val="-8"/>
        </w:rPr>
      </w:r>
    </w:p>
    <w:p>
      <w:pPr>
        <w:pStyle w:val="BodyText"/>
        <w:spacing w:line="470" w:lineRule="auto" w:before="64"/>
        <w:ind w:right="0" w:firstLine="360"/>
        <w:jc w:val="left"/>
      </w:pPr>
      <w:r>
        <w:rPr>
          <w:rFonts w:ascii="Times New Roman" w:hAnsi="Times New Roman" w:cs="Times New Roman" w:eastAsia="Times New Roman" w:hint="default"/>
          <w:spacing w:val="-3"/>
        </w:rPr>
        <w:t>2</w:t>
      </w:r>
      <w:r>
        <w:rPr>
          <w:spacing w:val="-3"/>
        </w:rPr>
        <w:t>、若发生必要且不可避免的关联交易，本人</w:t>
      </w:r>
      <w:r>
        <w:rPr>
          <w:rFonts w:ascii="Times New Roman" w:hAnsi="Times New Roman" w:cs="Times New Roman" w:eastAsia="Times New Roman" w:hint="default"/>
          <w:spacing w:val="-3"/>
        </w:rPr>
        <w:t>/</w:t>
      </w:r>
      <w:r>
        <w:rPr>
          <w:spacing w:val="-3"/>
        </w:rPr>
        <w:t>本公司及本人</w:t>
      </w:r>
      <w:r>
        <w:rPr>
          <w:rFonts w:ascii="Times New Roman" w:hAnsi="Times New Roman" w:cs="Times New Roman" w:eastAsia="Times New Roman" w:hint="default"/>
          <w:spacing w:val="-3"/>
        </w:rPr>
        <w:t>/</w:t>
      </w:r>
      <w:r>
        <w:rPr>
          <w:spacing w:val="-3"/>
        </w:rPr>
        <w:t>本公司对外投资的企业（包括但不限于直接持股、间接持</w:t>
      </w:r>
      <w:r>
        <w:rPr>
          <w:w w:val="101"/>
        </w:rPr>
        <w:t> </w:t>
      </w:r>
      <w:r>
        <w:rPr>
          <w:spacing w:val="-8"/>
          <w:w w:val="101"/>
        </w:rPr>
        <w:t>股或委托持股）、实际控制或担任董事、高级管理人员的企业将与银之杰及其下属公司（包括但不限于亿美软通）按照公平、</w:t>
      </w:r>
      <w:r>
        <w:rPr>
          <w:spacing w:val="-52"/>
          <w:w w:val="101"/>
        </w:rPr>
        <w:t> </w:t>
      </w:r>
      <w:r>
        <w:rPr>
          <w:spacing w:val="-52"/>
          <w:w w:val="101"/>
        </w:rPr>
      </w:r>
      <w:r>
        <w:rPr>
          <w:spacing w:val="-4"/>
        </w:rPr>
        <w:t>公允、等价有偿等原则依法签订协议，履行合法程序，并将按照有关法律法规和公司规定履行信息披露义务及相关内部决策</w:t>
      </w:r>
      <w:r>
        <w:rPr>
          <w:spacing w:val="38"/>
        </w:rPr>
        <w:t> </w:t>
      </w:r>
      <w:r>
        <w:rPr>
          <w:spacing w:val="38"/>
        </w:rPr>
      </w:r>
      <w:r>
        <w:rPr>
          <w:spacing w:val="-4"/>
        </w:rPr>
        <w:t>程序和回避制度，关联交易价格依照与无关联关系的独立第三方进行相同或相似交易时的价格确定，保证关联交易价格具有</w:t>
      </w:r>
      <w:r>
        <w:rPr>
          <w:spacing w:val="43"/>
        </w:rPr>
        <w:t> </w:t>
      </w:r>
      <w:r>
        <w:rPr>
          <w:spacing w:val="43"/>
        </w:rPr>
      </w:r>
      <w:r>
        <w:rPr>
          <w:spacing w:val="-3"/>
        </w:rPr>
        <w:t>公允性，亦不利用该等交易从事任何损害银之杰及其股东的合法权益的行为。</w:t>
      </w:r>
    </w:p>
    <w:p>
      <w:pPr>
        <w:pStyle w:val="BodyText"/>
        <w:spacing w:line="463" w:lineRule="auto" w:before="57"/>
        <w:ind w:right="1123" w:firstLine="360"/>
        <w:jc w:val="both"/>
      </w:pPr>
      <w:r>
        <w:rPr>
          <w:spacing w:val="-3"/>
        </w:rPr>
        <w:t>本人</w:t>
      </w:r>
      <w:r>
        <w:rPr>
          <w:rFonts w:ascii="Times New Roman" w:hAnsi="Times New Roman" w:cs="Times New Roman" w:eastAsia="Times New Roman" w:hint="default"/>
          <w:spacing w:val="-3"/>
        </w:rPr>
        <w:t>/</w:t>
      </w:r>
      <w:r>
        <w:rPr>
          <w:spacing w:val="-3"/>
        </w:rPr>
        <w:t>本公司保证将依照公司规定参加股东大会，平等地行使相应权利，承担相应义务，不利用股东地位谋取不正当利</w:t>
      </w:r>
      <w:r>
        <w:rPr>
          <w:w w:val="101"/>
        </w:rPr>
        <w:t> </w:t>
      </w:r>
      <w:r>
        <w:rPr>
          <w:spacing w:val="-4"/>
        </w:rPr>
        <w:t>益，不利用关联交易非法转移银之杰及其下属子公司（包括但不限于亿美软通）的资金、利润，保证不损害银之杰及其股东</w:t>
      </w:r>
      <w:r>
        <w:rPr>
          <w:spacing w:val="40"/>
        </w:rPr>
        <w:t> </w:t>
      </w:r>
      <w:r>
        <w:rPr>
          <w:spacing w:val="40"/>
        </w:rPr>
      </w:r>
      <w:r>
        <w:rPr>
          <w:spacing w:val="-3"/>
        </w:rPr>
        <w:t>的合法权益。若违反上述声明和保证，本人</w:t>
      </w:r>
      <w:r>
        <w:rPr>
          <w:rFonts w:ascii="Times New Roman" w:hAnsi="Times New Roman" w:cs="Times New Roman" w:eastAsia="Times New Roman" w:hint="default"/>
          <w:spacing w:val="-3"/>
        </w:rPr>
        <w:t>/</w:t>
      </w:r>
      <w:r>
        <w:rPr>
          <w:spacing w:val="-3"/>
        </w:rPr>
        <w:t>本公司将对前述行为给银之杰造成的损失向银之杰进行赔偿。</w:t>
      </w:r>
    </w:p>
    <w:p>
      <w:pPr>
        <w:pStyle w:val="BodyText"/>
        <w:spacing w:line="240" w:lineRule="auto" w:before="36"/>
        <w:ind w:right="0"/>
        <w:jc w:val="left"/>
      </w:pPr>
      <w:r>
        <w:rPr/>
        <w:t>注</w:t>
      </w:r>
      <w:r>
        <w:rPr>
          <w:spacing w:val="-41"/>
        </w:rPr>
        <w:t> </w:t>
      </w:r>
      <w:r>
        <w:rPr>
          <w:rFonts w:ascii="Times New Roman" w:hAnsi="Times New Roman" w:cs="Times New Roman" w:eastAsia="Times New Roman" w:hint="default"/>
        </w:rPr>
        <w:t>2</w:t>
      </w:r>
      <w:r>
        <w:rPr/>
        <w:t>：</w:t>
      </w:r>
    </w:p>
    <w:p>
      <w:pPr>
        <w:spacing w:line="240" w:lineRule="auto" w:before="7"/>
        <w:rPr>
          <w:rFonts w:ascii="宋体" w:hAnsi="宋体" w:cs="宋体" w:eastAsia="宋体" w:hint="default"/>
          <w:sz w:val="16"/>
          <w:szCs w:val="16"/>
        </w:rPr>
      </w:pPr>
    </w:p>
    <w:p>
      <w:pPr>
        <w:pStyle w:val="BodyText"/>
        <w:spacing w:line="468" w:lineRule="auto"/>
        <w:ind w:right="1123" w:firstLine="360"/>
        <w:jc w:val="both"/>
      </w:pPr>
      <w:r>
        <w:rPr>
          <w:rFonts w:ascii="Times New Roman" w:hAnsi="Times New Roman" w:cs="Times New Roman" w:eastAsia="Times New Roman" w:hint="default"/>
          <w:spacing w:val="-4"/>
          <w:w w:val="101"/>
        </w:rPr>
        <w:t>1</w:t>
      </w:r>
      <w:r>
        <w:rPr>
          <w:spacing w:val="-4"/>
          <w:w w:val="101"/>
        </w:rPr>
        <w:t>、本人</w:t>
      </w:r>
      <w:r>
        <w:rPr>
          <w:rFonts w:ascii="Times New Roman" w:hAnsi="Times New Roman" w:cs="Times New Roman" w:eastAsia="Times New Roman" w:hint="default"/>
          <w:spacing w:val="-4"/>
          <w:w w:val="101"/>
        </w:rPr>
        <w:t>/</w:t>
      </w:r>
      <w:r>
        <w:rPr>
          <w:spacing w:val="-4"/>
          <w:w w:val="101"/>
        </w:rPr>
        <w:t>本公司（包括本人</w:t>
      </w:r>
      <w:r>
        <w:rPr>
          <w:rFonts w:ascii="Times New Roman" w:hAnsi="Times New Roman" w:cs="Times New Roman" w:eastAsia="Times New Roman" w:hint="default"/>
          <w:spacing w:val="-4"/>
          <w:w w:val="101"/>
        </w:rPr>
        <w:t>/</w:t>
      </w:r>
      <w:r>
        <w:rPr>
          <w:spacing w:val="-4"/>
          <w:w w:val="101"/>
        </w:rPr>
        <w:t>本公司关联人，关联人定义同《深圳证券交易所创业板上市规则》）目前没有在中国境内或</w:t>
      </w:r>
      <w:r>
        <w:rPr>
          <w:w w:val="101"/>
        </w:rPr>
        <w:t> </w:t>
      </w:r>
      <w:r>
        <w:rPr>
          <w:spacing w:val="-8"/>
        </w:rPr>
        <w:t>境外单独或与其他自然人、法人、合伙企业或组织，以任何形式（包括但不限于通过独自经营、合资经营、联营、租赁经营、</w:t>
      </w:r>
      <w:r>
        <w:rPr>
          <w:spacing w:val="3"/>
        </w:rPr>
        <w:t> </w:t>
      </w:r>
      <w:r>
        <w:rPr>
          <w:spacing w:val="3"/>
        </w:rPr>
      </w:r>
      <w:r>
        <w:rPr>
          <w:spacing w:val="-4"/>
        </w:rPr>
        <w:t>承包经营、委托管理等方式拥有其他公司或企业的股权或权益等）直接或间接从事或参与任何对银之杰及亿美软通构成竞争</w:t>
      </w:r>
      <w:r>
        <w:rPr>
          <w:spacing w:val="43"/>
        </w:rPr>
        <w:t> </w:t>
      </w:r>
      <w:r>
        <w:rPr>
          <w:spacing w:val="43"/>
        </w:rPr>
      </w:r>
      <w:r>
        <w:rPr>
          <w:spacing w:val="-3"/>
        </w:rPr>
        <w:t>的业务及活动，或拥有与银之杰及亿美软通存在竞争关系的任何经济实体、机构、经济组织的权益。</w:t>
      </w:r>
    </w:p>
    <w:p>
      <w:pPr>
        <w:spacing w:after="0" w:line="468" w:lineRule="auto"/>
        <w:jc w:val="both"/>
        <w:sectPr>
          <w:pgSz w:w="11910" w:h="16840"/>
          <w:pgMar w:header="871" w:footer="1186" w:top="1100" w:bottom="1380" w:left="980" w:right="0"/>
        </w:sectPr>
      </w:pPr>
    </w:p>
    <w:p>
      <w:pPr>
        <w:spacing w:line="240" w:lineRule="auto" w:before="1"/>
        <w:rPr>
          <w:rFonts w:ascii="宋体" w:hAnsi="宋体" w:cs="宋体" w:eastAsia="宋体" w:hint="default"/>
          <w:sz w:val="28"/>
          <w:szCs w:val="28"/>
        </w:rPr>
      </w:pPr>
    </w:p>
    <w:p>
      <w:pPr>
        <w:pStyle w:val="BodyText"/>
        <w:spacing w:line="451" w:lineRule="auto" w:before="46"/>
        <w:ind w:right="1122" w:firstLine="360"/>
        <w:jc w:val="both"/>
      </w:pPr>
      <w:r>
        <w:rPr>
          <w:rFonts w:ascii="Times New Roman" w:hAnsi="Times New Roman" w:cs="Times New Roman" w:eastAsia="Times New Roman" w:hint="default"/>
          <w:spacing w:val="-3"/>
        </w:rPr>
        <w:t>2</w:t>
      </w:r>
      <w:r>
        <w:rPr>
          <w:spacing w:val="-3"/>
        </w:rPr>
        <w:t>、在今后的业务中，本人</w:t>
      </w:r>
      <w:r>
        <w:rPr>
          <w:rFonts w:ascii="Times New Roman" w:hAnsi="Times New Roman" w:cs="Times New Roman" w:eastAsia="Times New Roman" w:hint="default"/>
          <w:spacing w:val="-3"/>
        </w:rPr>
        <w:t>/</w:t>
      </w:r>
      <w:r>
        <w:rPr>
          <w:spacing w:val="-3"/>
        </w:rPr>
        <w:t>本公司及本人</w:t>
      </w:r>
      <w:r>
        <w:rPr>
          <w:rFonts w:ascii="Times New Roman" w:hAnsi="Times New Roman" w:cs="Times New Roman" w:eastAsia="Times New Roman" w:hint="default"/>
          <w:spacing w:val="-3"/>
        </w:rPr>
        <w:t>/</w:t>
      </w:r>
      <w:r>
        <w:rPr>
          <w:spacing w:val="-3"/>
        </w:rPr>
        <w:t>本公司控制的其他企业不与银之杰及亿美软通业务产生同业竞争，即本人</w:t>
      </w:r>
      <w:r>
        <w:rPr>
          <w:rFonts w:ascii="Times New Roman" w:hAnsi="Times New Roman" w:cs="Times New Roman" w:eastAsia="Times New Roman" w:hint="default"/>
          <w:spacing w:val="-3"/>
        </w:rPr>
        <w:t>/</w:t>
      </w:r>
      <w:r>
        <w:rPr>
          <w:spacing w:val="-3"/>
        </w:rPr>
        <w:t>本</w:t>
      </w:r>
      <w:r>
        <w:rPr>
          <w:w w:val="101"/>
        </w:rPr>
        <w:t> </w:t>
      </w:r>
      <w:r>
        <w:rPr>
          <w:spacing w:val="-3"/>
        </w:rPr>
        <w:t>公司及其控制的其他企业（包括本人</w:t>
      </w:r>
      <w:r>
        <w:rPr>
          <w:rFonts w:ascii="Times New Roman" w:hAnsi="Times New Roman" w:cs="Times New Roman" w:eastAsia="Times New Roman" w:hint="default"/>
          <w:spacing w:val="-3"/>
        </w:rPr>
        <w:t>/</w:t>
      </w:r>
      <w:r>
        <w:rPr>
          <w:spacing w:val="-3"/>
        </w:rPr>
        <w:t>本公司及控制的其他企业全资、控股公司及本人</w:t>
      </w:r>
      <w:r>
        <w:rPr>
          <w:rFonts w:ascii="Times New Roman" w:hAnsi="Times New Roman" w:cs="Times New Roman" w:eastAsia="Times New Roman" w:hint="default"/>
          <w:spacing w:val="-3"/>
        </w:rPr>
        <w:t>/</w:t>
      </w:r>
      <w:r>
        <w:rPr>
          <w:spacing w:val="-3"/>
        </w:rPr>
        <w:t>本公司控制的其他企业对其具有实际</w:t>
      </w:r>
      <w:r>
        <w:rPr>
          <w:spacing w:val="73"/>
        </w:rPr>
        <w:t> </w:t>
      </w:r>
      <w:r>
        <w:rPr>
          <w:spacing w:val="73"/>
        </w:rPr>
      </w:r>
      <w:r>
        <w:rPr>
          <w:spacing w:val="-3"/>
        </w:rPr>
        <w:t>控制权的公司）不会以任何形式直接或间接的从事与银之杰及亿美软通业务相同或相似的业务。</w:t>
      </w:r>
    </w:p>
    <w:p>
      <w:pPr>
        <w:pStyle w:val="BodyText"/>
        <w:spacing w:line="451" w:lineRule="auto" w:before="71"/>
        <w:ind w:right="1029" w:firstLine="360"/>
        <w:jc w:val="left"/>
      </w:pPr>
      <w:r>
        <w:rPr>
          <w:rFonts w:ascii="Times New Roman" w:hAnsi="Times New Roman" w:cs="Times New Roman" w:eastAsia="Times New Roman" w:hint="default"/>
          <w:spacing w:val="-3"/>
        </w:rPr>
        <w:t>3</w:t>
      </w:r>
      <w:r>
        <w:rPr>
          <w:spacing w:val="-3"/>
        </w:rPr>
        <w:t>、如银之杰或亿美软通认定本人</w:t>
      </w:r>
      <w:r>
        <w:rPr>
          <w:rFonts w:ascii="Times New Roman" w:hAnsi="Times New Roman" w:cs="Times New Roman" w:eastAsia="Times New Roman" w:hint="default"/>
          <w:spacing w:val="-3"/>
        </w:rPr>
        <w:t>/</w:t>
      </w:r>
      <w:r>
        <w:rPr>
          <w:spacing w:val="-3"/>
        </w:rPr>
        <w:t>本公司及本人</w:t>
      </w:r>
      <w:r>
        <w:rPr>
          <w:rFonts w:ascii="Times New Roman" w:hAnsi="Times New Roman" w:cs="Times New Roman" w:eastAsia="Times New Roman" w:hint="default"/>
          <w:spacing w:val="-3"/>
        </w:rPr>
        <w:t>/</w:t>
      </w:r>
      <w:r>
        <w:rPr>
          <w:spacing w:val="-3"/>
        </w:rPr>
        <w:t>本公司控制的其他企业现有业务或将来产生的业务与银之杰或亿美软</w:t>
      </w:r>
      <w:r>
        <w:rPr>
          <w:w w:val="101"/>
        </w:rPr>
        <w:t> </w:t>
      </w:r>
      <w:r>
        <w:rPr>
          <w:spacing w:val="-3"/>
        </w:rPr>
        <w:t>通业务存在同业竞争，则本人</w:t>
      </w:r>
      <w:r>
        <w:rPr>
          <w:rFonts w:ascii="Times New Roman" w:hAnsi="Times New Roman" w:cs="Times New Roman" w:eastAsia="Times New Roman" w:hint="default"/>
          <w:spacing w:val="-3"/>
        </w:rPr>
        <w:t>/</w:t>
      </w:r>
      <w:r>
        <w:rPr>
          <w:spacing w:val="-3"/>
        </w:rPr>
        <w:t>本公司及本人</w:t>
      </w:r>
      <w:r>
        <w:rPr>
          <w:rFonts w:ascii="Times New Roman" w:hAnsi="Times New Roman" w:cs="Times New Roman" w:eastAsia="Times New Roman" w:hint="default"/>
          <w:spacing w:val="-3"/>
        </w:rPr>
        <w:t>/</w:t>
      </w:r>
      <w:r>
        <w:rPr>
          <w:spacing w:val="-3"/>
        </w:rPr>
        <w:t>本公司控制的其他企业将在银之杰或亿美软通提出异议后及时转让或终止该业</w:t>
      </w:r>
      <w:r>
        <w:rPr>
          <w:spacing w:val="67"/>
        </w:rPr>
        <w:t> </w:t>
      </w:r>
      <w:r>
        <w:rPr>
          <w:spacing w:val="67"/>
        </w:rPr>
      </w:r>
      <w:r>
        <w:rPr/>
        <w:t>务。</w:t>
      </w:r>
    </w:p>
    <w:p>
      <w:pPr>
        <w:pStyle w:val="BodyText"/>
        <w:spacing w:line="448" w:lineRule="auto" w:before="77"/>
        <w:ind w:right="0" w:firstLine="360"/>
        <w:jc w:val="left"/>
      </w:pPr>
      <w:r>
        <w:rPr>
          <w:rFonts w:ascii="Times New Roman" w:hAnsi="Times New Roman" w:cs="Times New Roman" w:eastAsia="Times New Roman" w:hint="default"/>
          <w:spacing w:val="-5"/>
        </w:rPr>
        <w:t>4</w:t>
      </w:r>
      <w:r>
        <w:rPr>
          <w:spacing w:val="-5"/>
        </w:rPr>
        <w:t>、本人</w:t>
      </w:r>
      <w:r>
        <w:rPr>
          <w:rFonts w:ascii="Times New Roman" w:hAnsi="Times New Roman" w:cs="Times New Roman" w:eastAsia="Times New Roman" w:hint="default"/>
          <w:spacing w:val="-5"/>
        </w:rPr>
        <w:t>/</w:t>
      </w:r>
      <w:r>
        <w:rPr>
          <w:spacing w:val="-5"/>
        </w:rPr>
        <w:t>本公司及本人</w:t>
      </w:r>
      <w:r>
        <w:rPr>
          <w:rFonts w:ascii="Times New Roman" w:hAnsi="Times New Roman" w:cs="Times New Roman" w:eastAsia="Times New Roman" w:hint="default"/>
          <w:spacing w:val="-5"/>
        </w:rPr>
        <w:t>/</w:t>
      </w:r>
      <w:r>
        <w:rPr>
          <w:spacing w:val="-5"/>
        </w:rPr>
        <w:t>本公司控制的其他企业保证严格遵守公司章程的规定，不利用股东、实际控制人、董事、监事、</w:t>
      </w:r>
      <w:r>
        <w:rPr>
          <w:w w:val="101"/>
        </w:rPr>
        <w:t> </w:t>
      </w:r>
      <w:r>
        <w:rPr>
          <w:spacing w:val="-3"/>
        </w:rPr>
        <w:t>高级管理人员的地位谋求不当利益，不损害银之杰及亿美软通的合法权益。</w:t>
      </w:r>
    </w:p>
    <w:p>
      <w:pPr>
        <w:pStyle w:val="BodyText"/>
        <w:spacing w:line="451" w:lineRule="auto" w:before="78"/>
        <w:ind w:right="1171" w:firstLine="360"/>
        <w:jc w:val="both"/>
      </w:pPr>
      <w:r>
        <w:rPr>
          <w:rFonts w:ascii="Times New Roman" w:hAnsi="Times New Roman" w:cs="Times New Roman" w:eastAsia="Times New Roman" w:hint="default"/>
          <w:spacing w:val="-3"/>
        </w:rPr>
        <w:t>5</w:t>
      </w:r>
      <w:r>
        <w:rPr>
          <w:spacing w:val="-3"/>
        </w:rPr>
        <w:t>、本承诺函自出具之日起至本人</w:t>
      </w:r>
      <w:r>
        <w:rPr>
          <w:rFonts w:ascii="Times New Roman" w:hAnsi="Times New Roman" w:cs="Times New Roman" w:eastAsia="Times New Roman" w:hint="default"/>
          <w:spacing w:val="-3"/>
        </w:rPr>
        <w:t>/</w:t>
      </w:r>
      <w:r>
        <w:rPr>
          <w:spacing w:val="-3"/>
        </w:rPr>
        <w:t>本公司获得的银之杰股份全部解锁前及之后三年内具有法律效力，构成对本人</w:t>
      </w:r>
      <w:r>
        <w:rPr>
          <w:rFonts w:ascii="Times New Roman" w:hAnsi="Times New Roman" w:cs="Times New Roman" w:eastAsia="Times New Roman" w:hint="default"/>
          <w:spacing w:val="-3"/>
        </w:rPr>
        <w:t>/</w:t>
      </w:r>
      <w:r>
        <w:rPr>
          <w:spacing w:val="-3"/>
        </w:rPr>
        <w:t>本公</w:t>
      </w:r>
      <w:r>
        <w:rPr>
          <w:spacing w:val="-5"/>
          <w:w w:val="101"/>
        </w:rPr>
        <w:t> </w:t>
      </w:r>
      <w:r>
        <w:rPr>
          <w:spacing w:val="-3"/>
        </w:rPr>
        <w:t>司及本人</w:t>
      </w:r>
      <w:r>
        <w:rPr>
          <w:rFonts w:ascii="Times New Roman" w:hAnsi="Times New Roman" w:cs="Times New Roman" w:eastAsia="Times New Roman" w:hint="default"/>
          <w:spacing w:val="-3"/>
        </w:rPr>
        <w:t>/</w:t>
      </w:r>
      <w:r>
        <w:rPr>
          <w:spacing w:val="-3"/>
        </w:rPr>
        <w:t>本公司控制的其他企业具有法律约束力的法律文件，如有违反，所得利益归银之杰所有，如给银之杰或亿美软通</w:t>
      </w:r>
      <w:r>
        <w:rPr>
          <w:spacing w:val="71"/>
        </w:rPr>
        <w:t> </w:t>
      </w:r>
      <w:r>
        <w:rPr>
          <w:spacing w:val="71"/>
        </w:rPr>
      </w:r>
      <w:r>
        <w:rPr>
          <w:spacing w:val="-3"/>
        </w:rPr>
        <w:t>造成损失，本人</w:t>
      </w:r>
      <w:r>
        <w:rPr>
          <w:rFonts w:ascii="Times New Roman" w:hAnsi="Times New Roman" w:cs="Times New Roman" w:eastAsia="Times New Roman" w:hint="default"/>
          <w:spacing w:val="-3"/>
        </w:rPr>
        <w:t>/</w:t>
      </w:r>
      <w:r>
        <w:rPr>
          <w:spacing w:val="-3"/>
        </w:rPr>
        <w:t>本公司及本人</w:t>
      </w:r>
      <w:r>
        <w:rPr>
          <w:rFonts w:ascii="Times New Roman" w:hAnsi="Times New Roman" w:cs="Times New Roman" w:eastAsia="Times New Roman" w:hint="default"/>
          <w:spacing w:val="-3"/>
        </w:rPr>
        <w:t>/</w:t>
      </w:r>
      <w:r>
        <w:rPr>
          <w:spacing w:val="-3"/>
        </w:rPr>
        <w:t>本公司控制的其他企业承诺将承担相应的法律责任。</w:t>
      </w:r>
    </w:p>
    <w:p>
      <w:pPr>
        <w:pStyle w:val="BodyText"/>
        <w:spacing w:line="240" w:lineRule="auto" w:before="41"/>
        <w:ind w:right="0"/>
        <w:jc w:val="left"/>
      </w:pPr>
      <w:r>
        <w:rPr/>
        <w:t>注</w:t>
      </w:r>
      <w:r>
        <w:rPr>
          <w:spacing w:val="-41"/>
        </w:rPr>
        <w:t> </w:t>
      </w:r>
      <w:r>
        <w:rPr>
          <w:rFonts w:ascii="Times New Roman" w:hAnsi="Times New Roman" w:cs="Times New Roman" w:eastAsia="Times New Roman" w:hint="default"/>
        </w:rPr>
        <w:t>3</w:t>
      </w:r>
      <w:r>
        <w:rPr/>
        <w:t>：</w:t>
      </w:r>
    </w:p>
    <w:p>
      <w:pPr>
        <w:spacing w:line="240" w:lineRule="auto" w:before="12"/>
        <w:rPr>
          <w:rFonts w:ascii="宋体" w:hAnsi="宋体" w:cs="宋体" w:eastAsia="宋体" w:hint="default"/>
          <w:sz w:val="16"/>
          <w:szCs w:val="16"/>
        </w:rPr>
      </w:pPr>
    </w:p>
    <w:p>
      <w:pPr>
        <w:pStyle w:val="BodyText"/>
        <w:spacing w:line="463" w:lineRule="auto"/>
        <w:ind w:right="0" w:firstLine="360"/>
        <w:jc w:val="left"/>
      </w:pPr>
      <w:r>
        <w:rPr>
          <w:rFonts w:ascii="Times New Roman" w:hAnsi="Times New Roman" w:cs="Times New Roman" w:eastAsia="Times New Roman" w:hint="default"/>
        </w:rPr>
        <w:t>1</w:t>
      </w:r>
      <w:r>
        <w:rPr/>
        <w:t>．本公司持有公司股份</w:t>
      </w:r>
      <w:r>
        <w:rPr>
          <w:spacing w:val="-12"/>
        </w:rPr>
        <w:t> </w:t>
      </w:r>
      <w:r>
        <w:rPr>
          <w:rFonts w:ascii="Times New Roman" w:hAnsi="Times New Roman" w:cs="Times New Roman" w:eastAsia="Times New Roman" w:hint="default"/>
          <w:spacing w:val="-3"/>
        </w:rPr>
        <w:t>5%</w:t>
      </w:r>
      <w:r>
        <w:rPr>
          <w:spacing w:val="-3"/>
        </w:rPr>
        <w:t>以上的股东作为公司董事或高级管理人员，张学君、陈向军、李军、何晔承诺：三十六个</w:t>
      </w:r>
      <w:r>
        <w:rPr>
          <w:w w:val="101"/>
        </w:rPr>
        <w:t> </w:t>
      </w:r>
      <w:r>
        <w:rPr>
          <w:spacing w:val="-4"/>
        </w:rPr>
        <w:t>月的锁定期满后，在本人任职期间，每年转让所持有的公司股份不超过本人所持公司股份数的百分之二十五；本人离职后半</w:t>
      </w:r>
      <w:r>
        <w:rPr>
          <w:spacing w:val="43"/>
        </w:rPr>
        <w:t> </w:t>
      </w:r>
      <w:r>
        <w:rPr>
          <w:spacing w:val="43"/>
        </w:rPr>
      </w:r>
      <w:r>
        <w:rPr>
          <w:spacing w:val="-3"/>
        </w:rPr>
        <w:t>年内，不转让所持有的公司股份。</w:t>
      </w:r>
    </w:p>
    <w:p>
      <w:pPr>
        <w:pStyle w:val="BodyText"/>
        <w:spacing w:line="453" w:lineRule="auto" w:before="62"/>
        <w:ind w:right="0" w:firstLine="360"/>
        <w:jc w:val="left"/>
      </w:pPr>
      <w:r>
        <w:rPr>
          <w:rFonts w:ascii="Times New Roman" w:hAnsi="Times New Roman" w:cs="Times New Roman" w:eastAsia="Times New Roman" w:hint="default"/>
          <w:spacing w:val="-3"/>
        </w:rPr>
        <w:t>2</w:t>
      </w:r>
      <w:r>
        <w:rPr>
          <w:spacing w:val="-3"/>
        </w:rPr>
        <w:t>．本公司监事周峰和李玟臻，董事或高级管理人员冯军、刘奕、许秋江承诺：在本人任职期间每年转让所持有的公司</w:t>
      </w:r>
      <w:r>
        <w:rPr>
          <w:w w:val="101"/>
        </w:rPr>
        <w:t> </w:t>
      </w:r>
      <w:r>
        <w:rPr>
          <w:spacing w:val="-3"/>
        </w:rPr>
        <w:t>股份不超过本人所持公司股份总数的百分之二十五；本人离职后半年内，不转让所持有的公司股份。</w:t>
      </w:r>
    </w:p>
    <w:p>
      <w:pPr>
        <w:pStyle w:val="BodyText"/>
        <w:spacing w:line="240" w:lineRule="auto" w:before="70"/>
        <w:ind w:right="0"/>
        <w:jc w:val="left"/>
      </w:pPr>
      <w:r>
        <w:rPr/>
        <w:t>注</w:t>
      </w:r>
      <w:r>
        <w:rPr>
          <w:spacing w:val="-41"/>
        </w:rPr>
        <w:t> </w:t>
      </w:r>
      <w:r>
        <w:rPr>
          <w:rFonts w:ascii="Times New Roman" w:hAnsi="Times New Roman" w:cs="Times New Roman" w:eastAsia="Times New Roman" w:hint="default"/>
        </w:rPr>
        <w:t>4</w:t>
      </w:r>
      <w:r>
        <w:rPr/>
        <w:t>：</w:t>
      </w:r>
    </w:p>
    <w:p>
      <w:pPr>
        <w:spacing w:line="240" w:lineRule="auto" w:before="12"/>
        <w:rPr>
          <w:rFonts w:ascii="宋体" w:hAnsi="宋体" w:cs="宋体" w:eastAsia="宋体" w:hint="default"/>
          <w:sz w:val="16"/>
          <w:szCs w:val="16"/>
        </w:rPr>
      </w:pPr>
    </w:p>
    <w:p>
      <w:pPr>
        <w:pStyle w:val="BodyText"/>
        <w:spacing w:line="448" w:lineRule="auto"/>
        <w:ind w:left="513" w:right="0"/>
        <w:jc w:val="left"/>
      </w:pPr>
      <w:r>
        <w:rPr>
          <w:spacing w:val="-3"/>
        </w:rPr>
        <w:t>公司共同控制人张学君、陈向军和李军，以及持有公司 </w:t>
      </w:r>
      <w:r>
        <w:rPr>
          <w:rFonts w:ascii="Times New Roman" w:hAnsi="Times New Roman" w:cs="Times New Roman" w:eastAsia="Times New Roman" w:hint="default"/>
          <w:spacing w:val="-3"/>
        </w:rPr>
        <w:t>5%</w:t>
      </w:r>
      <w:r>
        <w:rPr>
          <w:spacing w:val="-3"/>
        </w:rPr>
        <w:t>以上股份的股东何晔，就避免同业竞争作出了以下承诺：</w:t>
      </w:r>
      <w:r>
        <w:rPr>
          <w:spacing w:val="21"/>
        </w:rPr>
        <w:t> </w:t>
      </w:r>
      <w:r>
        <w:rPr>
          <w:spacing w:val="21"/>
        </w:rPr>
      </w:r>
      <w:r>
        <w:rPr>
          <w:spacing w:val="-3"/>
        </w:rPr>
        <w:t>“</w:t>
      </w:r>
      <w:r>
        <w:rPr>
          <w:rFonts w:ascii="Times New Roman" w:hAnsi="Times New Roman" w:cs="Times New Roman" w:eastAsia="Times New Roman" w:hint="default"/>
          <w:spacing w:val="-3"/>
        </w:rPr>
        <w:t>1</w:t>
      </w:r>
      <w:r>
        <w:rPr>
          <w:spacing w:val="-3"/>
        </w:rPr>
        <w:t>、本人目前没有在中国境内任何地方或中国境外，直接或间接发展、经营或协助经营或参与与公司业务存在竞争的</w:t>
      </w:r>
    </w:p>
    <w:p>
      <w:pPr>
        <w:pStyle w:val="BodyText"/>
        <w:spacing w:line="240" w:lineRule="auto" w:before="48"/>
        <w:ind w:right="0"/>
        <w:jc w:val="left"/>
      </w:pPr>
      <w:r>
        <w:rPr>
          <w:spacing w:val="-3"/>
        </w:rPr>
        <w:t>任何活动，亦没有在任何与公司业务有直接或间接竞争关系的公司或企业拥有任何直接或间接权益。</w:t>
      </w:r>
    </w:p>
    <w:p>
      <w:pPr>
        <w:spacing w:line="240" w:lineRule="auto" w:before="8"/>
        <w:rPr>
          <w:rFonts w:ascii="宋体" w:hAnsi="宋体" w:cs="宋体" w:eastAsia="宋体" w:hint="default"/>
          <w:sz w:val="17"/>
          <w:szCs w:val="17"/>
        </w:rPr>
      </w:pPr>
    </w:p>
    <w:p>
      <w:pPr>
        <w:pStyle w:val="BodyText"/>
        <w:spacing w:line="453" w:lineRule="auto"/>
        <w:ind w:right="0" w:firstLine="360"/>
        <w:jc w:val="left"/>
      </w:pPr>
      <w:r>
        <w:rPr>
          <w:rFonts w:ascii="Times New Roman" w:hAnsi="Times New Roman" w:cs="Times New Roman" w:eastAsia="Times New Roman" w:hint="default"/>
          <w:spacing w:val="-3"/>
        </w:rPr>
        <w:t>2</w:t>
      </w:r>
      <w:r>
        <w:rPr>
          <w:spacing w:val="-3"/>
        </w:rPr>
        <w:t>、自本承诺函签署之日起，本人将不直接或间接经营任何与股份公司经营的业务构成竞争或可能构成竞争的业务，也</w:t>
      </w:r>
      <w:r>
        <w:rPr>
          <w:w w:val="101"/>
        </w:rPr>
        <w:t> </w:t>
      </w:r>
      <w:r>
        <w:rPr>
          <w:spacing w:val="-3"/>
        </w:rPr>
        <w:t>不参与投资任何与股份公司生产的产品或经营的业务构成竞争或可能构成竞争的其他企业。</w:t>
      </w:r>
    </w:p>
    <w:p>
      <w:pPr>
        <w:pStyle w:val="BodyText"/>
        <w:spacing w:line="240" w:lineRule="auto" w:before="70"/>
        <w:ind w:left="513" w:right="0"/>
        <w:jc w:val="left"/>
      </w:pPr>
      <w:r>
        <w:rPr>
          <w:rFonts w:ascii="Times New Roman" w:hAnsi="Times New Roman" w:cs="Times New Roman" w:eastAsia="Times New Roman" w:hint="default"/>
          <w:spacing w:val="-3"/>
        </w:rPr>
        <w:t>3</w:t>
      </w:r>
      <w:r>
        <w:rPr>
          <w:spacing w:val="-3"/>
        </w:rPr>
        <w:t>、自本承诺函签署之日起，本人将不会利用公司股东的身份进行损害公司及其它股东利益的经营活动。</w:t>
      </w:r>
    </w:p>
    <w:p>
      <w:pPr>
        <w:spacing w:line="240" w:lineRule="auto" w:before="12"/>
        <w:rPr>
          <w:rFonts w:ascii="宋体" w:hAnsi="宋体" w:cs="宋体" w:eastAsia="宋体" w:hint="default"/>
          <w:sz w:val="16"/>
          <w:szCs w:val="16"/>
        </w:rPr>
      </w:pPr>
    </w:p>
    <w:p>
      <w:pPr>
        <w:pStyle w:val="BodyText"/>
        <w:spacing w:line="448" w:lineRule="auto"/>
        <w:ind w:right="1294" w:firstLine="360"/>
        <w:jc w:val="left"/>
      </w:pPr>
      <w:r>
        <w:rPr>
          <w:rFonts w:ascii="Times New Roman" w:hAnsi="Times New Roman" w:cs="Times New Roman" w:eastAsia="Times New Roman" w:hint="default"/>
          <w:spacing w:val="-5"/>
          <w:w w:val="101"/>
        </w:rPr>
        <w:t>4</w:t>
      </w:r>
      <w:r>
        <w:rPr>
          <w:spacing w:val="-5"/>
          <w:w w:val="101"/>
        </w:rPr>
        <w:t>、如上述承诺被证明是不真实的或未被遵守，本人将向公司赔偿一切直接或间接的损失，并承担相应法律责任。”</w:t>
      </w:r>
      <w:r>
        <w:rPr>
          <w:w w:val="101"/>
        </w:rPr>
        <w:t> </w:t>
      </w:r>
      <w:r>
        <w:rPr/>
        <w:t>注</w:t>
      </w:r>
      <w:r>
        <w:rPr>
          <w:spacing w:val="-41"/>
        </w:rPr>
        <w:t> </w:t>
      </w:r>
      <w:r>
        <w:rPr>
          <w:rFonts w:ascii="Times New Roman" w:hAnsi="Times New Roman" w:cs="Times New Roman" w:eastAsia="Times New Roman" w:hint="default"/>
        </w:rPr>
        <w:t>5</w:t>
      </w:r>
      <w:r>
        <w:rPr/>
        <w:t>：</w:t>
      </w:r>
    </w:p>
    <w:p>
      <w:pPr>
        <w:pStyle w:val="BodyText"/>
        <w:spacing w:line="463" w:lineRule="auto" w:before="48"/>
        <w:ind w:left="513" w:right="0"/>
        <w:jc w:val="left"/>
      </w:pPr>
      <w:r>
        <w:rPr>
          <w:spacing w:val="-3"/>
        </w:rPr>
        <w:t>公司的董事、高级管理人员就非公开发行股票的相关事项承诺如下： “</w:t>
      </w:r>
      <w:r>
        <w:rPr>
          <w:rFonts w:ascii="Times New Roman" w:hAnsi="Times New Roman" w:cs="Times New Roman" w:eastAsia="Times New Roman" w:hint="default"/>
          <w:spacing w:val="-3"/>
        </w:rPr>
        <w:t>1</w:t>
      </w:r>
      <w:r>
        <w:rPr>
          <w:spacing w:val="-3"/>
        </w:rPr>
        <w:t>、承诺不无偿或以不公平条件向其他单位或者个人输送利益，也不采用其他方式损害公司利益；</w:t>
      </w:r>
      <w:r>
        <w:rPr>
          <w:spacing w:val="42"/>
        </w:rPr>
        <w:t> </w:t>
      </w:r>
      <w:r>
        <w:rPr>
          <w:spacing w:val="42"/>
        </w:rPr>
      </w:r>
      <w:r>
        <w:rPr>
          <w:rFonts w:ascii="Times New Roman" w:hAnsi="Times New Roman" w:cs="Times New Roman" w:eastAsia="Times New Roman" w:hint="default"/>
          <w:spacing w:val="-3"/>
        </w:rPr>
        <w:t>2</w:t>
      </w:r>
      <w:r>
        <w:rPr>
          <w:spacing w:val="-3"/>
        </w:rPr>
        <w:t>、承诺对本人的职务消费行为进行约束；</w:t>
      </w:r>
    </w:p>
    <w:p>
      <w:pPr>
        <w:pStyle w:val="BodyText"/>
        <w:spacing w:line="240" w:lineRule="auto" w:before="31"/>
        <w:ind w:left="513" w:right="0"/>
        <w:jc w:val="left"/>
      </w:pPr>
      <w:r>
        <w:rPr>
          <w:rFonts w:ascii="Times New Roman" w:hAnsi="Times New Roman" w:cs="Times New Roman" w:eastAsia="Times New Roman" w:hint="default"/>
          <w:spacing w:val="-3"/>
        </w:rPr>
        <w:t>3</w:t>
      </w:r>
      <w:r>
        <w:rPr>
          <w:spacing w:val="-3"/>
        </w:rPr>
        <w:t>、承诺不动用公司资产从事与其履行职责无关的投资、消费活动；</w:t>
      </w:r>
    </w:p>
    <w:p>
      <w:pPr>
        <w:spacing w:after="0" w:line="240" w:lineRule="auto"/>
        <w:jc w:val="left"/>
        <w:sectPr>
          <w:pgSz w:w="11910" w:h="16840"/>
          <w:pgMar w:header="871" w:footer="1186" w:top="1100" w:bottom="1380" w:left="980" w:right="0"/>
        </w:sectPr>
      </w:pPr>
    </w:p>
    <w:p>
      <w:pPr>
        <w:spacing w:line="240" w:lineRule="auto" w:before="1"/>
        <w:rPr>
          <w:rFonts w:ascii="宋体" w:hAnsi="宋体" w:cs="宋体" w:eastAsia="宋体" w:hint="default"/>
          <w:sz w:val="28"/>
          <w:szCs w:val="28"/>
        </w:rPr>
      </w:pPr>
    </w:p>
    <w:p>
      <w:pPr>
        <w:pStyle w:val="BodyText"/>
        <w:spacing w:line="240" w:lineRule="auto" w:before="46"/>
        <w:ind w:left="513" w:right="0"/>
        <w:jc w:val="left"/>
      </w:pPr>
      <w:r>
        <w:rPr>
          <w:rFonts w:ascii="Times New Roman" w:hAnsi="Times New Roman" w:cs="Times New Roman" w:eastAsia="Times New Roman" w:hint="default"/>
          <w:spacing w:val="-3"/>
        </w:rPr>
        <w:t>4</w:t>
      </w:r>
      <w:r>
        <w:rPr>
          <w:spacing w:val="-3"/>
        </w:rPr>
        <w:t>、承诺由董事会或薪酬委员会制定的薪酬制度与公司填补回报措施的执行情况相挂钩；</w:t>
      </w:r>
    </w:p>
    <w:p>
      <w:pPr>
        <w:spacing w:line="240" w:lineRule="auto" w:before="7"/>
        <w:rPr>
          <w:rFonts w:ascii="宋体" w:hAnsi="宋体" w:cs="宋体" w:eastAsia="宋体" w:hint="default"/>
          <w:sz w:val="16"/>
          <w:szCs w:val="16"/>
        </w:rPr>
      </w:pPr>
    </w:p>
    <w:p>
      <w:pPr>
        <w:pStyle w:val="BodyText"/>
        <w:spacing w:line="240" w:lineRule="auto"/>
        <w:ind w:left="513" w:right="0"/>
        <w:jc w:val="left"/>
      </w:pPr>
      <w:r>
        <w:rPr>
          <w:rFonts w:ascii="Times New Roman" w:hAnsi="Times New Roman" w:cs="Times New Roman" w:eastAsia="Times New Roman" w:hint="default"/>
          <w:w w:val="101"/>
        </w:rPr>
        <w:t>5</w:t>
      </w:r>
      <w:r>
        <w:rPr>
          <w:w w:val="101"/>
        </w:rPr>
        <w:t>、</w:t>
      </w:r>
      <w:r>
        <w:rPr>
          <w:spacing w:val="-5"/>
          <w:w w:val="101"/>
        </w:rPr>
        <w:t>承</w:t>
      </w:r>
      <w:r>
        <w:rPr>
          <w:w w:val="101"/>
        </w:rPr>
        <w:t>诺</w:t>
      </w:r>
      <w:r>
        <w:rPr>
          <w:spacing w:val="-5"/>
          <w:w w:val="101"/>
        </w:rPr>
        <w:t>拟</w:t>
      </w:r>
      <w:r>
        <w:rPr>
          <w:w w:val="101"/>
        </w:rPr>
        <w:t>公</w:t>
      </w:r>
      <w:r>
        <w:rPr>
          <w:spacing w:val="-5"/>
          <w:w w:val="101"/>
        </w:rPr>
        <w:t>布</w:t>
      </w:r>
      <w:r>
        <w:rPr>
          <w:w w:val="101"/>
        </w:rPr>
        <w:t>的</w:t>
      </w:r>
      <w:r>
        <w:rPr>
          <w:spacing w:val="-5"/>
          <w:w w:val="101"/>
        </w:rPr>
        <w:t>公</w:t>
      </w:r>
      <w:r>
        <w:rPr>
          <w:w w:val="101"/>
        </w:rPr>
        <w:t>司</w:t>
      </w:r>
      <w:r>
        <w:rPr>
          <w:spacing w:val="-5"/>
          <w:w w:val="101"/>
        </w:rPr>
        <w:t>股</w:t>
      </w:r>
      <w:r>
        <w:rPr>
          <w:w w:val="101"/>
        </w:rPr>
        <w:t>权</w:t>
      </w:r>
      <w:r>
        <w:rPr>
          <w:spacing w:val="-5"/>
          <w:w w:val="101"/>
        </w:rPr>
        <w:t>激</w:t>
      </w:r>
      <w:r>
        <w:rPr>
          <w:w w:val="101"/>
        </w:rPr>
        <w:t>励</w:t>
      </w:r>
      <w:r>
        <w:rPr>
          <w:spacing w:val="-5"/>
          <w:w w:val="101"/>
        </w:rPr>
        <w:t>的</w:t>
      </w:r>
      <w:r>
        <w:rPr>
          <w:w w:val="101"/>
        </w:rPr>
        <w:t>行</w:t>
      </w:r>
      <w:r>
        <w:rPr>
          <w:spacing w:val="-5"/>
          <w:w w:val="101"/>
        </w:rPr>
        <w:t>权</w:t>
      </w:r>
      <w:r>
        <w:rPr>
          <w:w w:val="101"/>
        </w:rPr>
        <w:t>条</w:t>
      </w:r>
      <w:r>
        <w:rPr>
          <w:spacing w:val="-5"/>
          <w:w w:val="101"/>
        </w:rPr>
        <w:t>件</w:t>
      </w:r>
      <w:r>
        <w:rPr>
          <w:w w:val="101"/>
        </w:rPr>
        <w:t>与</w:t>
      </w:r>
      <w:r>
        <w:rPr>
          <w:spacing w:val="-5"/>
          <w:w w:val="101"/>
        </w:rPr>
        <w:t>公</w:t>
      </w:r>
      <w:r>
        <w:rPr>
          <w:w w:val="101"/>
        </w:rPr>
        <w:t>司</w:t>
      </w:r>
      <w:r>
        <w:rPr>
          <w:spacing w:val="-5"/>
          <w:w w:val="101"/>
        </w:rPr>
        <w:t>填</w:t>
      </w:r>
      <w:r>
        <w:rPr>
          <w:w w:val="101"/>
        </w:rPr>
        <w:t>补</w:t>
      </w:r>
      <w:r>
        <w:rPr>
          <w:spacing w:val="-5"/>
          <w:w w:val="101"/>
        </w:rPr>
        <w:t>回</w:t>
      </w:r>
      <w:r>
        <w:rPr>
          <w:w w:val="101"/>
        </w:rPr>
        <w:t>报</w:t>
      </w:r>
      <w:r>
        <w:rPr>
          <w:spacing w:val="-5"/>
          <w:w w:val="101"/>
        </w:rPr>
        <w:t>措</w:t>
      </w:r>
      <w:r>
        <w:rPr>
          <w:w w:val="101"/>
        </w:rPr>
        <w:t>施</w:t>
      </w:r>
      <w:r>
        <w:rPr>
          <w:spacing w:val="-5"/>
          <w:w w:val="101"/>
        </w:rPr>
        <w:t>的</w:t>
      </w:r>
      <w:r>
        <w:rPr>
          <w:w w:val="101"/>
        </w:rPr>
        <w:t>执</w:t>
      </w:r>
      <w:r>
        <w:rPr>
          <w:spacing w:val="-5"/>
          <w:w w:val="101"/>
        </w:rPr>
        <w:t>行</w:t>
      </w:r>
      <w:r>
        <w:rPr>
          <w:w w:val="101"/>
        </w:rPr>
        <w:t>情</w:t>
      </w:r>
      <w:r>
        <w:rPr>
          <w:spacing w:val="-5"/>
          <w:w w:val="101"/>
        </w:rPr>
        <w:t>况</w:t>
      </w:r>
      <w:r>
        <w:rPr>
          <w:w w:val="101"/>
        </w:rPr>
        <w:t>相</w:t>
      </w:r>
      <w:r>
        <w:rPr>
          <w:spacing w:val="-5"/>
          <w:w w:val="101"/>
        </w:rPr>
        <w:t>挂</w:t>
      </w:r>
      <w:r>
        <w:rPr>
          <w:w w:val="101"/>
        </w:rPr>
        <w:t>钩</w:t>
      </w:r>
      <w:r>
        <w:rPr>
          <w:spacing w:val="-92"/>
          <w:w w:val="101"/>
        </w:rPr>
        <w:t>。</w:t>
      </w:r>
      <w:r>
        <w:rPr>
          <w:w w:val="101"/>
        </w:rPr>
        <w:t>”</w:t>
      </w:r>
      <w:r>
        <w:rPr/>
      </w: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13"/>
          <w:szCs w:val="13"/>
        </w:rPr>
      </w:pPr>
    </w:p>
    <w:p>
      <w:pPr>
        <w:pStyle w:val="Heading3"/>
        <w:spacing w:line="256" w:lineRule="auto"/>
        <w:ind w:right="0"/>
        <w:jc w:val="left"/>
        <w:rPr>
          <w:b w:val="0"/>
          <w:bCs w:val="0"/>
        </w:rPr>
      </w:pPr>
      <w:bookmarkStart w:name="2、公司资产或项目存在盈利预测，且报告期仍处在盈利预测期间，公司就资产或项目达到" w:id="66"/>
      <w:bookmarkEnd w:id="66"/>
      <w:r>
        <w:rPr>
          <w:b w:val="0"/>
          <w:bCs w:val="0"/>
        </w:rPr>
      </w:r>
      <w:r>
        <w:rPr>
          <w:rFonts w:ascii="Times New Roman" w:hAnsi="Times New Roman" w:cs="Times New Roman" w:eastAsia="Times New Roman" w:hint="default"/>
        </w:rPr>
        <w:t>2</w:t>
      </w:r>
      <w:r>
        <w:rPr/>
        <w:t>、公司资产或项目存在盈利预测，且报告期仍处在盈利预测期间，公司就资产或项目达到原盈利预测及</w:t>
      </w:r>
      <w:r>
        <w:rPr>
          <w:spacing w:val="-65"/>
        </w:rPr>
        <w:t> </w:t>
      </w:r>
      <w:r>
        <w:rPr>
          <w:spacing w:val="-65"/>
        </w:rPr>
      </w:r>
      <w:r>
        <w:rPr/>
        <w:t>其原因做出说明</w:t>
      </w:r>
      <w:r>
        <w:rPr>
          <w:b w:val="0"/>
          <w:bCs w:val="0"/>
        </w:rPr>
      </w:r>
    </w:p>
    <w:p>
      <w:pPr>
        <w:spacing w:line="240" w:lineRule="auto" w:before="2"/>
        <w:rPr>
          <w:rFonts w:ascii="宋体" w:hAnsi="宋体" w:cs="宋体" w:eastAsia="宋体" w:hint="default"/>
          <w:b/>
          <w:bCs/>
          <w:sz w:val="27"/>
          <w:szCs w:val="27"/>
        </w:rPr>
      </w:pPr>
    </w:p>
    <w:p>
      <w:pPr>
        <w:pStyle w:val="BodyText"/>
        <w:spacing w:line="240" w:lineRule="auto"/>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12"/>
        <w:rPr>
          <w:rFonts w:ascii="宋体" w:hAnsi="宋体" w:cs="宋体" w:eastAsia="宋体" w:hint="default"/>
          <w:sz w:val="22"/>
          <w:szCs w:val="22"/>
        </w:rPr>
      </w:pPr>
    </w:p>
    <w:p>
      <w:pPr>
        <w:pStyle w:val="Heading2"/>
        <w:spacing w:line="240" w:lineRule="auto"/>
        <w:ind w:right="0"/>
        <w:jc w:val="left"/>
        <w:rPr>
          <w:b w:val="0"/>
          <w:bCs w:val="0"/>
        </w:rPr>
      </w:pPr>
      <w:bookmarkStart w:name="三、控股股东及其关联方对上市公司的非经营性占用资金情况" w:id="67"/>
      <w:bookmarkEnd w:id="67"/>
      <w:r>
        <w:rPr>
          <w:b w:val="0"/>
          <w:bCs w:val="0"/>
        </w:rPr>
      </w:r>
      <w:r>
        <w:rPr/>
        <w:t>三、控股股东及其关联方对上市公司的非经营性占用资金情况</w:t>
      </w:r>
      <w:r>
        <w:rPr>
          <w:b w:val="0"/>
          <w:bCs w:val="0"/>
        </w:rPr>
      </w:r>
    </w:p>
    <w:p>
      <w:pPr>
        <w:spacing w:line="240" w:lineRule="auto" w:before="7"/>
        <w:rPr>
          <w:rFonts w:ascii="宋体" w:hAnsi="宋体" w:cs="宋体" w:eastAsia="宋体" w:hint="default"/>
          <w:b/>
          <w:bCs/>
          <w:sz w:val="27"/>
          <w:szCs w:val="27"/>
        </w:rPr>
      </w:pPr>
    </w:p>
    <w:p>
      <w:pPr>
        <w:pStyle w:val="BodyText"/>
        <w:spacing w:line="410" w:lineRule="auto"/>
        <w:ind w:left="513" w:right="3848" w:hanging="36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3"/>
        </w:rPr>
        <w:t>公司报告期不存在控股股东及其关联方对上市公司的非经营性占用资金。</w:t>
      </w:r>
    </w:p>
    <w:p>
      <w:pPr>
        <w:spacing w:line="240" w:lineRule="auto" w:before="11"/>
        <w:rPr>
          <w:rFonts w:ascii="宋体" w:hAnsi="宋体" w:cs="宋体" w:eastAsia="宋体" w:hint="default"/>
          <w:sz w:val="20"/>
          <w:szCs w:val="20"/>
        </w:rPr>
      </w:pPr>
    </w:p>
    <w:p>
      <w:pPr>
        <w:pStyle w:val="Heading2"/>
        <w:spacing w:line="240" w:lineRule="auto"/>
        <w:ind w:right="0"/>
        <w:jc w:val="left"/>
        <w:rPr>
          <w:b w:val="0"/>
          <w:bCs w:val="0"/>
        </w:rPr>
      </w:pPr>
      <w:bookmarkStart w:name="四、董事会对最近一期“非标准审计报告”相关情况的说明" w:id="68"/>
      <w:bookmarkEnd w:id="68"/>
      <w:r>
        <w:rPr>
          <w:b w:val="0"/>
          <w:bCs w:val="0"/>
        </w:rPr>
      </w:r>
      <w:r>
        <w:rPr/>
        <w:t>四、董事会对最近一期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相关情况的说明</w:t>
      </w:r>
      <w:r>
        <w:rPr>
          <w:b w:val="0"/>
          <w:bCs w:val="0"/>
        </w:rPr>
      </w:r>
    </w:p>
    <w:p>
      <w:pPr>
        <w:spacing w:line="240" w:lineRule="auto" w:before="11"/>
        <w:rPr>
          <w:rFonts w:ascii="宋体" w:hAnsi="宋体" w:cs="宋体" w:eastAsia="宋体" w:hint="default"/>
          <w:b/>
          <w:bCs/>
          <w:sz w:val="25"/>
          <w:szCs w:val="25"/>
        </w:rPr>
      </w:pPr>
    </w:p>
    <w:p>
      <w:pPr>
        <w:pStyle w:val="BodyText"/>
        <w:spacing w:line="240" w:lineRule="auto"/>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12"/>
        <w:rPr>
          <w:rFonts w:ascii="宋体" w:hAnsi="宋体" w:cs="宋体" w:eastAsia="宋体" w:hint="default"/>
          <w:sz w:val="22"/>
          <w:szCs w:val="22"/>
        </w:rPr>
      </w:pPr>
    </w:p>
    <w:p>
      <w:pPr>
        <w:pStyle w:val="Heading2"/>
        <w:spacing w:line="240" w:lineRule="auto"/>
        <w:ind w:right="0"/>
        <w:jc w:val="left"/>
        <w:rPr>
          <w:b w:val="0"/>
          <w:bCs w:val="0"/>
        </w:rPr>
      </w:pPr>
      <w:bookmarkStart w:name="五、董事会、监事会、独立董事（如有）对会计师事务所本报告期“非标准审计报告”的说" w:id="69"/>
      <w:bookmarkEnd w:id="69"/>
      <w:r>
        <w:rPr>
          <w:b w:val="0"/>
          <w:bCs w:val="0"/>
        </w:rPr>
      </w:r>
      <w:r>
        <w:rPr/>
        <w:t>五、董事会、监事会、独立董事（如有）对会计师事务所本报告期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3"/>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4"/>
        <w:rPr>
          <w:rFonts w:ascii="宋体" w:hAnsi="宋体" w:cs="宋体" w:eastAsia="宋体" w:hint="default"/>
          <w:sz w:val="23"/>
          <w:szCs w:val="23"/>
        </w:rPr>
      </w:pPr>
    </w:p>
    <w:p>
      <w:pPr>
        <w:pStyle w:val="Heading2"/>
        <w:spacing w:line="240" w:lineRule="auto"/>
        <w:ind w:right="0"/>
        <w:jc w:val="left"/>
        <w:rPr>
          <w:b w:val="0"/>
          <w:bCs w:val="0"/>
        </w:rPr>
      </w:pPr>
      <w:bookmarkStart w:name="六、董事会关于报告期会计政策、会计估计变更或重大会计差错更正的说明" w:id="70"/>
      <w:bookmarkEnd w:id="70"/>
      <w:r>
        <w:rPr>
          <w:b w:val="0"/>
          <w:bCs w:val="0"/>
        </w:rPr>
      </w:r>
      <w:r>
        <w:rPr/>
        <w:t>六、董事会关于报告期会计政策、会计估计变更或重大会计差错更正的说明</w:t>
      </w:r>
      <w:r>
        <w:rPr>
          <w:b w:val="0"/>
          <w:bCs w:val="0"/>
        </w:rPr>
      </w:r>
    </w:p>
    <w:p>
      <w:pPr>
        <w:spacing w:line="240" w:lineRule="auto" w:before="3"/>
        <w:rPr>
          <w:rFonts w:ascii="宋体" w:hAnsi="宋体" w:cs="宋体" w:eastAsia="宋体" w:hint="default"/>
          <w:b/>
          <w:bCs/>
          <w:sz w:val="27"/>
          <w:szCs w:val="27"/>
        </w:rPr>
      </w:pPr>
    </w:p>
    <w:p>
      <w:pPr>
        <w:pStyle w:val="BodyText"/>
        <w:spacing w:line="240" w:lineRule="auto"/>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0"/>
        <w:rPr>
          <w:rFonts w:ascii="宋体" w:hAnsi="宋体" w:cs="宋体" w:eastAsia="宋体" w:hint="default"/>
          <w:sz w:val="14"/>
          <w:szCs w:val="14"/>
        </w:rPr>
      </w:pPr>
    </w:p>
    <w:p>
      <w:pPr>
        <w:pStyle w:val="BodyText"/>
        <w:spacing w:line="240" w:lineRule="auto"/>
        <w:ind w:left="513" w:right="0"/>
        <w:jc w:val="left"/>
      </w:pPr>
      <w:r>
        <w:rPr/>
        <w:pict>
          <v:shape style="position:absolute;margin-left:210.550003pt;margin-top:39.317734pt;width:164.95pt;height:78.05pt;mso-position-horizontal-relative:page;mso-position-vertical-relative:paragraph;z-index:-1026256"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5"/>
                      <w:szCs w:val="15"/>
                    </w:rPr>
                  </w:pPr>
                </w:p>
                <w:p>
                  <w:pPr>
                    <w:pStyle w:val="BodyText"/>
                    <w:spacing w:line="240" w:lineRule="auto"/>
                    <w:ind w:left="0" w:right="0"/>
                    <w:jc w:val="left"/>
                  </w:pPr>
                  <w:r>
                    <w:rPr>
                      <w:w w:val="101"/>
                    </w:rPr>
                    <w:t>、</w:t>
                  </w:r>
                  <w:r>
                    <w:rPr/>
                  </w:r>
                </w:p>
              </w:txbxContent>
            </v:textbox>
            <w10:wrap type="none"/>
          </v:shape>
        </w:pict>
      </w:r>
      <w:r>
        <w:rPr>
          <w:rFonts w:ascii="Times New Roman" w:hAnsi="Times New Roman" w:cs="Times New Roman" w:eastAsia="Times New Roman" w:hint="default"/>
        </w:rPr>
        <w:t>1</w:t>
      </w:r>
      <w:r>
        <w:rPr/>
        <w:t>．重要会计政策变更</w:t>
      </w:r>
    </w:p>
    <w:p>
      <w:pPr>
        <w:spacing w:line="240" w:lineRule="auto" w:before="6"/>
        <w:rPr>
          <w:rFonts w:ascii="宋体" w:hAnsi="宋体" w:cs="宋体" w:eastAsia="宋体" w:hint="default"/>
          <w:sz w:val="9"/>
          <w:szCs w:val="9"/>
        </w:rPr>
      </w:pPr>
    </w:p>
    <w:tbl>
      <w:tblPr>
        <w:tblW w:w="0" w:type="auto"/>
        <w:jc w:val="left"/>
        <w:tblInd w:w="148" w:type="dxa"/>
        <w:tblLayout w:type="fixed"/>
        <w:tblCellMar>
          <w:top w:w="0" w:type="dxa"/>
          <w:left w:w="0" w:type="dxa"/>
          <w:bottom w:w="0" w:type="dxa"/>
          <w:right w:w="0" w:type="dxa"/>
        </w:tblCellMar>
        <w:tblLook w:val="01E0"/>
      </w:tblPr>
      <w:tblGrid>
        <w:gridCol w:w="3193"/>
        <w:gridCol w:w="3189"/>
        <w:gridCol w:w="3193"/>
      </w:tblGrid>
      <w:tr>
        <w:trPr>
          <w:trHeight w:val="403" w:hRule="exact"/>
        </w:trPr>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08" w:right="0"/>
              <w:jc w:val="left"/>
              <w:rPr>
                <w:rFonts w:ascii="宋体" w:hAnsi="宋体" w:cs="宋体" w:eastAsia="宋体" w:hint="default"/>
                <w:sz w:val="18"/>
                <w:szCs w:val="18"/>
              </w:rPr>
            </w:pPr>
            <w:r>
              <w:rPr>
                <w:rFonts w:ascii="宋体" w:hAnsi="宋体" w:cs="宋体" w:eastAsia="宋体" w:hint="default"/>
                <w:spacing w:val="-3"/>
                <w:sz w:val="18"/>
                <w:szCs w:val="18"/>
              </w:rPr>
              <w:t>会计政策变更的内容和原因</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审批程序</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3836" w:hRule="exact"/>
        </w:trPr>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财政部于</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4"/>
                <w:sz w:val="18"/>
                <w:szCs w:val="18"/>
              </w:rPr>
              <w:t> </w:t>
            </w:r>
            <w:r>
              <w:rPr>
                <w:rFonts w:ascii="宋体" w:hAnsi="宋体" w:cs="宋体" w:eastAsia="宋体" w:hint="default"/>
                <w:spacing w:val="-3"/>
                <w:sz w:val="18"/>
                <w:szCs w:val="18"/>
              </w:rPr>
              <w:t>日分别发布了</w:t>
            </w:r>
          </w:p>
          <w:p>
            <w:pPr>
              <w:pStyle w:val="TableParagraph"/>
              <w:spacing w:line="300" w:lineRule="auto" w:before="58"/>
              <w:ind w:left="24" w:right="60"/>
              <w:jc w:val="left"/>
              <w:rPr>
                <w:rFonts w:ascii="Times New Roman" w:hAnsi="Times New Roman" w:cs="Times New Roman" w:eastAsia="Times New Roman" w:hint="default"/>
                <w:sz w:val="18"/>
                <w:szCs w:val="18"/>
              </w:rPr>
            </w:pPr>
            <w:r>
              <w:rPr>
                <w:rFonts w:ascii="宋体" w:hAnsi="宋体" w:cs="宋体" w:eastAsia="宋体" w:hint="default"/>
                <w:sz w:val="18"/>
                <w:szCs w:val="18"/>
              </w:rPr>
              <w:t>《企业会计准则第</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金融工具确认</w:t>
            </w:r>
            <w:r>
              <w:rPr>
                <w:rFonts w:ascii="宋体" w:hAnsi="宋体" w:cs="宋体" w:eastAsia="宋体" w:hint="default"/>
                <w:w w:val="101"/>
                <w:sz w:val="18"/>
                <w:szCs w:val="18"/>
              </w:rPr>
              <w:t> </w:t>
            </w:r>
            <w:r>
              <w:rPr>
                <w:rFonts w:ascii="宋体" w:hAnsi="宋体" w:cs="宋体" w:eastAsia="宋体" w:hint="default"/>
                <w:sz w:val="18"/>
                <w:szCs w:val="18"/>
              </w:rPr>
              <w:t>和计量</w:t>
            </w:r>
            <w:r>
              <w:rPr>
                <w:rFonts w:ascii="Times New Roman" w:hAnsi="Times New Roman" w:cs="Times New Roman" w:eastAsia="Times New Roman" w:hint="default"/>
                <w:sz w:val="18"/>
                <w:szCs w:val="18"/>
              </w:rPr>
              <w:t>(2017 </w:t>
            </w:r>
            <w:r>
              <w:rPr>
                <w:rFonts w:ascii="宋体" w:hAnsi="宋体" w:cs="宋体" w:eastAsia="宋体" w:hint="default"/>
                <w:spacing w:val="-3"/>
                <w:sz w:val="18"/>
                <w:szCs w:val="18"/>
              </w:rPr>
              <w:t>年修订</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财会</w:t>
            </w:r>
            <w:r>
              <w:rPr>
                <w:rFonts w:ascii="Times New Roman" w:hAnsi="Times New Roman" w:cs="Times New Roman" w:eastAsia="Times New Roman" w:hint="default"/>
                <w:spacing w:val="-3"/>
                <w:sz w:val="18"/>
                <w:szCs w:val="18"/>
              </w:rPr>
              <w:t>[2017]7</w:t>
            </w:r>
            <w:r>
              <w:rPr>
                <w:rFonts w:ascii="Times New Roman" w:hAnsi="Times New Roman" w:cs="Times New Roman" w:eastAsia="Times New Roman" w:hint="default"/>
                <w:spacing w:val="30"/>
                <w:sz w:val="18"/>
                <w:szCs w:val="18"/>
              </w:rPr>
              <w:t> </w:t>
            </w:r>
            <w:r>
              <w:rPr>
                <w:rFonts w:ascii="宋体" w:hAnsi="宋体" w:cs="宋体" w:eastAsia="宋体" w:hint="default"/>
                <w:spacing w:val="-3"/>
                <w:sz w:val="18"/>
                <w:szCs w:val="18"/>
              </w:rPr>
              <w:t>号</w:t>
            </w:r>
            <w:r>
              <w:rPr>
                <w:rFonts w:ascii="Times New Roman" w:hAnsi="Times New Roman" w:cs="Times New Roman" w:eastAsia="Times New Roman" w:hint="default"/>
                <w:spacing w:val="-3"/>
                <w:sz w:val="18"/>
                <w:szCs w:val="18"/>
              </w:rPr>
              <w:t>)</w:t>
            </w:r>
          </w:p>
          <w:p>
            <w:pPr>
              <w:pStyle w:val="TableParagraph"/>
              <w:spacing w:line="240" w:lineRule="auto" w:before="13"/>
              <w:ind w:left="24" w:right="0"/>
              <w:jc w:val="left"/>
              <w:rPr>
                <w:rFonts w:ascii="宋体" w:hAnsi="宋体" w:cs="宋体" w:eastAsia="宋体" w:hint="default"/>
                <w:sz w:val="18"/>
                <w:szCs w:val="18"/>
              </w:rPr>
            </w:pPr>
            <w:r>
              <w:rPr>
                <w:rFonts w:ascii="宋体" w:hAnsi="宋体" w:cs="宋体" w:eastAsia="宋体" w:hint="default"/>
                <w:sz w:val="18"/>
                <w:szCs w:val="18"/>
              </w:rPr>
              <w:t>《企业会计准则第</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金融资产转移</w:t>
            </w:r>
          </w:p>
          <w:p>
            <w:pPr>
              <w:pStyle w:val="TableParagraph"/>
              <w:spacing w:line="300" w:lineRule="auto" w:before="63"/>
              <w:ind w:left="24" w:right="17"/>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w w:val="101"/>
                <w:sz w:val="18"/>
                <w:szCs w:val="18"/>
              </w:rPr>
              <w:t>(2017 </w:t>
            </w:r>
            <w:r>
              <w:rPr>
                <w:rFonts w:ascii="宋体" w:hAnsi="宋体" w:cs="宋体" w:eastAsia="宋体" w:hint="default"/>
                <w:spacing w:val="-3"/>
                <w:w w:val="101"/>
                <w:sz w:val="18"/>
                <w:szCs w:val="18"/>
              </w:rPr>
              <w:t>年修订</w:t>
            </w:r>
            <w:r>
              <w:rPr>
                <w:rFonts w:ascii="Times New Roman" w:hAnsi="Times New Roman" w:cs="Times New Roman" w:eastAsia="Times New Roman" w:hint="default"/>
                <w:spacing w:val="-3"/>
                <w:w w:val="101"/>
                <w:sz w:val="18"/>
                <w:szCs w:val="18"/>
              </w:rPr>
              <w:t>)</w:t>
            </w:r>
            <w:r>
              <w:rPr>
                <w:rFonts w:ascii="宋体" w:hAnsi="宋体" w:cs="宋体" w:eastAsia="宋体" w:hint="default"/>
                <w:spacing w:val="-3"/>
                <w:w w:val="101"/>
                <w:sz w:val="18"/>
                <w:szCs w:val="18"/>
              </w:rPr>
              <w:t>》</w:t>
            </w:r>
            <w:r>
              <w:rPr>
                <w:rFonts w:ascii="Times New Roman" w:hAnsi="Times New Roman" w:cs="Times New Roman" w:eastAsia="Times New Roman" w:hint="default"/>
                <w:spacing w:val="-3"/>
                <w:w w:val="101"/>
                <w:sz w:val="18"/>
                <w:szCs w:val="18"/>
              </w:rPr>
              <w:t>(</w:t>
            </w:r>
            <w:r>
              <w:rPr>
                <w:rFonts w:ascii="宋体" w:hAnsi="宋体" w:cs="宋体" w:eastAsia="宋体" w:hint="default"/>
                <w:spacing w:val="-3"/>
                <w:w w:val="101"/>
                <w:sz w:val="18"/>
                <w:szCs w:val="18"/>
              </w:rPr>
              <w:t>财会</w:t>
            </w:r>
            <w:r>
              <w:rPr>
                <w:rFonts w:ascii="Times New Roman" w:hAnsi="Times New Roman" w:cs="Times New Roman" w:eastAsia="Times New Roman" w:hint="default"/>
                <w:spacing w:val="-3"/>
                <w:w w:val="101"/>
                <w:sz w:val="18"/>
                <w:szCs w:val="18"/>
              </w:rPr>
              <w:t>[2017]8</w:t>
            </w:r>
            <w:r>
              <w:rPr>
                <w:rFonts w:ascii="Times New Roman" w:hAnsi="Times New Roman" w:cs="Times New Roman" w:eastAsia="Times New Roman" w:hint="default"/>
                <w:w w:val="101"/>
                <w:sz w:val="18"/>
                <w:szCs w:val="18"/>
              </w:rPr>
              <w:t> </w:t>
            </w:r>
            <w:r>
              <w:rPr>
                <w:rFonts w:ascii="宋体" w:hAnsi="宋体" w:cs="宋体" w:eastAsia="宋体" w:hint="default"/>
                <w:spacing w:val="-19"/>
                <w:w w:val="101"/>
                <w:sz w:val="18"/>
                <w:szCs w:val="18"/>
              </w:rPr>
              <w:t>号</w:t>
            </w:r>
            <w:r>
              <w:rPr>
                <w:rFonts w:ascii="Times New Roman" w:hAnsi="Times New Roman" w:cs="Times New Roman" w:eastAsia="Times New Roman" w:hint="default"/>
                <w:spacing w:val="-19"/>
                <w:w w:val="101"/>
                <w:sz w:val="18"/>
                <w:szCs w:val="18"/>
              </w:rPr>
              <w:t>)</w:t>
            </w:r>
            <w:r>
              <w:rPr>
                <w:rFonts w:ascii="宋体" w:hAnsi="宋体" w:cs="宋体" w:eastAsia="宋体" w:hint="default"/>
                <w:spacing w:val="-19"/>
                <w:w w:val="101"/>
                <w:sz w:val="18"/>
                <w:szCs w:val="18"/>
              </w:rPr>
              <w:t>、《企业</w:t>
            </w:r>
            <w:r>
              <w:rPr>
                <w:rFonts w:ascii="宋体" w:hAnsi="宋体" w:cs="宋体" w:eastAsia="宋体" w:hint="default"/>
                <w:spacing w:val="-83"/>
                <w:w w:val="101"/>
                <w:sz w:val="18"/>
                <w:szCs w:val="18"/>
              </w:rPr>
              <w:t> </w:t>
            </w:r>
            <w:r>
              <w:rPr>
                <w:rFonts w:ascii="宋体" w:hAnsi="宋体" w:cs="宋体" w:eastAsia="宋体" w:hint="default"/>
                <w:spacing w:val="-83"/>
                <w:w w:val="101"/>
                <w:sz w:val="18"/>
                <w:szCs w:val="18"/>
              </w:rPr>
            </w:r>
            <w:r>
              <w:rPr>
                <w:rFonts w:ascii="宋体" w:hAnsi="宋体" w:cs="宋体" w:eastAsia="宋体" w:hint="default"/>
                <w:sz w:val="18"/>
                <w:szCs w:val="18"/>
              </w:rPr>
              <w:t>会计准则第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套期会计</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年修</w:t>
            </w:r>
            <w:r>
              <w:rPr>
                <w:rFonts w:ascii="宋体" w:hAnsi="宋体" w:cs="宋体" w:eastAsia="宋体" w:hint="default"/>
                <w:spacing w:val="-82"/>
                <w:sz w:val="18"/>
                <w:szCs w:val="18"/>
              </w:rPr>
              <w:t> </w:t>
            </w:r>
            <w:r>
              <w:rPr>
                <w:rFonts w:ascii="宋体" w:hAnsi="宋体" w:cs="宋体" w:eastAsia="宋体" w:hint="default"/>
                <w:spacing w:val="-4"/>
                <w:sz w:val="18"/>
                <w:szCs w:val="18"/>
              </w:rPr>
              <w:t>订</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财会</w:t>
            </w:r>
            <w:r>
              <w:rPr>
                <w:rFonts w:ascii="Times New Roman" w:hAnsi="Times New Roman" w:cs="Times New Roman" w:eastAsia="Times New Roman" w:hint="default"/>
                <w:spacing w:val="-4"/>
                <w:sz w:val="18"/>
                <w:szCs w:val="18"/>
              </w:rPr>
              <w:t>[2017]9</w:t>
            </w:r>
            <w:r>
              <w:rPr>
                <w:rFonts w:ascii="Times New Roman" w:hAnsi="Times New Roman" w:cs="Times New Roman" w:eastAsia="Times New Roman" w:hint="default"/>
                <w:spacing w:val="5"/>
                <w:sz w:val="18"/>
                <w:szCs w:val="18"/>
              </w:rPr>
              <w:t> </w:t>
            </w:r>
            <w:r>
              <w:rPr>
                <w:rFonts w:ascii="宋体" w:hAnsi="宋体" w:cs="宋体" w:eastAsia="宋体" w:hint="default"/>
                <w:spacing w:val="-7"/>
                <w:sz w:val="18"/>
                <w:szCs w:val="18"/>
              </w:rPr>
              <w:t>号</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，于</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2</w:t>
            </w:r>
          </w:p>
          <w:p>
            <w:pPr>
              <w:pStyle w:val="TableParagraph"/>
              <w:spacing w:line="302" w:lineRule="auto" w:before="13"/>
              <w:ind w:left="24" w:right="60"/>
              <w:jc w:val="both"/>
              <w:rPr>
                <w:rFonts w:ascii="宋体" w:hAnsi="宋体" w:cs="宋体" w:eastAsia="宋体" w:hint="default"/>
                <w:sz w:val="18"/>
                <w:szCs w:val="18"/>
              </w:rPr>
            </w:pPr>
            <w:r>
              <w:rPr>
                <w:rFonts w:ascii="宋体" w:hAnsi="宋体" w:cs="宋体" w:eastAsia="宋体" w:hint="default"/>
                <w:spacing w:val="-3"/>
                <w:sz w:val="18"/>
                <w:szCs w:val="18"/>
              </w:rPr>
              <w:t>日发布了《企业会计准则第</w:t>
            </w:r>
            <w:r>
              <w:rPr>
                <w:rFonts w:ascii="宋体" w:hAnsi="宋体" w:cs="宋体" w:eastAsia="宋体" w:hint="default"/>
                <w:spacing w:val="-29"/>
                <w:sz w:val="18"/>
                <w:szCs w:val="18"/>
              </w:rPr>
              <w:t> </w:t>
            </w:r>
            <w:r>
              <w:rPr>
                <w:rFonts w:ascii="Times New Roman" w:hAnsi="Times New Roman" w:cs="Times New Roman" w:eastAsia="Times New Roman" w:hint="default"/>
                <w:sz w:val="18"/>
                <w:szCs w:val="18"/>
              </w:rPr>
              <w:t>37</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金融</w:t>
            </w:r>
            <w:r>
              <w:rPr>
                <w:rFonts w:ascii="宋体" w:hAnsi="宋体" w:cs="宋体" w:eastAsia="宋体" w:hint="default"/>
                <w:spacing w:val="-84"/>
                <w:sz w:val="18"/>
                <w:szCs w:val="18"/>
              </w:rPr>
              <w:t> </w:t>
            </w:r>
            <w:r>
              <w:rPr>
                <w:rFonts w:ascii="宋体" w:hAnsi="宋体" w:cs="宋体" w:eastAsia="宋体" w:hint="default"/>
                <w:sz w:val="18"/>
                <w:szCs w:val="18"/>
              </w:rPr>
              <w:t>工具列报</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年修订</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财会</w:t>
            </w:r>
            <w:r>
              <w:rPr>
                <w:rFonts w:ascii="Times New Roman" w:hAnsi="Times New Roman" w:cs="Times New Roman" w:eastAsia="Times New Roman" w:hint="default"/>
                <w:sz w:val="18"/>
                <w:szCs w:val="18"/>
              </w:rPr>
              <w:t>[2017]14</w:t>
            </w:r>
            <w:r>
              <w:rPr>
                <w:rFonts w:ascii="Times New Roman" w:hAnsi="Times New Roman" w:cs="Times New Roman" w:eastAsia="Times New Roman" w:hint="default"/>
                <w:spacing w:val="-42"/>
                <w:sz w:val="18"/>
                <w:szCs w:val="18"/>
              </w:rPr>
              <w:t> </w:t>
            </w:r>
            <w:r>
              <w:rPr>
                <w:rFonts w:ascii="Times New Roman" w:hAnsi="Times New Roman" w:cs="Times New Roman" w:eastAsia="Times New Roman" w:hint="default"/>
                <w:spacing w:val="-42"/>
                <w:sz w:val="18"/>
                <w:szCs w:val="18"/>
              </w:rPr>
            </w:r>
            <w:r>
              <w:rPr>
                <w:rFonts w:ascii="宋体" w:hAnsi="宋体" w:cs="宋体" w:eastAsia="宋体" w:hint="default"/>
                <w:spacing w:val="-3"/>
                <w:sz w:val="18"/>
                <w:szCs w:val="18"/>
              </w:rPr>
              <w:t>号</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上述准则以下统称</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新金融工具准则</w:t>
            </w:r>
            <w:r>
              <w:rPr>
                <w:rFonts w:ascii="宋体" w:hAnsi="宋体" w:cs="宋体" w:eastAsia="宋体" w:hint="default"/>
                <w:spacing w:val="-34"/>
                <w:sz w:val="18"/>
                <w:szCs w:val="18"/>
              </w:rPr>
              <w:t> </w:t>
            </w:r>
            <w:r>
              <w:rPr>
                <w:rFonts w:ascii="宋体" w:hAnsi="宋体" w:cs="宋体" w:eastAsia="宋体" w:hint="default"/>
                <w:spacing w:val="-34"/>
                <w:sz w:val="18"/>
                <w:szCs w:val="18"/>
              </w:rPr>
            </w:r>
            <w:r>
              <w:rPr>
                <w:rFonts w:ascii="Times New Roman" w:hAnsi="Times New Roman" w:cs="Times New Roman" w:eastAsia="Times New Roman" w:hint="default"/>
                <w:sz w:val="18"/>
                <w:szCs w:val="18"/>
              </w:rPr>
              <w:t>")</w:t>
            </w:r>
            <w:r>
              <w:rPr>
                <w:rFonts w:ascii="宋体" w:hAnsi="宋体" w:cs="宋体" w:eastAsia="宋体" w:hint="default"/>
                <w:sz w:val="18"/>
                <w:szCs w:val="18"/>
              </w:rPr>
              <w:t>，要求境内上市企业自</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43"/>
                <w:sz w:val="18"/>
                <w:szCs w:val="18"/>
              </w:rPr>
              <w:t> </w:t>
            </w:r>
            <w:r>
              <w:rPr>
                <w:rFonts w:ascii="宋体" w:hAnsi="宋体" w:cs="宋体" w:eastAsia="宋体" w:hint="default"/>
                <w:spacing w:val="-3"/>
                <w:sz w:val="18"/>
                <w:szCs w:val="18"/>
              </w:rPr>
              <w:t>日起执行新金融工具准则。</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1560" w:lineRule="exact"/>
              <w:ind w:right="-50"/>
              <w:jc w:val="left"/>
              <w:rPr>
                <w:rFonts w:ascii="宋体" w:hAnsi="宋体" w:cs="宋体" w:eastAsia="宋体" w:hint="default"/>
                <w:sz w:val="20"/>
                <w:szCs w:val="20"/>
              </w:rPr>
            </w:pPr>
            <w:r>
              <w:rPr>
                <w:rFonts w:ascii="宋体" w:hAnsi="宋体" w:cs="宋体" w:eastAsia="宋体" w:hint="default"/>
                <w:position w:val="-30"/>
                <w:sz w:val="20"/>
                <w:szCs w:val="20"/>
              </w:rPr>
              <w:pict>
                <v:group style="width:158.950pt;height:78.05pt;mso-position-horizontal-relative:char;mso-position-vertical-relative:line" coordorigin="0,0" coordsize="3179,1561">
                  <v:group style="position:absolute;left:0;top:0;width:3179;height:1561" coordorigin="0,0" coordsize="3179,1561">
                    <v:shape style="position:absolute;left:0;top:0;width:3179;height:1561" coordorigin="0,0" coordsize="3179,1561" path="m0,1560l3179,1560,3179,0,0,0,0,1560xe" filled="true" fillcolor="#ffffff" stroked="false">
                      <v:path arrowok="t"/>
                      <v:fill type="solid"/>
                    </v:shape>
                  </v:group>
                </v:group>
              </w:pict>
            </w:r>
            <w:r>
              <w:rPr>
                <w:rFonts w:ascii="宋体" w:hAnsi="宋体" w:cs="宋体" w:eastAsia="宋体" w:hint="default"/>
                <w:position w:val="-30"/>
                <w:sz w:val="20"/>
                <w:szCs w:val="20"/>
              </w:rPr>
            </w:r>
          </w:p>
          <w:p>
            <w:pPr>
              <w:pStyle w:val="TableParagraph"/>
              <w:spacing w:line="316" w:lineRule="auto" w:before="54"/>
              <w:ind w:left="23" w:right="90"/>
              <w:jc w:val="left"/>
              <w:rPr>
                <w:rFonts w:ascii="宋体" w:hAnsi="宋体" w:cs="宋体" w:eastAsia="宋体" w:hint="default"/>
                <w:sz w:val="18"/>
                <w:szCs w:val="18"/>
              </w:rPr>
            </w:pPr>
            <w:r>
              <w:rPr>
                <w:rFonts w:ascii="宋体" w:hAnsi="宋体" w:cs="宋体" w:eastAsia="宋体" w:hint="default"/>
                <w:spacing w:val="-3"/>
                <w:sz w:val="18"/>
                <w:szCs w:val="18"/>
              </w:rPr>
              <w:t>本次变更经公司第四届董事会第十六次</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会议审议通过。</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p>
        </w:tc>
      </w:tr>
      <w:tr>
        <w:trPr>
          <w:trHeight w:val="1297" w:hRule="exact"/>
        </w:trPr>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54"/>
              <w:ind w:left="24" w:right="17"/>
              <w:jc w:val="left"/>
              <w:rPr>
                <w:rFonts w:ascii="宋体" w:hAnsi="宋体" w:cs="宋体" w:eastAsia="宋体" w:hint="default"/>
                <w:sz w:val="18"/>
                <w:szCs w:val="18"/>
              </w:rPr>
            </w:pPr>
            <w:r>
              <w:rPr>
                <w:rFonts w:ascii="宋体" w:hAnsi="宋体" w:cs="宋体" w:eastAsia="宋体" w:hint="default"/>
                <w:spacing w:val="-4"/>
                <w:sz w:val="18"/>
                <w:szCs w:val="18"/>
              </w:rPr>
              <w:t>根据财政部《关于修订印发</w:t>
            </w:r>
            <w:r>
              <w:rPr>
                <w:rFonts w:ascii="宋体" w:hAnsi="宋体" w:cs="宋体" w:eastAsia="宋体" w:hint="default"/>
                <w:spacing w:val="-31"/>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年度一</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3"/>
                <w:w w:val="101"/>
                <w:sz w:val="18"/>
                <w:szCs w:val="18"/>
              </w:rPr>
              <w:t>般企业财务报表格式的通</w:t>
            </w:r>
            <w:r>
              <w:rPr>
                <w:rFonts w:ascii="宋体" w:hAnsi="宋体" w:cs="宋体" w:eastAsia="宋体" w:hint="default"/>
                <w:w w:val="101"/>
                <w:sz w:val="18"/>
                <w:szCs w:val="18"/>
              </w:rPr>
              <w:t> </w:t>
            </w:r>
            <w:r>
              <w:rPr>
                <w:rFonts w:ascii="宋体" w:hAnsi="宋体" w:cs="宋体" w:eastAsia="宋体" w:hint="default"/>
                <w:spacing w:val="-21"/>
                <w:w w:val="101"/>
                <w:sz w:val="18"/>
                <w:szCs w:val="18"/>
              </w:rPr>
              <w:t>知》（财会</w:t>
            </w:r>
            <w:r>
              <w:rPr>
                <w:rFonts w:ascii="宋体" w:hAnsi="宋体" w:cs="宋体" w:eastAsia="宋体" w:hint="default"/>
                <w:spacing w:val="-81"/>
                <w:w w:val="101"/>
                <w:sz w:val="18"/>
                <w:szCs w:val="18"/>
              </w:rPr>
              <w:t> </w:t>
            </w:r>
            <w:r>
              <w:rPr>
                <w:rFonts w:ascii="宋体" w:hAnsi="宋体" w:cs="宋体" w:eastAsia="宋体" w:hint="default"/>
                <w:spacing w:val="-81"/>
                <w:w w:val="101"/>
                <w:sz w:val="18"/>
                <w:szCs w:val="18"/>
              </w:rPr>
            </w:r>
            <w:r>
              <w:rPr>
                <w:rFonts w:ascii="Times New Roman" w:hAnsi="Times New Roman" w:cs="Times New Roman" w:eastAsia="Times New Roman" w:hint="default"/>
                <w:sz w:val="18"/>
                <w:szCs w:val="18"/>
              </w:rPr>
              <w:t>[2019]6</w:t>
            </w:r>
            <w:r>
              <w:rPr>
                <w:rFonts w:ascii="Times New Roman" w:hAnsi="Times New Roman" w:cs="Times New Roman" w:eastAsia="Times New Roman" w:hint="default"/>
                <w:spacing w:val="31"/>
                <w:sz w:val="18"/>
                <w:szCs w:val="18"/>
              </w:rPr>
              <w:t> </w:t>
            </w:r>
            <w:r>
              <w:rPr>
                <w:rFonts w:ascii="宋体" w:hAnsi="宋体" w:cs="宋体" w:eastAsia="宋体" w:hint="default"/>
                <w:spacing w:val="-3"/>
                <w:sz w:val="18"/>
                <w:szCs w:val="18"/>
              </w:rPr>
              <w:t>号）和《关于修订印发合并财务</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w w:val="101"/>
                <w:sz w:val="18"/>
                <w:szCs w:val="18"/>
              </w:rPr>
              <w:t>报表格式（</w:t>
            </w:r>
            <w:r>
              <w:rPr>
                <w:rFonts w:ascii="Times New Roman" w:hAnsi="Times New Roman" w:cs="Times New Roman" w:eastAsia="Times New Roman" w:hint="default"/>
                <w:spacing w:val="-2"/>
                <w:w w:val="101"/>
                <w:sz w:val="18"/>
                <w:szCs w:val="18"/>
              </w:rPr>
              <w:t>2019</w:t>
            </w:r>
            <w:r>
              <w:rPr>
                <w:rFonts w:ascii="Times New Roman" w:hAnsi="Times New Roman" w:cs="Times New Roman" w:eastAsia="Times New Roman" w:hint="default"/>
                <w:spacing w:val="1"/>
                <w:w w:val="101"/>
                <w:sz w:val="18"/>
                <w:szCs w:val="18"/>
              </w:rPr>
              <w:t> </w:t>
            </w:r>
            <w:r>
              <w:rPr>
                <w:rFonts w:ascii="宋体" w:hAnsi="宋体" w:cs="宋体" w:eastAsia="宋体" w:hint="default"/>
                <w:spacing w:val="-12"/>
                <w:w w:val="101"/>
                <w:sz w:val="18"/>
                <w:szCs w:val="18"/>
              </w:rPr>
              <w:t>版）的通知》（财会</w:t>
            </w:r>
            <w:r>
              <w:rPr>
                <w:rFonts w:ascii="宋体" w:hAnsi="宋体" w:cs="宋体" w:eastAsia="宋体" w:hint="default"/>
                <w:spacing w:val="-12"/>
                <w:sz w:val="18"/>
                <w:szCs w:val="18"/>
              </w:rPr>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319" w:lineRule="auto"/>
              <w:ind w:left="23" w:right="90"/>
              <w:jc w:val="both"/>
              <w:rPr>
                <w:rFonts w:ascii="宋体" w:hAnsi="宋体" w:cs="宋体" w:eastAsia="宋体" w:hint="default"/>
                <w:sz w:val="18"/>
                <w:szCs w:val="18"/>
              </w:rPr>
            </w:pPr>
            <w:r>
              <w:rPr>
                <w:rFonts w:ascii="宋体" w:hAnsi="宋体" w:cs="宋体" w:eastAsia="宋体" w:hint="default"/>
                <w:spacing w:val="-3"/>
                <w:sz w:val="18"/>
                <w:szCs w:val="18"/>
              </w:rPr>
              <w:t>本次变更分别经公司第四届董事会第十</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八次会议、第四届董事会第二十二次会</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z w:val="18"/>
                <w:szCs w:val="18"/>
              </w:rPr>
              <w:t>议审议通过。</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p>
        </w:tc>
      </w:tr>
    </w:tbl>
    <w:p>
      <w:pPr>
        <w:spacing w:after="0" w:line="240" w:lineRule="auto"/>
        <w:jc w:val="left"/>
        <w:rPr>
          <w:rFonts w:ascii="Times New Roman" w:hAnsi="Times New Roman" w:cs="Times New Roman" w:eastAsia="Times New Roman" w:hint="default"/>
          <w:sz w:val="18"/>
          <w:szCs w:val="18"/>
        </w:rPr>
        <w:sectPr>
          <w:pgSz w:w="11910" w:h="16840"/>
          <w:pgMar w:header="871" w:footer="1186" w:top="1100" w:bottom="1380" w:left="980" w:right="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3193"/>
        <w:gridCol w:w="3189"/>
        <w:gridCol w:w="3193"/>
      </w:tblGrid>
      <w:tr>
        <w:trPr>
          <w:trHeight w:val="672" w:hRule="exact"/>
        </w:trPr>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10"/>
              <w:ind w:left="24" w:right="17"/>
              <w:jc w:val="left"/>
              <w:rPr>
                <w:rFonts w:ascii="宋体" w:hAnsi="宋体" w:cs="宋体" w:eastAsia="宋体" w:hint="default"/>
                <w:sz w:val="18"/>
                <w:szCs w:val="18"/>
              </w:rPr>
            </w:pPr>
            <w:r>
              <w:rPr>
                <w:rFonts w:ascii="Times New Roman" w:hAnsi="Times New Roman" w:cs="Times New Roman" w:eastAsia="Times New Roman" w:hint="default"/>
                <w:spacing w:val="-1"/>
                <w:w w:val="101"/>
                <w:sz w:val="18"/>
                <w:szCs w:val="18"/>
              </w:rPr>
              <w:t>[2019]16</w:t>
            </w:r>
            <w:r>
              <w:rPr>
                <w:rFonts w:ascii="Times New Roman" w:hAnsi="Times New Roman" w:cs="Times New Roman" w:eastAsia="Times New Roman" w:hint="default"/>
                <w:w w:val="101"/>
                <w:sz w:val="18"/>
                <w:szCs w:val="18"/>
              </w:rPr>
              <w:t> </w:t>
            </w:r>
            <w:r>
              <w:rPr>
                <w:rFonts w:ascii="宋体" w:hAnsi="宋体" w:cs="宋体" w:eastAsia="宋体" w:hint="default"/>
                <w:spacing w:val="-9"/>
                <w:w w:val="101"/>
                <w:sz w:val="18"/>
                <w:szCs w:val="18"/>
              </w:rPr>
              <w:t>号），本公司对财务报表格式进</w:t>
            </w:r>
            <w:r>
              <w:rPr>
                <w:rFonts w:ascii="宋体" w:hAnsi="宋体" w:cs="宋体" w:eastAsia="宋体" w:hint="default"/>
                <w:w w:val="101"/>
                <w:sz w:val="18"/>
                <w:szCs w:val="18"/>
              </w:rPr>
              <w:t> </w:t>
            </w:r>
            <w:r>
              <w:rPr>
                <w:rFonts w:ascii="宋体" w:hAnsi="宋体" w:cs="宋体" w:eastAsia="宋体" w:hint="default"/>
                <w:spacing w:val="-3"/>
                <w:sz w:val="18"/>
                <w:szCs w:val="18"/>
              </w:rPr>
              <w:t>行了相应调整。</w:t>
            </w:r>
          </w:p>
        </w:tc>
        <w:tc>
          <w:tcPr>
            <w:tcW w:w="3189" w:type="dxa"/>
            <w:tcBorders>
              <w:top w:val="single" w:sz="4" w:space="0" w:color="000000"/>
              <w:left w:val="single" w:sz="4" w:space="0" w:color="000000"/>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4" w:space="0" w:color="000000"/>
            </w:tcBorders>
          </w:tcPr>
          <w:p>
            <w:pPr/>
          </w:p>
        </w:tc>
      </w:tr>
      <w:tr>
        <w:trPr>
          <w:trHeight w:val="1652" w:hRule="exact"/>
        </w:trPr>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both"/>
              <w:rPr>
                <w:rFonts w:ascii="宋体" w:hAnsi="宋体" w:cs="宋体" w:eastAsia="宋体" w:hint="default"/>
                <w:sz w:val="18"/>
                <w:szCs w:val="18"/>
              </w:rPr>
            </w:pPr>
            <w:r>
              <w:rPr>
                <w:rFonts w:ascii="宋体" w:hAnsi="宋体" w:cs="宋体" w:eastAsia="宋体" w:hint="default"/>
                <w:sz w:val="18"/>
                <w:szCs w:val="18"/>
              </w:rPr>
              <w:t>财政部于</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2"/>
                <w:sz w:val="18"/>
                <w:szCs w:val="18"/>
              </w:rPr>
              <w:t> </w:t>
            </w:r>
            <w:r>
              <w:rPr>
                <w:rFonts w:ascii="宋体" w:hAnsi="宋体" w:cs="宋体" w:eastAsia="宋体" w:hint="default"/>
                <w:spacing w:val="-5"/>
                <w:sz w:val="18"/>
                <w:szCs w:val="18"/>
              </w:rPr>
              <w:t>日发布《关于印</w:t>
            </w:r>
          </w:p>
          <w:p>
            <w:pPr>
              <w:pStyle w:val="TableParagraph"/>
              <w:spacing w:line="302" w:lineRule="auto" w:before="63"/>
              <w:ind w:left="24" w:right="36"/>
              <w:jc w:val="both"/>
              <w:rPr>
                <w:rFonts w:ascii="宋体" w:hAnsi="宋体" w:cs="宋体" w:eastAsia="宋体" w:hint="default"/>
                <w:sz w:val="18"/>
                <w:szCs w:val="18"/>
              </w:rPr>
            </w:pPr>
            <w:r>
              <w:rPr>
                <w:rFonts w:ascii="宋体" w:hAnsi="宋体" w:cs="宋体" w:eastAsia="宋体" w:hint="default"/>
                <w:spacing w:val="-3"/>
                <w:sz w:val="18"/>
                <w:szCs w:val="18"/>
              </w:rPr>
              <w:t>发修订</w:t>
            </w:r>
            <w:r>
              <w:rPr>
                <w:rFonts w:ascii="Times New Roman" w:hAnsi="Times New Roman" w:cs="Times New Roman" w:eastAsia="Times New Roman" w:hint="default"/>
                <w:spacing w:val="-3"/>
                <w:sz w:val="18"/>
                <w:szCs w:val="18"/>
              </w:rPr>
              <w:t>&lt;</w:t>
            </w:r>
            <w:r>
              <w:rPr>
                <w:rFonts w:ascii="宋体" w:hAnsi="宋体" w:cs="宋体" w:eastAsia="宋体" w:hint="default"/>
                <w:spacing w:val="-3"/>
                <w:sz w:val="18"/>
                <w:szCs w:val="18"/>
              </w:rPr>
              <w:t>企业会计准则第</w:t>
            </w:r>
            <w:r>
              <w:rPr>
                <w:rFonts w:ascii="宋体" w:hAnsi="宋体" w:cs="宋体" w:eastAsia="宋体" w:hint="default"/>
                <w:spacing w:val="-34"/>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非货币性</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资产交换</w:t>
            </w:r>
            <w:r>
              <w:rPr>
                <w:rFonts w:ascii="Times New Roman" w:hAnsi="Times New Roman" w:cs="Times New Roman" w:eastAsia="Times New Roman" w:hint="default"/>
                <w:sz w:val="18"/>
                <w:szCs w:val="18"/>
              </w:rPr>
              <w:t>&gt;</w:t>
            </w:r>
            <w:r>
              <w:rPr>
                <w:rFonts w:ascii="宋体" w:hAnsi="宋体" w:cs="宋体" w:eastAsia="宋体" w:hint="default"/>
                <w:sz w:val="18"/>
                <w:szCs w:val="18"/>
              </w:rPr>
              <w:t>的通知》</w:t>
            </w:r>
            <w:r>
              <w:rPr>
                <w:rFonts w:ascii="Times New Roman" w:hAnsi="Times New Roman" w:cs="Times New Roman" w:eastAsia="Times New Roman" w:hint="default"/>
                <w:sz w:val="18"/>
                <w:szCs w:val="18"/>
              </w:rPr>
              <w:t>(</w:t>
            </w:r>
            <w:r>
              <w:rPr>
                <w:rFonts w:ascii="宋体" w:hAnsi="宋体" w:cs="宋体" w:eastAsia="宋体" w:hint="default"/>
                <w:sz w:val="18"/>
                <w:szCs w:val="18"/>
              </w:rPr>
              <w:t>财会</w:t>
            </w:r>
            <w:r>
              <w:rPr>
                <w:rFonts w:ascii="Times New Roman" w:hAnsi="Times New Roman" w:cs="Times New Roman" w:eastAsia="Times New Roman" w:hint="default"/>
                <w:sz w:val="18"/>
                <w:szCs w:val="18"/>
              </w:rPr>
              <w:t>[2019]8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号，以</w:t>
            </w:r>
            <w:r>
              <w:rPr>
                <w:rFonts w:ascii="宋体" w:hAnsi="宋体" w:cs="宋体" w:eastAsia="宋体" w:hint="default"/>
                <w:w w:val="101"/>
                <w:sz w:val="18"/>
                <w:szCs w:val="18"/>
              </w:rPr>
              <w:t> </w:t>
            </w:r>
            <w:r>
              <w:rPr>
                <w:rFonts w:ascii="宋体" w:hAnsi="宋体" w:cs="宋体" w:eastAsia="宋体" w:hint="default"/>
                <w:spacing w:val="-3"/>
                <w:sz w:val="18"/>
                <w:szCs w:val="18"/>
              </w:rPr>
              <w:t>下简称</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新非货币性资产交换准则</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，自</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日起执行。</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316" w:lineRule="auto"/>
              <w:ind w:left="23" w:right="90"/>
              <w:jc w:val="left"/>
              <w:rPr>
                <w:rFonts w:ascii="宋体" w:hAnsi="宋体" w:cs="宋体" w:eastAsia="宋体" w:hint="default"/>
                <w:sz w:val="18"/>
                <w:szCs w:val="18"/>
              </w:rPr>
            </w:pPr>
            <w:r>
              <w:rPr>
                <w:rFonts w:ascii="宋体" w:hAnsi="宋体" w:cs="宋体" w:eastAsia="宋体" w:hint="default"/>
                <w:spacing w:val="-3"/>
                <w:sz w:val="18"/>
                <w:szCs w:val="18"/>
              </w:rPr>
              <w:t>本次变更经公司第四届董事会第二十二</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z w:val="18"/>
                <w:szCs w:val="18"/>
              </w:rPr>
              <w:t>次会议审议通过。</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p>
        </w:tc>
      </w:tr>
      <w:tr>
        <w:trPr>
          <w:trHeight w:val="1652" w:hRule="exact"/>
        </w:trPr>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both"/>
              <w:rPr>
                <w:rFonts w:ascii="宋体" w:hAnsi="宋体" w:cs="宋体" w:eastAsia="宋体" w:hint="default"/>
                <w:sz w:val="18"/>
                <w:szCs w:val="18"/>
              </w:rPr>
            </w:pPr>
            <w:r>
              <w:rPr>
                <w:rFonts w:ascii="宋体" w:hAnsi="宋体" w:cs="宋体" w:eastAsia="宋体" w:hint="default"/>
                <w:sz w:val="18"/>
                <w:szCs w:val="18"/>
              </w:rPr>
              <w:t>财政部于</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4"/>
                <w:sz w:val="18"/>
                <w:szCs w:val="18"/>
              </w:rPr>
              <w:t> </w:t>
            </w:r>
            <w:r>
              <w:rPr>
                <w:rFonts w:ascii="宋体" w:hAnsi="宋体" w:cs="宋体" w:eastAsia="宋体" w:hint="default"/>
                <w:spacing w:val="-3"/>
                <w:sz w:val="18"/>
                <w:szCs w:val="18"/>
              </w:rPr>
              <w:t>日发布《关于</w:t>
            </w:r>
          </w:p>
          <w:p>
            <w:pPr>
              <w:pStyle w:val="TableParagraph"/>
              <w:spacing w:line="302" w:lineRule="auto" w:before="63"/>
              <w:ind w:left="24" w:right="17"/>
              <w:jc w:val="both"/>
              <w:rPr>
                <w:rFonts w:ascii="宋体" w:hAnsi="宋体" w:cs="宋体" w:eastAsia="宋体" w:hint="default"/>
                <w:sz w:val="18"/>
                <w:szCs w:val="18"/>
              </w:rPr>
            </w:pPr>
            <w:r>
              <w:rPr>
                <w:rFonts w:ascii="宋体" w:hAnsi="宋体" w:cs="宋体" w:eastAsia="宋体" w:hint="default"/>
                <w:spacing w:val="-3"/>
                <w:sz w:val="18"/>
                <w:szCs w:val="18"/>
              </w:rPr>
              <w:t>印发修订《企业会计准则第</w:t>
            </w:r>
            <w:r>
              <w:rPr>
                <w:rFonts w:ascii="宋体" w:hAnsi="宋体" w:cs="宋体" w:eastAsia="宋体" w:hint="default"/>
                <w:spacing w:val="-3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债务</w:t>
            </w:r>
            <w:r>
              <w:rPr>
                <w:rFonts w:ascii="宋体" w:hAnsi="宋体" w:cs="宋体" w:eastAsia="宋体" w:hint="default"/>
                <w:spacing w:val="-73"/>
                <w:sz w:val="18"/>
                <w:szCs w:val="18"/>
              </w:rPr>
              <w:t> </w:t>
            </w:r>
            <w:r>
              <w:rPr>
                <w:rFonts w:ascii="宋体" w:hAnsi="宋体" w:cs="宋体" w:eastAsia="宋体" w:hint="default"/>
                <w:spacing w:val="-5"/>
                <w:sz w:val="18"/>
                <w:szCs w:val="18"/>
              </w:rPr>
              <w:t>重组》的通知》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财会</w:t>
            </w:r>
            <w:r>
              <w:rPr>
                <w:rFonts w:ascii="Times New Roman" w:hAnsi="Times New Roman" w:cs="Times New Roman" w:eastAsia="Times New Roman" w:hint="default"/>
                <w:spacing w:val="-5"/>
                <w:sz w:val="18"/>
                <w:szCs w:val="18"/>
              </w:rPr>
              <w:t>[2019]9 </w:t>
            </w:r>
            <w:r>
              <w:rPr>
                <w:rFonts w:ascii="宋体" w:hAnsi="宋体" w:cs="宋体" w:eastAsia="宋体" w:hint="default"/>
                <w:spacing w:val="-6"/>
                <w:sz w:val="18"/>
                <w:szCs w:val="18"/>
              </w:rPr>
              <w:t>号，以下简</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9"/>
                <w:w w:val="101"/>
                <w:sz w:val="18"/>
                <w:szCs w:val="18"/>
              </w:rPr>
              <w:t>称</w:t>
            </w:r>
            <w:r>
              <w:rPr>
                <w:rFonts w:ascii="Times New Roman" w:hAnsi="Times New Roman" w:cs="Times New Roman" w:eastAsia="Times New Roman" w:hint="default"/>
                <w:spacing w:val="-9"/>
                <w:w w:val="101"/>
                <w:sz w:val="18"/>
                <w:szCs w:val="18"/>
              </w:rPr>
              <w:t>"</w:t>
            </w:r>
            <w:r>
              <w:rPr>
                <w:rFonts w:ascii="宋体" w:hAnsi="宋体" w:cs="宋体" w:eastAsia="宋体" w:hint="default"/>
                <w:spacing w:val="-9"/>
                <w:w w:val="101"/>
                <w:sz w:val="18"/>
                <w:szCs w:val="18"/>
              </w:rPr>
              <w:t>新债务重组准则</w:t>
            </w:r>
            <w:r>
              <w:rPr>
                <w:rFonts w:ascii="Times New Roman" w:hAnsi="Times New Roman" w:cs="Times New Roman" w:eastAsia="Times New Roman" w:hint="default"/>
                <w:spacing w:val="-9"/>
                <w:w w:val="101"/>
                <w:sz w:val="18"/>
                <w:szCs w:val="18"/>
              </w:rPr>
              <w:t>")</w:t>
            </w:r>
            <w:r>
              <w:rPr>
                <w:rFonts w:ascii="宋体" w:hAnsi="宋体" w:cs="宋体" w:eastAsia="宋体" w:hint="default"/>
                <w:spacing w:val="-9"/>
                <w:w w:val="101"/>
                <w:sz w:val="18"/>
                <w:szCs w:val="18"/>
              </w:rPr>
              <w:t>，自</w:t>
            </w:r>
            <w:r>
              <w:rPr>
                <w:rFonts w:ascii="宋体" w:hAnsi="宋体" w:cs="宋体" w:eastAsia="宋体" w:hint="default"/>
                <w:spacing w:val="-48"/>
                <w:w w:val="101"/>
                <w:sz w:val="18"/>
                <w:szCs w:val="18"/>
              </w:rPr>
              <w:t> </w:t>
            </w:r>
            <w:r>
              <w:rPr>
                <w:rFonts w:ascii="Times New Roman" w:hAnsi="Times New Roman" w:cs="Times New Roman" w:eastAsia="Times New Roman" w:hint="default"/>
                <w:w w:val="101"/>
                <w:sz w:val="18"/>
                <w:szCs w:val="18"/>
              </w:rPr>
              <w:t>2019</w:t>
            </w:r>
            <w:r>
              <w:rPr>
                <w:rFonts w:ascii="Times New Roman" w:hAnsi="Times New Roman" w:cs="Times New Roman" w:eastAsia="Times New Roman" w:hint="default"/>
                <w:spacing w:val="-2"/>
                <w:w w:val="101"/>
                <w:sz w:val="18"/>
                <w:szCs w:val="18"/>
              </w:rPr>
              <w:t> </w:t>
            </w:r>
            <w:r>
              <w:rPr>
                <w:rFonts w:ascii="宋体" w:hAnsi="宋体" w:cs="宋体" w:eastAsia="宋体" w:hint="default"/>
                <w:w w:val="101"/>
                <w:sz w:val="18"/>
                <w:szCs w:val="18"/>
              </w:rPr>
              <w:t>年</w:t>
            </w:r>
            <w:r>
              <w:rPr>
                <w:rFonts w:ascii="宋体" w:hAnsi="宋体" w:cs="宋体" w:eastAsia="宋体" w:hint="default"/>
                <w:spacing w:val="-48"/>
                <w:w w:val="101"/>
                <w:sz w:val="18"/>
                <w:szCs w:val="18"/>
              </w:rPr>
              <w:t> </w:t>
            </w:r>
            <w:r>
              <w:rPr>
                <w:rFonts w:ascii="Times New Roman" w:hAnsi="Times New Roman" w:cs="Times New Roman" w:eastAsia="Times New Roman" w:hint="default"/>
                <w:w w:val="101"/>
                <w:sz w:val="18"/>
                <w:szCs w:val="18"/>
              </w:rPr>
              <w:t>6</w:t>
            </w:r>
            <w:r>
              <w:rPr>
                <w:rFonts w:ascii="Times New Roman" w:hAnsi="Times New Roman" w:cs="Times New Roman" w:eastAsia="Times New Roman" w:hint="default"/>
                <w:spacing w:val="-2"/>
                <w:w w:val="101"/>
                <w:sz w:val="18"/>
                <w:szCs w:val="18"/>
              </w:rPr>
              <w:t> </w:t>
            </w:r>
            <w:r>
              <w:rPr>
                <w:rFonts w:ascii="宋体" w:hAnsi="宋体" w:cs="宋体" w:eastAsia="宋体" w:hint="default"/>
                <w:w w:val="101"/>
                <w:sz w:val="18"/>
                <w:szCs w:val="18"/>
              </w:rPr>
              <w:t>月</w:t>
            </w:r>
            <w:r>
              <w:rPr>
                <w:rFonts w:ascii="宋体" w:hAnsi="宋体" w:cs="宋体" w:eastAsia="宋体" w:hint="default"/>
                <w:spacing w:val="-53"/>
                <w:w w:val="101"/>
                <w:sz w:val="18"/>
                <w:szCs w:val="18"/>
              </w:rPr>
              <w:t> </w:t>
            </w:r>
            <w:r>
              <w:rPr>
                <w:rFonts w:ascii="Times New Roman" w:hAnsi="Times New Roman" w:cs="Times New Roman" w:eastAsia="Times New Roman" w:hint="default"/>
                <w:w w:val="101"/>
                <w:sz w:val="18"/>
                <w:szCs w:val="18"/>
              </w:rPr>
              <w:t>17 </w:t>
            </w:r>
            <w:r>
              <w:rPr>
                <w:rFonts w:ascii="宋体" w:hAnsi="宋体" w:cs="宋体" w:eastAsia="宋体" w:hint="default"/>
                <w:sz w:val="18"/>
                <w:szCs w:val="18"/>
              </w:rPr>
              <w:t>日起施行</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316" w:lineRule="auto"/>
              <w:ind w:left="23" w:right="90"/>
              <w:jc w:val="left"/>
              <w:rPr>
                <w:rFonts w:ascii="宋体" w:hAnsi="宋体" w:cs="宋体" w:eastAsia="宋体" w:hint="default"/>
                <w:sz w:val="18"/>
                <w:szCs w:val="18"/>
              </w:rPr>
            </w:pPr>
            <w:r>
              <w:rPr>
                <w:rFonts w:ascii="宋体" w:hAnsi="宋体" w:cs="宋体" w:eastAsia="宋体" w:hint="default"/>
                <w:spacing w:val="-3"/>
                <w:sz w:val="18"/>
                <w:szCs w:val="18"/>
              </w:rPr>
              <w:t>本次变更经公司第四届董事会第二十二</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z w:val="18"/>
                <w:szCs w:val="18"/>
              </w:rPr>
              <w:t>次会议审议通过。</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p>
        </w:tc>
      </w:tr>
    </w:tbl>
    <w:p>
      <w:pPr>
        <w:pStyle w:val="BodyText"/>
        <w:spacing w:line="470" w:lineRule="auto" w:before="92"/>
        <w:ind w:right="0" w:firstLine="360"/>
        <w:jc w:val="left"/>
      </w:pPr>
      <w:r>
        <w:rPr>
          <w:rFonts w:ascii="Times New Roman" w:hAnsi="Times New Roman" w:cs="Times New Roman" w:eastAsia="Times New Roman" w:hint="default"/>
        </w:rPr>
        <w:t>[</w:t>
      </w:r>
      <w:r>
        <w:rPr/>
        <w:t>注</w:t>
      </w:r>
      <w:r>
        <w:rPr>
          <w:spacing w:val="-11"/>
        </w:rPr>
        <w:t> </w:t>
      </w:r>
      <w:r>
        <w:rPr>
          <w:rFonts w:ascii="Times New Roman" w:hAnsi="Times New Roman" w:cs="Times New Roman" w:eastAsia="Times New Roman" w:hint="default"/>
          <w:spacing w:val="-3"/>
        </w:rPr>
        <w:t>1]</w:t>
      </w:r>
      <w:r>
        <w:rPr>
          <w:spacing w:val="-3"/>
        </w:rPr>
        <w:t>新金融工具准则改变了原准则下金融资产的分类和计量方式，将金融资产分为三类：按摊余成本计量、按公允价</w:t>
      </w:r>
      <w:r>
        <w:rPr>
          <w:w w:val="101"/>
        </w:rPr>
        <w:t> </w:t>
      </w:r>
      <w:r>
        <w:rPr>
          <w:spacing w:val="-4"/>
        </w:rPr>
        <w:t>值计量且其变动计入其他综合收益、按公允价值计量且其变动计入当期损益。本公司考虑金融资产的合同现金流量特征和自</w:t>
      </w:r>
      <w:r>
        <w:rPr>
          <w:spacing w:val="43"/>
        </w:rPr>
        <w:t> </w:t>
      </w:r>
      <w:r>
        <w:rPr>
          <w:spacing w:val="43"/>
        </w:rPr>
      </w:r>
      <w:r>
        <w:rPr>
          <w:spacing w:val="-6"/>
          <w:w w:val="101"/>
        </w:rPr>
        <w:t>身管理金融资产的业务模式进行上述分类。权益类投资需按公允价值计量且其变动计入当期损益，但对非交易性权益类投资，</w:t>
      </w:r>
      <w:r>
        <w:rPr>
          <w:spacing w:val="-70"/>
          <w:w w:val="101"/>
        </w:rPr>
        <w:t> </w:t>
      </w:r>
      <w:r>
        <w:rPr>
          <w:spacing w:val="-70"/>
          <w:w w:val="101"/>
        </w:rPr>
      </w:r>
      <w:r>
        <w:rPr>
          <w:spacing w:val="-4"/>
          <w:w w:val="101"/>
        </w:rPr>
        <w:t>在初始确认时可选择按公允价值计量且其变动计入其他综合收益，该等金融资产终止确认时累计利得或损失从其他综合收益</w:t>
      </w:r>
      <w:r>
        <w:rPr>
          <w:w w:val="101"/>
        </w:rPr>
        <w:t> </w:t>
      </w:r>
      <w:r>
        <w:rPr>
          <w:spacing w:val="-3"/>
        </w:rPr>
        <w:t>转入留存收益，不计入当期损益。</w:t>
      </w:r>
    </w:p>
    <w:p>
      <w:pPr>
        <w:pStyle w:val="BodyText"/>
        <w:spacing w:line="453" w:lineRule="auto" w:before="57"/>
        <w:ind w:right="0" w:firstLine="360"/>
        <w:jc w:val="left"/>
      </w:pPr>
      <w:r>
        <w:rPr>
          <w:spacing w:val="-4"/>
        </w:rPr>
        <w:t>新金融工具准则将金融资产减值计量由原准则下的</w:t>
      </w:r>
      <w:r>
        <w:rPr>
          <w:rFonts w:ascii="Times New Roman" w:hAnsi="Times New Roman" w:cs="Times New Roman" w:eastAsia="Times New Roman" w:hint="default"/>
          <w:spacing w:val="-4"/>
        </w:rPr>
        <w:t>“</w:t>
      </w:r>
      <w:r>
        <w:rPr>
          <w:spacing w:val="-4"/>
        </w:rPr>
        <w:t>已发生损失模型</w:t>
      </w:r>
      <w:r>
        <w:rPr>
          <w:rFonts w:ascii="Times New Roman" w:hAnsi="Times New Roman" w:cs="Times New Roman" w:eastAsia="Times New Roman" w:hint="default"/>
          <w:spacing w:val="-4"/>
        </w:rPr>
        <w:t>”</w:t>
      </w:r>
      <w:r>
        <w:rPr>
          <w:spacing w:val="-4"/>
        </w:rPr>
        <w:t>改为</w:t>
      </w:r>
      <w:r>
        <w:rPr>
          <w:rFonts w:ascii="Times New Roman" w:hAnsi="Times New Roman" w:cs="Times New Roman" w:eastAsia="Times New Roman" w:hint="default"/>
          <w:spacing w:val="-4"/>
        </w:rPr>
        <w:t>“</w:t>
      </w:r>
      <w:r>
        <w:rPr>
          <w:spacing w:val="-4"/>
        </w:rPr>
        <w:t>预期信用损失模型</w:t>
      </w:r>
      <w:r>
        <w:rPr>
          <w:rFonts w:ascii="Times New Roman" w:hAnsi="Times New Roman" w:cs="Times New Roman" w:eastAsia="Times New Roman" w:hint="default"/>
          <w:spacing w:val="-4"/>
        </w:rPr>
        <w:t>”</w:t>
      </w:r>
      <w:r>
        <w:rPr>
          <w:spacing w:val="-4"/>
        </w:rPr>
        <w:t>，适用于以摊余成本计量</w:t>
      </w:r>
      <w:r>
        <w:rPr>
          <w:w w:val="101"/>
        </w:rPr>
        <w:t> </w:t>
      </w:r>
      <w:r>
        <w:rPr>
          <w:spacing w:val="-3"/>
        </w:rPr>
        <w:t>的金融资产、以公允价值计量且其变动计入其他综合收益的债务工具投资、租赁应收款及财务担保合同。</w:t>
      </w:r>
    </w:p>
    <w:p>
      <w:pPr>
        <w:pStyle w:val="BodyText"/>
        <w:spacing w:line="456" w:lineRule="auto" w:before="70"/>
        <w:ind w:right="1029" w:firstLine="360"/>
        <w:jc w:val="left"/>
        <w:rPr>
          <w:rFonts w:ascii="Times New Roman" w:hAnsi="Times New Roman" w:cs="Times New Roman" w:eastAsia="Times New Roman" w:hint="default"/>
        </w:rPr>
      </w:pPr>
      <w:r>
        <w:rPr>
          <w:spacing w:val="-4"/>
        </w:rPr>
        <w:t>本公司按照新金融工具准则的相关规定，对比较期间财务报表不予调整，首次执行日执行新准则与原准则的差异追溯调</w:t>
      </w:r>
      <w:r>
        <w:rPr>
          <w:w w:val="101"/>
        </w:rPr>
        <w:t> </w:t>
      </w:r>
      <w:r>
        <w:rPr>
          <w:spacing w:val="-4"/>
        </w:rPr>
        <w:t>整本报告期期初留存收益或其他综合收益。调整情况详见本附注五、</w:t>
      </w:r>
      <w:r>
        <w:rPr>
          <w:rFonts w:ascii="Times New Roman" w:hAnsi="Times New Roman" w:cs="Times New Roman" w:eastAsia="Times New Roman" w:hint="default"/>
          <w:spacing w:val="-4"/>
        </w:rPr>
        <w:t>36(3)</w:t>
      </w:r>
      <w:r>
        <w:rPr>
          <w:spacing w:val="-4"/>
        </w:rPr>
        <w:t>、</w:t>
      </w:r>
      <w:r>
        <w:rPr>
          <w:rFonts w:ascii="Times New Roman" w:hAnsi="Times New Roman" w:cs="Times New Roman" w:eastAsia="Times New Roman" w:hint="default"/>
          <w:spacing w:val="-4"/>
        </w:rPr>
        <w:t>(4)</w:t>
      </w:r>
      <w:r>
        <w:rPr>
          <w:spacing w:val="-4"/>
        </w:rPr>
        <w:t>、</w:t>
      </w:r>
      <w:r>
        <w:rPr>
          <w:rFonts w:ascii="Times New Roman" w:hAnsi="Times New Roman" w:cs="Times New Roman" w:eastAsia="Times New Roman" w:hint="default"/>
          <w:spacing w:val="-4"/>
        </w:rPr>
        <w:t>(5)</w:t>
      </w:r>
      <w:r>
        <w:rPr>
          <w:spacing w:val="-4"/>
        </w:rPr>
        <w:t>之说明。</w:t>
      </w:r>
      <w:r>
        <w:rPr>
          <w:rFonts w:ascii="Times New Roman" w:hAnsi="Times New Roman" w:cs="Times New Roman" w:eastAsia="Times New Roman" w:hint="default"/>
          <w:spacing w:val="-4"/>
        </w:rPr>
        <w:t>[</w:t>
      </w:r>
      <w:r>
        <w:rPr>
          <w:spacing w:val="-4"/>
        </w:rPr>
        <w:t>注</w:t>
      </w:r>
      <w:r>
        <w:rPr>
          <w:spacing w:val="-34"/>
        </w:rPr>
        <w:t> </w:t>
      </w:r>
      <w:r>
        <w:rPr>
          <w:rFonts w:ascii="Times New Roman" w:hAnsi="Times New Roman" w:cs="Times New Roman" w:eastAsia="Times New Roman" w:hint="default"/>
        </w:rPr>
        <w:t>2]</w:t>
      </w:r>
      <w:r>
        <w:rPr>
          <w:rFonts w:ascii="Times New Roman" w:hAnsi="Times New Roman" w:cs="Times New Roman" w:eastAsia="Times New Roman" w:hint="default"/>
          <w:spacing w:val="5"/>
        </w:rPr>
        <w:t> </w:t>
      </w:r>
      <w:r>
        <w:rPr>
          <w:spacing w:val="-3"/>
        </w:rPr>
        <w:t>财政部于</w:t>
      </w:r>
      <w:r>
        <w:rPr>
          <w:spacing w:val="-34"/>
        </w:rPr>
        <w:t> </w:t>
      </w:r>
      <w:r>
        <w:rPr>
          <w:rFonts w:ascii="Times New Roman" w:hAnsi="Times New Roman" w:cs="Times New Roman" w:eastAsia="Times New Roman" w:hint="default"/>
        </w:rPr>
        <w:t>2019</w:t>
      </w:r>
      <w:r>
        <w:rPr>
          <w:rFonts w:ascii="Times New Roman" w:hAnsi="Times New Roman" w:cs="Times New Roman" w:eastAsia="Times New Roman" w:hint="default"/>
          <w:spacing w:val="4"/>
        </w:rPr>
        <w:t> </w:t>
      </w:r>
      <w:r>
        <w:rPr/>
        <w:t>年</w:t>
      </w:r>
      <w:r>
        <w:rPr>
          <w:spacing w:val="-41"/>
        </w:rPr>
        <w:t> </w:t>
      </w:r>
      <w:r>
        <w:rPr>
          <w:rFonts w:ascii="Times New Roman" w:hAnsi="Times New Roman" w:cs="Times New Roman" w:eastAsia="Times New Roman" w:hint="default"/>
        </w:rPr>
        <w:t>4</w:t>
      </w:r>
      <w:r>
        <w:rPr>
          <w:rFonts w:ascii="Times New Roman" w:hAnsi="Times New Roman" w:cs="Times New Roman" w:eastAsia="Times New Roman" w:hint="default"/>
          <w:spacing w:val="4"/>
        </w:rPr>
        <w:t> </w:t>
      </w:r>
      <w:r>
        <w:rPr/>
        <w:t>月</w:t>
      </w:r>
      <w:r>
        <w:rPr>
          <w:spacing w:val="-34"/>
        </w:rPr>
        <w:t> </w:t>
      </w:r>
      <w:r>
        <w:rPr>
          <w:rFonts w:ascii="Times New Roman" w:hAnsi="Times New Roman" w:cs="Times New Roman" w:eastAsia="Times New Roman" w:hint="default"/>
          <w:spacing w:val="-5"/>
        </w:rPr>
        <w:t>30</w:t>
      </w:r>
      <w:r>
        <w:rPr>
          <w:rFonts w:ascii="Times New Roman" w:hAnsi="Times New Roman" w:cs="Times New Roman" w:eastAsia="Times New Roman" w:hint="default"/>
          <w:spacing w:val="-7"/>
        </w:rPr>
        <w:t> </w:t>
      </w:r>
      <w:r>
        <w:rPr>
          <w:spacing w:val="-11"/>
          <w:w w:val="101"/>
        </w:rPr>
        <w:t>日发布《关于修订印发</w:t>
      </w:r>
      <w:r>
        <w:rPr>
          <w:spacing w:val="-51"/>
          <w:w w:val="101"/>
        </w:rPr>
        <w:t> </w:t>
      </w:r>
      <w:r>
        <w:rPr>
          <w:rFonts w:ascii="Times New Roman" w:hAnsi="Times New Roman" w:cs="Times New Roman" w:eastAsia="Times New Roman" w:hint="default"/>
          <w:w w:val="101"/>
        </w:rPr>
        <w:t>2019</w:t>
      </w:r>
      <w:r>
        <w:rPr>
          <w:rFonts w:ascii="Times New Roman" w:hAnsi="Times New Roman" w:cs="Times New Roman" w:eastAsia="Times New Roman" w:hint="default"/>
          <w:spacing w:val="-5"/>
          <w:w w:val="101"/>
        </w:rPr>
        <w:t> </w:t>
      </w:r>
      <w:r>
        <w:rPr>
          <w:spacing w:val="-6"/>
          <w:w w:val="101"/>
        </w:rPr>
        <w:t>年度一般企业财务报表格式的通知》</w:t>
      </w:r>
      <w:r>
        <w:rPr>
          <w:rFonts w:ascii="Times New Roman" w:hAnsi="Times New Roman" w:cs="Times New Roman" w:eastAsia="Times New Roman" w:hint="default"/>
          <w:spacing w:val="-6"/>
          <w:w w:val="101"/>
        </w:rPr>
        <w:t>(</w:t>
      </w:r>
      <w:r>
        <w:rPr>
          <w:spacing w:val="-6"/>
          <w:w w:val="101"/>
        </w:rPr>
        <w:t>财会</w:t>
      </w:r>
      <w:r>
        <w:rPr>
          <w:rFonts w:ascii="Times New Roman" w:hAnsi="Times New Roman" w:cs="Times New Roman" w:eastAsia="Times New Roman" w:hint="default"/>
          <w:spacing w:val="-6"/>
          <w:w w:val="101"/>
        </w:rPr>
        <w:t>[2019]6 </w:t>
      </w:r>
      <w:r>
        <w:rPr>
          <w:spacing w:val="-10"/>
          <w:w w:val="101"/>
        </w:rPr>
        <w:t>号，以下简称</w:t>
      </w:r>
      <w:r>
        <w:rPr>
          <w:rFonts w:ascii="Times New Roman" w:hAnsi="Times New Roman" w:cs="Times New Roman" w:eastAsia="Times New Roman" w:hint="default"/>
          <w:spacing w:val="-10"/>
          <w:w w:val="101"/>
        </w:rPr>
        <w:t>“2019</w:t>
      </w:r>
      <w:r>
        <w:rPr>
          <w:rFonts w:ascii="Times New Roman" w:hAnsi="Times New Roman" w:cs="Times New Roman" w:eastAsia="Times New Roman" w:hint="default"/>
          <w:spacing w:val="-11"/>
          <w:w w:val="101"/>
        </w:rPr>
        <w:t> </w:t>
      </w:r>
      <w:r>
        <w:rPr>
          <w:spacing w:val="-3"/>
          <w:w w:val="101"/>
        </w:rPr>
        <w:t>年新修订的财务报表格式</w:t>
      </w:r>
      <w:r>
        <w:rPr>
          <w:rFonts w:ascii="Times New Roman" w:hAnsi="Times New Roman" w:cs="Times New Roman" w:eastAsia="Times New Roman" w:hint="default"/>
          <w:spacing w:val="-3"/>
          <w:w w:val="101"/>
        </w:rPr>
        <w:t>”)</w:t>
      </w:r>
      <w:r>
        <w:rPr>
          <w:spacing w:val="-3"/>
          <w:w w:val="101"/>
        </w:rPr>
        <w:t>。</w:t>
      </w:r>
      <w:r>
        <w:rPr>
          <w:spacing w:val="-87"/>
          <w:w w:val="101"/>
        </w:rPr>
        <w:t> </w:t>
      </w:r>
      <w:r>
        <w:rPr>
          <w:rFonts w:ascii="Times New Roman" w:hAnsi="Times New Roman" w:cs="Times New Roman" w:eastAsia="Times New Roman" w:hint="default"/>
        </w:rPr>
        <w:t>2019 </w:t>
      </w:r>
      <w:r>
        <w:rPr>
          <w:spacing w:val="-3"/>
        </w:rPr>
        <w:t>年新修订的财务报表格式将</w:t>
      </w:r>
      <w:r>
        <w:rPr>
          <w:rFonts w:ascii="Times New Roman" w:hAnsi="Times New Roman" w:cs="Times New Roman" w:eastAsia="Times New Roman" w:hint="default"/>
          <w:spacing w:val="-3"/>
        </w:rPr>
        <w:t>“</w:t>
      </w:r>
      <w:r>
        <w:rPr>
          <w:spacing w:val="-3"/>
        </w:rPr>
        <w:t>应收票据及应收账款</w:t>
      </w:r>
      <w:r>
        <w:rPr>
          <w:rFonts w:ascii="Times New Roman" w:hAnsi="Times New Roman" w:cs="Times New Roman" w:eastAsia="Times New Roman" w:hint="default"/>
          <w:spacing w:val="-3"/>
        </w:rPr>
        <w:t>”</w:t>
      </w:r>
      <w:r>
        <w:rPr>
          <w:spacing w:val="-3"/>
        </w:rPr>
        <w:t>项目拆分为</w:t>
      </w:r>
      <w:r>
        <w:rPr>
          <w:rFonts w:ascii="Times New Roman" w:hAnsi="Times New Roman" w:cs="Times New Roman" w:eastAsia="Times New Roman" w:hint="default"/>
          <w:spacing w:val="-3"/>
        </w:rPr>
        <w:t>“</w:t>
      </w:r>
      <w:r>
        <w:rPr>
          <w:spacing w:val="-3"/>
        </w:rPr>
        <w:t>应收票据</w:t>
      </w:r>
      <w:r>
        <w:rPr>
          <w:rFonts w:ascii="Times New Roman" w:hAnsi="Times New Roman" w:cs="Times New Roman" w:eastAsia="Times New Roman" w:hint="default"/>
          <w:spacing w:val="-3"/>
        </w:rPr>
        <w:t>”</w:t>
      </w:r>
      <w:r>
        <w:rPr>
          <w:spacing w:val="-3"/>
        </w:rPr>
        <w:t>和</w:t>
      </w:r>
      <w:r>
        <w:rPr>
          <w:rFonts w:ascii="Times New Roman" w:hAnsi="Times New Roman" w:cs="Times New Roman" w:eastAsia="Times New Roman" w:hint="default"/>
          <w:spacing w:val="-3"/>
        </w:rPr>
        <w:t>“</w:t>
      </w:r>
      <w:r>
        <w:rPr>
          <w:spacing w:val="-3"/>
        </w:rPr>
        <w:t>应收账款</w:t>
      </w:r>
      <w:r>
        <w:rPr>
          <w:rFonts w:ascii="Times New Roman" w:hAnsi="Times New Roman" w:cs="Times New Roman" w:eastAsia="Times New Roman" w:hint="default"/>
          <w:spacing w:val="-3"/>
        </w:rPr>
        <w:t>”</w:t>
      </w:r>
      <w:r>
        <w:rPr>
          <w:spacing w:val="-3"/>
        </w:rPr>
        <w:t>两个项目列报，将</w:t>
      </w:r>
      <w:r>
        <w:rPr>
          <w:rFonts w:ascii="Times New Roman" w:hAnsi="Times New Roman" w:cs="Times New Roman" w:eastAsia="Times New Roman" w:hint="default"/>
          <w:spacing w:val="-3"/>
        </w:rPr>
        <w:t>“</w:t>
      </w:r>
      <w:r>
        <w:rPr>
          <w:spacing w:val="-3"/>
        </w:rPr>
        <w:t>应付票据及</w:t>
      </w:r>
      <w:r>
        <w:rPr>
          <w:spacing w:val="60"/>
        </w:rPr>
        <w:t> </w:t>
      </w:r>
      <w:r>
        <w:rPr>
          <w:spacing w:val="60"/>
        </w:rPr>
      </w:r>
      <w:r>
        <w:rPr>
          <w:spacing w:val="-3"/>
        </w:rPr>
        <w:t>应付账款</w:t>
      </w:r>
      <w:r>
        <w:rPr>
          <w:rFonts w:ascii="Times New Roman" w:hAnsi="Times New Roman" w:cs="Times New Roman" w:eastAsia="Times New Roman" w:hint="default"/>
          <w:spacing w:val="-3"/>
        </w:rPr>
        <w:t>”</w:t>
      </w:r>
      <w:r>
        <w:rPr>
          <w:spacing w:val="-3"/>
        </w:rPr>
        <w:t>项目拆分为</w:t>
      </w:r>
      <w:r>
        <w:rPr>
          <w:rFonts w:ascii="Times New Roman" w:hAnsi="Times New Roman" w:cs="Times New Roman" w:eastAsia="Times New Roman" w:hint="default"/>
          <w:spacing w:val="-3"/>
        </w:rPr>
        <w:t>“</w:t>
      </w:r>
      <w:r>
        <w:rPr>
          <w:spacing w:val="-3"/>
        </w:rPr>
        <w:t>应付票据</w:t>
      </w:r>
      <w:r>
        <w:rPr>
          <w:rFonts w:ascii="Times New Roman" w:hAnsi="Times New Roman" w:cs="Times New Roman" w:eastAsia="Times New Roman" w:hint="default"/>
          <w:spacing w:val="-3"/>
        </w:rPr>
        <w:t>”</w:t>
      </w:r>
      <w:r>
        <w:rPr>
          <w:spacing w:val="-3"/>
        </w:rPr>
        <w:t>和</w:t>
      </w:r>
      <w:r>
        <w:rPr>
          <w:rFonts w:ascii="Times New Roman" w:hAnsi="Times New Roman" w:cs="Times New Roman" w:eastAsia="Times New Roman" w:hint="default"/>
          <w:spacing w:val="-3"/>
        </w:rPr>
        <w:t>“</w:t>
      </w:r>
      <w:r>
        <w:rPr>
          <w:spacing w:val="-3"/>
        </w:rPr>
        <w:t>应付账款</w:t>
      </w:r>
      <w:r>
        <w:rPr>
          <w:rFonts w:ascii="Times New Roman" w:hAnsi="Times New Roman" w:cs="Times New Roman" w:eastAsia="Times New Roman" w:hint="default"/>
          <w:spacing w:val="-3"/>
        </w:rPr>
        <w:t>”</w:t>
      </w:r>
      <w:r>
        <w:rPr>
          <w:spacing w:val="-3"/>
        </w:rPr>
        <w:t>两个项目列报；增加对仅执行新金融工具准则对报表项目的调整要求；补充</w:t>
      </w:r>
      <w:r>
        <w:rPr>
          <w:spacing w:val="74"/>
        </w:rPr>
        <w:t> </w:t>
      </w:r>
      <w:r>
        <w:rPr>
          <w:spacing w:val="74"/>
        </w:rPr>
      </w:r>
      <w:r>
        <w:rPr>
          <w:rFonts w:ascii="Times New Roman" w:hAnsi="Times New Roman" w:cs="Times New Roman" w:eastAsia="Times New Roman" w:hint="default"/>
          <w:spacing w:val="-3"/>
        </w:rPr>
        <w:t>“</w:t>
      </w:r>
      <w:r>
        <w:rPr>
          <w:spacing w:val="-3"/>
        </w:rPr>
        <w:t>研发费用</w:t>
      </w:r>
      <w:r>
        <w:rPr>
          <w:rFonts w:ascii="Times New Roman" w:hAnsi="Times New Roman" w:cs="Times New Roman" w:eastAsia="Times New Roman" w:hint="default"/>
          <w:spacing w:val="-3"/>
        </w:rPr>
        <w:t>”</w:t>
      </w:r>
      <w:r>
        <w:rPr>
          <w:spacing w:val="-3"/>
        </w:rPr>
        <w:t>核算范围，明确</w:t>
      </w:r>
      <w:r>
        <w:rPr>
          <w:rFonts w:ascii="Times New Roman" w:hAnsi="Times New Roman" w:cs="Times New Roman" w:eastAsia="Times New Roman" w:hint="default"/>
          <w:spacing w:val="-3"/>
        </w:rPr>
        <w:t>“</w:t>
      </w:r>
      <w:r>
        <w:rPr>
          <w:spacing w:val="-3"/>
        </w:rPr>
        <w:t>研发费用</w:t>
      </w:r>
      <w:r>
        <w:rPr>
          <w:rFonts w:ascii="Times New Roman" w:hAnsi="Times New Roman" w:cs="Times New Roman" w:eastAsia="Times New Roman" w:hint="default"/>
          <w:spacing w:val="-3"/>
        </w:rPr>
        <w:t>”</w:t>
      </w:r>
      <w:r>
        <w:rPr>
          <w:spacing w:val="-3"/>
        </w:rPr>
        <w:t>项目还包括计入管理费用的自行开发无形资产的摊销；</w:t>
      </w:r>
      <w:r>
        <w:rPr>
          <w:rFonts w:ascii="Times New Roman" w:hAnsi="Times New Roman" w:cs="Times New Roman" w:eastAsia="Times New Roman" w:hint="default"/>
          <w:spacing w:val="-3"/>
        </w:rPr>
        <w:t>“</w:t>
      </w:r>
      <w:r>
        <w:rPr>
          <w:spacing w:val="-3"/>
        </w:rPr>
        <w:t>营业外收入</w:t>
      </w:r>
      <w:r>
        <w:rPr>
          <w:rFonts w:ascii="Times New Roman" w:hAnsi="Times New Roman" w:cs="Times New Roman" w:eastAsia="Times New Roman" w:hint="default"/>
          <w:spacing w:val="-3"/>
        </w:rPr>
        <w:t>”</w:t>
      </w:r>
      <w:r>
        <w:rPr>
          <w:spacing w:val="-3"/>
        </w:rPr>
        <w:t>和</w:t>
      </w:r>
      <w:r>
        <w:rPr>
          <w:rFonts w:ascii="Times New Roman" w:hAnsi="Times New Roman" w:cs="Times New Roman" w:eastAsia="Times New Roman" w:hint="default"/>
          <w:spacing w:val="-3"/>
        </w:rPr>
        <w:t>“</w:t>
      </w:r>
      <w:r>
        <w:rPr>
          <w:spacing w:val="-3"/>
        </w:rPr>
        <w:t>营业外支出</w:t>
      </w:r>
      <w:r>
        <w:rPr>
          <w:rFonts w:ascii="Times New Roman" w:hAnsi="Times New Roman" w:cs="Times New Roman" w:eastAsia="Times New Roman" w:hint="default"/>
          <w:spacing w:val="-3"/>
        </w:rPr>
        <w:t>”</w:t>
      </w:r>
    </w:p>
    <w:p>
      <w:pPr>
        <w:pStyle w:val="BodyText"/>
        <w:spacing w:line="453" w:lineRule="auto" w:before="37"/>
        <w:ind w:right="0"/>
        <w:jc w:val="left"/>
      </w:pPr>
      <w:r>
        <w:rPr>
          <w:spacing w:val="-4"/>
        </w:rPr>
        <w:t>项目中删除债务重组利得和损失。此外，在新金融工具准则下，</w:t>
      </w:r>
      <w:r>
        <w:rPr>
          <w:rFonts w:ascii="Times New Roman" w:hAnsi="Times New Roman" w:cs="Times New Roman" w:eastAsia="Times New Roman" w:hint="default"/>
          <w:spacing w:val="-4"/>
        </w:rPr>
        <w:t>“</w:t>
      </w:r>
      <w:r>
        <w:rPr>
          <w:spacing w:val="-4"/>
        </w:rPr>
        <w:t>应收利息</w:t>
      </w:r>
      <w:r>
        <w:rPr>
          <w:rFonts w:ascii="Times New Roman" w:hAnsi="Times New Roman" w:cs="Times New Roman" w:eastAsia="Times New Roman" w:hint="default"/>
          <w:spacing w:val="-4"/>
        </w:rPr>
        <w:t>”</w:t>
      </w:r>
      <w:r>
        <w:rPr>
          <w:spacing w:val="-4"/>
        </w:rPr>
        <w:t>、</w:t>
      </w:r>
      <w:r>
        <w:rPr>
          <w:rFonts w:ascii="Times New Roman" w:hAnsi="Times New Roman" w:cs="Times New Roman" w:eastAsia="Times New Roman" w:hint="default"/>
          <w:spacing w:val="-4"/>
        </w:rPr>
        <w:t>“</w:t>
      </w:r>
      <w:r>
        <w:rPr>
          <w:spacing w:val="-4"/>
        </w:rPr>
        <w:t>应付利息</w:t>
      </w:r>
      <w:r>
        <w:rPr>
          <w:rFonts w:ascii="Times New Roman" w:hAnsi="Times New Roman" w:cs="Times New Roman" w:eastAsia="Times New Roman" w:hint="default"/>
          <w:spacing w:val="-4"/>
        </w:rPr>
        <w:t>”</w:t>
      </w:r>
      <w:r>
        <w:rPr>
          <w:spacing w:val="-4"/>
        </w:rPr>
        <w:t>仅反映相关金融工具已到期可收取</w:t>
      </w:r>
      <w:r>
        <w:rPr>
          <w:spacing w:val="3"/>
        </w:rPr>
        <w:t> </w:t>
      </w:r>
      <w:r>
        <w:rPr>
          <w:spacing w:val="3"/>
        </w:rPr>
      </w:r>
      <w:r>
        <w:rPr>
          <w:spacing w:val="-3"/>
        </w:rPr>
        <w:t>但于资产负债表日尚未收到的利息，基于实际利率法计提的金融工具的利息应包含在相应金融工具的账面余额中。</w:t>
      </w:r>
    </w:p>
    <w:p>
      <w:pPr>
        <w:pStyle w:val="BodyText"/>
        <w:spacing w:line="451" w:lineRule="auto" w:before="70"/>
        <w:ind w:right="1122" w:firstLine="360"/>
        <w:jc w:val="both"/>
      </w:pPr>
      <w:r>
        <w:rPr/>
        <w:t>财政部于</w:t>
      </w:r>
      <w:r>
        <w:rPr>
          <w:spacing w:val="-38"/>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w:t>
      </w:r>
      <w:r>
        <w:rPr>
          <w:spacing w:val="-44"/>
        </w:rPr>
        <w:t> </w:t>
      </w:r>
      <w:r>
        <w:rPr>
          <w:rFonts w:ascii="Times New Roman" w:hAnsi="Times New Roman" w:cs="Times New Roman" w:eastAsia="Times New Roman" w:hint="default"/>
        </w:rPr>
        <w:t>9</w:t>
      </w:r>
      <w:r>
        <w:rPr>
          <w:rFonts w:ascii="Times New Roman" w:hAnsi="Times New Roman" w:cs="Times New Roman" w:eastAsia="Times New Roman" w:hint="default"/>
          <w:spacing w:val="1"/>
        </w:rPr>
        <w:t> </w:t>
      </w:r>
      <w:r>
        <w:rPr/>
        <w:t>月</w:t>
      </w:r>
      <w:r>
        <w:rPr>
          <w:spacing w:val="-38"/>
        </w:rPr>
        <w:t> </w:t>
      </w:r>
      <w:r>
        <w:rPr>
          <w:rFonts w:ascii="Times New Roman" w:hAnsi="Times New Roman" w:cs="Times New Roman" w:eastAsia="Times New Roman" w:hint="default"/>
          <w:spacing w:val="-3"/>
        </w:rPr>
        <w:t>19</w:t>
      </w:r>
      <w:r>
        <w:rPr>
          <w:rFonts w:ascii="Times New Roman" w:hAnsi="Times New Roman" w:cs="Times New Roman" w:eastAsia="Times New Roman" w:hint="default"/>
          <w:spacing w:val="-5"/>
        </w:rPr>
        <w:t> </w:t>
      </w:r>
      <w:r>
        <w:rPr>
          <w:spacing w:val="-3"/>
        </w:rPr>
        <w:t>日发布《关于修订印发合并财务报表格式</w:t>
      </w:r>
      <w:r>
        <w:rPr>
          <w:rFonts w:ascii="Times New Roman" w:hAnsi="Times New Roman" w:cs="Times New Roman" w:eastAsia="Times New Roman" w:hint="default"/>
          <w:spacing w:val="-3"/>
        </w:rPr>
        <w:t>(2019</w:t>
      </w:r>
      <w:r>
        <w:rPr>
          <w:rFonts w:ascii="Times New Roman" w:hAnsi="Times New Roman" w:cs="Times New Roman" w:eastAsia="Times New Roman" w:hint="default"/>
          <w:spacing w:val="-4"/>
        </w:rPr>
        <w:t> </w:t>
      </w:r>
      <w:r>
        <w:rPr/>
        <w:t>版</w:t>
      </w:r>
      <w:r>
        <w:rPr>
          <w:rFonts w:ascii="Times New Roman" w:hAnsi="Times New Roman" w:cs="Times New Roman" w:eastAsia="Times New Roman" w:hint="default"/>
        </w:rPr>
        <w:t>)</w:t>
      </w:r>
      <w:r>
        <w:rPr/>
        <w:t>的通知》</w:t>
      </w:r>
      <w:r>
        <w:rPr>
          <w:rFonts w:ascii="Times New Roman" w:hAnsi="Times New Roman" w:cs="Times New Roman" w:eastAsia="Times New Roman" w:hint="default"/>
        </w:rPr>
        <w:t>(</w:t>
      </w:r>
      <w:r>
        <w:rPr/>
        <w:t>财会</w:t>
      </w:r>
      <w:r>
        <w:rPr>
          <w:rFonts w:ascii="Times New Roman" w:hAnsi="Times New Roman" w:cs="Times New Roman" w:eastAsia="Times New Roman" w:hint="default"/>
        </w:rPr>
        <w:t>[2019]16</w:t>
      </w:r>
      <w:r>
        <w:rPr>
          <w:rFonts w:ascii="Times New Roman" w:hAnsi="Times New Roman" w:cs="Times New Roman" w:eastAsia="Times New Roman" w:hint="default"/>
          <w:spacing w:val="1"/>
        </w:rPr>
        <w:t> </w:t>
      </w:r>
      <w:r>
        <w:rPr/>
        <w:t>号，以下简称</w:t>
      </w:r>
      <w:r>
        <w:rPr>
          <w:rFonts w:ascii="Times New Roman" w:hAnsi="Times New Roman" w:cs="Times New Roman" w:eastAsia="Times New Roman" w:hint="default"/>
        </w:rPr>
        <w:t>“2019</w:t>
      </w:r>
      <w:r>
        <w:rPr>
          <w:rFonts w:ascii="Times New Roman" w:hAnsi="Times New Roman" w:cs="Times New Roman" w:eastAsia="Times New Roman" w:hint="default"/>
          <w:w w:val="101"/>
        </w:rPr>
        <w:t> </w:t>
      </w:r>
      <w:r>
        <w:rPr>
          <w:spacing w:val="-3"/>
        </w:rPr>
        <w:t>年新修订的合并财务报表格式</w:t>
      </w:r>
      <w:r>
        <w:rPr>
          <w:rFonts w:ascii="Times New Roman" w:hAnsi="Times New Roman" w:cs="Times New Roman" w:eastAsia="Times New Roman" w:hint="default"/>
          <w:spacing w:val="-3"/>
        </w:rPr>
        <w:t>”)</w:t>
      </w:r>
      <w:r>
        <w:rPr>
          <w:spacing w:val="-3"/>
        </w:rPr>
        <w:t>。</w:t>
      </w:r>
      <w:r>
        <w:rPr>
          <w:rFonts w:ascii="Times New Roman" w:hAnsi="Times New Roman" w:cs="Times New Roman" w:eastAsia="Times New Roman" w:hint="default"/>
          <w:spacing w:val="-3"/>
        </w:rPr>
        <w:t>2019 </w:t>
      </w:r>
      <w:r>
        <w:rPr>
          <w:spacing w:val="-3"/>
        </w:rPr>
        <w:t>年新修订的合并财务报表格式除上述</w:t>
      </w:r>
      <w:r>
        <w:rPr>
          <w:rFonts w:ascii="Times New Roman" w:hAnsi="Times New Roman" w:cs="Times New Roman" w:eastAsia="Times New Roman" w:hint="default"/>
          <w:spacing w:val="-3"/>
        </w:rPr>
        <w:t>“</w:t>
      </w:r>
      <w:r>
        <w:rPr>
          <w:spacing w:val="-3"/>
        </w:rPr>
        <w:t>应收票据及应收账款</w:t>
      </w:r>
      <w:r>
        <w:rPr>
          <w:rFonts w:ascii="Times New Roman" w:hAnsi="Times New Roman" w:cs="Times New Roman" w:eastAsia="Times New Roman" w:hint="default"/>
          <w:spacing w:val="-3"/>
        </w:rPr>
        <w:t>”</w:t>
      </w:r>
      <w:r>
        <w:rPr>
          <w:spacing w:val="-3"/>
        </w:rPr>
        <w:t>、</w:t>
      </w:r>
      <w:r>
        <w:rPr>
          <w:rFonts w:ascii="Times New Roman" w:hAnsi="Times New Roman" w:cs="Times New Roman" w:eastAsia="Times New Roman" w:hint="default"/>
          <w:spacing w:val="-3"/>
        </w:rPr>
        <w:t>“</w:t>
      </w:r>
      <w:r>
        <w:rPr>
          <w:spacing w:val="-3"/>
        </w:rPr>
        <w:t>应付票据及应付账款</w:t>
      </w:r>
      <w:r>
        <w:rPr>
          <w:rFonts w:ascii="Times New Roman" w:hAnsi="Times New Roman" w:cs="Times New Roman" w:eastAsia="Times New Roman" w:hint="default"/>
          <w:spacing w:val="-3"/>
        </w:rPr>
        <w:t>”</w:t>
      </w:r>
      <w:r>
        <w:rPr>
          <w:rFonts w:ascii="Times New Roman" w:hAnsi="Times New Roman" w:cs="Times New Roman" w:eastAsia="Times New Roman" w:hint="default"/>
          <w:spacing w:val="-1"/>
        </w:rPr>
        <w:t> </w:t>
      </w:r>
      <w:r>
        <w:rPr>
          <w:spacing w:val="-3"/>
        </w:rPr>
        <w:t>项目的拆分外，删除了原合并现金流量表中</w:t>
      </w:r>
      <w:r>
        <w:rPr>
          <w:rFonts w:ascii="Times New Roman" w:hAnsi="Times New Roman" w:cs="Times New Roman" w:eastAsia="Times New Roman" w:hint="default"/>
          <w:spacing w:val="-3"/>
        </w:rPr>
        <w:t>“</w:t>
      </w:r>
      <w:r>
        <w:rPr>
          <w:spacing w:val="-3"/>
        </w:rPr>
        <w:t>发行债券收到的现金 </w:t>
      </w:r>
      <w:r>
        <w:rPr>
          <w:spacing w:val="52"/>
        </w:rPr>
        <w:t> </w:t>
      </w:r>
      <w:r>
        <w:rPr>
          <w:rFonts w:ascii="Times New Roman" w:hAnsi="Times New Roman" w:cs="Times New Roman" w:eastAsia="Times New Roman" w:hint="default"/>
          <w:spacing w:val="-3"/>
        </w:rPr>
        <w:t>”</w:t>
      </w:r>
      <w:r>
        <w:rPr>
          <w:spacing w:val="-3"/>
        </w:rPr>
        <w:t>、</w:t>
      </w:r>
      <w:r>
        <w:rPr>
          <w:rFonts w:ascii="Times New Roman" w:hAnsi="Times New Roman" w:cs="Times New Roman" w:eastAsia="Times New Roman" w:hint="default"/>
          <w:spacing w:val="-3"/>
        </w:rPr>
        <w:t>“</w:t>
      </w:r>
      <w:r>
        <w:rPr>
          <w:spacing w:val="-3"/>
        </w:rPr>
        <w:t>为交易目的而持有的金融资产净增加额</w:t>
      </w:r>
      <w:r>
        <w:rPr>
          <w:rFonts w:ascii="Times New Roman" w:hAnsi="Times New Roman" w:cs="Times New Roman" w:eastAsia="Times New Roman" w:hint="default"/>
          <w:spacing w:val="-3"/>
        </w:rPr>
        <w:t>”</w:t>
      </w:r>
      <w:r>
        <w:rPr>
          <w:spacing w:val="-3"/>
        </w:rPr>
        <w:t>等行项目。</w:t>
      </w:r>
    </w:p>
    <w:p>
      <w:pPr>
        <w:pStyle w:val="BodyText"/>
        <w:spacing w:line="451" w:lineRule="auto" w:before="46"/>
        <w:ind w:right="1037" w:firstLine="360"/>
        <w:jc w:val="both"/>
      </w:pPr>
      <w:r>
        <w:rPr/>
        <w:t>本公司按照《企业会计准则第 </w:t>
      </w:r>
      <w:r>
        <w:rPr>
          <w:rFonts w:ascii="Times New Roman" w:hAnsi="Times New Roman" w:cs="Times New Roman" w:eastAsia="Times New Roman" w:hint="default"/>
          <w:spacing w:val="-3"/>
        </w:rPr>
        <w:t>30</w:t>
      </w:r>
      <w:r>
        <w:rPr>
          <w:rFonts w:ascii="Times New Roman" w:hAnsi="Times New Roman" w:cs="Times New Roman" w:eastAsia="Times New Roman" w:hint="default"/>
          <w:spacing w:val="-14"/>
        </w:rPr>
        <w:t> </w:t>
      </w:r>
      <w:r>
        <w:rPr>
          <w:spacing w:val="-3"/>
        </w:rPr>
        <w:t>号</w:t>
      </w:r>
      <w:r>
        <w:rPr>
          <w:rFonts w:ascii="Times New Roman" w:hAnsi="Times New Roman" w:cs="Times New Roman" w:eastAsia="Times New Roman" w:hint="default"/>
          <w:spacing w:val="-3"/>
        </w:rPr>
        <w:t>——</w:t>
      </w:r>
      <w:r>
        <w:rPr>
          <w:spacing w:val="-3"/>
        </w:rPr>
        <w:t>财务报表列报》等相关规定，对上述会计政策变更进行追溯调整，其中对仅适</w:t>
      </w:r>
      <w:r>
        <w:rPr>
          <w:w w:val="101"/>
        </w:rPr>
        <w:t> </w:t>
      </w:r>
      <w:r>
        <w:rPr>
          <w:spacing w:val="-3"/>
        </w:rPr>
        <w:t>用新金融工具准则的会计政策变更追溯调整至 </w:t>
      </w:r>
      <w:r>
        <w:rPr>
          <w:rFonts w:ascii="Times New Roman" w:hAnsi="Times New Roman" w:cs="Times New Roman" w:eastAsia="Times New Roman" w:hint="default"/>
        </w:rPr>
        <w:t>2019 </w:t>
      </w:r>
      <w:r>
        <w:rPr>
          <w:spacing w:val="-3"/>
        </w:rPr>
        <w:t>年期初数，对其他会计政策变更重新表述可比期间财务报表。对于上述</w:t>
      </w:r>
      <w:r>
        <w:rPr>
          <w:spacing w:val="10"/>
        </w:rPr>
        <w:t> </w:t>
      </w:r>
      <w:r>
        <w:rPr>
          <w:spacing w:val="10"/>
        </w:rPr>
      </w:r>
      <w:r>
        <w:rPr>
          <w:spacing w:val="-3"/>
        </w:rPr>
        <w:t>报表格式变更中简单合并与拆分的财务报表项目，本公司已在财务报表中直接进行了调整，不再专门列示重分类调整情况。</w:t>
      </w:r>
    </w:p>
    <w:p>
      <w:pPr>
        <w:spacing w:after="0" w:line="451" w:lineRule="auto"/>
        <w:jc w:val="both"/>
        <w:sectPr>
          <w:pgSz w:w="11910" w:h="16840"/>
          <w:pgMar w:header="871" w:footer="1186" w:top="1100" w:bottom="1380" w:left="980" w:right="0"/>
        </w:sectPr>
      </w:pPr>
    </w:p>
    <w:p>
      <w:pPr>
        <w:spacing w:line="240" w:lineRule="auto" w:before="1"/>
        <w:rPr>
          <w:rFonts w:ascii="宋体" w:hAnsi="宋体" w:cs="宋体" w:eastAsia="宋体" w:hint="default"/>
          <w:sz w:val="28"/>
          <w:szCs w:val="28"/>
        </w:rPr>
      </w:pPr>
    </w:p>
    <w:p>
      <w:pPr>
        <w:pStyle w:val="BodyText"/>
        <w:spacing w:line="240" w:lineRule="auto" w:before="46"/>
        <w:ind w:left="590" w:right="0"/>
        <w:jc w:val="left"/>
      </w:pPr>
      <w:r>
        <w:rPr>
          <w:rFonts w:ascii="Times New Roman" w:hAnsi="Times New Roman" w:cs="Times New Roman" w:eastAsia="Times New Roman" w:hint="default"/>
        </w:rPr>
        <w:t>[</w:t>
      </w:r>
      <w:r>
        <w:rPr/>
        <w:t>注</w:t>
      </w:r>
      <w:r>
        <w:rPr>
          <w:spacing w:val="-30"/>
        </w:rPr>
        <w:t> </w:t>
      </w:r>
      <w:r>
        <w:rPr>
          <w:rFonts w:ascii="Times New Roman" w:hAnsi="Times New Roman" w:cs="Times New Roman" w:eastAsia="Times New Roman" w:hint="default"/>
        </w:rPr>
        <w:t>3] </w:t>
      </w:r>
      <w:r>
        <w:rPr>
          <w:rFonts w:ascii="Times New Roman" w:hAnsi="Times New Roman" w:cs="Times New Roman" w:eastAsia="Times New Roman" w:hint="default"/>
          <w:spacing w:val="7"/>
        </w:rPr>
        <w:t> </w:t>
      </w:r>
      <w:r>
        <w:rPr>
          <w:spacing w:val="-3"/>
        </w:rPr>
        <w:t>新非货币性资产交换准则规定对</w:t>
      </w:r>
      <w:r>
        <w:rPr>
          <w:spacing w:val="-30"/>
        </w:rPr>
        <w:t> </w:t>
      </w:r>
      <w:r>
        <w:rPr>
          <w:rFonts w:ascii="Times New Roman" w:hAnsi="Times New Roman" w:cs="Times New Roman" w:eastAsia="Times New Roman" w:hint="default"/>
          <w:spacing w:val="-3"/>
        </w:rPr>
        <w:t>2019</w:t>
      </w:r>
      <w:r>
        <w:rPr>
          <w:rFonts w:ascii="Times New Roman" w:hAnsi="Times New Roman" w:cs="Times New Roman" w:eastAsia="Times New Roman" w:hint="default"/>
          <w:spacing w:val="8"/>
        </w:rPr>
        <w:t> </w:t>
      </w:r>
      <w:r>
        <w:rPr/>
        <w:t>年</w:t>
      </w:r>
      <w:r>
        <w:rPr>
          <w:spacing w:val="-37"/>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月</w:t>
      </w:r>
      <w:r>
        <w:rPr>
          <w:spacing w:val="-30"/>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spacing w:val="-3"/>
        </w:rPr>
        <w:t>日至本准则施行日之间发生的非货币性资产交换根据本准则进行</w:t>
      </w:r>
    </w:p>
    <w:p>
      <w:pPr>
        <w:spacing w:line="240" w:lineRule="auto" w:before="7"/>
        <w:rPr>
          <w:rFonts w:ascii="宋体" w:hAnsi="宋体" w:cs="宋体" w:eastAsia="宋体" w:hint="default"/>
          <w:sz w:val="16"/>
          <w:szCs w:val="16"/>
        </w:rPr>
      </w:pPr>
    </w:p>
    <w:p>
      <w:pPr>
        <w:pStyle w:val="BodyText"/>
        <w:spacing w:line="240" w:lineRule="auto"/>
        <w:ind w:right="0"/>
        <w:jc w:val="left"/>
      </w:pPr>
      <w:r>
        <w:rPr/>
        <w:t>调整，对</w:t>
      </w:r>
      <w:r>
        <w:rPr>
          <w:spacing w:val="-32"/>
        </w:rPr>
        <w:t> </w:t>
      </w:r>
      <w:r>
        <w:rPr>
          <w:rFonts w:ascii="Times New Roman" w:hAnsi="Times New Roman" w:cs="Times New Roman" w:eastAsia="Times New Roman" w:hint="default"/>
        </w:rPr>
        <w:t>2019</w:t>
      </w:r>
      <w:r>
        <w:rPr>
          <w:rFonts w:ascii="Times New Roman" w:hAnsi="Times New Roman" w:cs="Times New Roman" w:eastAsia="Times New Roman" w:hint="default"/>
          <w:spacing w:val="6"/>
        </w:rPr>
        <w:t> </w:t>
      </w:r>
      <w:r>
        <w:rPr/>
        <w:t>年</w:t>
      </w:r>
      <w:r>
        <w:rPr>
          <w:spacing w:val="-39"/>
        </w:rPr>
        <w:t> </w:t>
      </w:r>
      <w:r>
        <w:rPr>
          <w:rFonts w:ascii="Times New Roman" w:hAnsi="Times New Roman" w:cs="Times New Roman" w:eastAsia="Times New Roman" w:hint="default"/>
        </w:rPr>
        <w:t>1</w:t>
      </w:r>
      <w:r>
        <w:rPr>
          <w:rFonts w:ascii="Times New Roman" w:hAnsi="Times New Roman" w:cs="Times New Roman" w:eastAsia="Times New Roman" w:hint="default"/>
          <w:spacing w:val="6"/>
        </w:rPr>
        <w:t> </w:t>
      </w:r>
      <w:r>
        <w:rPr/>
        <w:t>月</w:t>
      </w:r>
      <w:r>
        <w:rPr>
          <w:spacing w:val="-39"/>
        </w:rPr>
        <w:t> </w:t>
      </w:r>
      <w:r>
        <w:rPr>
          <w:rFonts w:ascii="Times New Roman" w:hAnsi="Times New Roman" w:cs="Times New Roman" w:eastAsia="Times New Roman" w:hint="default"/>
        </w:rPr>
        <w:t>1</w:t>
      </w:r>
      <w:r>
        <w:rPr>
          <w:rFonts w:ascii="Times New Roman" w:hAnsi="Times New Roman" w:cs="Times New Roman" w:eastAsia="Times New Roman" w:hint="default"/>
          <w:spacing w:val="6"/>
        </w:rPr>
        <w:t> </w:t>
      </w:r>
      <w:r>
        <w:rPr>
          <w:spacing w:val="-3"/>
        </w:rPr>
        <w:t>日之前发生的非货币性资产交换，不需要进行追溯调整。</w:t>
      </w:r>
    </w:p>
    <w:p>
      <w:pPr>
        <w:spacing w:line="240" w:lineRule="auto" w:before="12"/>
        <w:rPr>
          <w:rFonts w:ascii="宋体" w:hAnsi="宋体" w:cs="宋体" w:eastAsia="宋体" w:hint="default"/>
          <w:sz w:val="16"/>
          <w:szCs w:val="16"/>
        </w:rPr>
      </w:pPr>
    </w:p>
    <w:p>
      <w:pPr>
        <w:pStyle w:val="BodyText"/>
        <w:spacing w:line="448" w:lineRule="auto"/>
        <w:ind w:right="0" w:firstLine="360"/>
        <w:jc w:val="left"/>
      </w:pPr>
      <w:r>
        <w:rPr/>
        <w:t>本公司按照规定自</w:t>
      </w:r>
      <w:r>
        <w:rPr>
          <w:spacing w:val="-36"/>
        </w:rPr>
        <w:t> </w:t>
      </w:r>
      <w:r>
        <w:rPr>
          <w:rFonts w:ascii="Times New Roman" w:hAnsi="Times New Roman" w:cs="Times New Roman" w:eastAsia="Times New Roman" w:hint="default"/>
        </w:rPr>
        <w:t>2019</w:t>
      </w:r>
      <w:r>
        <w:rPr>
          <w:rFonts w:ascii="Times New Roman" w:hAnsi="Times New Roman" w:cs="Times New Roman" w:eastAsia="Times New Roman" w:hint="default"/>
          <w:spacing w:val="2"/>
        </w:rPr>
        <w:t> </w:t>
      </w:r>
      <w:r>
        <w:rPr/>
        <w:t>年</w:t>
      </w:r>
      <w:r>
        <w:rPr>
          <w:spacing w:val="-43"/>
        </w:rPr>
        <w:t> </w:t>
      </w:r>
      <w:r>
        <w:rPr>
          <w:rFonts w:ascii="Times New Roman" w:hAnsi="Times New Roman" w:cs="Times New Roman" w:eastAsia="Times New Roman" w:hint="default"/>
        </w:rPr>
        <w:t>6</w:t>
      </w:r>
      <w:r>
        <w:rPr>
          <w:rFonts w:ascii="Times New Roman" w:hAnsi="Times New Roman" w:cs="Times New Roman" w:eastAsia="Times New Roman" w:hint="default"/>
          <w:spacing w:val="2"/>
        </w:rPr>
        <w:t> </w:t>
      </w:r>
      <w:r>
        <w:rPr/>
        <w:t>月</w:t>
      </w:r>
      <w:r>
        <w:rPr>
          <w:spacing w:val="-36"/>
        </w:rPr>
        <w:t> </w:t>
      </w:r>
      <w:r>
        <w:rPr>
          <w:rFonts w:ascii="Times New Roman" w:hAnsi="Times New Roman" w:cs="Times New Roman" w:eastAsia="Times New Roman" w:hint="default"/>
          <w:spacing w:val="-3"/>
        </w:rPr>
        <w:t>10</w:t>
      </w:r>
      <w:r>
        <w:rPr>
          <w:rFonts w:ascii="Times New Roman" w:hAnsi="Times New Roman" w:cs="Times New Roman" w:eastAsia="Times New Roman" w:hint="default"/>
          <w:spacing w:val="-4"/>
        </w:rPr>
        <w:t> </w:t>
      </w:r>
      <w:r>
        <w:rPr>
          <w:spacing w:val="-3"/>
        </w:rPr>
        <w:t>日起执行新非货币性资产交换准则，对</w:t>
      </w:r>
      <w:r>
        <w:rPr>
          <w:spacing w:val="-35"/>
        </w:rPr>
        <w:t> </w:t>
      </w:r>
      <w:r>
        <w:rPr>
          <w:rFonts w:ascii="Times New Roman" w:hAnsi="Times New Roman" w:cs="Times New Roman" w:eastAsia="Times New Roman" w:hint="default"/>
          <w:spacing w:val="-3"/>
        </w:rPr>
        <w:t>2019</w:t>
      </w:r>
      <w:r>
        <w:rPr>
          <w:rFonts w:ascii="Times New Roman" w:hAnsi="Times New Roman" w:cs="Times New Roman" w:eastAsia="Times New Roman" w:hint="default"/>
          <w:spacing w:val="2"/>
        </w:rPr>
        <w:t> </w:t>
      </w:r>
      <w:r>
        <w:rPr/>
        <w:t>年</w:t>
      </w:r>
      <w:r>
        <w:rPr>
          <w:spacing w:val="-43"/>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月</w:t>
      </w:r>
      <w:r>
        <w:rPr>
          <w:spacing w:val="-36"/>
        </w:rPr>
        <w:t> </w:t>
      </w:r>
      <w:r>
        <w:rPr>
          <w:rFonts w:ascii="Times New Roman" w:hAnsi="Times New Roman" w:cs="Times New Roman" w:eastAsia="Times New Roman" w:hint="default"/>
        </w:rPr>
        <w:t>1</w:t>
      </w:r>
      <w:r>
        <w:rPr>
          <w:rFonts w:ascii="Times New Roman" w:hAnsi="Times New Roman" w:cs="Times New Roman" w:eastAsia="Times New Roman" w:hint="default"/>
          <w:spacing w:val="-4"/>
        </w:rPr>
        <w:t> </w:t>
      </w:r>
      <w:r>
        <w:rPr>
          <w:spacing w:val="-3"/>
        </w:rPr>
        <w:t>日存在的非货币性资产交换采</w:t>
      </w:r>
      <w:r>
        <w:rPr>
          <w:w w:val="101"/>
        </w:rPr>
        <w:t> </w:t>
      </w:r>
      <w:r>
        <w:rPr>
          <w:spacing w:val="-3"/>
        </w:rPr>
        <w:t>用未来适用法处理。</w:t>
      </w:r>
    </w:p>
    <w:p>
      <w:pPr>
        <w:pStyle w:val="BodyText"/>
        <w:spacing w:line="240" w:lineRule="auto" w:before="78"/>
        <w:ind w:left="513" w:right="0"/>
        <w:jc w:val="left"/>
        <w:rPr>
          <w:rFonts w:ascii="Times New Roman" w:hAnsi="Times New Roman" w:cs="Times New Roman" w:eastAsia="Times New Roman" w:hint="default"/>
        </w:rPr>
      </w:pPr>
      <w:r>
        <w:rPr>
          <w:rFonts w:ascii="Times New Roman" w:hAnsi="Times New Roman" w:cs="Times New Roman" w:eastAsia="Times New Roman" w:hint="default"/>
        </w:rPr>
        <w:t>[</w:t>
      </w:r>
      <w:r>
        <w:rPr/>
        <w:t>注</w:t>
      </w:r>
      <w:r>
        <w:rPr>
          <w:spacing w:val="-38"/>
        </w:rPr>
        <w:t> </w:t>
      </w:r>
      <w:r>
        <w:rPr>
          <w:rFonts w:ascii="Times New Roman" w:hAnsi="Times New Roman" w:cs="Times New Roman" w:eastAsia="Times New Roman" w:hint="default"/>
        </w:rPr>
        <w:t>4] </w:t>
      </w:r>
      <w:r>
        <w:rPr>
          <w:rFonts w:ascii="Times New Roman" w:hAnsi="Times New Roman" w:cs="Times New Roman" w:eastAsia="Times New Roman" w:hint="default"/>
          <w:spacing w:val="1"/>
        </w:rPr>
        <w:t> </w:t>
      </w:r>
      <w:r>
        <w:rPr/>
        <w:t>新债务重组准则规定对</w:t>
      </w:r>
      <w:r>
        <w:rPr>
          <w:spacing w:val="-38"/>
        </w:rPr>
        <w:t> </w:t>
      </w:r>
      <w:r>
        <w:rPr>
          <w:rFonts w:ascii="Times New Roman" w:hAnsi="Times New Roman" w:cs="Times New Roman" w:eastAsia="Times New Roman" w:hint="default"/>
          <w:spacing w:val="-3"/>
        </w:rPr>
        <w:t>2019</w:t>
      </w:r>
      <w:r>
        <w:rPr>
          <w:rFonts w:ascii="Times New Roman" w:hAnsi="Times New Roman" w:cs="Times New Roman" w:eastAsia="Times New Roman" w:hint="default"/>
          <w:spacing w:val="1"/>
        </w:rPr>
        <w:t> </w:t>
      </w:r>
      <w:r>
        <w:rPr/>
        <w:t>年</w:t>
      </w:r>
      <w:r>
        <w:rPr>
          <w:spacing w:val="-38"/>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t>月</w:t>
      </w:r>
      <w:r>
        <w:rPr>
          <w:spacing w:val="-38"/>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spacing w:val="-3"/>
        </w:rPr>
        <w:t>日至本准则施行日之间发生的债务重组根据本准则进行调整，对</w:t>
      </w:r>
      <w:r>
        <w:rPr>
          <w:spacing w:val="-36"/>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w:t>
      </w:r>
      <w:r>
        <w:rPr>
          <w:spacing w:val="-44"/>
        </w:rPr>
        <w:t> </w:t>
      </w:r>
      <w:r>
        <w:rPr>
          <w:rFonts w:ascii="Times New Roman" w:hAnsi="Times New Roman" w:cs="Times New Roman" w:eastAsia="Times New Roman" w:hint="default"/>
        </w:rPr>
        <w:t>1</w:t>
      </w:r>
    </w:p>
    <w:p>
      <w:pPr>
        <w:spacing w:line="240" w:lineRule="auto" w:before="9"/>
        <w:rPr>
          <w:rFonts w:ascii="Times New Roman" w:hAnsi="Times New Roman" w:cs="Times New Roman" w:eastAsia="Times New Roman" w:hint="default"/>
          <w:sz w:val="18"/>
          <w:szCs w:val="18"/>
        </w:rPr>
      </w:pPr>
    </w:p>
    <w:p>
      <w:pPr>
        <w:pStyle w:val="BodyText"/>
        <w:spacing w:line="240" w:lineRule="auto"/>
        <w:ind w:right="0"/>
        <w:jc w:val="left"/>
      </w:pPr>
      <w:r>
        <w:rPr/>
        <w:t>月 </w:t>
      </w:r>
      <w:r>
        <w:rPr>
          <w:rFonts w:ascii="Times New Roman" w:hAnsi="Times New Roman" w:cs="Times New Roman" w:eastAsia="Times New Roman" w:hint="default"/>
        </w:rPr>
        <w:t>1</w:t>
      </w:r>
      <w:r>
        <w:rPr>
          <w:rFonts w:ascii="Times New Roman" w:hAnsi="Times New Roman" w:cs="Times New Roman" w:eastAsia="Times New Roman" w:hint="default"/>
          <w:spacing w:val="13"/>
        </w:rPr>
        <w:t> </w:t>
      </w:r>
      <w:r>
        <w:rPr>
          <w:spacing w:val="-3"/>
        </w:rPr>
        <w:t>日之前发生的债务重组，不需要进行追溯调整。</w:t>
      </w:r>
    </w:p>
    <w:p>
      <w:pPr>
        <w:spacing w:line="240" w:lineRule="auto" w:before="12"/>
        <w:rPr>
          <w:rFonts w:ascii="宋体" w:hAnsi="宋体" w:cs="宋体" w:eastAsia="宋体" w:hint="default"/>
          <w:sz w:val="16"/>
          <w:szCs w:val="16"/>
        </w:rPr>
      </w:pPr>
    </w:p>
    <w:p>
      <w:pPr>
        <w:pStyle w:val="BodyText"/>
        <w:spacing w:line="240" w:lineRule="auto"/>
        <w:ind w:left="513" w:right="0"/>
        <w:jc w:val="left"/>
      </w:pPr>
      <w:r>
        <w:rPr>
          <w:w w:val="101"/>
        </w:rPr>
        <w:t>本</w:t>
      </w:r>
      <w:r>
        <w:rPr>
          <w:spacing w:val="-5"/>
          <w:w w:val="101"/>
        </w:rPr>
        <w:t>公</w:t>
      </w:r>
      <w:r>
        <w:rPr>
          <w:w w:val="101"/>
        </w:rPr>
        <w:t>司</w:t>
      </w:r>
      <w:r>
        <w:rPr>
          <w:spacing w:val="-5"/>
          <w:w w:val="101"/>
        </w:rPr>
        <w:t>按</w:t>
      </w:r>
      <w:r>
        <w:rPr>
          <w:w w:val="101"/>
        </w:rPr>
        <w:t>照</w:t>
      </w:r>
      <w:r>
        <w:rPr>
          <w:spacing w:val="-5"/>
          <w:w w:val="101"/>
        </w:rPr>
        <w:t>规</w:t>
      </w:r>
      <w:r>
        <w:rPr>
          <w:w w:val="101"/>
        </w:rPr>
        <w:t>定自</w:t>
      </w:r>
      <w:r>
        <w:rPr>
          <w:spacing w:val="-52"/>
        </w:rPr>
        <w:t> </w:t>
      </w:r>
      <w:r>
        <w:rPr>
          <w:rFonts w:ascii="Times New Roman" w:hAnsi="Times New Roman" w:cs="Times New Roman" w:eastAsia="Times New Roman" w:hint="default"/>
          <w:w w:val="101"/>
        </w:rPr>
        <w:t>2019</w:t>
      </w:r>
      <w:r>
        <w:rPr>
          <w:rFonts w:ascii="Times New Roman" w:hAnsi="Times New Roman" w:cs="Times New Roman" w:eastAsia="Times New Roman" w:hint="default"/>
          <w:spacing w:val="-11"/>
        </w:rPr>
        <w:t> </w:t>
      </w:r>
      <w:r>
        <w:rPr>
          <w:w w:val="101"/>
        </w:rPr>
        <w:t>年</w:t>
      </w:r>
      <w:r>
        <w:rPr>
          <w:spacing w:val="-52"/>
        </w:rPr>
        <w:t> </w:t>
      </w:r>
      <w:r>
        <w:rPr>
          <w:rFonts w:ascii="Times New Roman" w:hAnsi="Times New Roman" w:cs="Times New Roman" w:eastAsia="Times New Roman" w:hint="default"/>
          <w:w w:val="101"/>
        </w:rPr>
        <w:t>6</w:t>
      </w:r>
      <w:r>
        <w:rPr>
          <w:rFonts w:ascii="Times New Roman" w:hAnsi="Times New Roman" w:cs="Times New Roman" w:eastAsia="Times New Roman" w:hint="default"/>
          <w:spacing w:val="-12"/>
        </w:rPr>
        <w:t> </w:t>
      </w:r>
      <w:r>
        <w:rPr>
          <w:w w:val="101"/>
        </w:rPr>
        <w:t>月</w:t>
      </w:r>
      <w:r>
        <w:rPr>
          <w:spacing w:val="-52"/>
        </w:rPr>
        <w:t> </w:t>
      </w:r>
      <w:r>
        <w:rPr>
          <w:rFonts w:ascii="Times New Roman" w:hAnsi="Times New Roman" w:cs="Times New Roman" w:eastAsia="Times New Roman" w:hint="default"/>
          <w:w w:val="101"/>
        </w:rPr>
        <w:t>17</w:t>
      </w:r>
      <w:r>
        <w:rPr>
          <w:rFonts w:ascii="Times New Roman" w:hAnsi="Times New Roman" w:cs="Times New Roman" w:eastAsia="Times New Roman" w:hint="default"/>
          <w:spacing w:val="-17"/>
        </w:rPr>
        <w:t> </w:t>
      </w:r>
      <w:r>
        <w:rPr>
          <w:w w:val="101"/>
        </w:rPr>
        <w:t>日</w:t>
      </w:r>
      <w:r>
        <w:rPr>
          <w:spacing w:val="-5"/>
          <w:w w:val="101"/>
        </w:rPr>
        <w:t>起</w:t>
      </w:r>
      <w:r>
        <w:rPr>
          <w:w w:val="101"/>
        </w:rPr>
        <w:t>执</w:t>
      </w:r>
      <w:r>
        <w:rPr>
          <w:spacing w:val="-5"/>
          <w:w w:val="101"/>
        </w:rPr>
        <w:t>行</w:t>
      </w:r>
      <w:r>
        <w:rPr>
          <w:w w:val="101"/>
        </w:rPr>
        <w:t>新</w:t>
      </w:r>
      <w:r>
        <w:rPr>
          <w:spacing w:val="-5"/>
          <w:w w:val="101"/>
        </w:rPr>
        <w:t>债</w:t>
      </w:r>
      <w:r>
        <w:rPr>
          <w:w w:val="101"/>
        </w:rPr>
        <w:t>务</w:t>
      </w:r>
      <w:r>
        <w:rPr>
          <w:spacing w:val="-5"/>
          <w:w w:val="101"/>
        </w:rPr>
        <w:t>重</w:t>
      </w:r>
      <w:r>
        <w:rPr>
          <w:w w:val="101"/>
        </w:rPr>
        <w:t>组</w:t>
      </w:r>
      <w:r>
        <w:rPr>
          <w:spacing w:val="-5"/>
          <w:w w:val="101"/>
        </w:rPr>
        <w:t>准</w:t>
      </w:r>
      <w:r>
        <w:rPr>
          <w:w w:val="101"/>
        </w:rPr>
        <w:t>则</w:t>
      </w:r>
      <w:r>
        <w:rPr>
          <w:spacing w:val="-96"/>
          <w:w w:val="101"/>
        </w:rPr>
        <w:t>，</w:t>
      </w:r>
      <w:r>
        <w:rPr>
          <w:w w:val="101"/>
        </w:rPr>
        <w:t>对</w:t>
      </w:r>
      <w:r>
        <w:rPr>
          <w:spacing w:val="-51"/>
        </w:rPr>
        <w:t> </w:t>
      </w:r>
      <w:r>
        <w:rPr>
          <w:rFonts w:ascii="Times New Roman" w:hAnsi="Times New Roman" w:cs="Times New Roman" w:eastAsia="Times New Roman" w:hint="default"/>
          <w:w w:val="101"/>
        </w:rPr>
        <w:t>2019</w:t>
      </w:r>
      <w:r>
        <w:rPr>
          <w:rFonts w:ascii="Times New Roman" w:hAnsi="Times New Roman" w:cs="Times New Roman" w:eastAsia="Times New Roman" w:hint="default"/>
          <w:spacing w:val="-12"/>
        </w:rPr>
        <w:t> </w:t>
      </w:r>
      <w:r>
        <w:rPr>
          <w:w w:val="101"/>
        </w:rPr>
        <w:t>年</w:t>
      </w:r>
      <w:r>
        <w:rPr>
          <w:spacing w:val="-52"/>
        </w:rPr>
        <w:t> </w:t>
      </w:r>
      <w:r>
        <w:rPr>
          <w:rFonts w:ascii="Times New Roman" w:hAnsi="Times New Roman" w:cs="Times New Roman" w:eastAsia="Times New Roman" w:hint="default"/>
          <w:w w:val="101"/>
        </w:rPr>
        <w:t>1</w:t>
      </w:r>
      <w:r>
        <w:rPr>
          <w:rFonts w:ascii="Times New Roman" w:hAnsi="Times New Roman" w:cs="Times New Roman" w:eastAsia="Times New Roman" w:hint="default"/>
          <w:spacing w:val="-12"/>
        </w:rPr>
        <w:t> </w:t>
      </w:r>
      <w:r>
        <w:rPr>
          <w:w w:val="101"/>
        </w:rPr>
        <w:t>月</w:t>
      </w:r>
      <w:r>
        <w:rPr>
          <w:spacing w:val="-52"/>
        </w:rPr>
        <w:t> </w:t>
      </w:r>
      <w:r>
        <w:rPr>
          <w:rFonts w:ascii="Times New Roman" w:hAnsi="Times New Roman" w:cs="Times New Roman" w:eastAsia="Times New Roman" w:hint="default"/>
          <w:w w:val="101"/>
        </w:rPr>
        <w:t>1</w:t>
      </w:r>
      <w:r>
        <w:rPr>
          <w:rFonts w:ascii="Times New Roman" w:hAnsi="Times New Roman" w:cs="Times New Roman" w:eastAsia="Times New Roman" w:hint="default"/>
          <w:spacing w:val="-12"/>
        </w:rPr>
        <w:t> </w:t>
      </w:r>
      <w:r>
        <w:rPr>
          <w:w w:val="101"/>
        </w:rPr>
        <w:t>日</w:t>
      </w:r>
      <w:r>
        <w:rPr>
          <w:spacing w:val="-5"/>
          <w:w w:val="101"/>
        </w:rPr>
        <w:t>存</w:t>
      </w:r>
      <w:r>
        <w:rPr>
          <w:w w:val="101"/>
        </w:rPr>
        <w:t>在</w:t>
      </w:r>
      <w:r>
        <w:rPr>
          <w:spacing w:val="-5"/>
          <w:w w:val="101"/>
        </w:rPr>
        <w:t>的</w:t>
      </w:r>
      <w:r>
        <w:rPr>
          <w:w w:val="101"/>
        </w:rPr>
        <w:t>债</w:t>
      </w:r>
      <w:r>
        <w:rPr>
          <w:spacing w:val="-5"/>
          <w:w w:val="101"/>
        </w:rPr>
        <w:t>务</w:t>
      </w:r>
      <w:r>
        <w:rPr>
          <w:w w:val="101"/>
        </w:rPr>
        <w:t>重</w:t>
      </w:r>
      <w:r>
        <w:rPr>
          <w:spacing w:val="-5"/>
          <w:w w:val="101"/>
        </w:rPr>
        <w:t>组</w:t>
      </w:r>
      <w:r>
        <w:rPr>
          <w:w w:val="101"/>
        </w:rPr>
        <w:t>采</w:t>
      </w:r>
      <w:r>
        <w:rPr>
          <w:spacing w:val="-5"/>
          <w:w w:val="101"/>
        </w:rPr>
        <w:t>用</w:t>
      </w:r>
      <w:r>
        <w:rPr>
          <w:w w:val="101"/>
        </w:rPr>
        <w:t>未</w:t>
      </w:r>
      <w:r>
        <w:rPr>
          <w:spacing w:val="-5"/>
          <w:w w:val="101"/>
        </w:rPr>
        <w:t>来</w:t>
      </w:r>
      <w:r>
        <w:rPr>
          <w:w w:val="101"/>
        </w:rPr>
        <w:t>适</w:t>
      </w:r>
      <w:r>
        <w:rPr>
          <w:spacing w:val="-5"/>
          <w:w w:val="101"/>
        </w:rPr>
        <w:t>用</w:t>
      </w:r>
      <w:r>
        <w:rPr>
          <w:w w:val="101"/>
        </w:rPr>
        <w:t>法</w:t>
      </w:r>
      <w:r>
        <w:rPr>
          <w:spacing w:val="-5"/>
          <w:w w:val="101"/>
        </w:rPr>
        <w:t>处</w:t>
      </w:r>
      <w:r>
        <w:rPr>
          <w:w w:val="101"/>
        </w:rPr>
        <w:t>理。</w:t>
      </w:r>
      <w:r>
        <w:rPr/>
      </w:r>
    </w:p>
    <w:p>
      <w:pPr>
        <w:spacing w:line="240" w:lineRule="auto" w:before="7"/>
        <w:rPr>
          <w:rFonts w:ascii="宋体" w:hAnsi="宋体" w:cs="宋体" w:eastAsia="宋体" w:hint="default"/>
          <w:sz w:val="16"/>
          <w:szCs w:val="16"/>
        </w:rPr>
      </w:pPr>
    </w:p>
    <w:p>
      <w:pPr>
        <w:pStyle w:val="BodyText"/>
        <w:spacing w:line="460" w:lineRule="auto"/>
        <w:ind w:left="513" w:right="6680"/>
        <w:jc w:val="left"/>
      </w:pPr>
      <w:r>
        <w:rPr>
          <w:rFonts w:ascii="Times New Roman" w:hAnsi="Times New Roman" w:cs="Times New Roman" w:eastAsia="Times New Roman" w:hint="default"/>
        </w:rPr>
        <w:t>2</w:t>
      </w:r>
      <w:r>
        <w:rPr/>
        <w:t>、重要会计估计变更</w:t>
      </w:r>
      <w:r>
        <w:rPr>
          <w:spacing w:val="-88"/>
        </w:rPr>
        <w:t> </w:t>
      </w:r>
      <w:r>
        <w:rPr>
          <w:spacing w:val="-88"/>
        </w:rPr>
      </w:r>
      <w:r>
        <w:rPr>
          <w:spacing w:val="-3"/>
        </w:rPr>
        <w:t>本期无重要的会计估计变更。</w:t>
      </w:r>
      <w:r>
        <w:rPr>
          <w:spacing w:val="-50"/>
        </w:rPr>
        <w:t> </w:t>
      </w:r>
      <w:r>
        <w:rPr>
          <w:spacing w:val="-50"/>
        </w:rPr>
      </w:r>
      <w:r>
        <w:rPr>
          <w:rFonts w:ascii="Times New Roman" w:hAnsi="Times New Roman" w:cs="Times New Roman" w:eastAsia="Times New Roman" w:hint="default"/>
        </w:rPr>
        <w:t>3</w:t>
      </w:r>
      <w:r>
        <w:rPr/>
        <w:t>、重大会计差错更正</w:t>
      </w:r>
      <w:r>
        <w:rPr>
          <w:spacing w:val="-88"/>
        </w:rPr>
        <w:t> </w:t>
      </w:r>
      <w:r>
        <w:rPr>
          <w:spacing w:val="-88"/>
        </w:rPr>
      </w:r>
      <w:r>
        <w:rPr>
          <w:spacing w:val="-3"/>
        </w:rPr>
        <w:t>本期无重大会计差错变更。</w:t>
      </w:r>
    </w:p>
    <w:p>
      <w:pPr>
        <w:spacing w:line="240" w:lineRule="auto" w:before="7"/>
        <w:rPr>
          <w:rFonts w:ascii="宋体" w:hAnsi="宋体" w:cs="宋体" w:eastAsia="宋体" w:hint="default"/>
          <w:sz w:val="17"/>
          <w:szCs w:val="17"/>
        </w:rPr>
      </w:pPr>
    </w:p>
    <w:p>
      <w:pPr>
        <w:pStyle w:val="Heading2"/>
        <w:spacing w:line="240" w:lineRule="auto"/>
        <w:ind w:right="0"/>
        <w:jc w:val="left"/>
        <w:rPr>
          <w:b w:val="0"/>
          <w:bCs w:val="0"/>
        </w:rPr>
      </w:pPr>
      <w:bookmarkStart w:name="七、与上年度财务报告相比，合并报表范围发生变化的情况说明" w:id="71"/>
      <w:bookmarkEnd w:id="71"/>
      <w:r>
        <w:rPr>
          <w:b w:val="0"/>
          <w:bCs w:val="0"/>
        </w:rPr>
      </w:r>
      <w:r>
        <w:rPr/>
        <w:t>七、与上年度财务报告相比，合并报表范围发生变化的情况说明</w:t>
      </w:r>
      <w:r>
        <w:rPr>
          <w:b w:val="0"/>
          <w:bCs w:val="0"/>
        </w:rPr>
      </w:r>
    </w:p>
    <w:p>
      <w:pPr>
        <w:spacing w:line="240" w:lineRule="auto" w:before="8"/>
        <w:rPr>
          <w:rFonts w:ascii="宋体" w:hAnsi="宋体" w:cs="宋体" w:eastAsia="宋体" w:hint="default"/>
          <w:b/>
          <w:bCs/>
          <w:sz w:val="27"/>
          <w:szCs w:val="27"/>
        </w:rPr>
      </w:pPr>
    </w:p>
    <w:p>
      <w:pPr>
        <w:pStyle w:val="BodyText"/>
        <w:spacing w:line="240" w:lineRule="auto"/>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8"/>
        <w:rPr>
          <w:rFonts w:ascii="宋体" w:hAnsi="宋体" w:cs="宋体" w:eastAsia="宋体" w:hint="default"/>
          <w:sz w:val="13"/>
          <w:szCs w:val="13"/>
        </w:rPr>
      </w:pPr>
    </w:p>
    <w:p>
      <w:pPr>
        <w:pStyle w:val="BodyText"/>
        <w:spacing w:line="453" w:lineRule="auto"/>
        <w:ind w:right="0" w:firstLine="360"/>
        <w:jc w:val="left"/>
      </w:pPr>
      <w:r>
        <w:rPr>
          <w:spacing w:val="-5"/>
        </w:rPr>
        <w:t>报告期内，本公司以自有资金 </w:t>
      </w:r>
      <w:r>
        <w:rPr>
          <w:rFonts w:ascii="Times New Roman" w:hAnsi="Times New Roman" w:cs="Times New Roman" w:eastAsia="Times New Roman" w:hint="default"/>
        </w:rPr>
        <w:t>550 </w:t>
      </w:r>
      <w:r>
        <w:rPr>
          <w:spacing w:val="-4"/>
        </w:rPr>
        <w:t>万元增资杰智融，增资完成后公司持有杰智融</w:t>
      </w:r>
      <w:r>
        <w:rPr>
          <w:spacing w:val="-15"/>
        </w:rPr>
        <w:t> </w:t>
      </w:r>
      <w:r>
        <w:rPr>
          <w:rFonts w:ascii="Times New Roman" w:hAnsi="Times New Roman" w:cs="Times New Roman" w:eastAsia="Times New Roman" w:hint="default"/>
          <w:spacing w:val="-5"/>
        </w:rPr>
        <w:t>55%</w:t>
      </w:r>
      <w:r>
        <w:rPr>
          <w:spacing w:val="-5"/>
        </w:rPr>
        <w:t>的股权，杰智融成为公司的控股子</w:t>
      </w:r>
      <w:r>
        <w:rPr>
          <w:w w:val="101"/>
        </w:rPr>
        <w:t> </w:t>
      </w:r>
      <w:r>
        <w:rPr>
          <w:spacing w:val="-3"/>
        </w:rPr>
        <w:t>公司，因此本报告期内合并报表范围增加 </w:t>
      </w:r>
      <w:r>
        <w:rPr>
          <w:rFonts w:ascii="Times New Roman" w:hAnsi="Times New Roman" w:cs="Times New Roman" w:eastAsia="Times New Roman" w:hint="default"/>
        </w:rPr>
        <w:t>1</w:t>
      </w:r>
      <w:r>
        <w:rPr>
          <w:rFonts w:ascii="Times New Roman" w:hAnsi="Times New Roman" w:cs="Times New Roman" w:eastAsia="Times New Roman" w:hint="default"/>
          <w:spacing w:val="8"/>
        </w:rPr>
        <w:t> </w:t>
      </w:r>
      <w:r>
        <w:rPr/>
        <w:t>户。</w:t>
      </w:r>
    </w:p>
    <w:p>
      <w:pPr>
        <w:spacing w:line="240" w:lineRule="auto" w:before="8"/>
        <w:rPr>
          <w:rFonts w:ascii="宋体" w:hAnsi="宋体" w:cs="宋体" w:eastAsia="宋体" w:hint="default"/>
          <w:sz w:val="15"/>
          <w:szCs w:val="15"/>
        </w:rPr>
      </w:pPr>
    </w:p>
    <w:p>
      <w:pPr>
        <w:pStyle w:val="Heading2"/>
        <w:spacing w:line="240" w:lineRule="auto"/>
        <w:ind w:right="0"/>
        <w:jc w:val="left"/>
        <w:rPr>
          <w:b w:val="0"/>
          <w:bCs w:val="0"/>
        </w:rPr>
      </w:pPr>
      <w:bookmarkStart w:name="八、聘任、解聘会计师事务所情况" w:id="72"/>
      <w:bookmarkEnd w:id="72"/>
      <w:r>
        <w:rPr>
          <w:b w:val="0"/>
          <w:bCs w:val="0"/>
        </w:rPr>
      </w:r>
      <w:r>
        <w:rPr/>
        <w:t>八、聘任、解聘会计师事务所情况</w:t>
      </w:r>
      <w:r>
        <w:rPr>
          <w:b w:val="0"/>
          <w:bCs w:val="0"/>
        </w:rPr>
      </w:r>
    </w:p>
    <w:p>
      <w:pPr>
        <w:spacing w:line="240" w:lineRule="auto" w:before="3"/>
        <w:rPr>
          <w:rFonts w:ascii="宋体" w:hAnsi="宋体" w:cs="宋体" w:eastAsia="宋体" w:hint="default"/>
          <w:b/>
          <w:bCs/>
          <w:sz w:val="27"/>
          <w:szCs w:val="27"/>
        </w:rPr>
      </w:pPr>
    </w:p>
    <w:p>
      <w:pPr>
        <w:pStyle w:val="BodyText"/>
        <w:spacing w:line="240" w:lineRule="auto"/>
        <w:ind w:right="0"/>
        <w:jc w:val="left"/>
      </w:pPr>
      <w:r>
        <w:rPr>
          <w:spacing w:val="-3"/>
        </w:rPr>
        <w:t>现聘任的会计事务所</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4792"/>
        <w:gridCol w:w="4777"/>
      </w:tblGrid>
      <w:tr>
        <w:trPr>
          <w:trHeight w:val="401"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中汇会计师事务所（特殊普通合伙）</w:t>
            </w:r>
          </w:p>
        </w:tc>
      </w:tr>
      <w:tr>
        <w:trPr>
          <w:trHeight w:val="401"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pacing w:val="-3"/>
                <w:sz w:val="18"/>
                <w:szCs w:val="18"/>
              </w:rPr>
              <w:t>境内会计师事务所报酬（万元）</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24" w:right="0"/>
              <w:jc w:val="left"/>
              <w:rPr>
                <w:rFonts w:ascii="Times New Roman" w:hAnsi="Times New Roman" w:cs="Times New Roman" w:eastAsia="Times New Roman" w:hint="default"/>
                <w:sz w:val="18"/>
                <w:szCs w:val="18"/>
              </w:rPr>
            </w:pPr>
            <w:r>
              <w:rPr>
                <w:rFonts w:ascii="Times New Roman"/>
                <w:sz w:val="18"/>
              </w:rPr>
              <w:t>85</w:t>
            </w:r>
          </w:p>
        </w:tc>
      </w:tr>
      <w:tr>
        <w:trPr>
          <w:trHeight w:val="404"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pacing w:val="-3"/>
                <w:sz w:val="18"/>
                <w:szCs w:val="18"/>
              </w:rPr>
              <w:t>境内会计师事务所审计服务的连续年限</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3"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境内会计师事务所注册会计师姓名</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章归鸿、王甫荣</w:t>
            </w:r>
          </w:p>
        </w:tc>
      </w:tr>
      <w:tr>
        <w:trPr>
          <w:trHeight w:val="403"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境内会计师事务所注册会计师审计服务的连续年限</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r>
    </w:tbl>
    <w:p>
      <w:pPr>
        <w:pStyle w:val="BodyText"/>
        <w:spacing w:line="240" w:lineRule="auto" w:before="53"/>
        <w:ind w:right="0"/>
        <w:jc w:val="left"/>
      </w:pPr>
      <w:r>
        <w:rPr/>
        <w:t>是否改聘会计师事务所</w:t>
      </w:r>
    </w:p>
    <w:p>
      <w:pPr>
        <w:pStyle w:val="BodyText"/>
        <w:spacing w:line="343" w:lineRule="auto" w:before="115"/>
        <w:ind w:right="7565"/>
        <w:jc w:val="left"/>
      </w:pP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是</w:t>
      </w:r>
      <w:r>
        <w:rPr>
          <w:spacing w:val="-4"/>
        </w:rPr>
        <w:t> </w:t>
      </w:r>
      <w:r>
        <w:rPr>
          <w:rFonts w:ascii="Times New Roman" w:hAnsi="Times New Roman" w:cs="Times New Roman" w:eastAsia="Times New Roman" w:hint="default"/>
        </w:rPr>
        <w:t>□</w:t>
      </w:r>
      <w:r>
        <w:rPr>
          <w:rFonts w:ascii="Times New Roman" w:hAnsi="Times New Roman" w:cs="Times New Roman" w:eastAsia="Times New Roman" w:hint="default"/>
          <w:spacing w:val="41"/>
        </w:rPr>
        <w:t> </w:t>
      </w:r>
      <w:r>
        <w:rPr/>
        <w:t>否</w:t>
      </w:r>
      <w:r>
        <w:rPr>
          <w:spacing w:val="-84"/>
        </w:rPr>
        <w:t> </w:t>
      </w:r>
      <w:r>
        <w:rPr>
          <w:spacing w:val="-3"/>
        </w:rPr>
        <w:t>是否在审计期间改聘会计师事务所</w:t>
      </w:r>
    </w:p>
    <w:p>
      <w:pPr>
        <w:pStyle w:val="BodyText"/>
        <w:spacing w:line="338" w:lineRule="auto" w:before="37"/>
        <w:ind w:right="7565"/>
        <w:jc w:val="left"/>
      </w:pPr>
      <w:r>
        <w:rPr>
          <w:rFonts w:ascii="Times New Roman" w:hAnsi="Times New Roman" w:cs="Times New Roman" w:eastAsia="Times New Roman" w:hint="default"/>
        </w:rPr>
        <w:t>□ </w:t>
      </w:r>
      <w:r>
        <w:rPr>
          <w:spacing w:val="-3"/>
        </w:rPr>
        <w:t>是</w:t>
      </w:r>
      <w:r>
        <w:rPr>
          <w:rFonts w:ascii="Times New Roman" w:hAnsi="Times New Roman" w:cs="Times New Roman" w:eastAsia="Times New Roman" w:hint="default"/>
          <w:spacing w:val="-3"/>
        </w:rPr>
        <w:t>√ </w:t>
      </w:r>
      <w:r>
        <w:rPr/>
        <w:t>否</w:t>
      </w:r>
      <w:r>
        <w:rPr>
          <w:spacing w:val="-74"/>
        </w:rPr>
        <w:t> </w:t>
      </w:r>
      <w:r>
        <w:rPr>
          <w:spacing w:val="-3"/>
        </w:rPr>
        <w:t>更换会计师事务所是否履行审批程序</w:t>
      </w:r>
    </w:p>
    <w:p>
      <w:pPr>
        <w:pStyle w:val="BodyText"/>
        <w:spacing w:line="338" w:lineRule="auto" w:before="46"/>
        <w:ind w:right="7565"/>
        <w:jc w:val="left"/>
      </w:pP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是</w:t>
      </w:r>
      <w:r>
        <w:rPr>
          <w:spacing w:val="-4"/>
        </w:rPr>
        <w:t> </w:t>
      </w:r>
      <w:r>
        <w:rPr>
          <w:rFonts w:ascii="Times New Roman" w:hAnsi="Times New Roman" w:cs="Times New Roman" w:eastAsia="Times New Roman" w:hint="default"/>
        </w:rPr>
        <w:t>□</w:t>
      </w:r>
      <w:r>
        <w:rPr>
          <w:rFonts w:ascii="Times New Roman" w:hAnsi="Times New Roman" w:cs="Times New Roman" w:eastAsia="Times New Roman" w:hint="default"/>
          <w:spacing w:val="41"/>
        </w:rPr>
        <w:t> </w:t>
      </w:r>
      <w:r>
        <w:rPr/>
        <w:t>否</w:t>
      </w:r>
      <w:r>
        <w:rPr>
          <w:spacing w:val="-84"/>
        </w:rPr>
        <w:t> </w:t>
      </w:r>
      <w:r>
        <w:rPr>
          <w:spacing w:val="-3"/>
        </w:rPr>
        <w:t>聘任、解聘会计师事务所情况说明</w:t>
      </w:r>
    </w:p>
    <w:p>
      <w:pPr>
        <w:pStyle w:val="BodyText"/>
        <w:spacing w:line="240" w:lineRule="auto" w:before="117"/>
        <w:ind w:right="0" w:firstLine="360"/>
        <w:jc w:val="left"/>
      </w:pPr>
      <w:r>
        <w:rPr>
          <w:spacing w:val="-5"/>
        </w:rPr>
        <w:t>鉴于瑞华会计师事务所（特殊普通合伙）已连续多年为公司提供审计服务，为保持公司审计工作的独立性、客观性和公</w:t>
      </w:r>
    </w:p>
    <w:p>
      <w:pPr>
        <w:spacing w:line="240" w:lineRule="auto" w:before="12"/>
        <w:rPr>
          <w:rFonts w:ascii="宋体" w:hAnsi="宋体" w:cs="宋体" w:eastAsia="宋体" w:hint="default"/>
          <w:sz w:val="17"/>
          <w:szCs w:val="17"/>
        </w:rPr>
      </w:pPr>
    </w:p>
    <w:p>
      <w:pPr>
        <w:pStyle w:val="BodyText"/>
        <w:spacing w:line="240" w:lineRule="auto"/>
        <w:ind w:right="0"/>
        <w:jc w:val="left"/>
      </w:pPr>
      <w:r>
        <w:rPr>
          <w:spacing w:val="-4"/>
        </w:rPr>
        <w:t>允性，同时根据公司经营发展需要，公司决定更换会计师事务所。经公司董事会审计委员会提议，并经第四届董事会第十九</w:t>
      </w:r>
    </w:p>
    <w:p>
      <w:pPr>
        <w:spacing w:after="0" w:line="240" w:lineRule="auto"/>
        <w:jc w:val="left"/>
        <w:sectPr>
          <w:pgSz w:w="11910" w:h="16840"/>
          <w:pgMar w:header="871" w:footer="1186" w:top="1100" w:bottom="1380" w:left="980" w:right="0"/>
        </w:sectPr>
      </w:pPr>
    </w:p>
    <w:p>
      <w:pPr>
        <w:spacing w:line="240" w:lineRule="auto" w:before="1"/>
        <w:rPr>
          <w:rFonts w:ascii="宋体" w:hAnsi="宋体" w:cs="宋体" w:eastAsia="宋体" w:hint="default"/>
          <w:sz w:val="28"/>
          <w:szCs w:val="28"/>
        </w:rPr>
      </w:pPr>
    </w:p>
    <w:p>
      <w:pPr>
        <w:pStyle w:val="BodyText"/>
        <w:spacing w:line="240" w:lineRule="auto" w:before="46"/>
        <w:ind w:right="0"/>
        <w:jc w:val="left"/>
      </w:pPr>
      <w:r>
        <w:rPr>
          <w:spacing w:val="-3"/>
        </w:rPr>
        <w:t>次会议、第四届监事会第十七次会议和 </w:t>
      </w:r>
      <w:r>
        <w:rPr>
          <w:rFonts w:ascii="Times New Roman" w:hAnsi="Times New Roman" w:cs="Times New Roman" w:eastAsia="Times New Roman" w:hint="default"/>
          <w:spacing w:val="-3"/>
        </w:rPr>
        <w:t>2019  </w:t>
      </w:r>
      <w:r>
        <w:rPr>
          <w:rFonts w:ascii="Times New Roman" w:hAnsi="Times New Roman" w:cs="Times New Roman" w:eastAsia="Times New Roman" w:hint="default"/>
          <w:spacing w:val="27"/>
        </w:rPr>
        <w:t> </w:t>
      </w:r>
      <w:r>
        <w:rPr>
          <w:spacing w:val="-3"/>
        </w:rPr>
        <w:t>年第二次临时股东大会审议，公司聘任中汇会计师事务所（特殊普通合伙）为</w:t>
      </w:r>
    </w:p>
    <w:p>
      <w:pPr>
        <w:spacing w:line="240" w:lineRule="auto" w:before="7"/>
        <w:rPr>
          <w:rFonts w:ascii="宋体" w:hAnsi="宋体" w:cs="宋体" w:eastAsia="宋体" w:hint="default"/>
          <w:sz w:val="16"/>
          <w:szCs w:val="16"/>
        </w:rPr>
      </w:pPr>
    </w:p>
    <w:p>
      <w:pPr>
        <w:pStyle w:val="BodyText"/>
        <w:spacing w:line="417" w:lineRule="auto"/>
        <w:ind w:right="6000"/>
        <w:jc w:val="left"/>
      </w:pPr>
      <w:r>
        <w:rPr/>
        <w:t>公司</w:t>
      </w:r>
      <w:r>
        <w:rPr>
          <w:spacing w:val="-47"/>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1"/>
        </w:rPr>
        <w:t> </w:t>
      </w:r>
      <w:r>
        <w:rPr>
          <w:spacing w:val="-3"/>
        </w:rPr>
        <w:t>年度审计机构。</w:t>
      </w:r>
      <w:r>
        <w:rPr>
          <w:spacing w:val="-64"/>
        </w:rPr>
        <w:t> </w:t>
      </w:r>
      <w:r>
        <w:rPr>
          <w:spacing w:val="-64"/>
        </w:rPr>
      </w:r>
      <w:r>
        <w:rPr>
          <w:spacing w:val="-3"/>
        </w:rPr>
        <w:t>聘请内部控制审计会计师事务所、财务顾问或保荐人情况</w:t>
      </w:r>
    </w:p>
    <w:p>
      <w:pPr>
        <w:pStyle w:val="BodyText"/>
        <w:spacing w:line="236" w:lineRule="exact"/>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12"/>
        <w:rPr>
          <w:rFonts w:ascii="宋体" w:hAnsi="宋体" w:cs="宋体" w:eastAsia="宋体" w:hint="default"/>
          <w:sz w:val="22"/>
          <w:szCs w:val="22"/>
        </w:rPr>
      </w:pPr>
    </w:p>
    <w:p>
      <w:pPr>
        <w:pStyle w:val="Heading2"/>
        <w:spacing w:line="240" w:lineRule="auto"/>
        <w:ind w:right="0"/>
        <w:jc w:val="left"/>
        <w:rPr>
          <w:b w:val="0"/>
          <w:bCs w:val="0"/>
        </w:rPr>
      </w:pPr>
      <w:bookmarkStart w:name="九、年度报告披露后面临暂停上市和终止上市情况" w:id="73"/>
      <w:bookmarkEnd w:id="73"/>
      <w:r>
        <w:rPr>
          <w:b w:val="0"/>
          <w:bCs w:val="0"/>
        </w:rPr>
      </w:r>
      <w:r>
        <w:rPr/>
        <w:t>九、年度报告披露后面临暂停上市和终止上市情况</w:t>
      </w:r>
      <w:r>
        <w:rPr>
          <w:b w:val="0"/>
          <w:bCs w:val="0"/>
        </w:rPr>
      </w:r>
    </w:p>
    <w:p>
      <w:pPr>
        <w:spacing w:line="240" w:lineRule="auto" w:before="8"/>
        <w:rPr>
          <w:rFonts w:ascii="宋体" w:hAnsi="宋体" w:cs="宋体" w:eastAsia="宋体" w:hint="default"/>
          <w:b/>
          <w:bCs/>
          <w:sz w:val="27"/>
          <w:szCs w:val="27"/>
        </w:rPr>
      </w:pPr>
    </w:p>
    <w:p>
      <w:pPr>
        <w:pStyle w:val="BodyText"/>
        <w:spacing w:line="240" w:lineRule="auto"/>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12"/>
        <w:rPr>
          <w:rFonts w:ascii="宋体" w:hAnsi="宋体" w:cs="宋体" w:eastAsia="宋体" w:hint="default"/>
          <w:sz w:val="22"/>
          <w:szCs w:val="22"/>
        </w:rPr>
      </w:pPr>
    </w:p>
    <w:p>
      <w:pPr>
        <w:pStyle w:val="Heading2"/>
        <w:spacing w:line="240" w:lineRule="auto"/>
        <w:ind w:right="0"/>
        <w:jc w:val="left"/>
        <w:rPr>
          <w:b w:val="0"/>
          <w:bCs w:val="0"/>
        </w:rPr>
      </w:pPr>
      <w:bookmarkStart w:name="十、破产重整相关事项" w:id="74"/>
      <w:bookmarkEnd w:id="74"/>
      <w:r>
        <w:rPr>
          <w:b w:val="0"/>
          <w:bCs w:val="0"/>
        </w:rPr>
      </w:r>
      <w:r>
        <w:rPr/>
        <w:t>十、破产重整相关事项</w:t>
      </w:r>
      <w:r>
        <w:rPr>
          <w:b w:val="0"/>
          <w:bCs w:val="0"/>
        </w:rPr>
      </w:r>
    </w:p>
    <w:p>
      <w:pPr>
        <w:spacing w:line="240" w:lineRule="auto" w:before="7"/>
        <w:rPr>
          <w:rFonts w:ascii="宋体" w:hAnsi="宋体" w:cs="宋体" w:eastAsia="宋体" w:hint="default"/>
          <w:b/>
          <w:bCs/>
          <w:sz w:val="27"/>
          <w:szCs w:val="27"/>
        </w:rPr>
      </w:pPr>
    </w:p>
    <w:p>
      <w:pPr>
        <w:pStyle w:val="BodyText"/>
        <w:spacing w:line="415" w:lineRule="auto"/>
        <w:ind w:left="513" w:right="6680" w:hanging="36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3"/>
        </w:rPr>
        <w:t>公司报告期未发生破产重整相关事项。</w:t>
      </w:r>
    </w:p>
    <w:p>
      <w:pPr>
        <w:spacing w:line="240" w:lineRule="auto" w:before="3"/>
        <w:rPr>
          <w:rFonts w:ascii="宋体" w:hAnsi="宋体" w:cs="宋体" w:eastAsia="宋体" w:hint="default"/>
          <w:sz w:val="20"/>
          <w:szCs w:val="20"/>
        </w:rPr>
      </w:pPr>
    </w:p>
    <w:p>
      <w:pPr>
        <w:pStyle w:val="Heading2"/>
        <w:spacing w:line="240" w:lineRule="auto"/>
        <w:ind w:right="0"/>
        <w:jc w:val="left"/>
        <w:rPr>
          <w:b w:val="0"/>
          <w:bCs w:val="0"/>
        </w:rPr>
      </w:pPr>
      <w:bookmarkStart w:name="十一、重大诉讼、仲裁事项" w:id="75"/>
      <w:bookmarkEnd w:id="75"/>
      <w:r>
        <w:rPr>
          <w:b w:val="0"/>
          <w:bCs w:val="0"/>
        </w:rPr>
      </w:r>
      <w:r>
        <w:rPr/>
        <w:t>十一、重大诉讼、仲裁事项</w:t>
      </w:r>
      <w:r>
        <w:rPr>
          <w:b w:val="0"/>
          <w:bCs w:val="0"/>
        </w:rPr>
      </w:r>
    </w:p>
    <w:p>
      <w:pPr>
        <w:spacing w:line="240" w:lineRule="auto" w:before="3"/>
        <w:rPr>
          <w:rFonts w:ascii="宋体" w:hAnsi="宋体" w:cs="宋体" w:eastAsia="宋体" w:hint="default"/>
          <w:b/>
          <w:bCs/>
          <w:sz w:val="27"/>
          <w:szCs w:val="27"/>
        </w:rPr>
      </w:pPr>
    </w:p>
    <w:p>
      <w:pPr>
        <w:pStyle w:val="BodyText"/>
        <w:spacing w:line="417" w:lineRule="auto"/>
        <w:ind w:left="513" w:right="6680" w:hanging="36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3"/>
        </w:rPr>
        <w:t>本年度公司无重大诉讼、仲裁事项。</w:t>
      </w:r>
    </w:p>
    <w:p>
      <w:pPr>
        <w:spacing w:line="240" w:lineRule="auto" w:before="0"/>
        <w:rPr>
          <w:rFonts w:ascii="宋体" w:hAnsi="宋体" w:cs="宋体" w:eastAsia="宋体" w:hint="default"/>
          <w:sz w:val="20"/>
          <w:szCs w:val="20"/>
        </w:rPr>
      </w:pPr>
    </w:p>
    <w:p>
      <w:pPr>
        <w:pStyle w:val="Heading2"/>
        <w:spacing w:line="240" w:lineRule="auto"/>
        <w:ind w:right="0"/>
        <w:jc w:val="left"/>
        <w:rPr>
          <w:b w:val="0"/>
          <w:bCs w:val="0"/>
        </w:rPr>
      </w:pPr>
      <w:bookmarkStart w:name="十二、处罚及整改情况" w:id="76"/>
      <w:bookmarkEnd w:id="76"/>
      <w:r>
        <w:rPr>
          <w:b w:val="0"/>
          <w:bCs w:val="0"/>
        </w:rPr>
      </w:r>
      <w:r>
        <w:rPr/>
        <w:t>十二、处罚及整改情况</w:t>
      </w:r>
      <w:r>
        <w:rPr>
          <w:b w:val="0"/>
          <w:bCs w:val="0"/>
        </w:rPr>
      </w:r>
    </w:p>
    <w:p>
      <w:pPr>
        <w:spacing w:line="240" w:lineRule="auto" w:before="3"/>
        <w:rPr>
          <w:rFonts w:ascii="宋体" w:hAnsi="宋体" w:cs="宋体" w:eastAsia="宋体" w:hint="default"/>
          <w:b/>
          <w:bCs/>
          <w:sz w:val="27"/>
          <w:szCs w:val="27"/>
        </w:rPr>
      </w:pPr>
    </w:p>
    <w:p>
      <w:pPr>
        <w:pStyle w:val="BodyText"/>
        <w:spacing w:line="417" w:lineRule="auto"/>
        <w:ind w:left="513" w:right="6680" w:hanging="36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3"/>
        </w:rPr>
        <w:t>公司报告期不存在处罚及整改情况。</w:t>
      </w:r>
    </w:p>
    <w:p>
      <w:pPr>
        <w:spacing w:line="240" w:lineRule="auto" w:before="0"/>
        <w:rPr>
          <w:rFonts w:ascii="宋体" w:hAnsi="宋体" w:cs="宋体" w:eastAsia="宋体" w:hint="default"/>
          <w:sz w:val="20"/>
          <w:szCs w:val="20"/>
        </w:rPr>
      </w:pPr>
    </w:p>
    <w:p>
      <w:pPr>
        <w:pStyle w:val="Heading2"/>
        <w:spacing w:line="240" w:lineRule="auto"/>
        <w:ind w:right="0"/>
        <w:jc w:val="left"/>
        <w:rPr>
          <w:b w:val="0"/>
          <w:bCs w:val="0"/>
        </w:rPr>
      </w:pPr>
      <w:bookmarkStart w:name="十三、公司及其控股股东、实际控制人的诚信状况" w:id="77"/>
      <w:bookmarkEnd w:id="77"/>
      <w:r>
        <w:rPr>
          <w:b w:val="0"/>
          <w:bCs w:val="0"/>
        </w:rPr>
      </w:r>
      <w:r>
        <w:rPr/>
        <w:t>十三、公司及其控股股东、实际控制人的诚信状况</w:t>
      </w:r>
      <w:r>
        <w:rPr>
          <w:b w:val="0"/>
          <w:bCs w:val="0"/>
        </w:rPr>
      </w:r>
    </w:p>
    <w:p>
      <w:pPr>
        <w:spacing w:line="240" w:lineRule="auto" w:before="7"/>
        <w:rPr>
          <w:rFonts w:ascii="宋体" w:hAnsi="宋体" w:cs="宋体" w:eastAsia="宋体" w:hint="default"/>
          <w:b/>
          <w:bCs/>
          <w:sz w:val="27"/>
          <w:szCs w:val="27"/>
        </w:rPr>
      </w:pPr>
    </w:p>
    <w:p>
      <w:pPr>
        <w:pStyle w:val="BodyText"/>
        <w:spacing w:line="240" w:lineRule="auto"/>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13"/>
        <w:rPr>
          <w:rFonts w:ascii="宋体" w:hAnsi="宋体" w:cs="宋体" w:eastAsia="宋体" w:hint="default"/>
          <w:sz w:val="22"/>
          <w:szCs w:val="22"/>
        </w:rPr>
      </w:pPr>
    </w:p>
    <w:p>
      <w:pPr>
        <w:pStyle w:val="Heading2"/>
        <w:spacing w:line="240" w:lineRule="auto"/>
        <w:ind w:right="0"/>
        <w:jc w:val="left"/>
        <w:rPr>
          <w:b w:val="0"/>
          <w:bCs w:val="0"/>
        </w:rPr>
      </w:pPr>
      <w:bookmarkStart w:name="十四、公司股权激励计划、员工持股计划或其他员工激励措施的实施情况" w:id="78"/>
      <w:bookmarkEnd w:id="78"/>
      <w:r>
        <w:rPr>
          <w:b w:val="0"/>
          <w:bCs w:val="0"/>
        </w:rPr>
      </w:r>
      <w:r>
        <w:rPr/>
        <w:t>十四、公司股权激励计划、员工持股计划或其他员工激励措施的实施情况</w:t>
      </w:r>
      <w:r>
        <w:rPr>
          <w:b w:val="0"/>
          <w:bCs w:val="0"/>
        </w:rPr>
      </w:r>
    </w:p>
    <w:p>
      <w:pPr>
        <w:spacing w:line="240" w:lineRule="auto" w:before="7"/>
        <w:rPr>
          <w:rFonts w:ascii="宋体" w:hAnsi="宋体" w:cs="宋体" w:eastAsia="宋体" w:hint="default"/>
          <w:b/>
          <w:bCs/>
          <w:sz w:val="27"/>
          <w:szCs w:val="27"/>
        </w:rPr>
      </w:pPr>
    </w:p>
    <w:p>
      <w:pPr>
        <w:pStyle w:val="BodyText"/>
        <w:spacing w:line="410" w:lineRule="auto"/>
        <w:ind w:left="513" w:right="3848" w:hanging="36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3"/>
        </w:rPr>
        <w:t>公司报告期无股权激励计划、员工持股计划或其他员工激励措施及其实施情况。</w:t>
      </w:r>
    </w:p>
    <w:p>
      <w:pPr>
        <w:spacing w:line="240" w:lineRule="auto" w:before="11"/>
        <w:rPr>
          <w:rFonts w:ascii="宋体" w:hAnsi="宋体" w:cs="宋体" w:eastAsia="宋体" w:hint="default"/>
          <w:sz w:val="20"/>
          <w:szCs w:val="20"/>
        </w:rPr>
      </w:pPr>
    </w:p>
    <w:p>
      <w:pPr>
        <w:pStyle w:val="Heading2"/>
        <w:spacing w:line="240" w:lineRule="auto"/>
        <w:ind w:right="0"/>
        <w:jc w:val="left"/>
        <w:rPr>
          <w:b w:val="0"/>
          <w:bCs w:val="0"/>
        </w:rPr>
      </w:pPr>
      <w:bookmarkStart w:name="十五、重大关联交易" w:id="79"/>
      <w:bookmarkEnd w:id="79"/>
      <w:r>
        <w:rPr>
          <w:b w:val="0"/>
          <w:bCs w:val="0"/>
        </w:rPr>
      </w:r>
      <w:r>
        <w:rPr/>
        <w:t>十五、重大关联交易</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left"/>
        <w:rPr>
          <w:b w:val="0"/>
          <w:bCs w:val="0"/>
        </w:rPr>
      </w:pPr>
      <w:bookmarkStart w:name="1、与日常经营相关的关联交易" w:id="80"/>
      <w:bookmarkEnd w:id="80"/>
      <w:r>
        <w:rPr>
          <w:b w:val="0"/>
          <w:bCs w:val="0"/>
        </w:rPr>
      </w:r>
      <w:r>
        <w:rPr>
          <w:rFonts w:ascii="Times New Roman" w:hAnsi="Times New Roman" w:cs="Times New Roman" w:eastAsia="Times New Roman" w:hint="default"/>
        </w:rPr>
        <w:t>1</w:t>
      </w:r>
      <w:r>
        <w:rPr/>
        <w:t>、与日常经营相关的关联交易</w:t>
      </w:r>
      <w:r>
        <w:rPr>
          <w:b w:val="0"/>
          <w:bCs w:val="0"/>
        </w:rPr>
      </w:r>
    </w:p>
    <w:p>
      <w:pPr>
        <w:spacing w:line="240" w:lineRule="auto" w:before="1"/>
        <w:rPr>
          <w:rFonts w:ascii="宋体" w:hAnsi="宋体" w:cs="宋体" w:eastAsia="宋体" w:hint="default"/>
          <w:b/>
          <w:bCs/>
          <w:sz w:val="27"/>
          <w:szCs w:val="27"/>
        </w:rPr>
      </w:pPr>
    </w:p>
    <w:p>
      <w:pPr>
        <w:pStyle w:val="BodyText"/>
        <w:spacing w:line="412" w:lineRule="auto"/>
        <w:ind w:left="513" w:right="6000" w:hanging="36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3"/>
        </w:rPr>
        <w:t>公司报告期未发生与日常经营相关的关联交易。</w:t>
      </w:r>
    </w:p>
    <w:p>
      <w:pPr>
        <w:spacing w:after="0" w:line="412" w:lineRule="auto"/>
        <w:jc w:val="left"/>
        <w:sectPr>
          <w:pgSz w:w="11910" w:h="16840"/>
          <w:pgMar w:header="871" w:footer="1186" w:top="1100" w:bottom="1380" w:left="980" w:right="0"/>
        </w:sectPr>
      </w:pPr>
    </w:p>
    <w:p>
      <w:pPr>
        <w:spacing w:line="240" w:lineRule="auto" w:before="0"/>
        <w:rPr>
          <w:rFonts w:ascii="宋体" w:hAnsi="宋体" w:cs="宋体" w:eastAsia="宋体" w:hint="default"/>
          <w:sz w:val="21"/>
          <w:szCs w:val="21"/>
        </w:rPr>
      </w:pPr>
    </w:p>
    <w:p>
      <w:pPr>
        <w:pStyle w:val="Heading3"/>
        <w:spacing w:line="240" w:lineRule="auto" w:before="36"/>
        <w:ind w:right="0"/>
        <w:jc w:val="left"/>
        <w:rPr>
          <w:b w:val="0"/>
          <w:bCs w:val="0"/>
        </w:rPr>
      </w:pPr>
      <w:bookmarkStart w:name="2、资产或股权收购、出售发生的关联交易" w:id="81"/>
      <w:bookmarkEnd w:id="81"/>
      <w:r>
        <w:rPr>
          <w:b w:val="0"/>
          <w:bCs w:val="0"/>
        </w:rPr>
      </w:r>
      <w:r>
        <w:rPr>
          <w:rFonts w:ascii="Times New Roman" w:hAnsi="Times New Roman" w:cs="Times New Roman" w:eastAsia="Times New Roman" w:hint="default"/>
        </w:rPr>
        <w:t>2</w:t>
      </w:r>
      <w:r>
        <w:rPr/>
        <w:t>、资产或股权收购、出售发生的关联交易</w:t>
      </w:r>
      <w:r>
        <w:rPr>
          <w:b w:val="0"/>
          <w:bCs w:val="0"/>
        </w:rPr>
      </w:r>
    </w:p>
    <w:p>
      <w:pPr>
        <w:spacing w:line="240" w:lineRule="auto" w:before="9"/>
        <w:rPr>
          <w:rFonts w:ascii="宋体" w:hAnsi="宋体" w:cs="宋体" w:eastAsia="宋体" w:hint="default"/>
          <w:b/>
          <w:bCs/>
          <w:sz w:val="26"/>
          <w:szCs w:val="26"/>
        </w:rPr>
      </w:pPr>
    </w:p>
    <w:p>
      <w:pPr>
        <w:pStyle w:val="BodyText"/>
        <w:spacing w:line="412" w:lineRule="auto"/>
        <w:ind w:left="513" w:right="6000" w:hanging="36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3"/>
        </w:rPr>
        <w:t>公司报告期未发生资产或股权收购、出售的关联交易。</w:t>
      </w:r>
    </w:p>
    <w:p>
      <w:pPr>
        <w:spacing w:line="240" w:lineRule="auto" w:before="13"/>
        <w:rPr>
          <w:rFonts w:ascii="宋体" w:hAnsi="宋体" w:cs="宋体" w:eastAsia="宋体" w:hint="default"/>
          <w:sz w:val="22"/>
          <w:szCs w:val="22"/>
        </w:rPr>
      </w:pPr>
    </w:p>
    <w:p>
      <w:pPr>
        <w:pStyle w:val="Heading3"/>
        <w:spacing w:line="240" w:lineRule="auto"/>
        <w:ind w:right="0"/>
        <w:jc w:val="left"/>
        <w:rPr>
          <w:b w:val="0"/>
          <w:bCs w:val="0"/>
        </w:rPr>
      </w:pPr>
      <w:bookmarkStart w:name="3、共同对外投资的关联交易" w:id="82"/>
      <w:bookmarkEnd w:id="82"/>
      <w:r>
        <w:rPr>
          <w:b w:val="0"/>
          <w:bCs w:val="0"/>
        </w:rPr>
      </w:r>
      <w:r>
        <w:rPr>
          <w:rFonts w:ascii="Times New Roman" w:hAnsi="Times New Roman" w:cs="Times New Roman" w:eastAsia="Times New Roman" w:hint="default"/>
        </w:rPr>
        <w:t>3</w:t>
      </w:r>
      <w:r>
        <w:rPr/>
        <w:t>、共同对外投资的关联交易</w:t>
      </w:r>
      <w:r>
        <w:rPr>
          <w:b w:val="0"/>
          <w:bCs w:val="0"/>
        </w:rPr>
      </w:r>
    </w:p>
    <w:p>
      <w:pPr>
        <w:spacing w:line="240" w:lineRule="auto" w:before="9"/>
        <w:rPr>
          <w:rFonts w:ascii="宋体" w:hAnsi="宋体" w:cs="宋体" w:eastAsia="宋体" w:hint="default"/>
          <w:b/>
          <w:bCs/>
          <w:sz w:val="26"/>
          <w:szCs w:val="26"/>
        </w:rPr>
      </w:pPr>
    </w:p>
    <w:p>
      <w:pPr>
        <w:pStyle w:val="BodyText"/>
        <w:spacing w:line="412" w:lineRule="auto"/>
        <w:ind w:left="513" w:right="6680" w:hanging="36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3"/>
        </w:rPr>
        <w:t>公司报告期未发生共同对外投资的关联交易。</w:t>
      </w:r>
    </w:p>
    <w:p>
      <w:pPr>
        <w:spacing w:line="240" w:lineRule="auto" w:before="13"/>
        <w:rPr>
          <w:rFonts w:ascii="宋体" w:hAnsi="宋体" w:cs="宋体" w:eastAsia="宋体" w:hint="default"/>
          <w:sz w:val="22"/>
          <w:szCs w:val="22"/>
        </w:rPr>
      </w:pPr>
    </w:p>
    <w:p>
      <w:pPr>
        <w:pStyle w:val="Heading3"/>
        <w:spacing w:line="240" w:lineRule="auto"/>
        <w:ind w:right="0"/>
        <w:jc w:val="left"/>
        <w:rPr>
          <w:b w:val="0"/>
          <w:bCs w:val="0"/>
        </w:rPr>
      </w:pPr>
      <w:bookmarkStart w:name="4、关联债权债务往来" w:id="83"/>
      <w:bookmarkEnd w:id="83"/>
      <w:r>
        <w:rPr>
          <w:b w:val="0"/>
          <w:bCs w:val="0"/>
        </w:rPr>
      </w:r>
      <w:r>
        <w:rPr>
          <w:rFonts w:ascii="Times New Roman" w:hAnsi="Times New Roman" w:cs="Times New Roman" w:eastAsia="Times New Roman" w:hint="default"/>
        </w:rPr>
        <w:t>4</w:t>
      </w:r>
      <w:r>
        <w:rPr/>
        <w:t>、关联债权债务往来</w:t>
      </w:r>
      <w:r>
        <w:rPr>
          <w:b w:val="0"/>
          <w:bCs w:val="0"/>
        </w:rPr>
      </w:r>
    </w:p>
    <w:p>
      <w:pPr>
        <w:spacing w:line="240" w:lineRule="auto" w:before="9"/>
        <w:rPr>
          <w:rFonts w:ascii="宋体" w:hAnsi="宋体" w:cs="宋体" w:eastAsia="宋体" w:hint="default"/>
          <w:b/>
          <w:bCs/>
          <w:sz w:val="26"/>
          <w:szCs w:val="26"/>
        </w:rPr>
      </w:pPr>
    </w:p>
    <w:p>
      <w:pPr>
        <w:pStyle w:val="BodyText"/>
        <w:spacing w:line="412" w:lineRule="auto"/>
        <w:ind w:left="513" w:right="6680" w:hanging="36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3"/>
        </w:rPr>
        <w:t>公司报告期不存在关联债权债务往来。</w:t>
      </w:r>
    </w:p>
    <w:p>
      <w:pPr>
        <w:spacing w:line="240" w:lineRule="auto" w:before="13"/>
        <w:rPr>
          <w:rFonts w:ascii="宋体" w:hAnsi="宋体" w:cs="宋体" w:eastAsia="宋体" w:hint="default"/>
          <w:sz w:val="22"/>
          <w:szCs w:val="22"/>
        </w:rPr>
      </w:pPr>
    </w:p>
    <w:p>
      <w:pPr>
        <w:pStyle w:val="Heading3"/>
        <w:spacing w:line="240" w:lineRule="auto"/>
        <w:ind w:right="0"/>
        <w:jc w:val="left"/>
        <w:rPr>
          <w:b w:val="0"/>
          <w:bCs w:val="0"/>
        </w:rPr>
      </w:pPr>
      <w:bookmarkStart w:name="5、其他重大关联交易" w:id="84"/>
      <w:bookmarkEnd w:id="84"/>
      <w:r>
        <w:rPr>
          <w:b w:val="0"/>
          <w:bCs w:val="0"/>
        </w:rPr>
      </w:r>
      <w:r>
        <w:rPr>
          <w:rFonts w:ascii="Times New Roman" w:hAnsi="Times New Roman" w:cs="Times New Roman" w:eastAsia="Times New Roman" w:hint="default"/>
        </w:rPr>
        <w:t>5</w:t>
      </w:r>
      <w:r>
        <w:rPr/>
        <w:t>、其他重大关联交易</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8"/>
        <w:rPr>
          <w:rFonts w:ascii="宋体" w:hAnsi="宋体" w:cs="宋体" w:eastAsia="宋体" w:hint="default"/>
          <w:sz w:val="13"/>
          <w:szCs w:val="13"/>
        </w:rPr>
      </w:pPr>
    </w:p>
    <w:p>
      <w:pPr>
        <w:pStyle w:val="BodyText"/>
        <w:spacing w:line="453" w:lineRule="auto"/>
        <w:ind w:right="0" w:firstLine="360"/>
        <w:jc w:val="left"/>
      </w:pPr>
      <w:r>
        <w:rPr>
          <w:rFonts w:ascii="Times New Roman" w:hAnsi="Times New Roman" w:cs="Times New Roman" w:eastAsia="Times New Roman" w:hint="default"/>
        </w:rPr>
        <w:t>1</w:t>
      </w:r>
      <w:r>
        <w:rPr/>
        <w:t>、</w:t>
      </w:r>
      <w:r>
        <w:rPr>
          <w:rFonts w:ascii="Times New Roman" w:hAnsi="Times New Roman" w:cs="Times New Roman" w:eastAsia="Times New Roman" w:hint="default"/>
        </w:rPr>
        <w:t>2019</w:t>
      </w:r>
      <w:r>
        <w:rPr>
          <w:rFonts w:ascii="Times New Roman" w:hAnsi="Times New Roman" w:cs="Times New Roman" w:eastAsia="Times New Roman" w:hint="default"/>
          <w:spacing w:val="4"/>
        </w:rPr>
        <w:t> </w:t>
      </w:r>
      <w:r>
        <w:rPr/>
        <w:t>年</w:t>
      </w:r>
      <w:r>
        <w:rPr>
          <w:spacing w:val="-41"/>
        </w:rPr>
        <w:t> </w:t>
      </w:r>
      <w:r>
        <w:rPr>
          <w:rFonts w:ascii="Times New Roman" w:hAnsi="Times New Roman" w:cs="Times New Roman" w:eastAsia="Times New Roman" w:hint="default"/>
        </w:rPr>
        <w:t>4</w:t>
      </w:r>
      <w:r>
        <w:rPr>
          <w:rFonts w:ascii="Times New Roman" w:hAnsi="Times New Roman" w:cs="Times New Roman" w:eastAsia="Times New Roman" w:hint="default"/>
          <w:spacing w:val="4"/>
        </w:rPr>
        <w:t> </w:t>
      </w:r>
      <w:r>
        <w:rPr/>
        <w:t>月</w:t>
      </w:r>
      <w:r>
        <w:rPr>
          <w:spacing w:val="-35"/>
        </w:rPr>
        <w:t> </w:t>
      </w:r>
      <w:r>
        <w:rPr>
          <w:rFonts w:ascii="Times New Roman" w:hAnsi="Times New Roman" w:cs="Times New Roman" w:eastAsia="Times New Roman" w:hint="default"/>
          <w:spacing w:val="-3"/>
        </w:rPr>
        <w:t>22 </w:t>
      </w:r>
      <w:r>
        <w:rPr>
          <w:spacing w:val="-3"/>
        </w:rPr>
        <w:t>日，公司第四届董事会第十六次会议以</w:t>
      </w:r>
      <w:r>
        <w:rPr>
          <w:spacing w:val="-40"/>
        </w:rPr>
        <w:t> </w:t>
      </w:r>
      <w:r>
        <w:rPr>
          <w:rFonts w:ascii="Times New Roman" w:hAnsi="Times New Roman" w:cs="Times New Roman" w:eastAsia="Times New Roman" w:hint="default"/>
        </w:rPr>
        <w:t>5</w:t>
      </w:r>
      <w:r>
        <w:rPr>
          <w:rFonts w:ascii="Times New Roman" w:hAnsi="Times New Roman" w:cs="Times New Roman" w:eastAsia="Times New Roman" w:hint="default"/>
          <w:spacing w:val="4"/>
        </w:rPr>
        <w:t> </w:t>
      </w:r>
      <w:r>
        <w:rPr>
          <w:spacing w:val="-3"/>
        </w:rPr>
        <w:t>票同意，</w:t>
      </w:r>
      <w:r>
        <w:rPr>
          <w:rFonts w:ascii="Times New Roman" w:hAnsi="Times New Roman" w:cs="Times New Roman" w:eastAsia="Times New Roman" w:hint="default"/>
          <w:spacing w:val="-3"/>
        </w:rPr>
        <w:t>0</w:t>
      </w:r>
      <w:r>
        <w:rPr>
          <w:rFonts w:ascii="Times New Roman" w:hAnsi="Times New Roman" w:cs="Times New Roman" w:eastAsia="Times New Roman" w:hint="default"/>
          <w:spacing w:val="-1"/>
        </w:rPr>
        <w:t> </w:t>
      </w:r>
      <w:r>
        <w:rPr>
          <w:spacing w:val="-3"/>
        </w:rPr>
        <w:t>票反对，</w:t>
      </w:r>
      <w:r>
        <w:rPr>
          <w:rFonts w:ascii="Times New Roman" w:hAnsi="Times New Roman" w:cs="Times New Roman" w:eastAsia="Times New Roman" w:hint="default"/>
          <w:spacing w:val="-3"/>
        </w:rPr>
        <w:t>0</w:t>
      </w:r>
      <w:r>
        <w:rPr>
          <w:rFonts w:ascii="Times New Roman" w:hAnsi="Times New Roman" w:cs="Times New Roman" w:eastAsia="Times New Roman" w:hint="default"/>
          <w:spacing w:val="4"/>
        </w:rPr>
        <w:t> </w:t>
      </w:r>
      <w:r>
        <w:rPr>
          <w:spacing w:val="-3"/>
        </w:rPr>
        <w:t>票弃权审议通过《</w:t>
      </w:r>
      <w:r>
        <w:rPr>
          <w:rFonts w:ascii="Times New Roman" w:hAnsi="Times New Roman" w:cs="Times New Roman" w:eastAsia="Times New Roman" w:hint="default"/>
          <w:spacing w:val="-3"/>
        </w:rPr>
        <w:t>2019 </w:t>
      </w:r>
      <w:r>
        <w:rPr/>
        <w:t>年度日常关联</w:t>
      </w:r>
      <w:r>
        <w:rPr>
          <w:w w:val="101"/>
        </w:rPr>
        <w:t> </w:t>
      </w:r>
      <w:r>
        <w:rPr>
          <w:spacing w:val="-7"/>
          <w:w w:val="101"/>
        </w:rPr>
        <w:t>交易预计公告》，关联董事陈向军、李军、冯军和刘奕对该议案回避表决，并于</w:t>
      </w:r>
      <w:r>
        <w:rPr>
          <w:spacing w:val="-43"/>
          <w:w w:val="101"/>
        </w:rPr>
        <w:t> </w:t>
      </w:r>
      <w:r>
        <w:rPr>
          <w:rFonts w:ascii="Times New Roman" w:hAnsi="Times New Roman" w:cs="Times New Roman" w:eastAsia="Times New Roman" w:hint="default"/>
          <w:spacing w:val="-3"/>
          <w:w w:val="101"/>
        </w:rPr>
        <w:t>2019</w:t>
      </w:r>
      <w:r>
        <w:rPr>
          <w:rFonts w:ascii="Times New Roman" w:hAnsi="Times New Roman" w:cs="Times New Roman" w:eastAsia="Times New Roman" w:hint="default"/>
          <w:spacing w:val="-4"/>
          <w:w w:val="101"/>
        </w:rPr>
        <w:t> </w:t>
      </w:r>
      <w:r>
        <w:rPr>
          <w:w w:val="101"/>
        </w:rPr>
        <w:t>年</w:t>
      </w:r>
      <w:r>
        <w:rPr>
          <w:spacing w:val="-44"/>
          <w:w w:val="101"/>
        </w:rPr>
        <w:t> </w:t>
      </w:r>
      <w:r>
        <w:rPr>
          <w:rFonts w:ascii="Times New Roman" w:hAnsi="Times New Roman" w:cs="Times New Roman" w:eastAsia="Times New Roman" w:hint="default"/>
          <w:w w:val="101"/>
        </w:rPr>
        <w:t>5</w:t>
      </w:r>
      <w:r>
        <w:rPr>
          <w:rFonts w:ascii="Times New Roman" w:hAnsi="Times New Roman" w:cs="Times New Roman" w:eastAsia="Times New Roman" w:hint="default"/>
          <w:spacing w:val="-9"/>
          <w:w w:val="101"/>
        </w:rPr>
        <w:t> </w:t>
      </w:r>
      <w:r>
        <w:rPr>
          <w:w w:val="101"/>
        </w:rPr>
        <w:t>月</w:t>
      </w:r>
      <w:r>
        <w:rPr>
          <w:spacing w:val="-44"/>
          <w:w w:val="101"/>
        </w:rPr>
        <w:t> </w:t>
      </w:r>
      <w:r>
        <w:rPr>
          <w:rFonts w:ascii="Times New Roman" w:hAnsi="Times New Roman" w:cs="Times New Roman" w:eastAsia="Times New Roman" w:hint="default"/>
          <w:spacing w:val="-3"/>
          <w:w w:val="101"/>
        </w:rPr>
        <w:t>15</w:t>
      </w:r>
      <w:r>
        <w:rPr>
          <w:rFonts w:ascii="Times New Roman" w:hAnsi="Times New Roman" w:cs="Times New Roman" w:eastAsia="Times New Roman" w:hint="default"/>
          <w:spacing w:val="-4"/>
          <w:w w:val="101"/>
        </w:rPr>
        <w:t> </w:t>
      </w:r>
      <w:r>
        <w:rPr>
          <w:spacing w:val="-2"/>
          <w:w w:val="101"/>
        </w:rPr>
        <w:t>日经公司</w:t>
      </w:r>
      <w:r>
        <w:rPr>
          <w:spacing w:val="-44"/>
          <w:w w:val="101"/>
        </w:rPr>
        <w:t> </w:t>
      </w:r>
      <w:r>
        <w:rPr>
          <w:rFonts w:ascii="Times New Roman" w:hAnsi="Times New Roman" w:cs="Times New Roman" w:eastAsia="Times New Roman" w:hint="default"/>
          <w:spacing w:val="-3"/>
          <w:w w:val="101"/>
        </w:rPr>
        <w:t>2018</w:t>
      </w:r>
      <w:r>
        <w:rPr>
          <w:rFonts w:ascii="Times New Roman" w:hAnsi="Times New Roman" w:cs="Times New Roman" w:eastAsia="Times New Roman" w:hint="default"/>
          <w:spacing w:val="-4"/>
          <w:w w:val="101"/>
        </w:rPr>
        <w:t> </w:t>
      </w:r>
      <w:r>
        <w:rPr>
          <w:spacing w:val="-3"/>
          <w:w w:val="101"/>
        </w:rPr>
        <w:t>年度股东大会</w:t>
      </w:r>
      <w:r>
        <w:rPr>
          <w:spacing w:val="-3"/>
        </w:rPr>
      </w:r>
    </w:p>
    <w:p>
      <w:pPr>
        <w:pStyle w:val="BodyText"/>
        <w:spacing w:line="240" w:lineRule="auto" w:before="39"/>
        <w:ind w:right="0"/>
        <w:jc w:val="left"/>
      </w:pPr>
      <w:r>
        <w:rPr/>
        <w:t>审议通过。公司预计 </w:t>
      </w:r>
      <w:r>
        <w:rPr>
          <w:rFonts w:ascii="Times New Roman" w:hAnsi="Times New Roman" w:cs="Times New Roman" w:eastAsia="Times New Roman" w:hint="default"/>
          <w:spacing w:val="-3"/>
        </w:rPr>
        <w:t>2019  </w:t>
      </w:r>
      <w:r>
        <w:rPr>
          <w:rFonts w:ascii="Times New Roman" w:hAnsi="Times New Roman" w:cs="Times New Roman" w:eastAsia="Times New Roman" w:hint="default"/>
          <w:spacing w:val="1"/>
        </w:rPr>
        <w:t> </w:t>
      </w:r>
      <w:r>
        <w:rPr>
          <w:spacing w:val="-3"/>
        </w:rPr>
        <w:t>年度公司及子公司向关联方北京华道征信有限公司、百可录</w:t>
      </w:r>
      <w:r>
        <w:rPr>
          <w:rFonts w:ascii="Times New Roman" w:hAnsi="Times New Roman" w:cs="Times New Roman" w:eastAsia="Times New Roman" w:hint="default"/>
          <w:spacing w:val="-3"/>
        </w:rPr>
        <w:t>(</w:t>
      </w:r>
      <w:r>
        <w:rPr>
          <w:spacing w:val="-3"/>
        </w:rPr>
        <w:t>北京</w:t>
      </w:r>
      <w:r>
        <w:rPr>
          <w:rFonts w:ascii="Times New Roman" w:hAnsi="Times New Roman" w:cs="Times New Roman" w:eastAsia="Times New Roman" w:hint="default"/>
          <w:spacing w:val="-3"/>
        </w:rPr>
        <w:t>)</w:t>
      </w:r>
      <w:r>
        <w:rPr>
          <w:spacing w:val="-3"/>
        </w:rPr>
        <w:t>科技有限公司销售商品，预计</w:t>
      </w:r>
    </w:p>
    <w:p>
      <w:pPr>
        <w:spacing w:line="240" w:lineRule="auto" w:before="12"/>
        <w:rPr>
          <w:rFonts w:ascii="宋体" w:hAnsi="宋体" w:cs="宋体" w:eastAsia="宋体" w:hint="default"/>
          <w:sz w:val="16"/>
          <w:szCs w:val="16"/>
        </w:rPr>
      </w:pPr>
    </w:p>
    <w:p>
      <w:pPr>
        <w:pStyle w:val="BodyText"/>
        <w:spacing w:line="240" w:lineRule="auto"/>
        <w:ind w:right="0"/>
        <w:jc w:val="left"/>
      </w:pPr>
      <w:r>
        <w:rPr/>
        <w:t>总金额不超过</w:t>
      </w:r>
      <w:r>
        <w:rPr>
          <w:spacing w:val="-45"/>
        </w:rPr>
        <w:t> </w:t>
      </w:r>
      <w:r>
        <w:rPr>
          <w:rFonts w:ascii="Times New Roman" w:hAnsi="Times New Roman" w:cs="Times New Roman" w:eastAsia="Times New Roman" w:hint="default"/>
        </w:rPr>
        <w:t>6,100.00</w:t>
      </w:r>
      <w:r>
        <w:rPr>
          <w:rFonts w:ascii="Times New Roman" w:hAnsi="Times New Roman" w:cs="Times New Roman" w:eastAsia="Times New Roman" w:hint="default"/>
          <w:spacing w:val="-6"/>
        </w:rPr>
        <w:t> </w:t>
      </w:r>
      <w:r>
        <w:rPr/>
        <w:t>万元。</w:t>
      </w:r>
    </w:p>
    <w:p>
      <w:pPr>
        <w:spacing w:line="240" w:lineRule="auto" w:before="7"/>
        <w:rPr>
          <w:rFonts w:ascii="宋体" w:hAnsi="宋体" w:cs="宋体" w:eastAsia="宋体" w:hint="default"/>
          <w:sz w:val="16"/>
          <w:szCs w:val="16"/>
        </w:rPr>
      </w:pPr>
    </w:p>
    <w:p>
      <w:pPr>
        <w:pStyle w:val="BodyText"/>
        <w:spacing w:line="240" w:lineRule="auto"/>
        <w:ind w:left="513" w:right="0"/>
        <w:jc w:val="left"/>
      </w:pPr>
      <w:r>
        <w:rPr>
          <w:rFonts w:ascii="Times New Roman" w:hAnsi="Times New Roman" w:cs="Times New Roman" w:eastAsia="Times New Roman" w:hint="default"/>
        </w:rPr>
        <w:t>2019   </w:t>
      </w:r>
      <w:r>
        <w:rPr>
          <w:rFonts w:ascii="Times New Roman" w:hAnsi="Times New Roman" w:cs="Times New Roman" w:eastAsia="Times New Roman" w:hint="default"/>
          <w:spacing w:val="2"/>
        </w:rPr>
        <w:t> </w:t>
      </w:r>
      <w:r>
        <w:rPr>
          <w:spacing w:val="-4"/>
        </w:rPr>
        <w:t>年年度，公司及子公司向上述关联方北京华道征信有限公司、百可录</w:t>
      </w:r>
      <w:r>
        <w:rPr>
          <w:rFonts w:ascii="Times New Roman" w:hAnsi="Times New Roman" w:cs="Times New Roman" w:eastAsia="Times New Roman" w:hint="default"/>
          <w:spacing w:val="-4"/>
        </w:rPr>
        <w:t>(</w:t>
      </w:r>
      <w:r>
        <w:rPr>
          <w:spacing w:val="-4"/>
        </w:rPr>
        <w:t>北京</w:t>
      </w:r>
      <w:r>
        <w:rPr>
          <w:rFonts w:ascii="Times New Roman" w:hAnsi="Times New Roman" w:cs="Times New Roman" w:eastAsia="Times New Roman" w:hint="default"/>
          <w:spacing w:val="-4"/>
        </w:rPr>
        <w:t>)</w:t>
      </w:r>
      <w:r>
        <w:rPr>
          <w:spacing w:val="-4"/>
        </w:rPr>
        <w:t>科技有限公司实际关联交易金额分别为</w:t>
      </w:r>
    </w:p>
    <w:p>
      <w:pPr>
        <w:spacing w:line="240" w:lineRule="auto" w:before="12"/>
        <w:rPr>
          <w:rFonts w:ascii="宋体" w:hAnsi="宋体" w:cs="宋体" w:eastAsia="宋体" w:hint="default"/>
          <w:sz w:val="16"/>
          <w:szCs w:val="16"/>
        </w:rPr>
      </w:pPr>
    </w:p>
    <w:p>
      <w:pPr>
        <w:pStyle w:val="BodyText"/>
        <w:spacing w:line="240" w:lineRule="auto"/>
        <w:ind w:right="0"/>
        <w:jc w:val="left"/>
      </w:pPr>
      <w:r>
        <w:rPr>
          <w:rFonts w:ascii="Times New Roman" w:hAnsi="Times New Roman" w:cs="Times New Roman" w:eastAsia="Times New Roman" w:hint="default"/>
        </w:rPr>
        <w:t>1,490.00</w:t>
      </w:r>
      <w:r>
        <w:rPr>
          <w:rFonts w:ascii="Times New Roman" w:hAnsi="Times New Roman" w:cs="Times New Roman" w:eastAsia="Times New Roman" w:hint="default"/>
          <w:spacing w:val="-3"/>
        </w:rPr>
        <w:t> </w:t>
      </w:r>
      <w:r>
        <w:rPr/>
        <w:t>万元、</w:t>
      </w:r>
      <w:r>
        <w:rPr>
          <w:rFonts w:ascii="Times New Roman" w:hAnsi="Times New Roman" w:cs="Times New Roman" w:eastAsia="Times New Roman" w:hint="default"/>
        </w:rPr>
        <w:t>46.54</w:t>
      </w:r>
      <w:r>
        <w:rPr>
          <w:rFonts w:ascii="Times New Roman" w:hAnsi="Times New Roman" w:cs="Times New Roman" w:eastAsia="Times New Roman" w:hint="default"/>
          <w:spacing w:val="3"/>
        </w:rPr>
        <w:t> </w:t>
      </w:r>
      <w:r>
        <w:rPr/>
        <w:t>万元，合计</w:t>
      </w:r>
      <w:r>
        <w:rPr>
          <w:spacing w:val="-35"/>
        </w:rPr>
        <w:t> </w:t>
      </w:r>
      <w:r>
        <w:rPr>
          <w:rFonts w:ascii="Times New Roman" w:hAnsi="Times New Roman" w:cs="Times New Roman" w:eastAsia="Times New Roman" w:hint="default"/>
        </w:rPr>
        <w:t>1,536.54</w:t>
      </w:r>
      <w:r>
        <w:rPr>
          <w:rFonts w:ascii="Times New Roman" w:hAnsi="Times New Roman" w:cs="Times New Roman" w:eastAsia="Times New Roman" w:hint="default"/>
          <w:spacing w:val="-3"/>
        </w:rPr>
        <w:t> </w:t>
      </w:r>
      <w:r>
        <w:rPr>
          <w:spacing w:val="-3"/>
        </w:rPr>
        <w:t>万元，未超过年度预计金额。</w:t>
      </w:r>
    </w:p>
    <w:p>
      <w:pPr>
        <w:spacing w:line="240" w:lineRule="auto" w:before="7"/>
        <w:rPr>
          <w:rFonts w:ascii="宋体" w:hAnsi="宋体" w:cs="宋体" w:eastAsia="宋体" w:hint="default"/>
          <w:sz w:val="16"/>
          <w:szCs w:val="16"/>
        </w:rPr>
      </w:pPr>
    </w:p>
    <w:p>
      <w:pPr>
        <w:pStyle w:val="BodyText"/>
        <w:spacing w:line="453" w:lineRule="auto"/>
        <w:ind w:right="0" w:firstLine="360"/>
        <w:jc w:val="left"/>
        <w:rPr>
          <w:rFonts w:ascii="Times New Roman" w:hAnsi="Times New Roman" w:cs="Times New Roman" w:eastAsia="Times New Roman" w:hint="default"/>
        </w:rPr>
      </w:pPr>
      <w:r>
        <w:rPr>
          <w:rFonts w:ascii="Times New Roman" w:hAnsi="Times New Roman" w:cs="Times New Roman" w:eastAsia="Times New Roman" w:hint="default"/>
        </w:rPr>
        <w:t>2</w:t>
      </w:r>
      <w:r>
        <w:rPr/>
        <w:t>、</w:t>
      </w:r>
      <w:r>
        <w:rPr>
          <w:rFonts w:ascii="Times New Roman" w:hAnsi="Times New Roman" w:cs="Times New Roman" w:eastAsia="Times New Roman" w:hint="default"/>
        </w:rPr>
        <w:t>2019</w:t>
      </w:r>
      <w:r>
        <w:rPr>
          <w:rFonts w:ascii="Times New Roman" w:hAnsi="Times New Roman" w:cs="Times New Roman" w:eastAsia="Times New Roman" w:hint="default"/>
          <w:spacing w:val="8"/>
        </w:rPr>
        <w:t> </w:t>
      </w:r>
      <w:r>
        <w:rPr/>
        <w:t>年</w:t>
      </w:r>
      <w:r>
        <w:rPr>
          <w:spacing w:val="-37"/>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30"/>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spacing w:val="-3"/>
        </w:rPr>
        <w:t>日，公司第四届董事会第二十次会议以</w:t>
      </w:r>
      <w:r>
        <w:rPr>
          <w:spacing w:val="-37"/>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spacing w:val="-3"/>
        </w:rPr>
        <w:t>票同意，</w:t>
      </w:r>
      <w:r>
        <w:rPr>
          <w:rFonts w:ascii="Times New Roman" w:hAnsi="Times New Roman" w:cs="Times New Roman" w:eastAsia="Times New Roman" w:hint="default"/>
          <w:spacing w:val="-3"/>
        </w:rPr>
        <w:t>0</w:t>
      </w:r>
      <w:r>
        <w:rPr>
          <w:rFonts w:ascii="Times New Roman" w:hAnsi="Times New Roman" w:cs="Times New Roman" w:eastAsia="Times New Roman" w:hint="default"/>
          <w:spacing w:val="2"/>
        </w:rPr>
        <w:t> </w:t>
      </w:r>
      <w:r>
        <w:rPr/>
        <w:t>票反对，</w:t>
      </w:r>
      <w:r>
        <w:rPr>
          <w:rFonts w:ascii="Times New Roman" w:hAnsi="Times New Roman" w:cs="Times New Roman" w:eastAsia="Times New Roman" w:hint="default"/>
        </w:rPr>
        <w:t>0</w:t>
      </w:r>
      <w:r>
        <w:rPr>
          <w:rFonts w:ascii="Times New Roman" w:hAnsi="Times New Roman" w:cs="Times New Roman" w:eastAsia="Times New Roman" w:hint="default"/>
          <w:spacing w:val="1"/>
        </w:rPr>
        <w:t> </w:t>
      </w:r>
      <w:r>
        <w:rPr>
          <w:spacing w:val="-3"/>
        </w:rPr>
        <w:t>票弃权审议通过《关于对参股公司提</w:t>
      </w:r>
      <w:r>
        <w:rPr>
          <w:w w:val="101"/>
        </w:rPr>
        <w:t> </w:t>
      </w:r>
      <w:r>
        <w:rPr>
          <w:spacing w:val="-5"/>
          <w:w w:val="101"/>
        </w:rPr>
        <w:t>供担保暨关联交易的议案》，关联董事陈向军、李军、冯军和刘奕对该议案回避表决，并于</w:t>
      </w:r>
      <w:r>
        <w:rPr>
          <w:spacing w:val="-42"/>
          <w:w w:val="101"/>
        </w:rPr>
        <w:t> </w:t>
      </w:r>
      <w:r>
        <w:rPr>
          <w:rFonts w:ascii="Times New Roman" w:hAnsi="Times New Roman" w:cs="Times New Roman" w:eastAsia="Times New Roman" w:hint="default"/>
          <w:spacing w:val="-3"/>
          <w:w w:val="101"/>
        </w:rPr>
        <w:t>2019</w:t>
      </w:r>
      <w:r>
        <w:rPr>
          <w:rFonts w:ascii="Times New Roman" w:hAnsi="Times New Roman" w:cs="Times New Roman" w:eastAsia="Times New Roman" w:hint="default"/>
          <w:spacing w:val="-5"/>
          <w:w w:val="101"/>
        </w:rPr>
        <w:t> </w:t>
      </w:r>
      <w:r>
        <w:rPr>
          <w:w w:val="101"/>
        </w:rPr>
        <w:t>年</w:t>
      </w:r>
      <w:r>
        <w:rPr>
          <w:spacing w:val="-45"/>
          <w:w w:val="101"/>
        </w:rPr>
        <w:t> </w:t>
      </w:r>
      <w:r>
        <w:rPr>
          <w:rFonts w:ascii="Times New Roman" w:hAnsi="Times New Roman" w:cs="Times New Roman" w:eastAsia="Times New Roman" w:hint="default"/>
          <w:spacing w:val="-3"/>
          <w:w w:val="101"/>
        </w:rPr>
        <w:t>12</w:t>
      </w:r>
      <w:r>
        <w:rPr>
          <w:rFonts w:ascii="Times New Roman" w:hAnsi="Times New Roman" w:cs="Times New Roman" w:eastAsia="Times New Roman" w:hint="default"/>
          <w:spacing w:val="-5"/>
          <w:w w:val="101"/>
        </w:rPr>
        <w:t> </w:t>
      </w:r>
      <w:r>
        <w:rPr>
          <w:w w:val="101"/>
        </w:rPr>
        <w:t>月</w:t>
      </w:r>
      <w:r>
        <w:rPr>
          <w:spacing w:val="-45"/>
          <w:w w:val="101"/>
        </w:rPr>
        <w:t> </w:t>
      </w:r>
      <w:r>
        <w:rPr>
          <w:rFonts w:ascii="Times New Roman" w:hAnsi="Times New Roman" w:cs="Times New Roman" w:eastAsia="Times New Roman" w:hint="default"/>
          <w:spacing w:val="-3"/>
          <w:w w:val="101"/>
        </w:rPr>
        <w:t>19</w:t>
      </w:r>
      <w:r>
        <w:rPr>
          <w:rFonts w:ascii="Times New Roman" w:hAnsi="Times New Roman" w:cs="Times New Roman" w:eastAsia="Times New Roman" w:hint="default"/>
          <w:spacing w:val="-5"/>
          <w:w w:val="101"/>
        </w:rPr>
        <w:t> </w:t>
      </w:r>
      <w:r>
        <w:rPr>
          <w:spacing w:val="-3"/>
          <w:w w:val="101"/>
        </w:rPr>
        <w:t>日经公司</w:t>
      </w:r>
      <w:r>
        <w:rPr>
          <w:spacing w:val="-45"/>
          <w:w w:val="101"/>
        </w:rPr>
        <w:t> </w:t>
      </w:r>
      <w:r>
        <w:rPr>
          <w:rFonts w:ascii="Times New Roman" w:hAnsi="Times New Roman" w:cs="Times New Roman" w:eastAsia="Times New Roman" w:hint="default"/>
          <w:spacing w:val="-2"/>
          <w:w w:val="101"/>
        </w:rPr>
        <w:t>2019</w:t>
      </w:r>
      <w:r>
        <w:rPr>
          <w:rFonts w:ascii="Times New Roman" w:hAnsi="Times New Roman" w:cs="Times New Roman" w:eastAsia="Times New Roman" w:hint="default"/>
          <w:spacing w:val="-2"/>
        </w:rPr>
      </w:r>
    </w:p>
    <w:p>
      <w:pPr>
        <w:pStyle w:val="BodyText"/>
        <w:spacing w:line="240" w:lineRule="auto" w:before="39"/>
        <w:ind w:right="0"/>
        <w:jc w:val="left"/>
      </w:pPr>
      <w:r>
        <w:rPr>
          <w:spacing w:val="-2"/>
        </w:rPr>
        <w:t>年第三次临时股东大会审议通过。公司计划为华道征信向山西信托股份有限公司申请信托贷款提供额度不超过</w:t>
      </w:r>
      <w:r>
        <w:rPr/>
        <w:t> </w:t>
      </w:r>
      <w:r>
        <w:rPr>
          <w:rFonts w:ascii="Times New Roman" w:hAnsi="Times New Roman" w:cs="Times New Roman" w:eastAsia="Times New Roman" w:hint="default"/>
          <w:spacing w:val="2"/>
        </w:rPr>
        <w:t>2,000</w:t>
      </w:r>
      <w:r>
        <w:rPr>
          <w:rFonts w:ascii="Times New Roman" w:hAnsi="Times New Roman" w:cs="Times New Roman" w:eastAsia="Times New Roman" w:hint="default"/>
        </w:rPr>
        <w:t> </w:t>
      </w:r>
      <w:r>
        <w:rPr>
          <w:rFonts w:ascii="Times New Roman" w:hAnsi="Times New Roman" w:cs="Times New Roman" w:eastAsia="Times New Roman" w:hint="default"/>
          <w:spacing w:val="40"/>
        </w:rPr>
        <w:t> </w:t>
      </w:r>
      <w:r>
        <w:rPr>
          <w:spacing w:val="1"/>
        </w:rPr>
        <w:t>万元，</w:t>
      </w:r>
    </w:p>
    <w:p>
      <w:pPr>
        <w:spacing w:line="240" w:lineRule="auto" w:before="12"/>
        <w:rPr>
          <w:rFonts w:ascii="宋体" w:hAnsi="宋体" w:cs="宋体" w:eastAsia="宋体" w:hint="default"/>
          <w:sz w:val="16"/>
          <w:szCs w:val="16"/>
        </w:rPr>
      </w:pPr>
    </w:p>
    <w:p>
      <w:pPr>
        <w:pStyle w:val="BodyText"/>
        <w:spacing w:line="448" w:lineRule="auto"/>
        <w:ind w:left="513" w:right="2115" w:hanging="360"/>
        <w:jc w:val="left"/>
      </w:pPr>
      <w:r>
        <w:rPr/>
        <w:t>期限不超过 </w:t>
      </w:r>
      <w:r>
        <w:rPr>
          <w:rFonts w:ascii="Times New Roman" w:hAnsi="Times New Roman" w:cs="Times New Roman" w:eastAsia="Times New Roman" w:hint="default"/>
        </w:rPr>
        <w:t>2 </w:t>
      </w:r>
      <w:r>
        <w:rPr>
          <w:spacing w:val="-3"/>
        </w:rPr>
        <w:t>年的连带责任保证担保。同时，华道征信向公司提供反担保，承担保证担保责任。</w:t>
      </w:r>
      <w:r>
        <w:rPr>
          <w:spacing w:val="-42"/>
        </w:rPr>
        <w:t> </w:t>
      </w:r>
      <w:r>
        <w:rPr>
          <w:spacing w:val="-42"/>
        </w:rPr>
      </w:r>
      <w:r>
        <w:rPr>
          <w:spacing w:val="-3"/>
        </w:rPr>
        <w:t>重大关联交易临时报告披露网站相关查询</w:t>
      </w:r>
    </w:p>
    <w:tbl>
      <w:tblPr>
        <w:tblW w:w="0" w:type="auto"/>
        <w:jc w:val="left"/>
        <w:tblInd w:w="148" w:type="dxa"/>
        <w:tblLayout w:type="fixed"/>
        <w:tblCellMar>
          <w:top w:w="0" w:type="dxa"/>
          <w:left w:w="0" w:type="dxa"/>
          <w:bottom w:w="0" w:type="dxa"/>
          <w:right w:w="0" w:type="dxa"/>
        </w:tblCellMar>
        <w:tblLook w:val="01E0"/>
      </w:tblPr>
      <w:tblGrid>
        <w:gridCol w:w="3832"/>
        <w:gridCol w:w="2406"/>
        <w:gridCol w:w="3332"/>
      </w:tblGrid>
      <w:tr>
        <w:trPr>
          <w:trHeight w:val="403" w:hRule="exact"/>
        </w:trPr>
        <w:tc>
          <w:tcPr>
            <w:tcW w:w="38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0"/>
              <w:ind w:right="0"/>
              <w:jc w:val="center"/>
              <w:rPr>
                <w:rFonts w:ascii="宋体" w:hAnsi="宋体" w:cs="宋体" w:eastAsia="宋体" w:hint="default"/>
                <w:sz w:val="18"/>
                <w:szCs w:val="18"/>
              </w:rPr>
            </w:pPr>
            <w:r>
              <w:rPr>
                <w:rFonts w:ascii="宋体" w:hAnsi="宋体" w:cs="宋体" w:eastAsia="宋体" w:hint="default"/>
                <w:sz w:val="18"/>
                <w:szCs w:val="18"/>
              </w:rPr>
              <w:t>临时公告名称</w:t>
            </w:r>
          </w:p>
        </w:tc>
        <w:tc>
          <w:tcPr>
            <w:tcW w:w="24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0"/>
              <w:ind w:left="480" w:right="0"/>
              <w:jc w:val="left"/>
              <w:rPr>
                <w:rFonts w:ascii="宋体" w:hAnsi="宋体" w:cs="宋体" w:eastAsia="宋体" w:hint="default"/>
                <w:sz w:val="18"/>
                <w:szCs w:val="18"/>
              </w:rPr>
            </w:pPr>
            <w:r>
              <w:rPr>
                <w:rFonts w:ascii="宋体" w:hAnsi="宋体" w:cs="宋体" w:eastAsia="宋体" w:hint="default"/>
                <w:sz w:val="18"/>
                <w:szCs w:val="18"/>
              </w:rPr>
              <w:t>临时公告披露日期</w:t>
            </w:r>
          </w:p>
        </w:tc>
        <w:tc>
          <w:tcPr>
            <w:tcW w:w="33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0"/>
              <w:ind w:left="758" w:right="0"/>
              <w:jc w:val="left"/>
              <w:rPr>
                <w:rFonts w:ascii="宋体" w:hAnsi="宋体" w:cs="宋体" w:eastAsia="宋体" w:hint="default"/>
                <w:sz w:val="18"/>
                <w:szCs w:val="18"/>
              </w:rPr>
            </w:pPr>
            <w:r>
              <w:rPr>
                <w:rFonts w:ascii="宋体" w:hAnsi="宋体" w:cs="宋体" w:eastAsia="宋体" w:hint="default"/>
                <w:sz w:val="18"/>
                <w:szCs w:val="18"/>
              </w:rPr>
              <w:t>临时公告披露网站名称</w:t>
            </w:r>
          </w:p>
        </w:tc>
      </w:tr>
      <w:tr>
        <w:trPr>
          <w:trHeight w:val="398" w:hRule="exact"/>
        </w:trPr>
        <w:tc>
          <w:tcPr>
            <w:tcW w:w="3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7"/>
                <w:sz w:val="18"/>
                <w:szCs w:val="18"/>
              </w:rPr>
              <w:t> </w:t>
            </w:r>
            <w:r>
              <w:rPr>
                <w:rFonts w:ascii="宋体" w:hAnsi="宋体" w:cs="宋体" w:eastAsia="宋体" w:hint="default"/>
                <w:spacing w:val="-3"/>
                <w:sz w:val="18"/>
                <w:szCs w:val="18"/>
              </w:rPr>
              <w:t>年度日常关联交易预计公告</w:t>
            </w:r>
          </w:p>
        </w:tc>
        <w:tc>
          <w:tcPr>
            <w:tcW w:w="2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r>
              <w:rPr>
                <w:rFonts w:ascii="宋体" w:hAnsi="宋体" w:cs="宋体" w:eastAsia="宋体" w:hint="default"/>
                <w:spacing w:val="-16"/>
                <w:sz w:val="18"/>
                <w:szCs w:val="18"/>
              </w:rPr>
              <w:t> </w:t>
            </w:r>
            <w:hyperlink r:id="rId13">
              <w:r>
                <w:rPr>
                  <w:rFonts w:ascii="Times New Roman" w:hAnsi="Times New Roman" w:cs="Times New Roman" w:eastAsia="Times New Roman" w:hint="default"/>
                  <w:spacing w:val="-3"/>
                  <w:sz w:val="18"/>
                  <w:szCs w:val="18"/>
                </w:rPr>
                <w:t>www.cninfo.com.cn</w:t>
              </w:r>
            </w:hyperlink>
          </w:p>
        </w:tc>
      </w:tr>
      <w:tr>
        <w:trPr>
          <w:trHeight w:val="403" w:hRule="exact"/>
        </w:trPr>
        <w:tc>
          <w:tcPr>
            <w:tcW w:w="3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24" w:right="0"/>
              <w:jc w:val="left"/>
              <w:rPr>
                <w:rFonts w:ascii="宋体" w:hAnsi="宋体" w:cs="宋体" w:eastAsia="宋体" w:hint="default"/>
                <w:sz w:val="18"/>
                <w:szCs w:val="18"/>
              </w:rPr>
            </w:pPr>
            <w:r>
              <w:rPr>
                <w:rFonts w:ascii="宋体" w:hAnsi="宋体" w:cs="宋体" w:eastAsia="宋体" w:hint="default"/>
                <w:spacing w:val="-3"/>
                <w:sz w:val="18"/>
                <w:szCs w:val="18"/>
              </w:rPr>
              <w:t>关于对参股公司提供担保暨关联交易的公告</w:t>
            </w:r>
          </w:p>
        </w:tc>
        <w:tc>
          <w:tcPr>
            <w:tcW w:w="2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r>
              <w:rPr>
                <w:rFonts w:ascii="宋体" w:hAnsi="宋体" w:cs="宋体" w:eastAsia="宋体" w:hint="default"/>
                <w:spacing w:val="-16"/>
                <w:sz w:val="18"/>
                <w:szCs w:val="18"/>
              </w:rPr>
              <w:t> </w:t>
            </w:r>
            <w:hyperlink r:id="rId13">
              <w:r>
                <w:rPr>
                  <w:rFonts w:ascii="Times New Roman" w:hAnsi="Times New Roman" w:cs="Times New Roman" w:eastAsia="Times New Roman" w:hint="default"/>
                  <w:spacing w:val="-3"/>
                  <w:sz w:val="18"/>
                  <w:szCs w:val="18"/>
                </w:rPr>
                <w:t>www.cninfo.com.cn</w:t>
              </w:r>
            </w:hyperlink>
          </w:p>
        </w:tc>
      </w:tr>
    </w:tbl>
    <w:p>
      <w:pPr>
        <w:spacing w:after="0" w:line="240" w:lineRule="auto"/>
        <w:jc w:val="left"/>
        <w:rPr>
          <w:rFonts w:ascii="Times New Roman" w:hAnsi="Times New Roman" w:cs="Times New Roman" w:eastAsia="Times New Roman" w:hint="default"/>
          <w:sz w:val="18"/>
          <w:szCs w:val="18"/>
        </w:rPr>
        <w:sectPr>
          <w:pgSz w:w="11910" w:h="16840"/>
          <w:pgMar w:header="871" w:footer="1186" w:top="1100" w:bottom="1380" w:left="980" w:right="0"/>
        </w:sectPr>
      </w:pPr>
    </w:p>
    <w:p>
      <w:pPr>
        <w:spacing w:line="240" w:lineRule="auto" w:before="7"/>
        <w:rPr>
          <w:rFonts w:ascii="宋体" w:hAnsi="宋体" w:cs="宋体" w:eastAsia="宋体" w:hint="default"/>
          <w:sz w:val="19"/>
          <w:szCs w:val="19"/>
        </w:rPr>
      </w:pPr>
    </w:p>
    <w:p>
      <w:pPr>
        <w:pStyle w:val="Heading2"/>
        <w:spacing w:line="240" w:lineRule="auto" w:before="26"/>
        <w:ind w:right="0"/>
        <w:jc w:val="left"/>
        <w:rPr>
          <w:b w:val="0"/>
          <w:bCs w:val="0"/>
        </w:rPr>
      </w:pPr>
      <w:bookmarkStart w:name="十六、重大合同及其履行情况" w:id="85"/>
      <w:bookmarkEnd w:id="85"/>
      <w:r>
        <w:rPr>
          <w:b w:val="0"/>
          <w:bCs w:val="0"/>
        </w:rPr>
      </w:r>
      <w:r>
        <w:rPr/>
        <w:t>十六、重大合同及其履行情况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left"/>
        <w:rPr>
          <w:b w:val="0"/>
          <w:bCs w:val="0"/>
        </w:rPr>
      </w:pPr>
      <w:bookmarkStart w:name="1、托管、承包、租赁事项情况" w:id="86"/>
      <w:bookmarkEnd w:id="86"/>
      <w:r>
        <w:rPr>
          <w:b w:val="0"/>
          <w:bCs w:val="0"/>
        </w:rPr>
      </w:r>
      <w:r>
        <w:rPr>
          <w:rFonts w:ascii="Times New Roman" w:hAnsi="Times New Roman" w:cs="Times New Roman" w:eastAsia="Times New Roman" w:hint="default"/>
        </w:rPr>
        <w:t>1</w:t>
      </w:r>
      <w:r>
        <w:rPr/>
        <w:t>、托管、承包、租赁事项情况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托管情况" w:id="87"/>
      <w:bookmarkEnd w:id="87"/>
      <w:r>
        <w:rPr>
          <w:b w:val="0"/>
          <w:bCs w:val="0"/>
        </w:rPr>
      </w:r>
      <w:r>
        <w:rPr/>
        <w:t>（</w:t>
      </w:r>
      <w:r>
        <w:rPr>
          <w:rFonts w:ascii="Times New Roman" w:hAnsi="Times New Roman" w:cs="Times New Roman" w:eastAsia="Times New Roman" w:hint="default"/>
        </w:rPr>
        <w:t>1</w:t>
      </w:r>
      <w:r>
        <w:rPr/>
        <w:t>）托管情况</w:t>
      </w:r>
      <w:r>
        <w:rPr>
          <w:b w:val="0"/>
          <w:bCs w:val="0"/>
        </w:rPr>
      </w:r>
    </w:p>
    <w:p>
      <w:pPr>
        <w:spacing w:line="240" w:lineRule="auto" w:before="9"/>
        <w:rPr>
          <w:rFonts w:ascii="宋体" w:hAnsi="宋体" w:cs="宋体" w:eastAsia="宋体" w:hint="default"/>
          <w:b/>
          <w:bCs/>
          <w:sz w:val="26"/>
          <w:szCs w:val="26"/>
        </w:rPr>
      </w:pPr>
    </w:p>
    <w:p>
      <w:pPr>
        <w:pStyle w:val="BodyText"/>
        <w:spacing w:line="415" w:lineRule="auto"/>
        <w:ind w:left="513" w:right="7565" w:hanging="36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3"/>
        </w:rPr>
        <w:t>公司报告期不存在托管情况。</w:t>
      </w:r>
    </w:p>
    <w:p>
      <w:pPr>
        <w:spacing w:line="240" w:lineRule="auto" w:before="7"/>
        <w:rPr>
          <w:rFonts w:ascii="宋体" w:hAnsi="宋体" w:cs="宋体" w:eastAsia="宋体" w:hint="default"/>
          <w:sz w:val="22"/>
          <w:szCs w:val="22"/>
        </w:rPr>
      </w:pPr>
    </w:p>
    <w:p>
      <w:pPr>
        <w:pStyle w:val="Heading3"/>
        <w:spacing w:line="240" w:lineRule="auto"/>
        <w:ind w:right="0"/>
        <w:jc w:val="left"/>
        <w:rPr>
          <w:b w:val="0"/>
          <w:bCs w:val="0"/>
        </w:rPr>
      </w:pPr>
      <w:bookmarkStart w:name="（2）承包情况" w:id="88"/>
      <w:bookmarkEnd w:id="88"/>
      <w:r>
        <w:rPr>
          <w:b w:val="0"/>
          <w:bCs w:val="0"/>
        </w:rPr>
      </w:r>
      <w:r>
        <w:rPr/>
        <w:t>（</w:t>
      </w:r>
      <w:r>
        <w:rPr>
          <w:rFonts w:ascii="Times New Roman" w:hAnsi="Times New Roman" w:cs="Times New Roman" w:eastAsia="Times New Roman" w:hint="default"/>
        </w:rPr>
        <w:t>2</w:t>
      </w:r>
      <w:r>
        <w:rPr/>
        <w:t>）承包情况</w:t>
      </w:r>
      <w:r>
        <w:rPr>
          <w:b w:val="0"/>
          <w:bCs w:val="0"/>
        </w:rPr>
      </w:r>
    </w:p>
    <w:p>
      <w:pPr>
        <w:spacing w:line="240" w:lineRule="auto" w:before="9"/>
        <w:rPr>
          <w:rFonts w:ascii="宋体" w:hAnsi="宋体" w:cs="宋体" w:eastAsia="宋体" w:hint="default"/>
          <w:b/>
          <w:bCs/>
          <w:sz w:val="26"/>
          <w:szCs w:val="26"/>
        </w:rPr>
      </w:pPr>
    </w:p>
    <w:p>
      <w:pPr>
        <w:pStyle w:val="BodyText"/>
        <w:spacing w:line="415" w:lineRule="auto"/>
        <w:ind w:left="513" w:right="7565" w:hanging="36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3"/>
        </w:rPr>
        <w:t>公司报告期不存在承包情况。</w:t>
      </w:r>
    </w:p>
    <w:p>
      <w:pPr>
        <w:spacing w:line="240" w:lineRule="auto" w:before="7"/>
        <w:rPr>
          <w:rFonts w:ascii="宋体" w:hAnsi="宋体" w:cs="宋体" w:eastAsia="宋体" w:hint="default"/>
          <w:sz w:val="22"/>
          <w:szCs w:val="22"/>
        </w:rPr>
      </w:pPr>
    </w:p>
    <w:p>
      <w:pPr>
        <w:pStyle w:val="Heading3"/>
        <w:spacing w:line="240" w:lineRule="auto"/>
        <w:ind w:right="0"/>
        <w:jc w:val="left"/>
        <w:rPr>
          <w:b w:val="0"/>
          <w:bCs w:val="0"/>
        </w:rPr>
      </w:pPr>
      <w:bookmarkStart w:name="（3）租赁情况" w:id="89"/>
      <w:bookmarkEnd w:id="89"/>
      <w:r>
        <w:rPr>
          <w:b w:val="0"/>
          <w:bCs w:val="0"/>
        </w:rPr>
      </w:r>
      <w:r>
        <w:rPr/>
        <w:t>（</w:t>
      </w:r>
      <w:r>
        <w:rPr>
          <w:rFonts w:ascii="Times New Roman" w:hAnsi="Times New Roman" w:cs="Times New Roman" w:eastAsia="Times New Roman" w:hint="default"/>
        </w:rPr>
        <w:t>3</w:t>
      </w:r>
      <w:r>
        <w:rPr/>
        <w:t>）租赁情况</w:t>
      </w:r>
      <w:r>
        <w:rPr>
          <w:b w:val="0"/>
          <w:bCs w:val="0"/>
        </w:rPr>
      </w:r>
    </w:p>
    <w:p>
      <w:pPr>
        <w:spacing w:line="240" w:lineRule="auto" w:before="1"/>
        <w:rPr>
          <w:rFonts w:ascii="宋体" w:hAnsi="宋体" w:cs="宋体" w:eastAsia="宋体" w:hint="default"/>
          <w:b/>
          <w:bCs/>
          <w:sz w:val="27"/>
          <w:szCs w:val="27"/>
        </w:rPr>
      </w:pPr>
    </w:p>
    <w:p>
      <w:pPr>
        <w:pStyle w:val="BodyText"/>
        <w:spacing w:line="338" w:lineRule="auto"/>
        <w:ind w:right="8838"/>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2"/>
        </w:rPr>
        <w:t> </w:t>
      </w:r>
      <w:r>
        <w:rPr/>
        <w:t>不适用</w:t>
      </w:r>
      <w:r>
        <w:rPr>
          <w:w w:val="101"/>
        </w:rPr>
        <w:t> </w:t>
      </w:r>
      <w:r>
        <w:rPr/>
        <w:t>租赁情况说明</w:t>
      </w:r>
    </w:p>
    <w:p>
      <w:pPr>
        <w:pStyle w:val="BodyText"/>
        <w:spacing w:line="451" w:lineRule="auto" w:before="118"/>
        <w:ind w:right="1118" w:firstLine="360"/>
        <w:jc w:val="left"/>
      </w:pPr>
      <w:r>
        <w:rPr>
          <w:rFonts w:ascii="Times New Roman" w:hAnsi="Times New Roman" w:cs="Times New Roman" w:eastAsia="Times New Roman" w:hint="default"/>
          <w:w w:val="101"/>
        </w:rPr>
        <w:t>1.</w:t>
      </w:r>
      <w:r>
        <w:rPr>
          <w:rFonts w:ascii="Times New Roman" w:hAnsi="Times New Roman" w:cs="Times New Roman" w:eastAsia="Times New Roman" w:hint="default"/>
          <w:spacing w:val="-7"/>
          <w:w w:val="101"/>
        </w:rPr>
        <w:t> </w:t>
      </w:r>
      <w:r>
        <w:rPr>
          <w:rFonts w:ascii="Times New Roman" w:hAnsi="Times New Roman" w:cs="Times New Roman" w:eastAsia="Times New Roman" w:hint="default"/>
          <w:spacing w:val="-2"/>
          <w:w w:val="101"/>
        </w:rPr>
        <w:t>2019 </w:t>
      </w:r>
      <w:r>
        <w:rPr>
          <w:w w:val="101"/>
        </w:rPr>
        <w:t>年</w:t>
      </w:r>
      <w:r>
        <w:rPr>
          <w:spacing w:val="-49"/>
          <w:w w:val="101"/>
        </w:rPr>
        <w:t> </w:t>
      </w:r>
      <w:r>
        <w:rPr>
          <w:rFonts w:ascii="Times New Roman" w:hAnsi="Times New Roman" w:cs="Times New Roman" w:eastAsia="Times New Roman" w:hint="default"/>
          <w:w w:val="101"/>
        </w:rPr>
        <w:t>2</w:t>
      </w:r>
      <w:r>
        <w:rPr>
          <w:rFonts w:ascii="Times New Roman" w:hAnsi="Times New Roman" w:cs="Times New Roman" w:eastAsia="Times New Roman" w:hint="default"/>
          <w:spacing w:val="-3"/>
          <w:w w:val="101"/>
        </w:rPr>
        <w:t> </w:t>
      </w:r>
      <w:r>
        <w:rPr>
          <w:spacing w:val="-5"/>
          <w:w w:val="101"/>
        </w:rPr>
        <w:t>月，公司与冯苏军、杨春葵续签了《房屋租赁合同》，约定将冯苏军、杨春葵位于深圳市福田区车公庙天安</w:t>
      </w:r>
      <w:r>
        <w:rPr>
          <w:w w:val="101"/>
        </w:rPr>
        <w:t> </w:t>
      </w:r>
      <w:r>
        <w:rPr/>
        <w:t>数码城天祥大厦</w:t>
      </w:r>
      <w:r>
        <w:rPr>
          <w:spacing w:val="-33"/>
        </w:rPr>
        <w:t> </w:t>
      </w:r>
      <w:r>
        <w:rPr>
          <w:rFonts w:ascii="Times New Roman" w:hAnsi="Times New Roman" w:cs="Times New Roman" w:eastAsia="Times New Roman" w:hint="default"/>
          <w:spacing w:val="-4"/>
        </w:rPr>
        <w:t>AB</w:t>
      </w:r>
      <w:r>
        <w:rPr>
          <w:rFonts w:ascii="Times New Roman" w:hAnsi="Times New Roman" w:cs="Times New Roman" w:eastAsia="Times New Roman" w:hint="default"/>
          <w:spacing w:val="3"/>
        </w:rPr>
        <w:t> </w:t>
      </w:r>
      <w:r>
        <w:rPr/>
        <w:t>座</w:t>
      </w:r>
      <w:r>
        <w:rPr>
          <w:spacing w:val="-33"/>
        </w:rPr>
        <w:t> </w:t>
      </w:r>
      <w:r>
        <w:rPr>
          <w:rFonts w:ascii="Times New Roman" w:hAnsi="Times New Roman" w:cs="Times New Roman" w:eastAsia="Times New Roman" w:hint="default"/>
          <w:spacing w:val="-3"/>
        </w:rPr>
        <w:t>10A-2B</w:t>
      </w:r>
      <w:r>
        <w:rPr>
          <w:spacing w:val="-3"/>
        </w:rPr>
        <w:t>、</w:t>
      </w:r>
      <w:r>
        <w:rPr>
          <w:rFonts w:ascii="Times New Roman" w:hAnsi="Times New Roman" w:cs="Times New Roman" w:eastAsia="Times New Roman" w:hint="default"/>
          <w:spacing w:val="-3"/>
        </w:rPr>
        <w:t>10A-2A</w:t>
      </w:r>
      <w:r>
        <w:rPr>
          <w:spacing w:val="-3"/>
        </w:rPr>
        <w:t>、</w:t>
      </w:r>
      <w:r>
        <w:rPr>
          <w:rFonts w:ascii="Times New Roman" w:hAnsi="Times New Roman" w:cs="Times New Roman" w:eastAsia="Times New Roman" w:hint="default"/>
          <w:spacing w:val="-3"/>
        </w:rPr>
        <w:t>10A-2C</w:t>
      </w:r>
      <w:r>
        <w:rPr>
          <w:rFonts w:ascii="Times New Roman" w:hAnsi="Times New Roman" w:cs="Times New Roman" w:eastAsia="Times New Roman" w:hint="default"/>
          <w:spacing w:val="3"/>
        </w:rPr>
        <w:t> </w:t>
      </w:r>
      <w:r>
        <w:rPr/>
        <w:t>和</w:t>
      </w:r>
      <w:r>
        <w:rPr>
          <w:spacing w:val="-33"/>
        </w:rPr>
        <w:t> </w:t>
      </w:r>
      <w:r>
        <w:rPr>
          <w:rFonts w:ascii="Times New Roman" w:hAnsi="Times New Roman" w:cs="Times New Roman" w:eastAsia="Times New Roman" w:hint="default"/>
        </w:rPr>
        <w:t>10A-1</w:t>
      </w:r>
      <w:r>
        <w:rPr>
          <w:rFonts w:ascii="Times New Roman" w:hAnsi="Times New Roman" w:cs="Times New Roman" w:eastAsia="Times New Roman" w:hint="default"/>
          <w:spacing w:val="6"/>
        </w:rPr>
        <w:t> </w:t>
      </w:r>
      <w:r>
        <w:rPr>
          <w:spacing w:val="-3"/>
        </w:rPr>
        <w:t>的房屋出租给公司使用，租赁面积合计为</w:t>
      </w:r>
      <w:r>
        <w:rPr>
          <w:spacing w:val="-33"/>
        </w:rPr>
        <w:t> </w:t>
      </w:r>
      <w:r>
        <w:rPr>
          <w:rFonts w:ascii="Times New Roman" w:hAnsi="Times New Roman" w:cs="Times New Roman" w:eastAsia="Times New Roman" w:hint="default"/>
        </w:rPr>
        <w:t>1212.48</w:t>
      </w:r>
      <w:r>
        <w:rPr>
          <w:rFonts w:ascii="Times New Roman" w:hAnsi="Times New Roman" w:cs="Times New Roman" w:eastAsia="Times New Roman" w:hint="default"/>
          <w:spacing w:val="-1"/>
        </w:rPr>
        <w:t> </w:t>
      </w:r>
      <w:r>
        <w:rPr>
          <w:spacing w:val="-4"/>
        </w:rPr>
        <w:t>平米，月租金</w:t>
      </w:r>
      <w:r>
        <w:rPr>
          <w:spacing w:val="-82"/>
        </w:rPr>
        <w:t> </w:t>
      </w:r>
      <w:r>
        <w:rPr>
          <w:spacing w:val="-82"/>
        </w:rPr>
      </w:r>
      <w:r>
        <w:rPr/>
        <w:t>合计</w:t>
      </w:r>
      <w:r>
        <w:rPr>
          <w:spacing w:val="-40"/>
        </w:rPr>
        <w:t> </w:t>
      </w:r>
      <w:r>
        <w:rPr>
          <w:rFonts w:ascii="Times New Roman" w:hAnsi="Times New Roman" w:cs="Times New Roman" w:eastAsia="Times New Roman" w:hint="default"/>
        </w:rPr>
        <w:t>167,322.24</w:t>
      </w:r>
      <w:r>
        <w:rPr>
          <w:rFonts w:ascii="Times New Roman" w:hAnsi="Times New Roman" w:cs="Times New Roman" w:eastAsia="Times New Roman" w:hint="default"/>
          <w:spacing w:val="-6"/>
        </w:rPr>
        <w:t> </w:t>
      </w:r>
      <w:r>
        <w:rPr/>
        <w:t>元，租赁期自</w:t>
      </w:r>
      <w:r>
        <w:rPr>
          <w:spacing w:val="-40"/>
        </w:rPr>
        <w:t> </w:t>
      </w:r>
      <w:r>
        <w:rPr>
          <w:rFonts w:ascii="Times New Roman" w:hAnsi="Times New Roman" w:cs="Times New Roman" w:eastAsia="Times New Roman" w:hint="default"/>
          <w:spacing w:val="-3"/>
        </w:rPr>
        <w:t>2019</w:t>
      </w:r>
      <w:r>
        <w:rPr>
          <w:rFonts w:ascii="Times New Roman" w:hAnsi="Times New Roman" w:cs="Times New Roman" w:eastAsia="Times New Roman" w:hint="default"/>
          <w:spacing w:val="-1"/>
        </w:rPr>
        <w:t> </w:t>
      </w:r>
      <w:r>
        <w:rPr/>
        <w:t>年</w:t>
      </w:r>
      <w:r>
        <w:rPr>
          <w:spacing w:val="-40"/>
        </w:rPr>
        <w:t> </w:t>
      </w:r>
      <w:r>
        <w:rPr>
          <w:rFonts w:ascii="Times New Roman" w:hAnsi="Times New Roman" w:cs="Times New Roman" w:eastAsia="Times New Roman" w:hint="default"/>
        </w:rPr>
        <w:t>2</w:t>
      </w:r>
      <w:r>
        <w:rPr>
          <w:rFonts w:ascii="Times New Roman" w:hAnsi="Times New Roman" w:cs="Times New Roman" w:eastAsia="Times New Roman" w:hint="default"/>
          <w:spacing w:val="-7"/>
        </w:rPr>
        <w:t> </w:t>
      </w:r>
      <w:r>
        <w:rPr/>
        <w:t>月</w:t>
      </w:r>
      <w:r>
        <w:rPr>
          <w:spacing w:val="-40"/>
        </w:rPr>
        <w:t> </w:t>
      </w:r>
      <w:r>
        <w:rPr>
          <w:rFonts w:ascii="Times New Roman" w:hAnsi="Times New Roman" w:cs="Times New Roman" w:eastAsia="Times New Roman" w:hint="default"/>
        </w:rPr>
        <w:t>1</w:t>
      </w:r>
      <w:r>
        <w:rPr>
          <w:rFonts w:ascii="Times New Roman" w:hAnsi="Times New Roman" w:cs="Times New Roman" w:eastAsia="Times New Roman" w:hint="default"/>
          <w:spacing w:val="-7"/>
        </w:rPr>
        <w:t> </w:t>
      </w:r>
      <w:r>
        <w:rPr/>
        <w:t>日至</w:t>
      </w:r>
      <w:r>
        <w:rPr>
          <w:spacing w:val="-40"/>
        </w:rPr>
        <w:t> </w:t>
      </w:r>
      <w:r>
        <w:rPr>
          <w:rFonts w:ascii="Times New Roman" w:hAnsi="Times New Roman" w:cs="Times New Roman" w:eastAsia="Times New Roman" w:hint="default"/>
        </w:rPr>
        <w:t>2020</w:t>
      </w:r>
      <w:r>
        <w:rPr>
          <w:rFonts w:ascii="Times New Roman" w:hAnsi="Times New Roman" w:cs="Times New Roman" w:eastAsia="Times New Roman" w:hint="default"/>
          <w:spacing w:val="-7"/>
        </w:rPr>
        <w:t> </w:t>
      </w:r>
      <w:r>
        <w:rPr/>
        <w:t>年</w:t>
      </w:r>
      <w:r>
        <w:rPr>
          <w:spacing w:val="-40"/>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spacing w:val="-3"/>
        </w:rPr>
        <w:t>日止。该房屋租赁合同已经深圳市福田区房屋租赁管理局</w:t>
      </w:r>
      <w:r>
        <w:rPr>
          <w:spacing w:val="-75"/>
        </w:rPr>
        <w:t> </w:t>
      </w:r>
      <w:r>
        <w:rPr>
          <w:spacing w:val="-75"/>
        </w:rPr>
      </w:r>
      <w:r>
        <w:rPr>
          <w:spacing w:val="-4"/>
        </w:rPr>
        <w:t>备案，合同登记备案号为</w:t>
      </w:r>
      <w:r>
        <w:rPr>
          <w:rFonts w:ascii="Times New Roman" w:hAnsi="Times New Roman" w:cs="Times New Roman" w:eastAsia="Times New Roman" w:hint="default"/>
          <w:spacing w:val="-4"/>
        </w:rPr>
        <w:t>“</w:t>
      </w:r>
      <w:r>
        <w:rPr>
          <w:spacing w:val="-4"/>
        </w:rPr>
        <w:t>深房租福田 </w:t>
      </w:r>
      <w:r>
        <w:rPr>
          <w:rFonts w:ascii="Times New Roman" w:hAnsi="Times New Roman" w:cs="Times New Roman" w:eastAsia="Times New Roman" w:hint="default"/>
          <w:spacing w:val="-4"/>
        </w:rPr>
        <w:t>2019004389</w:t>
      </w:r>
      <w:r>
        <w:rPr>
          <w:spacing w:val="-4"/>
        </w:rPr>
        <w:t>、</w:t>
      </w:r>
      <w:r>
        <w:rPr>
          <w:rFonts w:ascii="Times New Roman" w:hAnsi="Times New Roman" w:cs="Times New Roman" w:eastAsia="Times New Roman" w:hint="default"/>
          <w:spacing w:val="-4"/>
        </w:rPr>
        <w:t>2019004388</w:t>
      </w:r>
      <w:r>
        <w:rPr>
          <w:spacing w:val="-4"/>
        </w:rPr>
        <w:t>、</w:t>
      </w:r>
      <w:r>
        <w:rPr>
          <w:rFonts w:ascii="Times New Roman" w:hAnsi="Times New Roman" w:cs="Times New Roman" w:eastAsia="Times New Roman" w:hint="default"/>
          <w:spacing w:val="-4"/>
        </w:rPr>
        <w:t>2019004387</w:t>
      </w:r>
      <w:r>
        <w:rPr>
          <w:spacing w:val="-4"/>
        </w:rPr>
        <w:t>、</w:t>
      </w:r>
      <w:r>
        <w:rPr>
          <w:rFonts w:ascii="Times New Roman" w:hAnsi="Times New Roman" w:cs="Times New Roman" w:eastAsia="Times New Roman" w:hint="default"/>
          <w:spacing w:val="-4"/>
        </w:rPr>
        <w:t>2019004365”</w:t>
      </w:r>
      <w:r>
        <w:rPr>
          <w:spacing w:val="-4"/>
        </w:rPr>
        <w:t>。</w:t>
      </w:r>
      <w:r>
        <w:rPr>
          <w:rFonts w:ascii="Times New Roman" w:hAnsi="Times New Roman" w:cs="Times New Roman" w:eastAsia="Times New Roman" w:hint="default"/>
          <w:spacing w:val="-4"/>
        </w:rPr>
        <w:t>2018 </w:t>
      </w:r>
      <w:r>
        <w:rPr/>
        <w:t>年 </w:t>
      </w:r>
      <w:r>
        <w:rPr>
          <w:rFonts w:ascii="Times New Roman" w:hAnsi="Times New Roman" w:cs="Times New Roman" w:eastAsia="Times New Roman" w:hint="default"/>
          <w:spacing w:val="-5"/>
        </w:rPr>
        <w:t>11 </w:t>
      </w:r>
      <w:r>
        <w:rPr>
          <w:spacing w:val="-10"/>
        </w:rPr>
        <w:t>月，公司与安雄（深</w:t>
      </w:r>
      <w:r>
        <w:rPr>
          <w:spacing w:val="-48"/>
        </w:rPr>
        <w:t> </w:t>
      </w:r>
      <w:r>
        <w:rPr>
          <w:spacing w:val="-48"/>
        </w:rPr>
      </w:r>
      <w:r>
        <w:rPr>
          <w:spacing w:val="-5"/>
          <w:w w:val="101"/>
        </w:rPr>
        <w:t>圳）企业管理咨询有限公司续签了《房屋租赁合同》，约定将其位于深圳市福田区车公庙天祥大厦</w:t>
      </w:r>
      <w:r>
        <w:rPr>
          <w:spacing w:val="-39"/>
          <w:w w:val="101"/>
        </w:rPr>
        <w:t> </w:t>
      </w:r>
      <w:r>
        <w:rPr>
          <w:rFonts w:ascii="Times New Roman" w:hAnsi="Times New Roman" w:cs="Times New Roman" w:eastAsia="Times New Roman" w:hint="default"/>
          <w:spacing w:val="-2"/>
          <w:w w:val="101"/>
        </w:rPr>
        <w:t>7B1C</w:t>
      </w:r>
      <w:r>
        <w:rPr>
          <w:rFonts w:ascii="Times New Roman" w:hAnsi="Times New Roman" w:cs="Times New Roman" w:eastAsia="Times New Roman" w:hint="default"/>
          <w:spacing w:val="-3"/>
          <w:w w:val="101"/>
        </w:rPr>
        <w:t> </w:t>
      </w:r>
      <w:r>
        <w:rPr>
          <w:spacing w:val="-3"/>
          <w:w w:val="101"/>
        </w:rPr>
        <w:t>的房屋出租给公司</w:t>
      </w:r>
      <w:r>
        <w:rPr>
          <w:spacing w:val="-79"/>
          <w:w w:val="101"/>
        </w:rPr>
        <w:t> </w:t>
      </w:r>
      <w:r>
        <w:rPr>
          <w:spacing w:val="-79"/>
          <w:w w:val="101"/>
        </w:rPr>
      </w:r>
      <w:r>
        <w:rPr/>
        <w:t>使用，租赁面积为</w:t>
      </w:r>
      <w:r>
        <w:rPr>
          <w:spacing w:val="-43"/>
        </w:rPr>
        <w:t> </w:t>
      </w:r>
      <w:r>
        <w:rPr>
          <w:rFonts w:ascii="Times New Roman" w:hAnsi="Times New Roman" w:cs="Times New Roman" w:eastAsia="Times New Roman" w:hint="default"/>
        </w:rPr>
        <w:t>258</w:t>
      </w:r>
      <w:r>
        <w:rPr>
          <w:rFonts w:ascii="Times New Roman" w:hAnsi="Times New Roman" w:cs="Times New Roman" w:eastAsia="Times New Roman" w:hint="default"/>
          <w:spacing w:val="-9"/>
        </w:rPr>
        <w:t> </w:t>
      </w:r>
      <w:r>
        <w:rPr/>
        <w:t>平方米，月租金为</w:t>
      </w:r>
      <w:r>
        <w:rPr>
          <w:spacing w:val="-42"/>
        </w:rPr>
        <w:t> </w:t>
      </w:r>
      <w:r>
        <w:rPr>
          <w:rFonts w:ascii="Times New Roman" w:hAnsi="Times New Roman" w:cs="Times New Roman" w:eastAsia="Times New Roman" w:hint="default"/>
        </w:rPr>
        <w:t>35,962.62</w:t>
      </w:r>
      <w:r>
        <w:rPr>
          <w:rFonts w:ascii="Times New Roman" w:hAnsi="Times New Roman" w:cs="Times New Roman" w:eastAsia="Times New Roman" w:hint="default"/>
          <w:spacing w:val="-4"/>
        </w:rPr>
        <w:t> </w:t>
      </w:r>
      <w:r>
        <w:rPr>
          <w:spacing w:val="-3"/>
        </w:rPr>
        <w:t>元，租赁期自</w:t>
      </w:r>
      <w:r>
        <w:rPr>
          <w:spacing w:val="-43"/>
        </w:rPr>
        <w:t> </w:t>
      </w:r>
      <w:r>
        <w:rPr>
          <w:rFonts w:ascii="Times New Roman" w:hAnsi="Times New Roman" w:cs="Times New Roman" w:eastAsia="Times New Roman" w:hint="default"/>
        </w:rPr>
        <w:t>2018</w:t>
      </w:r>
      <w:r>
        <w:rPr>
          <w:rFonts w:ascii="Times New Roman" w:hAnsi="Times New Roman" w:cs="Times New Roman" w:eastAsia="Times New Roman" w:hint="default"/>
          <w:spacing w:val="-4"/>
        </w:rPr>
        <w:t> </w:t>
      </w:r>
      <w:r>
        <w:rPr/>
        <w:t>年</w:t>
      </w:r>
      <w:r>
        <w:rPr>
          <w:spacing w:val="-49"/>
        </w:rPr>
        <w:t> </w:t>
      </w:r>
      <w:r>
        <w:rPr>
          <w:rFonts w:ascii="Times New Roman" w:hAnsi="Times New Roman" w:cs="Times New Roman" w:eastAsia="Times New Roman" w:hint="default"/>
        </w:rPr>
        <w:t>12</w:t>
      </w:r>
      <w:r>
        <w:rPr>
          <w:rFonts w:ascii="Times New Roman" w:hAnsi="Times New Roman" w:cs="Times New Roman" w:eastAsia="Times New Roman" w:hint="default"/>
          <w:spacing w:val="-4"/>
        </w:rPr>
        <w:t> </w:t>
      </w:r>
      <w:r>
        <w:rPr/>
        <w:t>月</w:t>
      </w:r>
      <w:r>
        <w:rPr>
          <w:spacing w:val="-49"/>
        </w:rPr>
        <w:t> </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t>日至</w:t>
      </w:r>
      <w:r>
        <w:rPr>
          <w:spacing w:val="-43"/>
        </w:rPr>
        <w:t> </w:t>
      </w:r>
      <w:r>
        <w:rPr>
          <w:rFonts w:ascii="Times New Roman" w:hAnsi="Times New Roman" w:cs="Times New Roman" w:eastAsia="Times New Roman" w:hint="default"/>
        </w:rPr>
        <w:t>2019</w:t>
      </w:r>
      <w:r>
        <w:rPr>
          <w:rFonts w:ascii="Times New Roman" w:hAnsi="Times New Roman" w:cs="Times New Roman" w:eastAsia="Times New Roman" w:hint="default"/>
          <w:spacing w:val="-4"/>
        </w:rPr>
        <w:t> </w:t>
      </w:r>
      <w:r>
        <w:rPr/>
        <w:t>年</w:t>
      </w:r>
      <w:r>
        <w:rPr>
          <w:spacing w:val="-49"/>
        </w:rPr>
        <w:t> </w:t>
      </w:r>
      <w:r>
        <w:rPr>
          <w:rFonts w:ascii="Times New Roman" w:hAnsi="Times New Roman" w:cs="Times New Roman" w:eastAsia="Times New Roman" w:hint="default"/>
          <w:spacing w:val="-5"/>
        </w:rPr>
        <w:t>11</w:t>
      </w:r>
      <w:r>
        <w:rPr>
          <w:rFonts w:ascii="Times New Roman" w:hAnsi="Times New Roman" w:cs="Times New Roman" w:eastAsia="Times New Roman" w:hint="default"/>
          <w:spacing w:val="-4"/>
        </w:rPr>
        <w:t> </w:t>
      </w:r>
      <w:r>
        <w:rPr/>
        <w:t>月</w:t>
      </w:r>
      <w:r>
        <w:rPr>
          <w:spacing w:val="-43"/>
        </w:rPr>
        <w:t> </w:t>
      </w:r>
      <w:r>
        <w:rPr>
          <w:rFonts w:ascii="Times New Roman" w:hAnsi="Times New Roman" w:cs="Times New Roman" w:eastAsia="Times New Roman" w:hint="default"/>
          <w:spacing w:val="-3"/>
        </w:rPr>
        <w:t>30</w:t>
      </w:r>
      <w:r>
        <w:rPr>
          <w:rFonts w:ascii="Times New Roman" w:hAnsi="Times New Roman" w:cs="Times New Roman" w:eastAsia="Times New Roman" w:hint="default"/>
          <w:spacing w:val="-4"/>
        </w:rPr>
        <w:t> </w:t>
      </w:r>
      <w:r>
        <w:rPr>
          <w:spacing w:val="-3"/>
        </w:rPr>
        <w:t>日止。该房屋租赁合</w:t>
      </w:r>
      <w:r>
        <w:rPr>
          <w:spacing w:val="-88"/>
        </w:rPr>
        <w:t> </w:t>
      </w:r>
      <w:r>
        <w:rPr>
          <w:spacing w:val="-88"/>
        </w:rPr>
      </w:r>
      <w:r>
        <w:rPr>
          <w:spacing w:val="-5"/>
          <w:w w:val="101"/>
        </w:rPr>
        <w:t>同已经深圳市福田区房屋租赁管理局备案，合同登记备案号分别为</w:t>
      </w:r>
      <w:r>
        <w:rPr>
          <w:rFonts w:ascii="Times New Roman" w:hAnsi="Times New Roman" w:cs="Times New Roman" w:eastAsia="Times New Roman" w:hint="default"/>
          <w:spacing w:val="-5"/>
          <w:w w:val="101"/>
        </w:rPr>
        <w:t>“</w:t>
      </w:r>
      <w:r>
        <w:rPr>
          <w:spacing w:val="-5"/>
          <w:w w:val="101"/>
        </w:rPr>
        <w:t>深房租福田</w:t>
      </w:r>
      <w:r>
        <w:rPr>
          <w:spacing w:val="-42"/>
          <w:w w:val="101"/>
        </w:rPr>
        <w:t> </w:t>
      </w:r>
      <w:r>
        <w:rPr>
          <w:rFonts w:ascii="Times New Roman" w:hAnsi="Times New Roman" w:cs="Times New Roman" w:eastAsia="Times New Roman" w:hint="default"/>
          <w:spacing w:val="-6"/>
          <w:w w:val="101"/>
        </w:rPr>
        <w:t>2018047892”</w:t>
      </w:r>
      <w:r>
        <w:rPr>
          <w:spacing w:val="-6"/>
          <w:w w:val="101"/>
        </w:rPr>
        <w:t>。</w:t>
      </w:r>
      <w:r>
        <w:rPr>
          <w:rFonts w:ascii="Times New Roman" w:hAnsi="Times New Roman" w:cs="Times New Roman" w:eastAsia="Times New Roman" w:hint="default"/>
          <w:spacing w:val="-6"/>
          <w:w w:val="101"/>
        </w:rPr>
        <w:t>2019</w:t>
      </w:r>
      <w:r>
        <w:rPr>
          <w:rFonts w:ascii="Times New Roman" w:hAnsi="Times New Roman" w:cs="Times New Roman" w:eastAsia="Times New Roman" w:hint="default"/>
          <w:spacing w:val="-2"/>
          <w:w w:val="101"/>
        </w:rPr>
        <w:t> </w:t>
      </w:r>
      <w:r>
        <w:rPr>
          <w:w w:val="101"/>
        </w:rPr>
        <w:t>年</w:t>
      </w:r>
      <w:r>
        <w:rPr>
          <w:spacing w:val="-42"/>
          <w:w w:val="101"/>
        </w:rPr>
        <w:t> </w:t>
      </w:r>
      <w:r>
        <w:rPr>
          <w:rFonts w:ascii="Times New Roman" w:hAnsi="Times New Roman" w:cs="Times New Roman" w:eastAsia="Times New Roman" w:hint="default"/>
          <w:spacing w:val="-3"/>
          <w:w w:val="101"/>
        </w:rPr>
        <w:t>12</w:t>
      </w:r>
      <w:r>
        <w:rPr>
          <w:rFonts w:ascii="Times New Roman" w:hAnsi="Times New Roman" w:cs="Times New Roman" w:eastAsia="Times New Roman" w:hint="default"/>
          <w:spacing w:val="-8"/>
          <w:w w:val="101"/>
        </w:rPr>
        <w:t> </w:t>
      </w:r>
      <w:r>
        <w:rPr>
          <w:spacing w:val="-11"/>
          <w:w w:val="101"/>
        </w:rPr>
        <w:t>月，公司与冯苏军、</w:t>
      </w:r>
      <w:r>
        <w:rPr>
          <w:spacing w:val="-89"/>
          <w:w w:val="101"/>
        </w:rPr>
        <w:t> </w:t>
      </w:r>
      <w:r>
        <w:rPr>
          <w:spacing w:val="-89"/>
          <w:w w:val="101"/>
        </w:rPr>
      </w:r>
      <w:r>
        <w:rPr>
          <w:spacing w:val="-5"/>
          <w:w w:val="101"/>
        </w:rPr>
        <w:t>杨春葵续签了《房屋租赁合同》，深圳市福田区车公庙天安数码城天祥大厦</w:t>
      </w:r>
      <w:r>
        <w:rPr>
          <w:spacing w:val="-46"/>
          <w:w w:val="101"/>
        </w:rPr>
        <w:t> </w:t>
      </w:r>
      <w:r>
        <w:rPr>
          <w:rFonts w:ascii="Times New Roman" w:hAnsi="Times New Roman" w:cs="Times New Roman" w:eastAsia="Times New Roman" w:hint="default"/>
          <w:spacing w:val="-4"/>
          <w:w w:val="101"/>
        </w:rPr>
        <w:t>AB</w:t>
      </w:r>
      <w:r>
        <w:rPr>
          <w:rFonts w:ascii="Times New Roman" w:hAnsi="Times New Roman" w:cs="Times New Roman" w:eastAsia="Times New Roman" w:hint="default"/>
          <w:spacing w:val="-9"/>
          <w:w w:val="101"/>
        </w:rPr>
        <w:t> </w:t>
      </w:r>
      <w:r>
        <w:rPr>
          <w:w w:val="101"/>
        </w:rPr>
        <w:t>座</w:t>
      </w:r>
      <w:r>
        <w:rPr>
          <w:spacing w:val="-47"/>
          <w:w w:val="101"/>
        </w:rPr>
        <w:t> </w:t>
      </w:r>
      <w:r>
        <w:rPr>
          <w:rFonts w:ascii="Times New Roman" w:hAnsi="Times New Roman" w:cs="Times New Roman" w:eastAsia="Times New Roman" w:hint="default"/>
          <w:spacing w:val="-2"/>
          <w:w w:val="101"/>
        </w:rPr>
        <w:t>10A-2B</w:t>
      </w:r>
      <w:r>
        <w:rPr>
          <w:spacing w:val="-2"/>
          <w:w w:val="101"/>
        </w:rPr>
        <w:t>、</w:t>
      </w:r>
      <w:r>
        <w:rPr>
          <w:rFonts w:ascii="Times New Roman" w:hAnsi="Times New Roman" w:cs="Times New Roman" w:eastAsia="Times New Roman" w:hint="default"/>
          <w:spacing w:val="-2"/>
          <w:w w:val="101"/>
        </w:rPr>
        <w:t>10A-2A</w:t>
      </w:r>
      <w:r>
        <w:rPr>
          <w:spacing w:val="-2"/>
          <w:w w:val="101"/>
        </w:rPr>
        <w:t>、</w:t>
      </w:r>
      <w:r>
        <w:rPr>
          <w:rFonts w:ascii="Times New Roman" w:hAnsi="Times New Roman" w:cs="Times New Roman" w:eastAsia="Times New Roman" w:hint="default"/>
          <w:spacing w:val="-2"/>
          <w:w w:val="101"/>
        </w:rPr>
        <w:t>10A-2C</w:t>
      </w:r>
      <w:r>
        <w:rPr>
          <w:rFonts w:ascii="Times New Roman" w:hAnsi="Times New Roman" w:cs="Times New Roman" w:eastAsia="Times New Roman" w:hint="default"/>
          <w:spacing w:val="-8"/>
          <w:w w:val="101"/>
        </w:rPr>
        <w:t> </w:t>
      </w:r>
      <w:r>
        <w:rPr>
          <w:w w:val="101"/>
        </w:rPr>
        <w:t>和</w:t>
      </w:r>
      <w:r>
        <w:rPr>
          <w:spacing w:val="-47"/>
          <w:w w:val="101"/>
        </w:rPr>
        <w:t> </w:t>
      </w:r>
      <w:r>
        <w:rPr>
          <w:rFonts w:ascii="Times New Roman" w:hAnsi="Times New Roman" w:cs="Times New Roman" w:eastAsia="Times New Roman" w:hint="default"/>
          <w:spacing w:val="-3"/>
          <w:w w:val="101"/>
        </w:rPr>
        <w:t>10A-1</w:t>
      </w:r>
      <w:r>
        <w:rPr>
          <w:rFonts w:ascii="Times New Roman" w:hAnsi="Times New Roman" w:cs="Times New Roman" w:eastAsia="Times New Roman" w:hint="default"/>
          <w:spacing w:val="-7"/>
          <w:w w:val="101"/>
        </w:rPr>
        <w:t> </w:t>
      </w:r>
      <w:r>
        <w:rPr>
          <w:w w:val="101"/>
        </w:rPr>
        <w:t>的房 </w:t>
      </w:r>
      <w:r>
        <w:rPr/>
        <w:t>屋月租金合计</w:t>
      </w:r>
      <w:r>
        <w:rPr>
          <w:spacing w:val="-40"/>
        </w:rPr>
        <w:t> </w:t>
      </w:r>
      <w:r>
        <w:rPr>
          <w:rFonts w:ascii="Times New Roman" w:hAnsi="Times New Roman" w:cs="Times New Roman" w:eastAsia="Times New Roman" w:hint="default"/>
        </w:rPr>
        <w:t>161,259.84</w:t>
      </w:r>
      <w:r>
        <w:rPr>
          <w:rFonts w:ascii="Times New Roman" w:hAnsi="Times New Roman" w:cs="Times New Roman" w:eastAsia="Times New Roman" w:hint="default"/>
          <w:spacing w:val="-7"/>
        </w:rPr>
        <w:t> </w:t>
      </w:r>
      <w:r>
        <w:rPr/>
        <w:t>元，租赁期自</w:t>
      </w:r>
      <w:r>
        <w:rPr>
          <w:spacing w:val="-40"/>
        </w:rPr>
        <w:t> </w:t>
      </w:r>
      <w:r>
        <w:rPr>
          <w:rFonts w:ascii="Times New Roman" w:hAnsi="Times New Roman" w:cs="Times New Roman" w:eastAsia="Times New Roman" w:hint="default"/>
          <w:spacing w:val="-3"/>
        </w:rPr>
        <w:t>2020</w:t>
      </w:r>
      <w:r>
        <w:rPr>
          <w:rFonts w:ascii="Times New Roman" w:hAnsi="Times New Roman" w:cs="Times New Roman" w:eastAsia="Times New Roman" w:hint="default"/>
          <w:spacing w:val="-1"/>
        </w:rPr>
        <w:t> </w:t>
      </w:r>
      <w:r>
        <w:rPr/>
        <w:t>年</w:t>
      </w:r>
      <w:r>
        <w:rPr>
          <w:spacing w:val="-40"/>
        </w:rPr>
        <w:t> </w:t>
      </w:r>
      <w:r>
        <w:rPr>
          <w:rFonts w:ascii="Times New Roman" w:hAnsi="Times New Roman" w:cs="Times New Roman" w:eastAsia="Times New Roman" w:hint="default"/>
        </w:rPr>
        <w:t>2</w:t>
      </w:r>
      <w:r>
        <w:rPr>
          <w:rFonts w:ascii="Times New Roman" w:hAnsi="Times New Roman" w:cs="Times New Roman" w:eastAsia="Times New Roman" w:hint="default"/>
          <w:spacing w:val="-7"/>
        </w:rPr>
        <w:t> </w:t>
      </w:r>
      <w:r>
        <w:rPr/>
        <w:t>月</w:t>
      </w:r>
      <w:r>
        <w:rPr>
          <w:spacing w:val="-40"/>
        </w:rPr>
        <w:t> </w:t>
      </w:r>
      <w:r>
        <w:rPr>
          <w:rFonts w:ascii="Times New Roman" w:hAnsi="Times New Roman" w:cs="Times New Roman" w:eastAsia="Times New Roman" w:hint="default"/>
        </w:rPr>
        <w:t>1</w:t>
      </w:r>
      <w:r>
        <w:rPr>
          <w:rFonts w:ascii="Times New Roman" w:hAnsi="Times New Roman" w:cs="Times New Roman" w:eastAsia="Times New Roman" w:hint="default"/>
          <w:spacing w:val="-7"/>
        </w:rPr>
        <w:t> </w:t>
      </w:r>
      <w:r>
        <w:rPr/>
        <w:t>日至</w:t>
      </w:r>
      <w:r>
        <w:rPr>
          <w:spacing w:val="-40"/>
        </w:rPr>
        <w:t> </w:t>
      </w:r>
      <w:r>
        <w:rPr>
          <w:rFonts w:ascii="Times New Roman" w:hAnsi="Times New Roman" w:cs="Times New Roman" w:eastAsia="Times New Roman" w:hint="default"/>
          <w:spacing w:val="-3"/>
        </w:rPr>
        <w:t>2021</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月</w:t>
      </w:r>
      <w:r>
        <w:rPr>
          <w:spacing w:val="-40"/>
        </w:rPr>
        <w:t> </w:t>
      </w:r>
      <w:r>
        <w:rPr>
          <w:rFonts w:ascii="Times New Roman" w:hAnsi="Times New Roman" w:cs="Times New Roman" w:eastAsia="Times New Roman" w:hint="default"/>
          <w:spacing w:val="-3"/>
        </w:rPr>
        <w:t>31</w:t>
      </w:r>
      <w:r>
        <w:rPr>
          <w:rFonts w:ascii="Times New Roman" w:hAnsi="Times New Roman" w:cs="Times New Roman" w:eastAsia="Times New Roman" w:hint="default"/>
          <w:spacing w:val="-1"/>
        </w:rPr>
        <w:t> </w:t>
      </w:r>
      <w:r>
        <w:rPr>
          <w:spacing w:val="-3"/>
        </w:rPr>
        <w:t>日止。该房屋租赁合同已经深圳市福田区房屋租</w:t>
      </w:r>
      <w:r>
        <w:rPr>
          <w:spacing w:val="-75"/>
        </w:rPr>
        <w:t> </w:t>
      </w:r>
      <w:r>
        <w:rPr>
          <w:spacing w:val="-75"/>
        </w:rPr>
      </w:r>
      <w:r>
        <w:rPr>
          <w:spacing w:val="-3"/>
        </w:rPr>
        <w:t>赁管理局备案，合同登记备案号为</w:t>
      </w:r>
      <w:r>
        <w:rPr>
          <w:rFonts w:ascii="Times New Roman" w:hAnsi="Times New Roman" w:cs="Times New Roman" w:eastAsia="Times New Roman" w:hint="default"/>
          <w:spacing w:val="-3"/>
        </w:rPr>
        <w:t>“</w:t>
      </w:r>
      <w:r>
        <w:rPr>
          <w:spacing w:val="-3"/>
        </w:rPr>
        <w:t>深房租福田</w:t>
      </w:r>
      <w:r>
        <w:rPr>
          <w:spacing w:val="-37"/>
        </w:rPr>
        <w:t> </w:t>
      </w:r>
      <w:r>
        <w:rPr>
          <w:rFonts w:ascii="Times New Roman" w:hAnsi="Times New Roman" w:cs="Times New Roman" w:eastAsia="Times New Roman" w:hint="default"/>
        </w:rPr>
        <w:t>2019056710</w:t>
      </w:r>
      <w:r>
        <w:rPr/>
        <w:t>、</w:t>
      </w:r>
      <w:r>
        <w:rPr>
          <w:rFonts w:ascii="Times New Roman" w:hAnsi="Times New Roman" w:cs="Times New Roman" w:eastAsia="Times New Roman" w:hint="default"/>
        </w:rPr>
        <w:t>2019056708</w:t>
      </w:r>
      <w:r>
        <w:rPr/>
        <w:t>、</w:t>
      </w:r>
      <w:r>
        <w:rPr>
          <w:rFonts w:ascii="Times New Roman" w:hAnsi="Times New Roman" w:cs="Times New Roman" w:eastAsia="Times New Roman" w:hint="default"/>
        </w:rPr>
        <w:t>2019056713</w:t>
      </w:r>
      <w:r>
        <w:rPr/>
        <w:t>、</w:t>
      </w:r>
      <w:r>
        <w:rPr>
          <w:rFonts w:ascii="Times New Roman" w:hAnsi="Times New Roman" w:cs="Times New Roman" w:eastAsia="Times New Roman" w:hint="default"/>
        </w:rPr>
        <w:t>2019056705”</w:t>
      </w:r>
      <w:r>
        <w:rPr/>
        <w:t>。</w:t>
      </w:r>
      <w:r>
        <w:rPr>
          <w:rFonts w:ascii="Times New Roman" w:hAnsi="Times New Roman" w:cs="Times New Roman" w:eastAsia="Times New Roman" w:hint="default"/>
        </w:rPr>
        <w:t>2019</w:t>
      </w:r>
      <w:r>
        <w:rPr>
          <w:rFonts w:ascii="Times New Roman" w:hAnsi="Times New Roman" w:cs="Times New Roman" w:eastAsia="Times New Roman" w:hint="default"/>
          <w:spacing w:val="2"/>
        </w:rPr>
        <w:t> </w:t>
      </w:r>
      <w:r>
        <w:rPr/>
        <w:t>年</w:t>
      </w:r>
      <w:r>
        <w:rPr>
          <w:spacing w:val="-43"/>
        </w:rPr>
        <w:t> </w:t>
      </w:r>
      <w:r>
        <w:rPr>
          <w:rFonts w:ascii="Times New Roman" w:hAnsi="Times New Roman" w:cs="Times New Roman" w:eastAsia="Times New Roman" w:hint="default"/>
        </w:rPr>
        <w:t>12</w:t>
      </w:r>
      <w:r>
        <w:rPr>
          <w:rFonts w:ascii="Times New Roman" w:hAnsi="Times New Roman" w:cs="Times New Roman" w:eastAsia="Times New Roman" w:hint="default"/>
          <w:spacing w:val="-5"/>
        </w:rPr>
        <w:t> </w:t>
      </w:r>
      <w:r>
        <w:rPr>
          <w:spacing w:val="-4"/>
        </w:rPr>
        <w:t>月，公司</w:t>
      </w:r>
      <w:r>
        <w:rPr>
          <w:spacing w:val="-85"/>
        </w:rPr>
        <w:t> </w:t>
      </w:r>
      <w:r>
        <w:rPr>
          <w:spacing w:val="-85"/>
        </w:rPr>
      </w:r>
      <w:r>
        <w:rPr>
          <w:spacing w:val="-13"/>
          <w:w w:val="101"/>
        </w:rPr>
        <w:t>与安雄（深圳）企业管理咨询有限公司续签了《房屋租赁合同》，深圳市福田区车公庙天祥大厦</w:t>
      </w:r>
      <w:r>
        <w:rPr>
          <w:spacing w:val="-45"/>
          <w:w w:val="101"/>
        </w:rPr>
        <w:t> </w:t>
      </w:r>
      <w:r>
        <w:rPr>
          <w:rFonts w:ascii="Times New Roman" w:hAnsi="Times New Roman" w:cs="Times New Roman" w:eastAsia="Times New Roman" w:hint="default"/>
          <w:spacing w:val="-2"/>
          <w:w w:val="101"/>
        </w:rPr>
        <w:t>7B1C</w:t>
      </w:r>
      <w:r>
        <w:rPr>
          <w:rFonts w:ascii="Times New Roman" w:hAnsi="Times New Roman" w:cs="Times New Roman" w:eastAsia="Times New Roman" w:hint="default"/>
          <w:spacing w:val="-14"/>
          <w:w w:val="101"/>
        </w:rPr>
        <w:t> </w:t>
      </w:r>
      <w:r>
        <w:rPr>
          <w:spacing w:val="-2"/>
          <w:w w:val="101"/>
        </w:rPr>
        <w:t>的房屋月租金为</w:t>
      </w:r>
      <w:r>
        <w:rPr>
          <w:spacing w:val="-52"/>
          <w:w w:val="101"/>
        </w:rPr>
        <w:t> </w:t>
      </w:r>
      <w:r>
        <w:rPr>
          <w:rFonts w:ascii="Times New Roman" w:hAnsi="Times New Roman" w:cs="Times New Roman" w:eastAsia="Times New Roman" w:hint="default"/>
          <w:spacing w:val="-1"/>
          <w:w w:val="101"/>
        </w:rPr>
        <w:t>33,024.00</w:t>
      </w:r>
      <w:r>
        <w:rPr>
          <w:rFonts w:ascii="Times New Roman" w:hAnsi="Times New Roman" w:cs="Times New Roman" w:eastAsia="Times New Roman" w:hint="default"/>
          <w:w w:val="101"/>
        </w:rPr>
        <w:t> </w:t>
      </w:r>
      <w:r>
        <w:rPr/>
        <w:t>元，租赁期自</w:t>
      </w:r>
      <w:r>
        <w:rPr>
          <w:spacing w:val="-38"/>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w:t>
      </w:r>
      <w:r>
        <w:rPr>
          <w:spacing w:val="-44"/>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44"/>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t>日至</w:t>
      </w:r>
      <w:r>
        <w:rPr>
          <w:spacing w:val="-38"/>
        </w:rPr>
        <w:t> </w:t>
      </w:r>
      <w:r>
        <w:rPr>
          <w:rFonts w:ascii="Times New Roman" w:hAnsi="Times New Roman" w:cs="Times New Roman" w:eastAsia="Times New Roman" w:hint="default"/>
        </w:rPr>
        <w:t>2020</w:t>
      </w:r>
      <w:r>
        <w:rPr>
          <w:rFonts w:ascii="Times New Roman" w:hAnsi="Times New Roman" w:cs="Times New Roman" w:eastAsia="Times New Roman" w:hint="default"/>
          <w:spacing w:val="1"/>
        </w:rPr>
        <w:t> </w:t>
      </w:r>
      <w:r>
        <w:rPr/>
        <w:t>年</w:t>
      </w:r>
      <w:r>
        <w:rPr>
          <w:spacing w:val="-43"/>
        </w:rPr>
        <w:t> </w:t>
      </w:r>
      <w:r>
        <w:rPr>
          <w:rFonts w:ascii="Times New Roman" w:hAnsi="Times New Roman" w:cs="Times New Roman" w:eastAsia="Times New Roman" w:hint="default"/>
          <w:spacing w:val="-5"/>
        </w:rPr>
        <w:t>11</w:t>
      </w:r>
      <w:r>
        <w:rPr>
          <w:rFonts w:ascii="Times New Roman" w:hAnsi="Times New Roman" w:cs="Times New Roman" w:eastAsia="Times New Roman" w:hint="default"/>
          <w:spacing w:val="1"/>
        </w:rPr>
        <w:t> </w:t>
      </w:r>
      <w:r>
        <w:rPr/>
        <w:t>月</w:t>
      </w:r>
      <w:r>
        <w:rPr>
          <w:spacing w:val="-38"/>
        </w:rPr>
        <w:t> </w:t>
      </w:r>
      <w:r>
        <w:rPr>
          <w:rFonts w:ascii="Times New Roman" w:hAnsi="Times New Roman" w:cs="Times New Roman" w:eastAsia="Times New Roman" w:hint="default"/>
          <w:spacing w:val="-3"/>
        </w:rPr>
        <w:t>30</w:t>
      </w:r>
      <w:r>
        <w:rPr>
          <w:rFonts w:ascii="Times New Roman" w:hAnsi="Times New Roman" w:cs="Times New Roman" w:eastAsia="Times New Roman" w:hint="default"/>
          <w:spacing w:val="1"/>
        </w:rPr>
        <w:t> </w:t>
      </w:r>
      <w:r>
        <w:rPr>
          <w:spacing w:val="-3"/>
        </w:rPr>
        <w:t>日止。该房屋租赁合同已经深圳市福田区房屋租赁管理局备案，合同登</w:t>
      </w:r>
      <w:r>
        <w:rPr>
          <w:spacing w:val="-72"/>
        </w:rPr>
        <w:t> </w:t>
      </w:r>
      <w:r>
        <w:rPr>
          <w:spacing w:val="-72"/>
        </w:rPr>
      </w:r>
      <w:r>
        <w:rPr>
          <w:spacing w:val="-2"/>
        </w:rPr>
        <w:t>记备案号分别为</w:t>
      </w:r>
      <w:r>
        <w:rPr>
          <w:rFonts w:ascii="Times New Roman" w:hAnsi="Times New Roman" w:cs="Times New Roman" w:eastAsia="Times New Roman" w:hint="default"/>
          <w:spacing w:val="-2"/>
        </w:rPr>
        <w:t>“</w:t>
      </w:r>
      <w:r>
        <w:rPr>
          <w:spacing w:val="-2"/>
        </w:rPr>
        <w:t>深房租福田</w:t>
      </w:r>
      <w:r>
        <w:rPr>
          <w:spacing w:val="8"/>
        </w:rPr>
        <w:t> </w:t>
      </w:r>
      <w:r>
        <w:rPr>
          <w:rFonts w:ascii="Times New Roman" w:hAnsi="Times New Roman" w:cs="Times New Roman" w:eastAsia="Times New Roman" w:hint="default"/>
          <w:spacing w:val="-2"/>
        </w:rPr>
        <w:t>2019053207”</w:t>
      </w:r>
      <w:r>
        <w:rPr>
          <w:spacing w:val="-2"/>
        </w:rPr>
        <w:t>。</w:t>
      </w:r>
    </w:p>
    <w:p>
      <w:pPr>
        <w:pStyle w:val="BodyText"/>
        <w:spacing w:line="240" w:lineRule="auto" w:before="46"/>
        <w:ind w:left="513" w:right="0"/>
        <w:jc w:val="left"/>
      </w:pPr>
      <w:r>
        <w:rPr>
          <w:rFonts w:ascii="Times New Roman" w:hAnsi="Times New Roman" w:cs="Times New Roman" w:eastAsia="Times New Roman" w:hint="default"/>
          <w:w w:val="101"/>
        </w:rPr>
        <w:t>2.</w:t>
      </w:r>
      <w:r>
        <w:rPr>
          <w:rFonts w:ascii="Times New Roman" w:hAnsi="Times New Roman" w:cs="Times New Roman" w:eastAsia="Times New Roman" w:hint="default"/>
        </w:rPr>
        <w:t> </w:t>
      </w:r>
      <w:r>
        <w:rPr>
          <w:rFonts w:ascii="Times New Roman" w:hAnsi="Times New Roman" w:cs="Times New Roman" w:eastAsia="Times New Roman" w:hint="default"/>
          <w:w w:val="101"/>
        </w:rPr>
        <w:t>20</w:t>
      </w:r>
      <w:r>
        <w:rPr>
          <w:rFonts w:ascii="Times New Roman" w:hAnsi="Times New Roman" w:cs="Times New Roman" w:eastAsia="Times New Roman" w:hint="default"/>
          <w:spacing w:val="-5"/>
          <w:w w:val="101"/>
        </w:rPr>
        <w:t>1</w:t>
      </w:r>
      <w:r>
        <w:rPr>
          <w:rFonts w:ascii="Times New Roman" w:hAnsi="Times New Roman" w:cs="Times New Roman" w:eastAsia="Times New Roman" w:hint="default"/>
          <w:w w:val="101"/>
        </w:rPr>
        <w:t>6</w:t>
      </w:r>
      <w:r>
        <w:rPr>
          <w:rFonts w:ascii="Times New Roman" w:hAnsi="Times New Roman" w:cs="Times New Roman" w:eastAsia="Times New Roman" w:hint="default"/>
          <w:spacing w:val="-6"/>
        </w:rPr>
        <w:t> </w:t>
      </w:r>
      <w:r>
        <w:rPr>
          <w:w w:val="101"/>
        </w:rPr>
        <w:t>年</w:t>
      </w:r>
      <w:r>
        <w:rPr>
          <w:spacing w:val="-47"/>
        </w:rPr>
        <w:t> </w:t>
      </w:r>
      <w:r>
        <w:rPr>
          <w:rFonts w:ascii="Times New Roman" w:hAnsi="Times New Roman" w:cs="Times New Roman" w:eastAsia="Times New Roman" w:hint="default"/>
          <w:spacing w:val="-5"/>
          <w:w w:val="101"/>
        </w:rPr>
        <w:t>1</w:t>
      </w:r>
      <w:r>
        <w:rPr>
          <w:rFonts w:ascii="Times New Roman" w:hAnsi="Times New Roman" w:cs="Times New Roman" w:eastAsia="Times New Roman" w:hint="default"/>
          <w:w w:val="101"/>
        </w:rPr>
        <w:t>2</w:t>
      </w:r>
      <w:r>
        <w:rPr>
          <w:rFonts w:ascii="Times New Roman" w:hAnsi="Times New Roman" w:cs="Times New Roman" w:eastAsia="Times New Roman" w:hint="default"/>
          <w:spacing w:val="-12"/>
        </w:rPr>
        <w:t> </w:t>
      </w:r>
      <w:r>
        <w:rPr>
          <w:w w:val="101"/>
        </w:rPr>
        <w:t>月</w:t>
      </w:r>
      <w:r>
        <w:rPr>
          <w:spacing w:val="-5"/>
          <w:w w:val="101"/>
        </w:rPr>
        <w:t>，</w:t>
      </w:r>
      <w:r>
        <w:rPr>
          <w:w w:val="101"/>
        </w:rPr>
        <w:t>公</w:t>
      </w:r>
      <w:r>
        <w:rPr>
          <w:spacing w:val="-5"/>
          <w:w w:val="101"/>
        </w:rPr>
        <w:t>司</w:t>
      </w:r>
      <w:r>
        <w:rPr>
          <w:w w:val="101"/>
        </w:rPr>
        <w:t>全</w:t>
      </w:r>
      <w:r>
        <w:rPr>
          <w:spacing w:val="-5"/>
          <w:w w:val="101"/>
        </w:rPr>
        <w:t>资</w:t>
      </w:r>
      <w:r>
        <w:rPr>
          <w:w w:val="101"/>
        </w:rPr>
        <w:t>子</w:t>
      </w:r>
      <w:r>
        <w:rPr>
          <w:spacing w:val="-5"/>
          <w:w w:val="101"/>
        </w:rPr>
        <w:t>公</w:t>
      </w:r>
      <w:r>
        <w:rPr>
          <w:w w:val="101"/>
        </w:rPr>
        <w:t>司</w:t>
      </w:r>
      <w:r>
        <w:rPr>
          <w:spacing w:val="-5"/>
          <w:w w:val="101"/>
        </w:rPr>
        <w:t>亿</w:t>
      </w:r>
      <w:r>
        <w:rPr>
          <w:w w:val="101"/>
        </w:rPr>
        <w:t>美</w:t>
      </w:r>
      <w:r>
        <w:rPr>
          <w:spacing w:val="-5"/>
          <w:w w:val="101"/>
        </w:rPr>
        <w:t>软</w:t>
      </w:r>
      <w:r>
        <w:rPr>
          <w:w w:val="101"/>
        </w:rPr>
        <w:t>通</w:t>
      </w:r>
      <w:r>
        <w:rPr>
          <w:spacing w:val="-5"/>
          <w:w w:val="101"/>
        </w:rPr>
        <w:t>与</w:t>
      </w:r>
      <w:r>
        <w:rPr>
          <w:w w:val="101"/>
        </w:rPr>
        <w:t>君</w:t>
      </w:r>
      <w:r>
        <w:rPr>
          <w:spacing w:val="-5"/>
          <w:w w:val="101"/>
        </w:rPr>
        <w:t>天</w:t>
      </w:r>
      <w:r>
        <w:rPr>
          <w:w w:val="101"/>
        </w:rPr>
        <w:t>首</w:t>
      </w:r>
      <w:r>
        <w:rPr>
          <w:spacing w:val="-5"/>
          <w:w w:val="101"/>
        </w:rPr>
        <w:t>业</w:t>
      </w:r>
      <w:r>
        <w:rPr>
          <w:w w:val="101"/>
        </w:rPr>
        <w:t>商</w:t>
      </w:r>
      <w:r>
        <w:rPr>
          <w:spacing w:val="-5"/>
          <w:w w:val="101"/>
        </w:rPr>
        <w:t>贸有</w:t>
      </w:r>
      <w:r>
        <w:rPr>
          <w:w w:val="101"/>
        </w:rPr>
        <w:t>限</w:t>
      </w:r>
      <w:r>
        <w:rPr>
          <w:spacing w:val="-5"/>
          <w:w w:val="101"/>
        </w:rPr>
        <w:t>公</w:t>
      </w:r>
      <w:r>
        <w:rPr>
          <w:w w:val="101"/>
        </w:rPr>
        <w:t>司</w:t>
      </w:r>
      <w:r>
        <w:rPr>
          <w:spacing w:val="-5"/>
          <w:w w:val="101"/>
        </w:rPr>
        <w:t>签</w:t>
      </w:r>
      <w:r>
        <w:rPr>
          <w:w w:val="101"/>
        </w:rPr>
        <w:t>订</w:t>
      </w:r>
      <w:r>
        <w:rPr>
          <w:spacing w:val="-5"/>
          <w:w w:val="101"/>
        </w:rPr>
        <w:t>了</w:t>
      </w:r>
      <w:r>
        <w:rPr>
          <w:w w:val="101"/>
        </w:rPr>
        <w:t>《</w:t>
      </w:r>
      <w:r>
        <w:rPr>
          <w:spacing w:val="-5"/>
          <w:w w:val="101"/>
        </w:rPr>
        <w:t>续</w:t>
      </w:r>
      <w:r>
        <w:rPr>
          <w:w w:val="101"/>
        </w:rPr>
        <w:t>租</w:t>
      </w:r>
      <w:r>
        <w:rPr>
          <w:spacing w:val="-5"/>
          <w:w w:val="101"/>
        </w:rPr>
        <w:t>协</w:t>
      </w:r>
      <w:r>
        <w:rPr>
          <w:w w:val="101"/>
        </w:rPr>
        <w:t>议</w:t>
      </w:r>
      <w:r>
        <w:rPr>
          <w:spacing w:val="-92"/>
          <w:w w:val="101"/>
        </w:rPr>
        <w:t>》</w:t>
      </w:r>
      <w:r>
        <w:rPr>
          <w:spacing w:val="-5"/>
          <w:w w:val="101"/>
        </w:rPr>
        <w:t>，</w:t>
      </w:r>
      <w:r>
        <w:rPr>
          <w:w w:val="101"/>
        </w:rPr>
        <w:t>约</w:t>
      </w:r>
      <w:r>
        <w:rPr>
          <w:spacing w:val="-5"/>
          <w:w w:val="101"/>
        </w:rPr>
        <w:t>定</w:t>
      </w:r>
      <w:r>
        <w:rPr>
          <w:w w:val="101"/>
        </w:rPr>
        <w:t>将</w:t>
      </w:r>
      <w:r>
        <w:rPr>
          <w:spacing w:val="-5"/>
          <w:w w:val="101"/>
        </w:rPr>
        <w:t>位</w:t>
      </w:r>
      <w:r>
        <w:rPr>
          <w:w w:val="101"/>
        </w:rPr>
        <w:t>于</w:t>
      </w:r>
      <w:r>
        <w:rPr>
          <w:spacing w:val="-5"/>
          <w:w w:val="101"/>
        </w:rPr>
        <w:t>北</w:t>
      </w:r>
      <w:r>
        <w:rPr>
          <w:w w:val="101"/>
        </w:rPr>
        <w:t>京</w:t>
      </w:r>
      <w:r>
        <w:rPr>
          <w:spacing w:val="-5"/>
          <w:w w:val="101"/>
        </w:rPr>
        <w:t>市</w:t>
      </w:r>
      <w:r>
        <w:rPr>
          <w:w w:val="101"/>
        </w:rPr>
        <w:t>朝</w:t>
      </w:r>
      <w:r>
        <w:rPr>
          <w:spacing w:val="-5"/>
          <w:w w:val="101"/>
        </w:rPr>
        <w:t>阳</w:t>
      </w:r>
      <w:r>
        <w:rPr>
          <w:w w:val="101"/>
        </w:rPr>
        <w:t>区通</w:t>
      </w:r>
      <w:r>
        <w:rPr/>
      </w:r>
    </w:p>
    <w:p>
      <w:pPr>
        <w:spacing w:line="240" w:lineRule="auto" w:before="7"/>
        <w:rPr>
          <w:rFonts w:ascii="宋体" w:hAnsi="宋体" w:cs="宋体" w:eastAsia="宋体" w:hint="default"/>
          <w:sz w:val="16"/>
          <w:szCs w:val="16"/>
        </w:rPr>
      </w:pPr>
    </w:p>
    <w:p>
      <w:pPr>
        <w:pStyle w:val="BodyText"/>
        <w:spacing w:line="240" w:lineRule="auto"/>
        <w:ind w:right="0"/>
        <w:jc w:val="left"/>
      </w:pPr>
      <w:r>
        <w:rPr/>
        <w:t>惠河畔文化创意产业园</w:t>
      </w:r>
      <w:r>
        <w:rPr>
          <w:spacing w:val="-28"/>
        </w:rPr>
        <w:t> </w:t>
      </w:r>
      <w:r>
        <w:rPr>
          <w:rFonts w:ascii="Times New Roman" w:hAnsi="Times New Roman" w:cs="Times New Roman" w:eastAsia="Times New Roman" w:hint="default"/>
          <w:spacing w:val="-4"/>
        </w:rPr>
        <w:t>1131</w:t>
      </w:r>
      <w:r>
        <w:rPr>
          <w:rFonts w:ascii="Times New Roman" w:hAnsi="Times New Roman" w:cs="Times New Roman" w:eastAsia="Times New Roman" w:hint="default"/>
          <w:spacing w:val="9"/>
        </w:rPr>
        <w:t> </w:t>
      </w:r>
      <w:r>
        <w:rPr>
          <w:spacing w:val="-4"/>
        </w:rPr>
        <w:t>号君天大厦六层出租给亿美软通，租赁面积为</w:t>
      </w:r>
      <w:r>
        <w:rPr>
          <w:spacing w:val="-27"/>
        </w:rPr>
        <w:t> </w:t>
      </w:r>
      <w:r>
        <w:rPr>
          <w:rFonts w:ascii="Times New Roman" w:hAnsi="Times New Roman" w:cs="Times New Roman" w:eastAsia="Times New Roman" w:hint="default"/>
        </w:rPr>
        <w:t>2,287</w:t>
      </w:r>
      <w:r>
        <w:rPr>
          <w:rFonts w:ascii="Times New Roman" w:hAnsi="Times New Roman" w:cs="Times New Roman" w:eastAsia="Times New Roman" w:hint="default"/>
          <w:spacing w:val="2"/>
        </w:rPr>
        <w:t> </w:t>
      </w:r>
      <w:r>
        <w:rPr>
          <w:spacing w:val="-4"/>
        </w:rPr>
        <w:t>平方米，季度租金为</w:t>
      </w:r>
      <w:r>
        <w:rPr>
          <w:spacing w:val="-28"/>
        </w:rPr>
        <w:t> </w:t>
      </w:r>
      <w:r>
        <w:rPr>
          <w:rFonts w:ascii="Times New Roman" w:hAnsi="Times New Roman" w:cs="Times New Roman" w:eastAsia="Times New Roman" w:hint="default"/>
        </w:rPr>
        <w:t>1,106,050.00</w:t>
      </w:r>
      <w:r>
        <w:rPr>
          <w:rFonts w:ascii="Times New Roman" w:hAnsi="Times New Roman" w:cs="Times New Roman" w:eastAsia="Times New Roman" w:hint="default"/>
          <w:spacing w:val="4"/>
        </w:rPr>
        <w:t> </w:t>
      </w:r>
      <w:r>
        <w:rPr>
          <w:spacing w:val="-7"/>
        </w:rPr>
        <w:t>元，租赁</w:t>
      </w:r>
    </w:p>
    <w:p>
      <w:pPr>
        <w:spacing w:line="240" w:lineRule="auto" w:before="12"/>
        <w:rPr>
          <w:rFonts w:ascii="宋体" w:hAnsi="宋体" w:cs="宋体" w:eastAsia="宋体" w:hint="default"/>
          <w:sz w:val="16"/>
          <w:szCs w:val="16"/>
        </w:rPr>
      </w:pPr>
    </w:p>
    <w:p>
      <w:pPr>
        <w:pStyle w:val="BodyText"/>
        <w:spacing w:line="240" w:lineRule="auto"/>
        <w:ind w:right="0"/>
        <w:jc w:val="left"/>
      </w:pPr>
      <w:r>
        <w:rPr>
          <w:w w:val="101"/>
        </w:rPr>
        <w:t>期自</w:t>
      </w:r>
      <w:r>
        <w:rPr>
          <w:spacing w:val="-47"/>
        </w:rPr>
        <w:t> </w:t>
      </w:r>
      <w:r>
        <w:rPr>
          <w:rFonts w:ascii="Times New Roman" w:hAnsi="Times New Roman" w:cs="Times New Roman" w:eastAsia="Times New Roman" w:hint="default"/>
          <w:w w:val="101"/>
        </w:rPr>
        <w:t>20</w:t>
      </w:r>
      <w:r>
        <w:rPr>
          <w:rFonts w:ascii="Times New Roman" w:hAnsi="Times New Roman" w:cs="Times New Roman" w:eastAsia="Times New Roman" w:hint="default"/>
          <w:spacing w:val="-5"/>
          <w:w w:val="101"/>
        </w:rPr>
        <w:t>1</w:t>
      </w:r>
      <w:r>
        <w:rPr>
          <w:rFonts w:ascii="Times New Roman" w:hAnsi="Times New Roman" w:cs="Times New Roman" w:eastAsia="Times New Roman" w:hint="default"/>
          <w:w w:val="101"/>
        </w:rPr>
        <w:t>7</w:t>
      </w:r>
      <w:r>
        <w:rPr>
          <w:rFonts w:ascii="Times New Roman" w:hAnsi="Times New Roman" w:cs="Times New Roman" w:eastAsia="Times New Roman" w:hint="default"/>
          <w:spacing w:val="-7"/>
        </w:rPr>
        <w:t> </w:t>
      </w:r>
      <w:r>
        <w:rPr>
          <w:w w:val="101"/>
        </w:rPr>
        <w:t>年</w:t>
      </w:r>
      <w:r>
        <w:rPr>
          <w:spacing w:val="-52"/>
        </w:rPr>
        <w:t> </w:t>
      </w:r>
      <w:r>
        <w:rPr>
          <w:rFonts w:ascii="Times New Roman" w:hAnsi="Times New Roman" w:cs="Times New Roman" w:eastAsia="Times New Roman" w:hint="default"/>
          <w:w w:val="101"/>
        </w:rPr>
        <w:t>3</w:t>
      </w:r>
      <w:r>
        <w:rPr>
          <w:rFonts w:ascii="Times New Roman" w:hAnsi="Times New Roman" w:cs="Times New Roman" w:eastAsia="Times New Roman" w:hint="default"/>
          <w:spacing w:val="-7"/>
        </w:rPr>
        <w:t> </w:t>
      </w:r>
      <w:r>
        <w:rPr>
          <w:w w:val="101"/>
        </w:rPr>
        <w:t>月</w:t>
      </w:r>
      <w:r>
        <w:rPr>
          <w:spacing w:val="-47"/>
        </w:rPr>
        <w:t> </w:t>
      </w:r>
      <w:r>
        <w:rPr>
          <w:rFonts w:ascii="Times New Roman" w:hAnsi="Times New Roman" w:cs="Times New Roman" w:eastAsia="Times New Roman" w:hint="default"/>
          <w:spacing w:val="-5"/>
          <w:w w:val="101"/>
        </w:rPr>
        <w:t>1</w:t>
      </w:r>
      <w:r>
        <w:rPr>
          <w:rFonts w:ascii="Times New Roman" w:hAnsi="Times New Roman" w:cs="Times New Roman" w:eastAsia="Times New Roman" w:hint="default"/>
          <w:w w:val="101"/>
        </w:rPr>
        <w:t>6</w:t>
      </w:r>
      <w:r>
        <w:rPr>
          <w:rFonts w:ascii="Times New Roman" w:hAnsi="Times New Roman" w:cs="Times New Roman" w:eastAsia="Times New Roman" w:hint="default"/>
          <w:spacing w:val="-12"/>
        </w:rPr>
        <w:t> </w:t>
      </w:r>
      <w:r>
        <w:rPr>
          <w:w w:val="101"/>
        </w:rPr>
        <w:t>日起至</w:t>
      </w:r>
      <w:r>
        <w:rPr>
          <w:spacing w:val="-52"/>
        </w:rPr>
        <w:t> </w:t>
      </w:r>
      <w:r>
        <w:rPr>
          <w:rFonts w:ascii="Times New Roman" w:hAnsi="Times New Roman" w:cs="Times New Roman" w:eastAsia="Times New Roman" w:hint="default"/>
          <w:w w:val="101"/>
        </w:rPr>
        <w:t>20</w:t>
      </w:r>
      <w:r>
        <w:rPr>
          <w:rFonts w:ascii="Times New Roman" w:hAnsi="Times New Roman" w:cs="Times New Roman" w:eastAsia="Times New Roman" w:hint="default"/>
          <w:spacing w:val="-5"/>
          <w:w w:val="101"/>
        </w:rPr>
        <w:t>1</w:t>
      </w:r>
      <w:r>
        <w:rPr>
          <w:rFonts w:ascii="Times New Roman" w:hAnsi="Times New Roman" w:cs="Times New Roman" w:eastAsia="Times New Roman" w:hint="default"/>
          <w:w w:val="101"/>
        </w:rPr>
        <w:t>9</w:t>
      </w:r>
      <w:r>
        <w:rPr>
          <w:rFonts w:ascii="Times New Roman" w:hAnsi="Times New Roman" w:cs="Times New Roman" w:eastAsia="Times New Roman" w:hint="default"/>
          <w:spacing w:val="-7"/>
        </w:rPr>
        <w:t> </w:t>
      </w:r>
      <w:r>
        <w:rPr>
          <w:w w:val="101"/>
        </w:rPr>
        <w:t>年</w:t>
      </w:r>
      <w:r>
        <w:rPr>
          <w:spacing w:val="-52"/>
        </w:rPr>
        <w:t> </w:t>
      </w:r>
      <w:r>
        <w:rPr>
          <w:rFonts w:ascii="Times New Roman" w:hAnsi="Times New Roman" w:cs="Times New Roman" w:eastAsia="Times New Roman" w:hint="default"/>
          <w:w w:val="101"/>
        </w:rPr>
        <w:t>4</w:t>
      </w:r>
      <w:r>
        <w:rPr>
          <w:rFonts w:ascii="Times New Roman" w:hAnsi="Times New Roman" w:cs="Times New Roman" w:eastAsia="Times New Roman" w:hint="default"/>
          <w:spacing w:val="-7"/>
        </w:rPr>
        <w:t> </w:t>
      </w:r>
      <w:r>
        <w:rPr>
          <w:w w:val="101"/>
        </w:rPr>
        <w:t>月</w:t>
      </w:r>
      <w:r>
        <w:rPr>
          <w:spacing w:val="-47"/>
        </w:rPr>
        <w:t> </w:t>
      </w:r>
      <w:r>
        <w:rPr>
          <w:rFonts w:ascii="Times New Roman" w:hAnsi="Times New Roman" w:cs="Times New Roman" w:eastAsia="Times New Roman" w:hint="default"/>
          <w:spacing w:val="-5"/>
          <w:w w:val="101"/>
        </w:rPr>
        <w:t>1</w:t>
      </w:r>
      <w:r>
        <w:rPr>
          <w:rFonts w:ascii="Times New Roman" w:hAnsi="Times New Roman" w:cs="Times New Roman" w:eastAsia="Times New Roman" w:hint="default"/>
          <w:w w:val="101"/>
        </w:rPr>
        <w:t>5</w:t>
      </w:r>
      <w:r>
        <w:rPr>
          <w:rFonts w:ascii="Times New Roman" w:hAnsi="Times New Roman" w:cs="Times New Roman" w:eastAsia="Times New Roman" w:hint="default"/>
          <w:spacing w:val="-6"/>
        </w:rPr>
        <w:t> </w:t>
      </w:r>
      <w:r>
        <w:rPr>
          <w:spacing w:val="-5"/>
          <w:w w:val="101"/>
        </w:rPr>
        <w:t>日</w:t>
      </w:r>
      <w:r>
        <w:rPr>
          <w:w w:val="101"/>
        </w:rPr>
        <w:t>止</w:t>
      </w:r>
      <w:r>
        <w:rPr>
          <w:spacing w:val="-15"/>
          <w:w w:val="101"/>
        </w:rPr>
        <w:t>。</w:t>
      </w:r>
      <w:r>
        <w:rPr>
          <w:rFonts w:ascii="Times New Roman" w:hAnsi="Times New Roman" w:cs="Times New Roman" w:eastAsia="Times New Roman" w:hint="default"/>
          <w:spacing w:val="-5"/>
          <w:w w:val="101"/>
        </w:rPr>
        <w:t>2</w:t>
      </w:r>
      <w:r>
        <w:rPr>
          <w:rFonts w:ascii="Times New Roman" w:hAnsi="Times New Roman" w:cs="Times New Roman" w:eastAsia="Times New Roman" w:hint="default"/>
          <w:w w:val="101"/>
        </w:rPr>
        <w:t>0</w:t>
      </w:r>
      <w:r>
        <w:rPr>
          <w:rFonts w:ascii="Times New Roman" w:hAnsi="Times New Roman" w:cs="Times New Roman" w:eastAsia="Times New Roman" w:hint="default"/>
          <w:spacing w:val="-5"/>
          <w:w w:val="101"/>
        </w:rPr>
        <w:t>1</w:t>
      </w:r>
      <w:r>
        <w:rPr>
          <w:rFonts w:ascii="Times New Roman" w:hAnsi="Times New Roman" w:cs="Times New Roman" w:eastAsia="Times New Roman" w:hint="default"/>
          <w:w w:val="101"/>
        </w:rPr>
        <w:t>8</w:t>
      </w:r>
      <w:r>
        <w:rPr>
          <w:rFonts w:ascii="Times New Roman" w:hAnsi="Times New Roman" w:cs="Times New Roman" w:eastAsia="Times New Roman" w:hint="default"/>
          <w:spacing w:val="-7"/>
        </w:rPr>
        <w:t> </w:t>
      </w:r>
      <w:r>
        <w:rPr>
          <w:w w:val="101"/>
        </w:rPr>
        <w:t>年</w:t>
      </w:r>
      <w:r>
        <w:rPr>
          <w:spacing w:val="-47"/>
        </w:rPr>
        <w:t> </w:t>
      </w:r>
      <w:r>
        <w:rPr>
          <w:rFonts w:ascii="Times New Roman" w:hAnsi="Times New Roman" w:cs="Times New Roman" w:eastAsia="Times New Roman" w:hint="default"/>
          <w:spacing w:val="-5"/>
          <w:w w:val="101"/>
        </w:rPr>
        <w:t>1</w:t>
      </w:r>
      <w:r>
        <w:rPr>
          <w:rFonts w:ascii="Times New Roman" w:hAnsi="Times New Roman" w:cs="Times New Roman" w:eastAsia="Times New Roman" w:hint="default"/>
          <w:w w:val="101"/>
        </w:rPr>
        <w:t>2</w:t>
      </w:r>
      <w:r>
        <w:rPr>
          <w:rFonts w:ascii="Times New Roman" w:hAnsi="Times New Roman" w:cs="Times New Roman" w:eastAsia="Times New Roman" w:hint="default"/>
          <w:spacing w:val="-7"/>
        </w:rPr>
        <w:t> </w:t>
      </w:r>
      <w:r>
        <w:rPr>
          <w:spacing w:val="-5"/>
          <w:w w:val="101"/>
        </w:rPr>
        <w:t>月</w:t>
      </w:r>
      <w:r>
        <w:rPr>
          <w:spacing w:val="-15"/>
          <w:w w:val="101"/>
        </w:rPr>
        <w:t>，</w:t>
      </w:r>
      <w:r>
        <w:rPr>
          <w:w w:val="101"/>
        </w:rPr>
        <w:t>亿</w:t>
      </w:r>
      <w:r>
        <w:rPr>
          <w:spacing w:val="-5"/>
          <w:w w:val="101"/>
        </w:rPr>
        <w:t>美</w:t>
      </w:r>
      <w:r>
        <w:rPr>
          <w:w w:val="101"/>
        </w:rPr>
        <w:t>软</w:t>
      </w:r>
      <w:r>
        <w:rPr>
          <w:spacing w:val="-5"/>
          <w:w w:val="101"/>
        </w:rPr>
        <w:t>通</w:t>
      </w:r>
      <w:r>
        <w:rPr>
          <w:w w:val="101"/>
        </w:rPr>
        <w:t>与</w:t>
      </w:r>
      <w:r>
        <w:rPr>
          <w:spacing w:val="-5"/>
          <w:w w:val="101"/>
        </w:rPr>
        <w:t>君</w:t>
      </w:r>
      <w:r>
        <w:rPr>
          <w:w w:val="101"/>
        </w:rPr>
        <w:t>天</w:t>
      </w:r>
      <w:r>
        <w:rPr>
          <w:spacing w:val="-5"/>
          <w:w w:val="101"/>
        </w:rPr>
        <w:t>首</w:t>
      </w:r>
      <w:r>
        <w:rPr>
          <w:w w:val="101"/>
        </w:rPr>
        <w:t>业</w:t>
      </w:r>
      <w:r>
        <w:rPr>
          <w:spacing w:val="-5"/>
          <w:w w:val="101"/>
        </w:rPr>
        <w:t>商</w:t>
      </w:r>
      <w:r>
        <w:rPr>
          <w:w w:val="101"/>
        </w:rPr>
        <w:t>贸</w:t>
      </w:r>
      <w:r>
        <w:rPr>
          <w:spacing w:val="-5"/>
          <w:w w:val="101"/>
        </w:rPr>
        <w:t>有</w:t>
      </w:r>
      <w:r>
        <w:rPr>
          <w:w w:val="101"/>
        </w:rPr>
        <w:t>限</w:t>
      </w:r>
      <w:r>
        <w:rPr>
          <w:spacing w:val="-5"/>
          <w:w w:val="101"/>
        </w:rPr>
        <w:t>公</w:t>
      </w:r>
      <w:r>
        <w:rPr>
          <w:w w:val="101"/>
        </w:rPr>
        <w:t>司</w:t>
      </w:r>
      <w:r>
        <w:rPr>
          <w:spacing w:val="-5"/>
          <w:w w:val="101"/>
        </w:rPr>
        <w:t>签订</w:t>
      </w:r>
      <w:r>
        <w:rPr>
          <w:spacing w:val="-15"/>
          <w:w w:val="101"/>
        </w:rPr>
        <w:t>了</w:t>
      </w:r>
      <w:r>
        <w:rPr>
          <w:w w:val="101"/>
        </w:rPr>
        <w:t>《</w:t>
      </w:r>
      <w:r>
        <w:rPr>
          <w:spacing w:val="-5"/>
          <w:w w:val="101"/>
        </w:rPr>
        <w:t>续</w:t>
      </w:r>
      <w:r>
        <w:rPr>
          <w:w w:val="101"/>
        </w:rPr>
        <w:t>租</w:t>
      </w:r>
      <w:r>
        <w:rPr>
          <w:spacing w:val="-5"/>
          <w:w w:val="101"/>
        </w:rPr>
        <w:t>协</w:t>
      </w:r>
      <w:r>
        <w:rPr>
          <w:w w:val="101"/>
        </w:rPr>
        <w:t>议</w:t>
      </w:r>
      <w:r>
        <w:rPr>
          <w:spacing w:val="-96"/>
          <w:w w:val="101"/>
        </w:rPr>
        <w:t>》</w:t>
      </w:r>
      <w:r>
        <w:rPr>
          <w:spacing w:val="-15"/>
          <w:w w:val="101"/>
        </w:rPr>
        <w:t>，</w:t>
      </w:r>
      <w:r>
        <w:rPr>
          <w:w w:val="101"/>
        </w:rPr>
        <w:t>季</w:t>
      </w:r>
      <w:r>
        <w:rPr/>
      </w:r>
    </w:p>
    <w:p>
      <w:pPr>
        <w:spacing w:line="240" w:lineRule="auto" w:before="7"/>
        <w:rPr>
          <w:rFonts w:ascii="宋体" w:hAnsi="宋体" w:cs="宋体" w:eastAsia="宋体" w:hint="default"/>
          <w:sz w:val="16"/>
          <w:szCs w:val="16"/>
        </w:rPr>
      </w:pPr>
    </w:p>
    <w:p>
      <w:pPr>
        <w:pStyle w:val="BodyText"/>
        <w:spacing w:line="240" w:lineRule="auto"/>
        <w:ind w:right="0"/>
        <w:jc w:val="left"/>
      </w:pPr>
      <w:r>
        <w:rPr/>
        <w:t>度租金为</w:t>
      </w:r>
      <w:r>
        <w:rPr>
          <w:spacing w:val="-45"/>
        </w:rPr>
        <w:t> </w:t>
      </w:r>
      <w:r>
        <w:rPr>
          <w:rFonts w:ascii="Times New Roman" w:hAnsi="Times New Roman" w:cs="Times New Roman" w:eastAsia="Times New Roman" w:hint="default"/>
        </w:rPr>
        <w:t>1,085,182.00</w:t>
      </w:r>
      <w:r>
        <w:rPr>
          <w:rFonts w:ascii="Times New Roman" w:hAnsi="Times New Roman" w:cs="Times New Roman" w:eastAsia="Times New Roman" w:hint="default"/>
          <w:spacing w:val="-10"/>
        </w:rPr>
        <w:t> </w:t>
      </w:r>
      <w:r>
        <w:rPr/>
        <w:t>元，租赁期自</w:t>
      </w:r>
      <w:r>
        <w:rPr>
          <w:spacing w:val="-45"/>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0"/>
        </w:rPr>
        <w:t> </w:t>
      </w:r>
      <w:r>
        <w:rPr/>
        <w:t>年</w:t>
      </w:r>
      <w:r>
        <w:rPr>
          <w:spacing w:val="-45"/>
        </w:rPr>
        <w:t> </w:t>
      </w:r>
      <w:r>
        <w:rPr>
          <w:rFonts w:ascii="Times New Roman" w:hAnsi="Times New Roman" w:cs="Times New Roman" w:eastAsia="Times New Roman" w:hint="default"/>
        </w:rPr>
        <w:t>4</w:t>
      </w:r>
      <w:r>
        <w:rPr>
          <w:rFonts w:ascii="Times New Roman" w:hAnsi="Times New Roman" w:cs="Times New Roman" w:eastAsia="Times New Roman" w:hint="default"/>
          <w:spacing w:val="-5"/>
        </w:rPr>
        <w:t> </w:t>
      </w:r>
      <w:r>
        <w:rPr/>
        <w:t>月</w:t>
      </w:r>
      <w:r>
        <w:rPr>
          <w:spacing w:val="-50"/>
        </w:rPr>
        <w:t> </w:t>
      </w:r>
      <w:r>
        <w:rPr>
          <w:rFonts w:ascii="Times New Roman" w:hAnsi="Times New Roman" w:cs="Times New Roman" w:eastAsia="Times New Roman" w:hint="default"/>
        </w:rPr>
        <w:t>16</w:t>
      </w:r>
      <w:r>
        <w:rPr>
          <w:rFonts w:ascii="Times New Roman" w:hAnsi="Times New Roman" w:cs="Times New Roman" w:eastAsia="Times New Roman" w:hint="default"/>
          <w:spacing w:val="-10"/>
        </w:rPr>
        <w:t> </w:t>
      </w:r>
      <w:r>
        <w:rPr/>
        <w:t>日起至</w:t>
      </w:r>
      <w:r>
        <w:rPr>
          <w:spacing w:val="-45"/>
        </w:rPr>
        <w:t> </w:t>
      </w:r>
      <w:r>
        <w:rPr>
          <w:rFonts w:ascii="Times New Roman" w:hAnsi="Times New Roman" w:cs="Times New Roman" w:eastAsia="Times New Roman" w:hint="default"/>
        </w:rPr>
        <w:t>2021</w:t>
      </w:r>
      <w:r>
        <w:rPr>
          <w:rFonts w:ascii="Times New Roman" w:hAnsi="Times New Roman" w:cs="Times New Roman" w:eastAsia="Times New Roman" w:hint="default"/>
          <w:spacing w:val="-5"/>
        </w:rPr>
        <w:t> </w:t>
      </w:r>
      <w:r>
        <w:rPr/>
        <w:t>年</w:t>
      </w:r>
      <w:r>
        <w:rPr>
          <w:spacing w:val="-50"/>
        </w:rPr>
        <w:t> </w:t>
      </w:r>
      <w:r>
        <w:rPr>
          <w:rFonts w:ascii="Times New Roman" w:hAnsi="Times New Roman" w:cs="Times New Roman" w:eastAsia="Times New Roman" w:hint="default"/>
        </w:rPr>
        <w:t>5</w:t>
      </w:r>
      <w:r>
        <w:rPr>
          <w:rFonts w:ascii="Times New Roman" w:hAnsi="Times New Roman" w:cs="Times New Roman" w:eastAsia="Times New Roman" w:hint="default"/>
          <w:spacing w:val="-5"/>
        </w:rPr>
        <w:t> </w:t>
      </w:r>
      <w:r>
        <w:rPr/>
        <w:t>月</w:t>
      </w:r>
      <w:r>
        <w:rPr>
          <w:spacing w:val="-45"/>
        </w:rPr>
        <w:t> </w:t>
      </w:r>
      <w:r>
        <w:rPr>
          <w:rFonts w:ascii="Times New Roman" w:hAnsi="Times New Roman" w:cs="Times New Roman" w:eastAsia="Times New Roman" w:hint="default"/>
          <w:spacing w:val="-3"/>
        </w:rPr>
        <w:t>15</w:t>
      </w:r>
      <w:r>
        <w:rPr>
          <w:rFonts w:ascii="Times New Roman" w:hAnsi="Times New Roman" w:cs="Times New Roman" w:eastAsia="Times New Roman" w:hint="default"/>
          <w:spacing w:val="-5"/>
        </w:rPr>
        <w:t> </w:t>
      </w:r>
      <w:r>
        <w:rPr>
          <w:spacing w:val="-5"/>
        </w:rPr>
        <w:t>日止。</w:t>
      </w:r>
      <w:r>
        <w:rPr/>
      </w:r>
    </w:p>
    <w:p>
      <w:pPr>
        <w:spacing w:after="0" w:line="240" w:lineRule="auto"/>
        <w:jc w:val="left"/>
        <w:sectPr>
          <w:pgSz w:w="11910" w:h="16840"/>
          <w:pgMar w:header="871" w:footer="1186" w:top="1100" w:bottom="1380" w:left="980" w:right="0"/>
        </w:sectPr>
      </w:pPr>
    </w:p>
    <w:p>
      <w:pPr>
        <w:spacing w:line="240" w:lineRule="auto" w:before="1"/>
        <w:rPr>
          <w:rFonts w:ascii="宋体" w:hAnsi="宋体" w:cs="宋体" w:eastAsia="宋体" w:hint="default"/>
          <w:sz w:val="28"/>
          <w:szCs w:val="28"/>
        </w:rPr>
      </w:pPr>
    </w:p>
    <w:p>
      <w:pPr>
        <w:pStyle w:val="BodyText"/>
        <w:spacing w:line="451" w:lineRule="auto" w:before="46"/>
        <w:ind w:right="1029" w:firstLine="360"/>
        <w:jc w:val="left"/>
      </w:pPr>
      <w:r>
        <w:rPr>
          <w:rFonts w:ascii="Times New Roman" w:hAnsi="Times New Roman" w:cs="Times New Roman" w:eastAsia="Times New Roman" w:hint="default"/>
          <w:spacing w:val="-1"/>
          <w:w w:val="101"/>
        </w:rPr>
        <w:t>3.2018</w:t>
      </w:r>
      <w:r>
        <w:rPr>
          <w:rFonts w:ascii="Times New Roman" w:hAnsi="Times New Roman" w:cs="Times New Roman" w:eastAsia="Times New Roman" w:hint="default"/>
          <w:spacing w:val="-7"/>
          <w:w w:val="101"/>
        </w:rPr>
        <w:t> </w:t>
      </w:r>
      <w:r>
        <w:rPr>
          <w:w w:val="101"/>
        </w:rPr>
        <w:t>年</w:t>
      </w:r>
      <w:r>
        <w:rPr>
          <w:spacing w:val="-42"/>
          <w:w w:val="101"/>
        </w:rPr>
        <w:t> </w:t>
      </w:r>
      <w:r>
        <w:rPr>
          <w:rFonts w:ascii="Times New Roman" w:hAnsi="Times New Roman" w:cs="Times New Roman" w:eastAsia="Times New Roman" w:hint="default"/>
          <w:w w:val="101"/>
        </w:rPr>
        <w:t>4</w:t>
      </w:r>
      <w:r>
        <w:rPr>
          <w:rFonts w:ascii="Times New Roman" w:hAnsi="Times New Roman" w:cs="Times New Roman" w:eastAsia="Times New Roman" w:hint="default"/>
          <w:spacing w:val="-8"/>
          <w:w w:val="101"/>
        </w:rPr>
        <w:t> </w:t>
      </w:r>
      <w:r>
        <w:rPr>
          <w:spacing w:val="-5"/>
          <w:w w:val="101"/>
        </w:rPr>
        <w:t>月，公司控股子公司安科创新与邹金山签订了《房屋租赁合同》，约定将深圳市龙岗区坂田街道马安堂社区</w:t>
      </w:r>
      <w:r>
        <w:rPr>
          <w:w w:val="101"/>
        </w:rPr>
        <w:t> </w:t>
      </w:r>
      <w:r>
        <w:rPr/>
        <w:t>中兴路</w:t>
      </w:r>
      <w:r>
        <w:rPr>
          <w:spacing w:val="-40"/>
        </w:rPr>
        <w:t> </w:t>
      </w:r>
      <w:r>
        <w:rPr>
          <w:rFonts w:ascii="Times New Roman" w:hAnsi="Times New Roman" w:cs="Times New Roman" w:eastAsia="Times New Roman" w:hint="default"/>
        </w:rPr>
        <w:t>105</w:t>
      </w:r>
      <w:r>
        <w:rPr>
          <w:rFonts w:ascii="Times New Roman" w:hAnsi="Times New Roman" w:cs="Times New Roman" w:eastAsia="Times New Roman" w:hint="default"/>
          <w:spacing w:val="-6"/>
        </w:rPr>
        <w:t> </w:t>
      </w:r>
      <w:r>
        <w:rPr/>
        <w:t>号儒骏大厦</w:t>
      </w:r>
      <w:r>
        <w:rPr>
          <w:spacing w:val="-40"/>
        </w:rPr>
        <w:t> </w:t>
      </w:r>
      <w:r>
        <w:rPr>
          <w:rFonts w:ascii="Times New Roman" w:hAnsi="Times New Roman" w:cs="Times New Roman" w:eastAsia="Times New Roman" w:hint="default"/>
        </w:rPr>
        <w:t>1001-1</w:t>
      </w:r>
      <w:r>
        <w:rPr/>
        <w:t>、</w:t>
      </w:r>
      <w:r>
        <w:rPr>
          <w:rFonts w:ascii="Times New Roman" w:hAnsi="Times New Roman" w:cs="Times New Roman" w:eastAsia="Times New Roman" w:hint="default"/>
        </w:rPr>
        <w:t>1001-6</w:t>
      </w:r>
      <w:r>
        <w:rPr>
          <w:rFonts w:ascii="Times New Roman" w:hAnsi="Times New Roman" w:cs="Times New Roman" w:eastAsia="Times New Roman" w:hint="default"/>
          <w:spacing w:val="-7"/>
        </w:rPr>
        <w:t> </w:t>
      </w:r>
      <w:r>
        <w:rPr>
          <w:spacing w:val="-3"/>
        </w:rPr>
        <w:t>的房产出租给安科创新办公，租赁面积分别为</w:t>
      </w:r>
      <w:r>
        <w:rPr>
          <w:spacing w:val="-39"/>
        </w:rPr>
        <w:t> </w:t>
      </w:r>
      <w:r>
        <w:rPr>
          <w:rFonts w:ascii="Times New Roman" w:hAnsi="Times New Roman" w:cs="Times New Roman" w:eastAsia="Times New Roman" w:hint="default"/>
        </w:rPr>
        <w:t>986.97</w:t>
      </w:r>
      <w:r>
        <w:rPr>
          <w:rFonts w:ascii="Times New Roman" w:hAnsi="Times New Roman" w:cs="Times New Roman" w:eastAsia="Times New Roman" w:hint="default"/>
          <w:spacing w:val="-6"/>
        </w:rPr>
        <w:t> </w:t>
      </w:r>
      <w:r>
        <w:rPr/>
        <w:t>平方米、</w:t>
      </w:r>
      <w:r>
        <w:rPr>
          <w:rFonts w:ascii="Times New Roman" w:hAnsi="Times New Roman" w:cs="Times New Roman" w:eastAsia="Times New Roman" w:hint="default"/>
        </w:rPr>
        <w:t>382.00</w:t>
      </w:r>
      <w:r>
        <w:rPr>
          <w:rFonts w:ascii="Times New Roman" w:hAnsi="Times New Roman" w:cs="Times New Roman" w:eastAsia="Times New Roman" w:hint="default"/>
          <w:spacing w:val="-7"/>
        </w:rPr>
        <w:t> </w:t>
      </w:r>
      <w:r>
        <w:rPr/>
        <w:t>平方米，月租</w:t>
      </w:r>
      <w:r>
        <w:rPr>
          <w:spacing w:val="-62"/>
        </w:rPr>
        <w:t> </w:t>
      </w:r>
      <w:r>
        <w:rPr>
          <w:spacing w:val="-62"/>
        </w:rPr>
      </w:r>
      <w:r>
        <w:rPr/>
        <w:t>金分别为</w:t>
      </w:r>
      <w:r>
        <w:rPr>
          <w:spacing w:val="-40"/>
        </w:rPr>
        <w:t> </w:t>
      </w:r>
      <w:r>
        <w:rPr>
          <w:rFonts w:ascii="Times New Roman" w:hAnsi="Times New Roman" w:cs="Times New Roman" w:eastAsia="Times New Roman" w:hint="default"/>
        </w:rPr>
        <w:t>79,945.00</w:t>
      </w:r>
      <w:r>
        <w:rPr>
          <w:rFonts w:ascii="Times New Roman" w:hAnsi="Times New Roman" w:cs="Times New Roman" w:eastAsia="Times New Roman" w:hint="default"/>
          <w:spacing w:val="-7"/>
        </w:rPr>
        <w:t> </w:t>
      </w:r>
      <w:r>
        <w:rPr>
          <w:spacing w:val="-4"/>
        </w:rPr>
        <w:t>元、</w:t>
      </w:r>
      <w:r>
        <w:rPr>
          <w:rFonts w:ascii="Times New Roman" w:hAnsi="Times New Roman" w:cs="Times New Roman" w:eastAsia="Times New Roman" w:hint="default"/>
          <w:spacing w:val="-4"/>
        </w:rPr>
        <w:t>28,650.00</w:t>
      </w:r>
      <w:r>
        <w:rPr>
          <w:rFonts w:ascii="Times New Roman" w:hAnsi="Times New Roman" w:cs="Times New Roman" w:eastAsia="Times New Roman" w:hint="default"/>
        </w:rPr>
        <w:t> </w:t>
      </w:r>
      <w:r>
        <w:rPr>
          <w:spacing w:val="-5"/>
        </w:rPr>
        <w:t>元，租赁期分别为自</w:t>
      </w:r>
      <w:r>
        <w:rPr>
          <w:spacing w:val="-40"/>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月</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日至</w:t>
      </w:r>
      <w:r>
        <w:rPr>
          <w:spacing w:val="-40"/>
        </w:rPr>
        <w:t> </w:t>
      </w:r>
      <w:r>
        <w:rPr>
          <w:rFonts w:ascii="Times New Roman" w:hAnsi="Times New Roman" w:cs="Times New Roman" w:eastAsia="Times New Roman" w:hint="default"/>
          <w:spacing w:val="-3"/>
        </w:rPr>
        <w:t>2020</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月</w:t>
      </w:r>
      <w:r>
        <w:rPr>
          <w:spacing w:val="-40"/>
        </w:rPr>
        <w:t> </w:t>
      </w:r>
      <w:r>
        <w:rPr>
          <w:rFonts w:ascii="Times New Roman" w:hAnsi="Times New Roman" w:cs="Times New Roman" w:eastAsia="Times New Roman" w:hint="default"/>
          <w:spacing w:val="-3"/>
        </w:rPr>
        <w:t>29</w:t>
      </w:r>
      <w:r>
        <w:rPr>
          <w:rFonts w:ascii="Times New Roman" w:hAnsi="Times New Roman" w:cs="Times New Roman" w:eastAsia="Times New Roman" w:hint="default"/>
          <w:spacing w:val="-1"/>
        </w:rPr>
        <w:t> </w:t>
      </w:r>
      <w:r>
        <w:rPr>
          <w:spacing w:val="-4"/>
        </w:rPr>
        <w:t>日止。该房屋租赁合同已经深圳市</w:t>
      </w:r>
      <w:r>
        <w:rPr>
          <w:spacing w:val="-71"/>
        </w:rPr>
        <w:t> </w:t>
      </w:r>
      <w:r>
        <w:rPr>
          <w:spacing w:val="-71"/>
        </w:rPr>
      </w:r>
      <w:r>
        <w:rPr>
          <w:spacing w:val="-3"/>
        </w:rPr>
        <w:t>龙岗区房屋租赁管理局备案，合同登记备案号分别为</w:t>
      </w:r>
      <w:r>
        <w:rPr>
          <w:rFonts w:ascii="Times New Roman" w:hAnsi="Times New Roman" w:cs="Times New Roman" w:eastAsia="Times New Roman" w:hint="default"/>
          <w:spacing w:val="-3"/>
        </w:rPr>
        <w:t>“</w:t>
      </w:r>
      <w:r>
        <w:rPr>
          <w:spacing w:val="-3"/>
        </w:rPr>
        <w:t>深房租龙岗</w:t>
      </w:r>
      <w:r>
        <w:rPr>
          <w:spacing w:val="-29"/>
        </w:rPr>
        <w:t> </w:t>
      </w:r>
      <w:r>
        <w:rPr>
          <w:rFonts w:ascii="Times New Roman" w:hAnsi="Times New Roman" w:cs="Times New Roman" w:eastAsia="Times New Roman" w:hint="default"/>
        </w:rPr>
        <w:t>2018010754”</w:t>
      </w:r>
      <w:r>
        <w:rPr/>
        <w:t>、</w:t>
      </w:r>
      <w:r>
        <w:rPr>
          <w:rFonts w:ascii="Times New Roman" w:hAnsi="Times New Roman" w:cs="Times New Roman" w:eastAsia="Times New Roman" w:hint="default"/>
        </w:rPr>
        <w:t>“</w:t>
      </w:r>
      <w:r>
        <w:rPr/>
        <w:t>深房租龙岗</w:t>
      </w:r>
      <w:r>
        <w:rPr>
          <w:spacing w:val="-29"/>
        </w:rPr>
        <w:t> </w:t>
      </w:r>
      <w:r>
        <w:rPr>
          <w:rFonts w:ascii="Times New Roman" w:hAnsi="Times New Roman" w:cs="Times New Roman" w:eastAsia="Times New Roman" w:hint="default"/>
        </w:rPr>
        <w:t>2018010755”</w:t>
      </w:r>
      <w:r>
        <w:rPr/>
        <w:t>。</w:t>
      </w:r>
      <w:r>
        <w:rPr>
          <w:rFonts w:ascii="Times New Roman" w:hAnsi="Times New Roman" w:cs="Times New Roman" w:eastAsia="Times New Roman" w:hint="default"/>
        </w:rPr>
        <w:t>2018</w:t>
      </w:r>
      <w:r>
        <w:rPr>
          <w:rFonts w:ascii="Times New Roman" w:hAnsi="Times New Roman" w:cs="Times New Roman" w:eastAsia="Times New Roman" w:hint="default"/>
          <w:spacing w:val="9"/>
        </w:rPr>
        <w:t> </w:t>
      </w:r>
      <w:r>
        <w:rPr/>
        <w:t>年</w:t>
      </w:r>
      <w:r>
        <w:rPr>
          <w:spacing w:val="-22"/>
        </w:rPr>
        <w:t> </w:t>
      </w:r>
      <w:r>
        <w:rPr>
          <w:rFonts w:ascii="Times New Roman" w:hAnsi="Times New Roman" w:cs="Times New Roman" w:eastAsia="Times New Roman" w:hint="default"/>
          <w:spacing w:val="-3"/>
        </w:rPr>
        <w:t>11</w:t>
      </w:r>
      <w:r>
        <w:rPr>
          <w:rFonts w:ascii="Times New Roman" w:hAnsi="Times New Roman" w:cs="Times New Roman" w:eastAsia="Times New Roman" w:hint="default"/>
          <w:spacing w:val="16"/>
        </w:rPr>
        <w:t> </w:t>
      </w:r>
      <w:r>
        <w:rPr/>
        <w:t>月，</w:t>
      </w:r>
      <w:r>
        <w:rPr>
          <w:spacing w:val="-82"/>
        </w:rPr>
        <w:t> </w:t>
      </w:r>
      <w:r>
        <w:rPr>
          <w:spacing w:val="-5"/>
          <w:w w:val="101"/>
        </w:rPr>
        <w:t>安科创新与邹金山签订了《房屋租赁合同》，约定将邹金山位于深圳市龙岗区坂田街道马安堂社区中兴路</w:t>
      </w:r>
      <w:r>
        <w:rPr>
          <w:w w:val="101"/>
        </w:rPr>
        <w:t> </w:t>
      </w:r>
      <w:r>
        <w:rPr>
          <w:rFonts w:ascii="Times New Roman" w:hAnsi="Times New Roman" w:cs="Times New Roman" w:eastAsia="Times New Roman" w:hint="default"/>
          <w:spacing w:val="-2"/>
          <w:w w:val="101"/>
        </w:rPr>
        <w:t>105</w:t>
      </w:r>
      <w:r>
        <w:rPr>
          <w:rFonts w:ascii="Times New Roman" w:hAnsi="Times New Roman" w:cs="Times New Roman" w:eastAsia="Times New Roman" w:hint="default"/>
          <w:spacing w:val="-25"/>
          <w:w w:val="101"/>
        </w:rPr>
        <w:t> </w:t>
      </w:r>
      <w:r>
        <w:rPr>
          <w:spacing w:val="-2"/>
          <w:w w:val="101"/>
        </w:rPr>
        <w:t>号儒骏大厦</w:t>
      </w:r>
      <w:r>
        <w:rPr>
          <w:spacing w:val="-2"/>
        </w:rPr>
      </w:r>
    </w:p>
    <w:p>
      <w:pPr>
        <w:pStyle w:val="BodyText"/>
        <w:spacing w:line="451" w:lineRule="auto" w:before="41"/>
        <w:ind w:right="1122"/>
        <w:jc w:val="both"/>
      </w:pPr>
      <w:r>
        <w:rPr>
          <w:rFonts w:ascii="Times New Roman" w:hAnsi="Times New Roman" w:cs="Times New Roman" w:eastAsia="Times New Roman" w:hint="default"/>
        </w:rPr>
        <w:t>1001-5</w:t>
      </w:r>
      <w:r>
        <w:rPr>
          <w:rFonts w:ascii="Times New Roman" w:hAnsi="Times New Roman" w:cs="Times New Roman" w:eastAsia="Times New Roman" w:hint="default"/>
          <w:spacing w:val="-6"/>
        </w:rPr>
        <w:t> </w:t>
      </w:r>
      <w:r>
        <w:rPr>
          <w:spacing w:val="-4"/>
        </w:rPr>
        <w:t>的房产出租给安科创新办公，租赁面积为</w:t>
      </w:r>
      <w:r>
        <w:rPr>
          <w:spacing w:val="-38"/>
        </w:rPr>
        <w:t> </w:t>
      </w:r>
      <w:r>
        <w:rPr>
          <w:rFonts w:ascii="Times New Roman" w:hAnsi="Times New Roman" w:cs="Times New Roman" w:eastAsia="Times New Roman" w:hint="default"/>
        </w:rPr>
        <w:t>95.53</w:t>
      </w:r>
      <w:r>
        <w:rPr>
          <w:rFonts w:ascii="Times New Roman" w:hAnsi="Times New Roman" w:cs="Times New Roman" w:eastAsia="Times New Roman" w:hint="default"/>
          <w:spacing w:val="-6"/>
        </w:rPr>
        <w:t> </w:t>
      </w:r>
      <w:r>
        <w:rPr>
          <w:spacing w:val="-5"/>
        </w:rPr>
        <w:t>平方米，月租金为</w:t>
      </w:r>
      <w:r>
        <w:rPr>
          <w:spacing w:val="-39"/>
        </w:rPr>
        <w:t> </w:t>
      </w:r>
      <w:r>
        <w:rPr>
          <w:rFonts w:ascii="Times New Roman" w:hAnsi="Times New Roman" w:cs="Times New Roman" w:eastAsia="Times New Roman" w:hint="default"/>
        </w:rPr>
        <w:t>7,738</w:t>
      </w:r>
      <w:r>
        <w:rPr>
          <w:rFonts w:ascii="Times New Roman" w:hAnsi="Times New Roman" w:cs="Times New Roman" w:eastAsia="Times New Roman" w:hint="default"/>
          <w:spacing w:val="-5"/>
        </w:rPr>
        <w:t> </w:t>
      </w:r>
      <w:r>
        <w:rPr>
          <w:spacing w:val="-6"/>
        </w:rPr>
        <w:t>元，租赁期自</w:t>
      </w:r>
      <w:r>
        <w:rPr>
          <w:spacing w:val="-39"/>
        </w:rPr>
        <w:t> </w:t>
      </w:r>
      <w:r>
        <w:rPr>
          <w:rFonts w:ascii="Times New Roman" w:hAnsi="Times New Roman" w:cs="Times New Roman" w:eastAsia="Times New Roman" w:hint="default"/>
          <w:spacing w:val="-3"/>
        </w:rPr>
        <w:t>2018</w:t>
      </w:r>
      <w:r>
        <w:rPr>
          <w:rFonts w:ascii="Times New Roman" w:hAnsi="Times New Roman" w:cs="Times New Roman" w:eastAsia="Times New Roman" w:hint="default"/>
        </w:rPr>
        <w:t> </w:t>
      </w:r>
      <w:r>
        <w:rPr/>
        <w:t>年</w:t>
      </w:r>
      <w:r>
        <w:rPr>
          <w:spacing w:val="-39"/>
        </w:rPr>
        <w:t> </w:t>
      </w:r>
      <w:r>
        <w:rPr>
          <w:rFonts w:ascii="Times New Roman" w:hAnsi="Times New Roman" w:cs="Times New Roman" w:eastAsia="Times New Roman" w:hint="default"/>
          <w:spacing w:val="-5"/>
        </w:rPr>
        <w:t>11</w:t>
      </w:r>
      <w:r>
        <w:rPr>
          <w:rFonts w:ascii="Times New Roman" w:hAnsi="Times New Roman" w:cs="Times New Roman" w:eastAsia="Times New Roman" w:hint="default"/>
        </w:rPr>
        <w:t> </w:t>
      </w:r>
      <w:r>
        <w:rPr/>
        <w:t>月</w:t>
      </w:r>
      <w:r>
        <w:rPr>
          <w:spacing w:val="-39"/>
        </w:rPr>
        <w:t> </w:t>
      </w:r>
      <w:r>
        <w:rPr>
          <w:rFonts w:ascii="Times New Roman" w:hAnsi="Times New Roman" w:cs="Times New Roman" w:eastAsia="Times New Roman" w:hint="default"/>
          <w:spacing w:val="-3"/>
        </w:rPr>
        <w:t>25</w:t>
      </w:r>
      <w:r>
        <w:rPr>
          <w:rFonts w:ascii="Times New Roman" w:hAnsi="Times New Roman" w:cs="Times New Roman" w:eastAsia="Times New Roman" w:hint="default"/>
          <w:spacing w:val="-5"/>
        </w:rPr>
        <w:t> </w:t>
      </w:r>
      <w:r>
        <w:rPr/>
        <w:t>日至</w:t>
      </w:r>
      <w:r>
        <w:rPr>
          <w:spacing w:val="-39"/>
        </w:rPr>
        <w:t> </w:t>
      </w:r>
      <w:r>
        <w:rPr>
          <w:rFonts w:ascii="Times New Roman" w:hAnsi="Times New Roman" w:cs="Times New Roman" w:eastAsia="Times New Roman" w:hint="default"/>
        </w:rPr>
        <w:t>2019 </w:t>
      </w:r>
      <w:r>
        <w:rPr/>
        <w:t>年</w:t>
      </w:r>
      <w:r>
        <w:rPr>
          <w:spacing w:val="-45"/>
        </w:rPr>
        <w:t> </w:t>
      </w:r>
      <w:r>
        <w:rPr>
          <w:rFonts w:ascii="Times New Roman" w:hAnsi="Times New Roman" w:cs="Times New Roman" w:eastAsia="Times New Roman" w:hint="default"/>
        </w:rPr>
        <w:t>5</w:t>
      </w:r>
      <w:r>
        <w:rPr>
          <w:rFonts w:ascii="Times New Roman" w:hAnsi="Times New Roman" w:cs="Times New Roman" w:eastAsia="Times New Roman" w:hint="default"/>
          <w:spacing w:val="-40"/>
        </w:rPr>
        <w:t> </w:t>
      </w:r>
      <w:r>
        <w:rPr/>
        <w:t>月 </w:t>
      </w:r>
      <w:r>
        <w:rPr>
          <w:rFonts w:ascii="Times New Roman" w:hAnsi="Times New Roman" w:cs="Times New Roman" w:eastAsia="Times New Roman" w:hint="default"/>
        </w:rPr>
        <w:t>22 </w:t>
      </w:r>
      <w:r>
        <w:rPr>
          <w:spacing w:val="-4"/>
        </w:rPr>
        <w:t>日止。该房屋租赁合同已经深圳市龙岗区房屋租赁管理局备案，合同登记备案号为</w:t>
      </w:r>
      <w:r>
        <w:rPr>
          <w:rFonts w:ascii="Times New Roman" w:hAnsi="Times New Roman" w:cs="Times New Roman" w:eastAsia="Times New Roman" w:hint="default"/>
          <w:spacing w:val="-4"/>
        </w:rPr>
        <w:t>“</w:t>
      </w:r>
      <w:r>
        <w:rPr>
          <w:spacing w:val="-4"/>
        </w:rPr>
        <w:t>深房租龙岗 </w:t>
      </w:r>
      <w:r>
        <w:rPr>
          <w:rFonts w:ascii="Times New Roman" w:hAnsi="Times New Roman" w:cs="Times New Roman" w:eastAsia="Times New Roman" w:hint="default"/>
          <w:spacing w:val="-3"/>
        </w:rPr>
        <w:t>2018022559”</w:t>
      </w:r>
      <w:r>
        <w:rPr>
          <w:spacing w:val="-3"/>
        </w:rPr>
        <w:t>。</w:t>
      </w:r>
      <w:r>
        <w:rPr>
          <w:rFonts w:ascii="Times New Roman" w:hAnsi="Times New Roman" w:cs="Times New Roman" w:eastAsia="Times New Roman" w:hint="default"/>
          <w:spacing w:val="-3"/>
        </w:rPr>
        <w:t>2019 </w:t>
      </w:r>
      <w:r>
        <w:rPr/>
        <w:t>年</w:t>
      </w:r>
      <w:r>
        <w:rPr>
          <w:spacing w:val="-64"/>
        </w:rPr>
        <w:t> </w:t>
      </w:r>
      <w:r>
        <w:rPr>
          <w:rFonts w:ascii="Times New Roman" w:hAnsi="Times New Roman" w:cs="Times New Roman" w:eastAsia="Times New Roman" w:hint="default"/>
          <w:w w:val="101"/>
        </w:rPr>
        <w:t>12</w:t>
      </w:r>
      <w:r>
        <w:rPr>
          <w:rFonts w:ascii="Times New Roman" w:hAnsi="Times New Roman" w:cs="Times New Roman" w:eastAsia="Times New Roman" w:hint="default"/>
          <w:spacing w:val="-4"/>
          <w:w w:val="101"/>
        </w:rPr>
        <w:t> </w:t>
      </w:r>
      <w:r>
        <w:rPr>
          <w:spacing w:val="-5"/>
          <w:w w:val="101"/>
        </w:rPr>
        <w:t>月，安科创新与邹金山签订了《儒骏大厦房屋租赁合同》，约定将深圳市龙岗区坂田街道马安堂社区中兴路</w:t>
      </w:r>
      <w:r>
        <w:rPr>
          <w:spacing w:val="-48"/>
          <w:w w:val="101"/>
        </w:rPr>
        <w:t> </w:t>
      </w:r>
      <w:r>
        <w:rPr>
          <w:rFonts w:ascii="Times New Roman" w:hAnsi="Times New Roman" w:cs="Times New Roman" w:eastAsia="Times New Roman" w:hint="default"/>
          <w:w w:val="101"/>
        </w:rPr>
        <w:t>105</w:t>
      </w:r>
      <w:r>
        <w:rPr>
          <w:rFonts w:ascii="Times New Roman" w:hAnsi="Times New Roman" w:cs="Times New Roman" w:eastAsia="Times New Roman" w:hint="default"/>
          <w:spacing w:val="-10"/>
          <w:w w:val="101"/>
        </w:rPr>
        <w:t> </w:t>
      </w:r>
      <w:r>
        <w:rPr>
          <w:spacing w:val="-3"/>
          <w:w w:val="101"/>
        </w:rPr>
        <w:t>号儒骏大</w:t>
      </w:r>
      <w:r>
        <w:rPr>
          <w:spacing w:val="-3"/>
        </w:rPr>
      </w:r>
    </w:p>
    <w:p>
      <w:pPr>
        <w:pStyle w:val="BodyText"/>
        <w:spacing w:line="240" w:lineRule="auto" w:before="46"/>
        <w:ind w:right="0"/>
        <w:jc w:val="both"/>
      </w:pPr>
      <w:r>
        <w:rPr/>
        <w:t>厦</w:t>
      </w:r>
      <w:r>
        <w:rPr>
          <w:spacing w:val="-23"/>
        </w:rPr>
        <w:t> </w:t>
      </w:r>
      <w:r>
        <w:rPr>
          <w:rFonts w:ascii="Times New Roman" w:hAnsi="Times New Roman" w:cs="Times New Roman" w:eastAsia="Times New Roman" w:hint="default"/>
        </w:rPr>
        <w:t>1001</w:t>
      </w:r>
      <w:r>
        <w:rPr>
          <w:rFonts w:ascii="Times New Roman" w:hAnsi="Times New Roman" w:cs="Times New Roman" w:eastAsia="Times New Roman" w:hint="default"/>
          <w:spacing w:val="14"/>
        </w:rPr>
        <w:t> </w:t>
      </w:r>
      <w:r>
        <w:rPr>
          <w:spacing w:val="-3"/>
        </w:rPr>
        <w:t>的房屋出租给安科创新办公，租赁面积为</w:t>
      </w:r>
      <w:r>
        <w:rPr>
          <w:spacing w:val="-30"/>
        </w:rPr>
        <w:t> </w:t>
      </w:r>
      <w:r>
        <w:rPr>
          <w:rFonts w:ascii="Times New Roman" w:hAnsi="Times New Roman" w:cs="Times New Roman" w:eastAsia="Times New Roman" w:hint="default"/>
        </w:rPr>
        <w:t>1,464.50</w:t>
      </w:r>
      <w:r>
        <w:rPr>
          <w:rFonts w:ascii="Times New Roman" w:hAnsi="Times New Roman" w:cs="Times New Roman" w:eastAsia="Times New Roman" w:hint="default"/>
          <w:spacing w:val="15"/>
        </w:rPr>
        <w:t> </w:t>
      </w:r>
      <w:r>
        <w:rPr>
          <w:spacing w:val="-3"/>
        </w:rPr>
        <w:t>平方米，月租金</w:t>
      </w:r>
      <w:r>
        <w:rPr>
          <w:spacing w:val="-23"/>
        </w:rPr>
        <w:t> </w:t>
      </w:r>
      <w:r>
        <w:rPr>
          <w:rFonts w:ascii="Times New Roman" w:hAnsi="Times New Roman" w:cs="Times New Roman" w:eastAsia="Times New Roman" w:hint="default"/>
        </w:rPr>
        <w:t>128,144</w:t>
      </w:r>
      <w:r>
        <w:rPr>
          <w:rFonts w:ascii="Times New Roman" w:hAnsi="Times New Roman" w:cs="Times New Roman" w:eastAsia="Times New Roman" w:hint="default"/>
          <w:spacing w:val="6"/>
        </w:rPr>
        <w:t> </w:t>
      </w:r>
      <w:r>
        <w:rPr>
          <w:spacing w:val="-3"/>
        </w:rPr>
        <w:t>元，并约定租金自租赁期间第二年起每</w:t>
      </w:r>
    </w:p>
    <w:p>
      <w:pPr>
        <w:spacing w:line="240" w:lineRule="auto" w:before="8"/>
        <w:rPr>
          <w:rFonts w:ascii="宋体" w:hAnsi="宋体" w:cs="宋体" w:eastAsia="宋体" w:hint="default"/>
          <w:sz w:val="16"/>
          <w:szCs w:val="16"/>
        </w:rPr>
      </w:pPr>
    </w:p>
    <w:p>
      <w:pPr>
        <w:pStyle w:val="BodyText"/>
        <w:spacing w:line="453" w:lineRule="auto"/>
        <w:ind w:right="0"/>
        <w:jc w:val="left"/>
      </w:pPr>
      <w:r>
        <w:rPr/>
        <w:t>年递增</w:t>
      </w:r>
      <w:r>
        <w:rPr>
          <w:spacing w:val="-37"/>
        </w:rPr>
        <w:t> </w:t>
      </w:r>
      <w:r>
        <w:rPr>
          <w:rFonts w:ascii="Times New Roman" w:hAnsi="Times New Roman" w:cs="Times New Roman" w:eastAsia="Times New Roman" w:hint="default"/>
          <w:spacing w:val="-4"/>
        </w:rPr>
        <w:t>8%</w:t>
      </w:r>
      <w:r>
        <w:rPr>
          <w:spacing w:val="-4"/>
        </w:rPr>
        <w:t>。租赁期自</w:t>
      </w:r>
      <w:r>
        <w:rPr>
          <w:spacing w:val="-43"/>
        </w:rPr>
        <w:t> </w:t>
      </w:r>
      <w:r>
        <w:rPr>
          <w:rFonts w:ascii="Times New Roman" w:hAnsi="Times New Roman" w:cs="Times New Roman" w:eastAsia="Times New Roman" w:hint="default"/>
        </w:rPr>
        <w:t>2020</w:t>
      </w:r>
      <w:r>
        <w:rPr>
          <w:rFonts w:ascii="Times New Roman" w:hAnsi="Times New Roman" w:cs="Times New Roman" w:eastAsia="Times New Roman" w:hint="default"/>
          <w:spacing w:val="2"/>
        </w:rPr>
        <w:t> </w:t>
      </w:r>
      <w:r>
        <w:rPr/>
        <w:t>年</w:t>
      </w:r>
      <w:r>
        <w:rPr>
          <w:spacing w:val="-43"/>
        </w:rPr>
        <w:t> </w:t>
      </w:r>
      <w:r>
        <w:rPr>
          <w:rFonts w:ascii="Times New Roman" w:hAnsi="Times New Roman" w:cs="Times New Roman" w:eastAsia="Times New Roman" w:hint="default"/>
        </w:rPr>
        <w:t>3</w:t>
      </w:r>
      <w:r>
        <w:rPr>
          <w:rFonts w:ascii="Times New Roman" w:hAnsi="Times New Roman" w:cs="Times New Roman" w:eastAsia="Times New Roman" w:hint="default"/>
          <w:spacing w:val="2"/>
        </w:rPr>
        <w:t> </w:t>
      </w:r>
      <w:r>
        <w:rPr/>
        <w:t>月</w:t>
      </w:r>
      <w:r>
        <w:rPr>
          <w:spacing w:val="-43"/>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日至</w:t>
      </w:r>
      <w:r>
        <w:rPr>
          <w:spacing w:val="-37"/>
        </w:rPr>
        <w:t> </w:t>
      </w:r>
      <w:r>
        <w:rPr>
          <w:rFonts w:ascii="Times New Roman" w:hAnsi="Times New Roman" w:cs="Times New Roman" w:eastAsia="Times New Roman" w:hint="default"/>
          <w:spacing w:val="-3"/>
        </w:rPr>
        <w:t>2023</w:t>
      </w:r>
      <w:r>
        <w:rPr>
          <w:rFonts w:ascii="Times New Roman" w:hAnsi="Times New Roman" w:cs="Times New Roman" w:eastAsia="Times New Roman" w:hint="default"/>
          <w:spacing w:val="2"/>
        </w:rPr>
        <w:t> </w:t>
      </w:r>
      <w:r>
        <w:rPr/>
        <w:t>年</w:t>
      </w:r>
      <w:r>
        <w:rPr>
          <w:spacing w:val="-43"/>
        </w:rPr>
        <w:t> </w:t>
      </w:r>
      <w:r>
        <w:rPr>
          <w:rFonts w:ascii="Times New Roman" w:hAnsi="Times New Roman" w:cs="Times New Roman" w:eastAsia="Times New Roman" w:hint="default"/>
        </w:rPr>
        <w:t>2</w:t>
      </w:r>
      <w:r>
        <w:rPr>
          <w:rFonts w:ascii="Times New Roman" w:hAnsi="Times New Roman" w:cs="Times New Roman" w:eastAsia="Times New Roman" w:hint="default"/>
          <w:spacing w:val="2"/>
        </w:rPr>
        <w:t> </w:t>
      </w:r>
      <w:r>
        <w:rPr/>
        <w:t>月</w:t>
      </w:r>
      <w:r>
        <w:rPr>
          <w:spacing w:val="-37"/>
        </w:rPr>
        <w:t> </w:t>
      </w:r>
      <w:r>
        <w:rPr>
          <w:rFonts w:ascii="Times New Roman" w:hAnsi="Times New Roman" w:cs="Times New Roman" w:eastAsia="Times New Roman" w:hint="default"/>
          <w:spacing w:val="-3"/>
        </w:rPr>
        <w:t>28</w:t>
      </w:r>
      <w:r>
        <w:rPr>
          <w:rFonts w:ascii="Times New Roman" w:hAnsi="Times New Roman" w:cs="Times New Roman" w:eastAsia="Times New Roman" w:hint="default"/>
          <w:spacing w:val="2"/>
        </w:rPr>
        <w:t> </w:t>
      </w:r>
      <w:r>
        <w:rPr>
          <w:spacing w:val="-4"/>
        </w:rPr>
        <w:t>日止。该房屋租赁合同已经深圳市龙岗区房屋租赁管理局备案，合</w:t>
      </w:r>
      <w:r>
        <w:rPr>
          <w:spacing w:val="-85"/>
        </w:rPr>
        <w:t> </w:t>
      </w:r>
      <w:r>
        <w:rPr>
          <w:spacing w:val="-85"/>
        </w:rPr>
      </w:r>
      <w:r>
        <w:rPr>
          <w:spacing w:val="-2"/>
        </w:rPr>
        <w:t>同登记备案号为</w:t>
      </w:r>
      <w:r>
        <w:rPr>
          <w:rFonts w:ascii="Times New Roman" w:hAnsi="Times New Roman" w:cs="Times New Roman" w:eastAsia="Times New Roman" w:hint="default"/>
          <w:spacing w:val="-2"/>
        </w:rPr>
        <w:t>“</w:t>
      </w:r>
      <w:r>
        <w:rPr>
          <w:spacing w:val="-2"/>
        </w:rPr>
        <w:t>深房租龙岗</w:t>
      </w:r>
      <w:r>
        <w:rPr>
          <w:spacing w:val="8"/>
        </w:rPr>
        <w:t> </w:t>
      </w:r>
      <w:r>
        <w:rPr>
          <w:rFonts w:ascii="Times New Roman" w:hAnsi="Times New Roman" w:cs="Times New Roman" w:eastAsia="Times New Roman" w:hint="default"/>
          <w:spacing w:val="-2"/>
        </w:rPr>
        <w:t>2020004361”</w:t>
      </w:r>
      <w:r>
        <w:rPr>
          <w:spacing w:val="-2"/>
        </w:rPr>
        <w:t>。</w:t>
      </w:r>
    </w:p>
    <w:p>
      <w:pPr>
        <w:pStyle w:val="BodyText"/>
        <w:spacing w:line="240" w:lineRule="auto" w:before="39"/>
        <w:ind w:left="513" w:right="0"/>
        <w:jc w:val="left"/>
      </w:pPr>
      <w:r>
        <w:rPr>
          <w:rFonts w:ascii="Times New Roman" w:hAnsi="Times New Roman" w:cs="Times New Roman" w:eastAsia="Times New Roman" w:hint="default"/>
          <w:w w:val="101"/>
        </w:rPr>
        <w:t>4</w:t>
      </w:r>
      <w:r>
        <w:rPr>
          <w:rFonts w:ascii="Times New Roman" w:hAnsi="Times New Roman" w:cs="Times New Roman" w:eastAsia="Times New Roman" w:hint="default"/>
          <w:spacing w:val="2"/>
          <w:w w:val="101"/>
        </w:rPr>
        <w:t>.</w:t>
      </w:r>
      <w:r>
        <w:rPr>
          <w:rFonts w:ascii="Times New Roman" w:hAnsi="Times New Roman" w:cs="Times New Roman" w:eastAsia="Times New Roman" w:hint="default"/>
          <w:w w:val="101"/>
        </w:rPr>
        <w:t>2</w:t>
      </w:r>
      <w:r>
        <w:rPr>
          <w:rFonts w:ascii="Times New Roman" w:hAnsi="Times New Roman" w:cs="Times New Roman" w:eastAsia="Times New Roman" w:hint="default"/>
          <w:spacing w:val="-5"/>
          <w:w w:val="101"/>
        </w:rPr>
        <w:t>0</w:t>
      </w:r>
      <w:r>
        <w:rPr>
          <w:rFonts w:ascii="Times New Roman" w:hAnsi="Times New Roman" w:cs="Times New Roman" w:eastAsia="Times New Roman" w:hint="default"/>
          <w:w w:val="101"/>
        </w:rPr>
        <w:t>18</w:t>
      </w:r>
      <w:r>
        <w:rPr>
          <w:rFonts w:ascii="Times New Roman" w:hAnsi="Times New Roman" w:cs="Times New Roman" w:eastAsia="Times New Roman" w:hint="default"/>
          <w:spacing w:val="-11"/>
        </w:rPr>
        <w:t> </w:t>
      </w:r>
      <w:r>
        <w:rPr>
          <w:w w:val="101"/>
        </w:rPr>
        <w:t>年</w:t>
      </w:r>
      <w:r>
        <w:rPr>
          <w:spacing w:val="-47"/>
        </w:rPr>
        <w:t> </w:t>
      </w:r>
      <w:r>
        <w:rPr>
          <w:rFonts w:ascii="Times New Roman" w:hAnsi="Times New Roman" w:cs="Times New Roman" w:eastAsia="Times New Roman" w:hint="default"/>
          <w:w w:val="101"/>
        </w:rPr>
        <w:t>1</w:t>
      </w:r>
      <w:r>
        <w:rPr>
          <w:rFonts w:ascii="Times New Roman" w:hAnsi="Times New Roman" w:cs="Times New Roman" w:eastAsia="Times New Roman" w:hint="default"/>
          <w:spacing w:val="-12"/>
        </w:rPr>
        <w:t> </w:t>
      </w:r>
      <w:r>
        <w:rPr>
          <w:w w:val="101"/>
        </w:rPr>
        <w:t>月</w:t>
      </w:r>
      <w:r>
        <w:rPr>
          <w:spacing w:val="-5"/>
          <w:w w:val="101"/>
        </w:rPr>
        <w:t>，</w:t>
      </w:r>
      <w:r>
        <w:rPr>
          <w:w w:val="101"/>
        </w:rPr>
        <w:t>公</w:t>
      </w:r>
      <w:r>
        <w:rPr>
          <w:spacing w:val="-5"/>
          <w:w w:val="101"/>
        </w:rPr>
        <w:t>司</w:t>
      </w:r>
      <w:r>
        <w:rPr>
          <w:w w:val="101"/>
        </w:rPr>
        <w:t>控</w:t>
      </w:r>
      <w:r>
        <w:rPr>
          <w:spacing w:val="-5"/>
          <w:w w:val="101"/>
        </w:rPr>
        <w:t>股</w:t>
      </w:r>
      <w:r>
        <w:rPr>
          <w:w w:val="101"/>
        </w:rPr>
        <w:t>子</w:t>
      </w:r>
      <w:r>
        <w:rPr>
          <w:spacing w:val="-5"/>
          <w:w w:val="101"/>
        </w:rPr>
        <w:t>公</w:t>
      </w:r>
      <w:r>
        <w:rPr>
          <w:w w:val="101"/>
        </w:rPr>
        <w:t>司</w:t>
      </w:r>
      <w:r>
        <w:rPr>
          <w:spacing w:val="-5"/>
          <w:w w:val="101"/>
        </w:rPr>
        <w:t>杰</w:t>
      </w:r>
      <w:r>
        <w:rPr>
          <w:w w:val="101"/>
        </w:rPr>
        <w:t>智</w:t>
      </w:r>
      <w:r>
        <w:rPr>
          <w:spacing w:val="-5"/>
          <w:w w:val="101"/>
        </w:rPr>
        <w:t>融</w:t>
      </w:r>
      <w:r>
        <w:rPr>
          <w:w w:val="101"/>
        </w:rPr>
        <w:t>与</w:t>
      </w:r>
      <w:r>
        <w:rPr>
          <w:spacing w:val="-5"/>
          <w:w w:val="101"/>
        </w:rPr>
        <w:t>北</w:t>
      </w:r>
      <w:r>
        <w:rPr>
          <w:w w:val="101"/>
        </w:rPr>
        <w:t>京</w:t>
      </w:r>
      <w:r>
        <w:rPr>
          <w:spacing w:val="-5"/>
          <w:w w:val="101"/>
        </w:rPr>
        <w:t>君</w:t>
      </w:r>
      <w:r>
        <w:rPr>
          <w:w w:val="101"/>
        </w:rPr>
        <w:t>天</w:t>
      </w:r>
      <w:r>
        <w:rPr>
          <w:spacing w:val="-5"/>
          <w:w w:val="101"/>
        </w:rPr>
        <w:t>首</w:t>
      </w:r>
      <w:r>
        <w:rPr>
          <w:w w:val="101"/>
        </w:rPr>
        <w:t>业</w:t>
      </w:r>
      <w:r>
        <w:rPr>
          <w:spacing w:val="-5"/>
          <w:w w:val="101"/>
        </w:rPr>
        <w:t>商</w:t>
      </w:r>
      <w:r>
        <w:rPr>
          <w:w w:val="101"/>
        </w:rPr>
        <w:t>贸</w:t>
      </w:r>
      <w:r>
        <w:rPr>
          <w:spacing w:val="-5"/>
          <w:w w:val="101"/>
        </w:rPr>
        <w:t>有</w:t>
      </w:r>
      <w:r>
        <w:rPr>
          <w:w w:val="101"/>
        </w:rPr>
        <w:t>限</w:t>
      </w:r>
      <w:r>
        <w:rPr>
          <w:spacing w:val="-5"/>
          <w:w w:val="101"/>
        </w:rPr>
        <w:t>公</w:t>
      </w:r>
      <w:r>
        <w:rPr>
          <w:w w:val="101"/>
        </w:rPr>
        <w:t>司</w:t>
      </w:r>
      <w:r>
        <w:rPr>
          <w:spacing w:val="-5"/>
          <w:w w:val="101"/>
        </w:rPr>
        <w:t>签</w:t>
      </w:r>
      <w:r>
        <w:rPr>
          <w:w w:val="101"/>
        </w:rPr>
        <w:t>订</w:t>
      </w:r>
      <w:r>
        <w:rPr>
          <w:spacing w:val="-5"/>
          <w:w w:val="101"/>
        </w:rPr>
        <w:t>了</w:t>
      </w:r>
      <w:r>
        <w:rPr>
          <w:w w:val="101"/>
        </w:rPr>
        <w:t>《</w:t>
      </w:r>
      <w:r>
        <w:rPr>
          <w:spacing w:val="-5"/>
          <w:w w:val="101"/>
        </w:rPr>
        <w:t>房</w:t>
      </w:r>
      <w:r>
        <w:rPr>
          <w:w w:val="101"/>
        </w:rPr>
        <w:t>屋</w:t>
      </w:r>
      <w:r>
        <w:rPr>
          <w:spacing w:val="-5"/>
          <w:w w:val="101"/>
        </w:rPr>
        <w:t>租</w:t>
      </w:r>
      <w:r>
        <w:rPr>
          <w:w w:val="101"/>
        </w:rPr>
        <w:t>赁</w:t>
      </w:r>
      <w:r>
        <w:rPr>
          <w:spacing w:val="-5"/>
          <w:w w:val="101"/>
        </w:rPr>
        <w:t>协</w:t>
      </w:r>
      <w:r>
        <w:rPr>
          <w:w w:val="101"/>
        </w:rPr>
        <w:t>议</w:t>
      </w:r>
      <w:r>
        <w:rPr>
          <w:spacing w:val="-92"/>
          <w:w w:val="101"/>
        </w:rPr>
        <w:t>》</w:t>
      </w:r>
      <w:r>
        <w:rPr>
          <w:spacing w:val="-5"/>
          <w:w w:val="101"/>
        </w:rPr>
        <w:t>，</w:t>
      </w:r>
      <w:r>
        <w:rPr>
          <w:w w:val="101"/>
        </w:rPr>
        <w:t>约</w:t>
      </w:r>
      <w:r>
        <w:rPr>
          <w:spacing w:val="-5"/>
          <w:w w:val="101"/>
        </w:rPr>
        <w:t>定</w:t>
      </w:r>
      <w:r>
        <w:rPr>
          <w:w w:val="101"/>
        </w:rPr>
        <w:t>将</w:t>
      </w:r>
      <w:r>
        <w:rPr>
          <w:spacing w:val="-5"/>
          <w:w w:val="101"/>
        </w:rPr>
        <w:t>位</w:t>
      </w:r>
      <w:r>
        <w:rPr>
          <w:w w:val="101"/>
        </w:rPr>
        <w:t>于</w:t>
      </w:r>
      <w:r>
        <w:rPr>
          <w:spacing w:val="-5"/>
          <w:w w:val="101"/>
        </w:rPr>
        <w:t>北</w:t>
      </w:r>
      <w:r>
        <w:rPr>
          <w:w w:val="101"/>
        </w:rPr>
        <w:t>京</w:t>
      </w:r>
      <w:r>
        <w:rPr>
          <w:spacing w:val="-5"/>
          <w:w w:val="101"/>
        </w:rPr>
        <w:t>市</w:t>
      </w:r>
      <w:r>
        <w:rPr>
          <w:w w:val="101"/>
        </w:rPr>
        <w:t>海淀</w:t>
      </w:r>
      <w:r>
        <w:rPr/>
      </w:r>
    </w:p>
    <w:p>
      <w:pPr>
        <w:spacing w:line="240" w:lineRule="auto" w:before="12"/>
        <w:rPr>
          <w:rFonts w:ascii="宋体" w:hAnsi="宋体" w:cs="宋体" w:eastAsia="宋体" w:hint="default"/>
          <w:sz w:val="16"/>
          <w:szCs w:val="16"/>
        </w:rPr>
      </w:pPr>
    </w:p>
    <w:p>
      <w:pPr>
        <w:pStyle w:val="BodyText"/>
        <w:spacing w:line="240" w:lineRule="auto"/>
        <w:ind w:right="0"/>
        <w:jc w:val="both"/>
      </w:pPr>
      <w:r>
        <w:rPr/>
        <w:t>区黑泉路</w:t>
      </w:r>
      <w:r>
        <w:rPr>
          <w:spacing w:val="-36"/>
        </w:rPr>
        <w:t> </w:t>
      </w:r>
      <w:r>
        <w:rPr>
          <w:rFonts w:ascii="Times New Roman" w:hAnsi="Times New Roman" w:cs="Times New Roman" w:eastAsia="Times New Roman" w:hint="default"/>
        </w:rPr>
        <w:t>8</w:t>
      </w:r>
      <w:r>
        <w:rPr>
          <w:rFonts w:ascii="Times New Roman" w:hAnsi="Times New Roman" w:cs="Times New Roman" w:eastAsia="Times New Roman" w:hint="default"/>
          <w:spacing w:val="-4"/>
        </w:rPr>
        <w:t> </w:t>
      </w:r>
      <w:r>
        <w:rPr/>
        <w:t>号</w:t>
      </w:r>
      <w:r>
        <w:rPr>
          <w:spacing w:val="-36"/>
        </w:rPr>
        <w:t> </w:t>
      </w:r>
      <w:r>
        <w:rPr>
          <w:rFonts w:ascii="Times New Roman" w:hAnsi="Times New Roman" w:cs="Times New Roman" w:eastAsia="Times New Roman" w:hint="default"/>
        </w:rPr>
        <w:t>1</w:t>
      </w:r>
      <w:r>
        <w:rPr>
          <w:rFonts w:ascii="Times New Roman" w:hAnsi="Times New Roman" w:cs="Times New Roman" w:eastAsia="Times New Roman" w:hint="default"/>
          <w:spacing w:val="-4"/>
        </w:rPr>
        <w:t> </w:t>
      </w:r>
      <w:r>
        <w:rPr/>
        <w:t>幢康健宝盛广场</w:t>
      </w:r>
      <w:r>
        <w:rPr>
          <w:spacing w:val="-42"/>
        </w:rPr>
        <w:t> </w:t>
      </w:r>
      <w:r>
        <w:rPr>
          <w:rFonts w:ascii="Times New Roman" w:hAnsi="Times New Roman" w:cs="Times New Roman" w:eastAsia="Times New Roman" w:hint="default"/>
        </w:rPr>
        <w:t>D </w:t>
      </w:r>
      <w:r>
        <w:rPr/>
        <w:t>座</w:t>
      </w:r>
      <w:r>
        <w:rPr>
          <w:spacing w:val="-42"/>
        </w:rPr>
        <w:t> </w:t>
      </w:r>
      <w:r>
        <w:rPr>
          <w:rFonts w:ascii="Times New Roman" w:hAnsi="Times New Roman" w:cs="Times New Roman" w:eastAsia="Times New Roman" w:hint="default"/>
        </w:rPr>
        <w:t>7</w:t>
      </w:r>
      <w:r>
        <w:rPr>
          <w:rFonts w:ascii="Times New Roman" w:hAnsi="Times New Roman" w:cs="Times New Roman" w:eastAsia="Times New Roman" w:hint="default"/>
          <w:spacing w:val="3"/>
        </w:rPr>
        <w:t> </w:t>
      </w:r>
      <w:r>
        <w:rPr/>
        <w:t>层</w:t>
      </w:r>
      <w:r>
        <w:rPr>
          <w:spacing w:val="-36"/>
        </w:rPr>
        <w:t> </w:t>
      </w:r>
      <w:r>
        <w:rPr>
          <w:rFonts w:ascii="Times New Roman" w:hAnsi="Times New Roman" w:cs="Times New Roman" w:eastAsia="Times New Roman" w:hint="default"/>
          <w:spacing w:val="-7"/>
        </w:rPr>
        <w:t>D7001</w:t>
      </w:r>
      <w:r>
        <w:rPr>
          <w:spacing w:val="-7"/>
        </w:rPr>
        <w:t>、</w:t>
      </w:r>
      <w:r>
        <w:rPr>
          <w:rFonts w:ascii="Times New Roman" w:hAnsi="Times New Roman" w:cs="Times New Roman" w:eastAsia="Times New Roman" w:hint="default"/>
          <w:spacing w:val="-7"/>
        </w:rPr>
        <w:t>D7002</w:t>
      </w:r>
      <w:r>
        <w:rPr>
          <w:spacing w:val="-7"/>
        </w:rPr>
        <w:t>、</w:t>
      </w:r>
      <w:r>
        <w:rPr>
          <w:rFonts w:ascii="Times New Roman" w:hAnsi="Times New Roman" w:cs="Times New Roman" w:eastAsia="Times New Roman" w:hint="default"/>
          <w:spacing w:val="-7"/>
        </w:rPr>
        <w:t>D7019</w:t>
      </w:r>
      <w:r>
        <w:rPr>
          <w:spacing w:val="-7"/>
        </w:rPr>
        <w:t>、</w:t>
      </w:r>
      <w:r>
        <w:rPr>
          <w:rFonts w:ascii="Times New Roman" w:hAnsi="Times New Roman" w:cs="Times New Roman" w:eastAsia="Times New Roman" w:hint="default"/>
          <w:spacing w:val="-7"/>
        </w:rPr>
        <w:t>D7020</w:t>
      </w:r>
      <w:r>
        <w:rPr>
          <w:rFonts w:ascii="Times New Roman" w:hAnsi="Times New Roman" w:cs="Times New Roman" w:eastAsia="Times New Roman" w:hint="default"/>
          <w:spacing w:val="3"/>
        </w:rPr>
        <w:t> </w:t>
      </w:r>
      <w:r>
        <w:rPr>
          <w:spacing w:val="-5"/>
        </w:rPr>
        <w:t>号房屋出租给杰智融办公，租赁面积共</w:t>
      </w:r>
      <w:r>
        <w:rPr>
          <w:spacing w:val="-35"/>
        </w:rPr>
        <w:t> </w:t>
      </w:r>
      <w:r>
        <w:rPr>
          <w:rFonts w:ascii="Times New Roman" w:hAnsi="Times New Roman" w:cs="Times New Roman" w:eastAsia="Times New Roman" w:hint="default"/>
        </w:rPr>
        <w:t>500</w:t>
      </w:r>
      <w:r>
        <w:rPr>
          <w:rFonts w:ascii="Times New Roman" w:hAnsi="Times New Roman" w:cs="Times New Roman" w:eastAsia="Times New Roman" w:hint="default"/>
          <w:spacing w:val="-4"/>
        </w:rPr>
        <w:t> </w:t>
      </w:r>
      <w:r>
        <w:rPr/>
        <w:t>平米，</w:t>
      </w:r>
    </w:p>
    <w:p>
      <w:pPr>
        <w:spacing w:line="240" w:lineRule="auto" w:before="7"/>
        <w:rPr>
          <w:rFonts w:ascii="宋体" w:hAnsi="宋体" w:cs="宋体" w:eastAsia="宋体" w:hint="default"/>
          <w:sz w:val="16"/>
          <w:szCs w:val="16"/>
        </w:rPr>
      </w:pPr>
    </w:p>
    <w:p>
      <w:pPr>
        <w:pStyle w:val="BodyText"/>
        <w:spacing w:line="240" w:lineRule="auto"/>
        <w:ind w:right="0"/>
        <w:jc w:val="both"/>
        <w:rPr>
          <w:rFonts w:ascii="Times New Roman" w:hAnsi="Times New Roman" w:cs="Times New Roman" w:eastAsia="Times New Roman" w:hint="default"/>
        </w:rPr>
      </w:pPr>
      <w:r>
        <w:rPr/>
        <w:t>每季度租金</w:t>
      </w:r>
      <w:r>
        <w:rPr>
          <w:spacing w:val="-42"/>
        </w:rPr>
        <w:t> </w:t>
      </w:r>
      <w:r>
        <w:rPr>
          <w:rFonts w:ascii="Times New Roman" w:hAnsi="Times New Roman" w:cs="Times New Roman" w:eastAsia="Times New Roman" w:hint="default"/>
        </w:rPr>
        <w:t>214,437.00</w:t>
      </w:r>
      <w:r>
        <w:rPr>
          <w:rFonts w:ascii="Times New Roman" w:hAnsi="Times New Roman" w:cs="Times New Roman" w:eastAsia="Times New Roman" w:hint="default"/>
          <w:spacing w:val="-3"/>
        </w:rPr>
        <w:t> </w:t>
      </w:r>
      <w:r>
        <w:rPr/>
        <w:t>元</w:t>
      </w:r>
      <w:r>
        <w:rPr>
          <w:rFonts w:ascii="Times New Roman" w:hAnsi="Times New Roman" w:cs="Times New Roman" w:eastAsia="Times New Roman" w:hint="default"/>
        </w:rPr>
        <w:t>,</w:t>
      </w:r>
      <w:r>
        <w:rPr/>
        <w:t>并约定自</w:t>
      </w:r>
      <w:r>
        <w:rPr>
          <w:spacing w:val="-42"/>
        </w:rPr>
        <w:t> </w:t>
      </w:r>
      <w:r>
        <w:rPr>
          <w:rFonts w:ascii="Times New Roman" w:hAnsi="Times New Roman" w:cs="Times New Roman" w:eastAsia="Times New Roman" w:hint="default"/>
        </w:rPr>
        <w:t>2020</w:t>
      </w:r>
      <w:r>
        <w:rPr>
          <w:rFonts w:ascii="Times New Roman" w:hAnsi="Times New Roman" w:cs="Times New Roman" w:eastAsia="Times New Roman" w:hint="default"/>
          <w:spacing w:val="-3"/>
        </w:rPr>
        <w:t> </w:t>
      </w:r>
      <w:r>
        <w:rPr/>
        <w:t>年</w:t>
      </w:r>
      <w:r>
        <w:rPr>
          <w:spacing w:val="-47"/>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月</w:t>
      </w:r>
      <w:r>
        <w:rPr>
          <w:spacing w:val="-42"/>
        </w:rPr>
        <w:t> </w:t>
      </w:r>
      <w:r>
        <w:rPr>
          <w:rFonts w:ascii="Times New Roman" w:hAnsi="Times New Roman" w:cs="Times New Roman" w:eastAsia="Times New Roman" w:hint="default"/>
          <w:spacing w:val="-3"/>
        </w:rPr>
        <w:t>17</w:t>
      </w:r>
      <w:r>
        <w:rPr>
          <w:rFonts w:ascii="Times New Roman" w:hAnsi="Times New Roman" w:cs="Times New Roman" w:eastAsia="Times New Roman" w:hint="default"/>
          <w:spacing w:val="-9"/>
        </w:rPr>
        <w:t> </w:t>
      </w:r>
      <w:r>
        <w:rPr>
          <w:spacing w:val="-4"/>
        </w:rPr>
        <w:t>日开始，租金逐年按</w:t>
      </w:r>
      <w:r>
        <w:rPr>
          <w:spacing w:val="-42"/>
        </w:rPr>
        <w:t> </w:t>
      </w:r>
      <w:r>
        <w:rPr>
          <w:rFonts w:ascii="Times New Roman" w:hAnsi="Times New Roman" w:cs="Times New Roman" w:eastAsia="Times New Roman" w:hint="default"/>
          <w:spacing w:val="-4"/>
        </w:rPr>
        <w:t>6%</w:t>
      </w:r>
      <w:r>
        <w:rPr>
          <w:spacing w:val="-4"/>
        </w:rPr>
        <w:t>递增。租赁期自</w:t>
      </w:r>
      <w:r>
        <w:rPr>
          <w:spacing w:val="-42"/>
        </w:rPr>
        <w:t> </w:t>
      </w:r>
      <w:r>
        <w:rPr>
          <w:rFonts w:ascii="Times New Roman" w:hAnsi="Times New Roman" w:cs="Times New Roman" w:eastAsia="Times New Roman" w:hint="default"/>
        </w:rPr>
        <w:t>2018</w:t>
      </w:r>
      <w:r>
        <w:rPr>
          <w:rFonts w:ascii="Times New Roman" w:hAnsi="Times New Roman" w:cs="Times New Roman" w:eastAsia="Times New Roman" w:hint="default"/>
          <w:spacing w:val="-3"/>
        </w:rPr>
        <w:t> </w:t>
      </w:r>
      <w:r>
        <w:rPr/>
        <w:t>年</w:t>
      </w:r>
      <w:r>
        <w:rPr>
          <w:spacing w:val="-48"/>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月</w:t>
      </w:r>
      <w:r>
        <w:rPr>
          <w:spacing w:val="-42"/>
        </w:rPr>
        <w:t> </w:t>
      </w:r>
      <w:r>
        <w:rPr>
          <w:rFonts w:ascii="Times New Roman" w:hAnsi="Times New Roman" w:cs="Times New Roman" w:eastAsia="Times New Roman" w:hint="default"/>
          <w:spacing w:val="-3"/>
        </w:rPr>
        <w:t>17 </w:t>
      </w:r>
      <w:r>
        <w:rPr/>
        <w:t>日起至</w:t>
      </w:r>
      <w:r>
        <w:rPr>
          <w:spacing w:val="-42"/>
        </w:rPr>
        <w:t> </w:t>
      </w:r>
      <w:r>
        <w:rPr>
          <w:rFonts w:ascii="Times New Roman" w:hAnsi="Times New Roman" w:cs="Times New Roman" w:eastAsia="Times New Roman" w:hint="default"/>
          <w:spacing w:val="-3"/>
        </w:rPr>
        <w:t>2021 </w:t>
      </w:r>
      <w:r>
        <w:rPr/>
        <w:t>年</w:t>
      </w:r>
      <w:r>
        <w:rPr>
          <w:spacing w:val="-42"/>
        </w:rPr>
        <w:t> </w:t>
      </w:r>
      <w:r>
        <w:rPr>
          <w:rFonts w:ascii="Times New Roman" w:hAnsi="Times New Roman" w:cs="Times New Roman" w:eastAsia="Times New Roman" w:hint="default"/>
        </w:rPr>
        <w:t>1</w:t>
      </w:r>
    </w:p>
    <w:p>
      <w:pPr>
        <w:spacing w:line="240" w:lineRule="auto" w:before="3"/>
        <w:rPr>
          <w:rFonts w:ascii="Times New Roman" w:hAnsi="Times New Roman" w:cs="Times New Roman" w:eastAsia="Times New Roman" w:hint="default"/>
          <w:sz w:val="19"/>
          <w:szCs w:val="19"/>
        </w:rPr>
      </w:pPr>
    </w:p>
    <w:p>
      <w:pPr>
        <w:pStyle w:val="BodyText"/>
        <w:spacing w:line="240" w:lineRule="auto"/>
        <w:ind w:right="0"/>
        <w:jc w:val="both"/>
      </w:pPr>
      <w:r>
        <w:rPr/>
        <w:t>月</w:t>
      </w:r>
      <w:r>
        <w:rPr>
          <w:spacing w:val="-44"/>
        </w:rPr>
        <w:t> </w:t>
      </w:r>
      <w:r>
        <w:rPr>
          <w:rFonts w:ascii="Times New Roman" w:hAnsi="Times New Roman" w:cs="Times New Roman" w:eastAsia="Times New Roman" w:hint="default"/>
        </w:rPr>
        <w:t>16</w:t>
      </w:r>
      <w:r>
        <w:rPr>
          <w:rFonts w:ascii="Times New Roman" w:hAnsi="Times New Roman" w:cs="Times New Roman" w:eastAsia="Times New Roman" w:hint="default"/>
          <w:spacing w:val="-9"/>
        </w:rPr>
        <w:t> </w:t>
      </w:r>
      <w:r>
        <w:rPr/>
        <w:t>日止。</w:t>
      </w:r>
    </w:p>
    <w:p>
      <w:pPr>
        <w:spacing w:line="240" w:lineRule="auto" w:before="8"/>
        <w:rPr>
          <w:rFonts w:ascii="宋体" w:hAnsi="宋体" w:cs="宋体" w:eastAsia="宋体" w:hint="default"/>
          <w:sz w:val="13"/>
          <w:szCs w:val="13"/>
        </w:rPr>
      </w:pPr>
    </w:p>
    <w:p>
      <w:pPr>
        <w:pStyle w:val="BodyText"/>
        <w:spacing w:line="240" w:lineRule="auto"/>
        <w:ind w:right="0"/>
        <w:jc w:val="both"/>
      </w:pPr>
      <w:r>
        <w:rPr>
          <w:spacing w:val="-3"/>
        </w:rPr>
        <w:t>为公司带来的损益达到公司报告期利润总额</w:t>
      </w:r>
      <w:r>
        <w:rPr>
          <w:spacing w:val="37"/>
        </w:rPr>
        <w:t> </w:t>
      </w:r>
      <w:r>
        <w:rPr>
          <w:rFonts w:ascii="Times New Roman" w:hAnsi="Times New Roman" w:cs="Times New Roman" w:eastAsia="Times New Roman" w:hint="default"/>
          <w:spacing w:val="-3"/>
        </w:rPr>
        <w:t>10%</w:t>
      </w:r>
      <w:r>
        <w:rPr>
          <w:spacing w:val="-3"/>
        </w:rPr>
        <w:t>以上的项目</w:t>
      </w:r>
    </w:p>
    <w:p>
      <w:pPr>
        <w:pStyle w:val="BodyText"/>
        <w:spacing w:line="240" w:lineRule="auto" w:before="106"/>
        <w:ind w:right="0"/>
        <w:jc w:val="both"/>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8"/>
        <w:rPr>
          <w:rFonts w:ascii="宋体" w:hAnsi="宋体" w:cs="宋体" w:eastAsia="宋体" w:hint="default"/>
          <w:sz w:val="13"/>
          <w:szCs w:val="13"/>
        </w:rPr>
      </w:pPr>
    </w:p>
    <w:p>
      <w:pPr>
        <w:pStyle w:val="BodyText"/>
        <w:spacing w:line="240" w:lineRule="auto"/>
        <w:ind w:left="513" w:right="0"/>
        <w:jc w:val="left"/>
      </w:pPr>
      <w:r>
        <w:rPr>
          <w:spacing w:val="-3"/>
        </w:rPr>
        <w:t>公司报告期不存在为公司带来的损益达到公司报告期利润总额</w:t>
      </w:r>
      <w:r>
        <w:rPr>
          <w:spacing w:val="39"/>
        </w:rPr>
        <w:t> </w:t>
      </w:r>
      <w:r>
        <w:rPr>
          <w:rFonts w:ascii="Times New Roman" w:hAnsi="Times New Roman" w:cs="Times New Roman" w:eastAsia="Times New Roman" w:hint="default"/>
        </w:rPr>
        <w:t>10%</w:t>
      </w:r>
      <w:r>
        <w:rPr/>
        <w:t>以上的租赁项目。</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3"/>
          <w:szCs w:val="13"/>
        </w:rPr>
      </w:pPr>
    </w:p>
    <w:p>
      <w:pPr>
        <w:pStyle w:val="Heading3"/>
        <w:spacing w:line="240" w:lineRule="auto"/>
        <w:ind w:right="0"/>
        <w:jc w:val="both"/>
        <w:rPr>
          <w:b w:val="0"/>
          <w:bCs w:val="0"/>
        </w:rPr>
      </w:pPr>
      <w:bookmarkStart w:name="2、重大担保" w:id="90"/>
      <w:bookmarkEnd w:id="90"/>
      <w:r>
        <w:rPr>
          <w:b w:val="0"/>
          <w:bCs w:val="0"/>
        </w:rPr>
      </w:r>
      <w:r>
        <w:rPr>
          <w:rFonts w:ascii="Times New Roman" w:hAnsi="Times New Roman" w:cs="Times New Roman" w:eastAsia="Times New Roman" w:hint="default"/>
        </w:rPr>
        <w:t>2</w:t>
      </w:r>
      <w:r>
        <w:rPr/>
        <w:t>、重大担保</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both"/>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8"/>
        <w:rPr>
          <w:rFonts w:ascii="宋体" w:hAnsi="宋体" w:cs="宋体" w:eastAsia="宋体" w:hint="default"/>
          <w:sz w:val="25"/>
          <w:szCs w:val="25"/>
        </w:rPr>
      </w:pPr>
    </w:p>
    <w:p>
      <w:pPr>
        <w:pStyle w:val="Heading3"/>
        <w:spacing w:line="240" w:lineRule="auto"/>
        <w:ind w:right="0"/>
        <w:jc w:val="both"/>
        <w:rPr>
          <w:b w:val="0"/>
          <w:bCs w:val="0"/>
        </w:rPr>
      </w:pPr>
      <w:bookmarkStart w:name="（1）担保情况" w:id="91"/>
      <w:bookmarkEnd w:id="91"/>
      <w:r>
        <w:rPr>
          <w:b w:val="0"/>
          <w:bCs w:val="0"/>
        </w:rPr>
      </w:r>
      <w:r>
        <w:rPr/>
        <w:t>（</w:t>
      </w:r>
      <w:r>
        <w:rPr>
          <w:rFonts w:ascii="Times New Roman" w:hAnsi="Times New Roman" w:cs="Times New Roman" w:eastAsia="Times New Roman" w:hint="default"/>
        </w:rPr>
        <w:t>1</w:t>
      </w:r>
      <w:r>
        <w:rPr/>
        <w:t>）担保情况</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left="0" w:right="1122"/>
        <w:jc w:val="right"/>
      </w:pPr>
      <w:r>
        <w:rPr>
          <w:spacing w:val="-2"/>
        </w:rPr>
        <w:t>单位：万元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709"/>
        <w:gridCol w:w="932"/>
        <w:gridCol w:w="917"/>
        <w:gridCol w:w="1296"/>
        <w:gridCol w:w="1066"/>
        <w:gridCol w:w="1037"/>
        <w:gridCol w:w="1052"/>
        <w:gridCol w:w="788"/>
        <w:gridCol w:w="778"/>
      </w:tblGrid>
      <w:tr>
        <w:trPr>
          <w:trHeight w:val="403" w:hRule="exact"/>
        </w:trPr>
        <w:tc>
          <w:tcPr>
            <w:tcW w:w="9575"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535" w:right="0"/>
              <w:jc w:val="left"/>
              <w:rPr>
                <w:rFonts w:ascii="宋体" w:hAnsi="宋体" w:cs="宋体" w:eastAsia="宋体" w:hint="default"/>
                <w:sz w:val="18"/>
                <w:szCs w:val="18"/>
              </w:rPr>
            </w:pPr>
            <w:r>
              <w:rPr>
                <w:rFonts w:ascii="宋体" w:hAnsi="宋体" w:cs="宋体" w:eastAsia="宋体" w:hint="default"/>
                <w:spacing w:val="-3"/>
                <w:sz w:val="18"/>
                <w:szCs w:val="18"/>
              </w:rPr>
              <w:t>公司及其子公司对外担保情况（不包括对子公司的担保）</w:t>
            </w:r>
          </w:p>
        </w:tc>
      </w:tr>
      <w:tr>
        <w:trPr>
          <w:trHeight w:val="1023" w:hRule="exact"/>
        </w:trPr>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307" w:right="0"/>
              <w:jc w:val="left"/>
              <w:rPr>
                <w:rFonts w:ascii="宋体" w:hAnsi="宋体" w:cs="宋体" w:eastAsia="宋体" w:hint="default"/>
                <w:sz w:val="18"/>
                <w:szCs w:val="18"/>
              </w:rPr>
            </w:pPr>
            <w:r>
              <w:rPr>
                <w:rFonts w:ascii="宋体" w:hAnsi="宋体" w:cs="宋体" w:eastAsia="宋体" w:hint="default"/>
                <w:sz w:val="18"/>
                <w:szCs w:val="18"/>
              </w:rPr>
              <w:t>担保对象名称</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4"/>
              <w:ind w:left="100" w:right="94"/>
              <w:jc w:val="both"/>
              <w:rPr>
                <w:rFonts w:ascii="宋体" w:hAnsi="宋体" w:cs="宋体" w:eastAsia="宋体" w:hint="default"/>
                <w:sz w:val="18"/>
                <w:szCs w:val="18"/>
              </w:rPr>
            </w:pPr>
            <w:r>
              <w:rPr>
                <w:rFonts w:ascii="宋体" w:hAnsi="宋体" w:cs="宋体" w:eastAsia="宋体" w:hint="default"/>
                <w:sz w:val="18"/>
                <w:szCs w:val="18"/>
              </w:rPr>
              <w:t>担保额度</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相关公告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披露日期</w:t>
            </w:r>
          </w:p>
        </w:tc>
        <w:tc>
          <w:tcPr>
            <w:tcW w:w="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96"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105" w:right="0"/>
              <w:jc w:val="left"/>
              <w:rPr>
                <w:rFonts w:ascii="宋体" w:hAnsi="宋体" w:cs="宋体" w:eastAsia="宋体" w:hint="default"/>
                <w:sz w:val="18"/>
                <w:szCs w:val="18"/>
              </w:rPr>
            </w:pPr>
            <w:r>
              <w:rPr>
                <w:rFonts w:ascii="宋体" w:hAnsi="宋体" w:cs="宋体" w:eastAsia="宋体" w:hint="default"/>
                <w:sz w:val="18"/>
                <w:szCs w:val="18"/>
              </w:rPr>
              <w:t>实际发生日期</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21" w:lineRule="auto"/>
              <w:ind w:left="441" w:right="70" w:hanging="360"/>
              <w:jc w:val="left"/>
              <w:rPr>
                <w:rFonts w:ascii="宋体" w:hAnsi="宋体" w:cs="宋体" w:eastAsia="宋体" w:hint="default"/>
                <w:sz w:val="18"/>
                <w:szCs w:val="18"/>
              </w:rPr>
            </w:pPr>
            <w:r>
              <w:rPr>
                <w:rFonts w:ascii="宋体" w:hAnsi="宋体" w:cs="宋体" w:eastAsia="宋体" w:hint="default"/>
                <w:spacing w:val="-2"/>
                <w:sz w:val="18"/>
                <w:szCs w:val="18"/>
              </w:rPr>
              <w:t>实际担保金</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额</w:t>
            </w:r>
          </w:p>
        </w:tc>
        <w:tc>
          <w:tcPr>
            <w:tcW w:w="10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153" w:right="0"/>
              <w:jc w:val="left"/>
              <w:rPr>
                <w:rFonts w:ascii="宋体" w:hAnsi="宋体" w:cs="宋体" w:eastAsia="宋体" w:hint="default"/>
                <w:sz w:val="18"/>
                <w:szCs w:val="18"/>
              </w:rPr>
            </w:pPr>
            <w:r>
              <w:rPr>
                <w:rFonts w:ascii="宋体" w:hAnsi="宋体" w:cs="宋体" w:eastAsia="宋体" w:hint="default"/>
                <w:sz w:val="18"/>
                <w:szCs w:val="18"/>
              </w:rPr>
              <w:t>担保类型</w:t>
            </w:r>
          </w:p>
        </w:tc>
        <w:tc>
          <w:tcPr>
            <w:tcW w:w="10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55" w:right="0"/>
              <w:jc w:val="left"/>
              <w:rPr>
                <w:rFonts w:ascii="宋体" w:hAnsi="宋体" w:cs="宋体" w:eastAsia="宋体" w:hint="default"/>
                <w:sz w:val="18"/>
                <w:szCs w:val="18"/>
              </w:rPr>
            </w:pPr>
            <w:r>
              <w:rPr>
                <w:rFonts w:ascii="宋体" w:hAnsi="宋体" w:cs="宋体" w:eastAsia="宋体" w:hint="default"/>
                <w:sz w:val="18"/>
                <w:szCs w:val="18"/>
              </w:rPr>
              <w:t>担保期</w:t>
            </w:r>
          </w:p>
        </w:tc>
        <w:tc>
          <w:tcPr>
            <w:tcW w:w="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21" w:lineRule="auto"/>
              <w:ind w:left="211" w:right="22" w:hanging="183"/>
              <w:jc w:val="left"/>
              <w:rPr>
                <w:rFonts w:ascii="宋体" w:hAnsi="宋体" w:cs="宋体" w:eastAsia="宋体" w:hint="default"/>
                <w:sz w:val="18"/>
                <w:szCs w:val="18"/>
              </w:rPr>
            </w:pPr>
            <w:r>
              <w:rPr>
                <w:rFonts w:ascii="宋体" w:hAnsi="宋体" w:cs="宋体" w:eastAsia="宋体" w:hint="default"/>
                <w:sz w:val="18"/>
                <w:szCs w:val="18"/>
              </w:rPr>
              <w:t>是否履行</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完毕</w:t>
            </w: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21" w:lineRule="auto"/>
              <w:ind w:left="23" w:right="17"/>
              <w:jc w:val="left"/>
              <w:rPr>
                <w:rFonts w:ascii="宋体" w:hAnsi="宋体" w:cs="宋体" w:eastAsia="宋体" w:hint="default"/>
                <w:sz w:val="18"/>
                <w:szCs w:val="18"/>
              </w:rPr>
            </w:pPr>
            <w:r>
              <w:rPr>
                <w:rFonts w:ascii="宋体" w:hAnsi="宋体" w:cs="宋体" w:eastAsia="宋体" w:hint="default"/>
                <w:sz w:val="18"/>
                <w:szCs w:val="18"/>
              </w:rPr>
              <w:t>是否为关</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联方担保</w:t>
            </w:r>
          </w:p>
        </w:tc>
      </w:tr>
      <w:tr>
        <w:trPr>
          <w:trHeight w:val="716"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4" w:right="51"/>
              <w:jc w:val="left"/>
              <w:rPr>
                <w:rFonts w:ascii="宋体" w:hAnsi="宋体" w:cs="宋体" w:eastAsia="宋体" w:hint="default"/>
                <w:sz w:val="18"/>
                <w:szCs w:val="18"/>
              </w:rPr>
            </w:pPr>
            <w:r>
              <w:rPr>
                <w:rFonts w:ascii="宋体" w:hAnsi="宋体" w:cs="宋体" w:eastAsia="宋体" w:hint="default"/>
                <w:spacing w:val="-3"/>
                <w:sz w:val="18"/>
                <w:szCs w:val="18"/>
              </w:rPr>
              <w:t>北京华道征信有限公</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司</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12</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484" w:right="0"/>
              <w:jc w:val="left"/>
              <w:rPr>
                <w:rFonts w:ascii="Times New Roman" w:hAnsi="Times New Roman" w:cs="Times New Roman" w:eastAsia="Times New Roman" w:hint="default"/>
                <w:sz w:val="18"/>
                <w:szCs w:val="18"/>
              </w:rPr>
            </w:pPr>
            <w:r>
              <w:rPr>
                <w:rFonts w:ascii="Times New Roman"/>
                <w:sz w:val="18"/>
              </w:rPr>
              <w:t>2,000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pacing w:val="-5"/>
                <w:sz w:val="18"/>
                <w:szCs w:val="18"/>
              </w:rPr>
              <w:t>24</w:t>
            </w:r>
            <w:r>
              <w:rPr>
                <w:rFonts w:ascii="Times New Roman" w:hAnsi="Times New Roman" w:cs="Times New Roman" w:eastAsia="Times New Roman" w:hint="default"/>
                <w:sz w:val="18"/>
                <w:szCs w:val="18"/>
              </w:rPr>
            </w:r>
          </w:p>
          <w:p>
            <w:pPr>
              <w:pStyle w:val="TableParagraph"/>
              <w:spacing w:line="240" w:lineRule="auto" w:before="67"/>
              <w:ind w:left="28"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633" w:right="0"/>
              <w:jc w:val="left"/>
              <w:rPr>
                <w:rFonts w:ascii="Times New Roman" w:hAnsi="Times New Roman" w:cs="Times New Roman" w:eastAsia="Times New Roman" w:hint="default"/>
                <w:sz w:val="18"/>
                <w:szCs w:val="18"/>
              </w:rPr>
            </w:pPr>
            <w:r>
              <w:rPr>
                <w:rFonts w:ascii="Times New Roman"/>
                <w:sz w:val="18"/>
              </w:rPr>
              <w:t>1,400</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3" w:right="98"/>
              <w:jc w:val="left"/>
              <w:rPr>
                <w:rFonts w:ascii="宋体" w:hAnsi="宋体" w:cs="宋体" w:eastAsia="宋体" w:hint="default"/>
                <w:sz w:val="18"/>
                <w:szCs w:val="18"/>
              </w:rPr>
            </w:pPr>
            <w:r>
              <w:rPr>
                <w:rFonts w:ascii="宋体" w:hAnsi="宋体" w:cs="宋体" w:eastAsia="宋体" w:hint="default"/>
                <w:spacing w:val="-2"/>
                <w:sz w:val="18"/>
                <w:szCs w:val="18"/>
              </w:rPr>
              <w:t>连带责任保</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证</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715" w:hRule="exact"/>
        </w:trPr>
        <w:tc>
          <w:tcPr>
            <w:tcW w:w="264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24" w:right="80"/>
              <w:jc w:val="left"/>
              <w:rPr>
                <w:rFonts w:ascii="宋体" w:hAnsi="宋体" w:cs="宋体" w:eastAsia="宋体" w:hint="default"/>
                <w:sz w:val="18"/>
                <w:szCs w:val="18"/>
              </w:rPr>
            </w:pPr>
            <w:r>
              <w:rPr>
                <w:rFonts w:ascii="宋体" w:hAnsi="宋体" w:cs="宋体" w:eastAsia="宋体" w:hint="default"/>
                <w:spacing w:val="-3"/>
                <w:sz w:val="18"/>
                <w:szCs w:val="18"/>
              </w:rPr>
              <w:t>报告期内审批的对外担保额度合</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z w:val="18"/>
                <w:szCs w:val="18"/>
              </w:rPr>
              <w:t>计（</w:t>
            </w:r>
            <w:r>
              <w:rPr>
                <w:rFonts w:ascii="Times New Roman" w:hAnsi="Times New Roman" w:cs="Times New Roman" w:eastAsia="Times New Roman" w:hint="default"/>
                <w:sz w:val="18"/>
                <w:szCs w:val="18"/>
              </w:rPr>
              <w:t>A1</w:t>
            </w:r>
            <w:r>
              <w:rPr>
                <w:rFonts w:ascii="宋体" w:hAnsi="宋体" w:cs="宋体" w:eastAsia="宋体" w:hint="default"/>
                <w:sz w:val="18"/>
                <w:szCs w:val="18"/>
              </w:rPr>
              <w:t>）</w:t>
            </w:r>
          </w:p>
        </w:tc>
        <w:tc>
          <w:tcPr>
            <w:tcW w:w="221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2,000</w:t>
            </w:r>
          </w:p>
        </w:tc>
        <w:tc>
          <w:tcPr>
            <w:tcW w:w="210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28" w:right="79"/>
              <w:jc w:val="left"/>
              <w:rPr>
                <w:rFonts w:ascii="宋体" w:hAnsi="宋体" w:cs="宋体" w:eastAsia="宋体" w:hint="default"/>
                <w:sz w:val="18"/>
                <w:szCs w:val="18"/>
              </w:rPr>
            </w:pPr>
            <w:r>
              <w:rPr>
                <w:rFonts w:ascii="宋体" w:hAnsi="宋体" w:cs="宋体" w:eastAsia="宋体" w:hint="default"/>
                <w:spacing w:val="-3"/>
                <w:sz w:val="18"/>
                <w:szCs w:val="18"/>
              </w:rPr>
              <w:t>报告期内对外担保实际发</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pacing w:val="-3"/>
                <w:sz w:val="18"/>
                <w:szCs w:val="18"/>
              </w:rPr>
              <w:t>生额合计（</w:t>
            </w:r>
            <w:r>
              <w:rPr>
                <w:rFonts w:ascii="Times New Roman" w:hAnsi="Times New Roman" w:cs="Times New Roman" w:eastAsia="Times New Roman" w:hint="default"/>
                <w:spacing w:val="-3"/>
                <w:sz w:val="18"/>
                <w:szCs w:val="18"/>
              </w:rPr>
              <w:t>A2</w:t>
            </w:r>
            <w:r>
              <w:rPr>
                <w:rFonts w:ascii="宋体" w:hAnsi="宋体" w:cs="宋体" w:eastAsia="宋体" w:hint="default"/>
                <w:spacing w:val="-3"/>
                <w:sz w:val="18"/>
                <w:szCs w:val="18"/>
              </w:rPr>
              <w:t>）</w:t>
            </w:r>
          </w:p>
        </w:tc>
        <w:tc>
          <w:tcPr>
            <w:tcW w:w="2617"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1,400</w:t>
            </w:r>
          </w:p>
        </w:tc>
      </w:tr>
    </w:tbl>
    <w:p>
      <w:pPr>
        <w:spacing w:after="0" w:line="240" w:lineRule="auto"/>
        <w:jc w:val="right"/>
        <w:rPr>
          <w:rFonts w:ascii="Times New Roman" w:hAnsi="Times New Roman" w:cs="Times New Roman" w:eastAsia="Times New Roman" w:hint="default"/>
          <w:sz w:val="18"/>
          <w:szCs w:val="18"/>
        </w:rPr>
        <w:sectPr>
          <w:pgSz w:w="11910" w:h="16840"/>
          <w:pgMar w:header="871" w:footer="1186" w:top="1100" w:bottom="1380" w:left="980" w:right="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1715"/>
        <w:gridCol w:w="911"/>
        <w:gridCol w:w="925"/>
        <w:gridCol w:w="1310"/>
        <w:gridCol w:w="1050"/>
        <w:gridCol w:w="1040"/>
        <w:gridCol w:w="1048"/>
        <w:gridCol w:w="792"/>
        <w:gridCol w:w="783"/>
      </w:tblGrid>
      <w:tr>
        <w:trPr>
          <w:trHeight w:val="720" w:hRule="exact"/>
        </w:trPr>
        <w:tc>
          <w:tcPr>
            <w:tcW w:w="26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65"/>
              <w:jc w:val="left"/>
              <w:rPr>
                <w:rFonts w:ascii="宋体" w:hAnsi="宋体" w:cs="宋体" w:eastAsia="宋体" w:hint="default"/>
                <w:sz w:val="18"/>
                <w:szCs w:val="18"/>
              </w:rPr>
            </w:pPr>
            <w:r>
              <w:rPr>
                <w:rFonts w:ascii="宋体" w:hAnsi="宋体" w:cs="宋体" w:eastAsia="宋体" w:hint="default"/>
                <w:spacing w:val="-3"/>
                <w:sz w:val="18"/>
                <w:szCs w:val="18"/>
              </w:rPr>
              <w:t>报告期末已审批的对外担保额度</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pacing w:val="-3"/>
                <w:sz w:val="18"/>
                <w:szCs w:val="18"/>
              </w:rPr>
              <w:t>合计（</w:t>
            </w:r>
            <w:r>
              <w:rPr>
                <w:rFonts w:ascii="Times New Roman" w:hAnsi="Times New Roman" w:cs="Times New Roman" w:eastAsia="Times New Roman" w:hint="default"/>
                <w:spacing w:val="-3"/>
                <w:sz w:val="18"/>
                <w:szCs w:val="18"/>
              </w:rPr>
              <w:t>A3</w:t>
            </w:r>
            <w:r>
              <w:rPr>
                <w:rFonts w:ascii="宋体" w:hAnsi="宋体" w:cs="宋体" w:eastAsia="宋体" w:hint="default"/>
                <w:spacing w:val="-3"/>
                <w:sz w:val="18"/>
                <w:szCs w:val="18"/>
              </w:rPr>
              <w:t>）</w:t>
            </w:r>
          </w:p>
        </w:tc>
        <w:tc>
          <w:tcPr>
            <w:tcW w:w="2236" w:type="dxa"/>
            <w:gridSpan w:val="2"/>
            <w:tcBorders>
              <w:top w:val="single" w:sz="4" w:space="0" w:color="000000"/>
              <w:left w:val="single" w:sz="10" w:space="0" w:color="D2D2D2"/>
              <w:bottom w:val="single" w:sz="4" w:space="0" w:color="000000"/>
              <w:right w:val="single" w:sz="15" w:space="0" w:color="D2D2D2"/>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0"/>
              <w:jc w:val="right"/>
              <w:rPr>
                <w:rFonts w:ascii="Times New Roman" w:hAnsi="Times New Roman" w:cs="Times New Roman" w:eastAsia="Times New Roman" w:hint="default"/>
                <w:sz w:val="18"/>
                <w:szCs w:val="18"/>
              </w:rPr>
            </w:pPr>
            <w:r>
              <w:rPr>
                <w:rFonts w:ascii="Times New Roman"/>
                <w:spacing w:val="-1"/>
                <w:sz w:val="18"/>
              </w:rPr>
              <w:t>2,000</w:t>
            </w:r>
          </w:p>
        </w:tc>
        <w:tc>
          <w:tcPr>
            <w:tcW w:w="209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2" w:right="73"/>
              <w:jc w:val="left"/>
              <w:rPr>
                <w:rFonts w:ascii="宋体" w:hAnsi="宋体" w:cs="宋体" w:eastAsia="宋体" w:hint="default"/>
                <w:sz w:val="18"/>
                <w:szCs w:val="18"/>
              </w:rPr>
            </w:pPr>
            <w:r>
              <w:rPr>
                <w:rFonts w:ascii="宋体" w:hAnsi="宋体" w:cs="宋体" w:eastAsia="宋体" w:hint="default"/>
                <w:spacing w:val="-3"/>
                <w:sz w:val="18"/>
                <w:szCs w:val="18"/>
              </w:rPr>
              <w:t>报告期末实际对外担保余</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z w:val="18"/>
                <w:szCs w:val="18"/>
              </w:rPr>
              <w:t>额合计（</w:t>
            </w:r>
            <w:r>
              <w:rPr>
                <w:rFonts w:ascii="Times New Roman" w:hAnsi="Times New Roman" w:cs="Times New Roman" w:eastAsia="Times New Roman" w:hint="default"/>
                <w:sz w:val="18"/>
                <w:szCs w:val="18"/>
              </w:rPr>
              <w:t>A4</w:t>
            </w:r>
            <w:r>
              <w:rPr>
                <w:rFonts w:ascii="宋体" w:hAnsi="宋体" w:cs="宋体" w:eastAsia="宋体" w:hint="default"/>
                <w:sz w:val="18"/>
                <w:szCs w:val="18"/>
              </w:rPr>
              <w:t>）</w:t>
            </w:r>
          </w:p>
        </w:tc>
        <w:tc>
          <w:tcPr>
            <w:tcW w:w="2623"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1,400</w:t>
            </w:r>
          </w:p>
        </w:tc>
      </w:tr>
      <w:tr>
        <w:trPr>
          <w:trHeight w:val="396" w:hRule="exact"/>
        </w:trPr>
        <w:tc>
          <w:tcPr>
            <w:tcW w:w="9575"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pacing w:val="-3"/>
                <w:sz w:val="18"/>
                <w:szCs w:val="18"/>
              </w:rPr>
              <w:t>公司对子公司的担保情况</w:t>
            </w:r>
          </w:p>
        </w:tc>
      </w:tr>
      <w:tr>
        <w:trPr>
          <w:trHeight w:val="161" w:hRule="exact"/>
        </w:trPr>
        <w:tc>
          <w:tcPr>
            <w:tcW w:w="1715" w:type="dxa"/>
            <w:vMerge w:val="restart"/>
            <w:tcBorders>
              <w:top w:val="single" w:sz="4" w:space="0" w:color="000000"/>
              <w:left w:val="single" w:sz="4" w:space="0" w:color="000000"/>
              <w:right w:val="single" w:sz="4" w:space="0" w:color="000000"/>
            </w:tcBorders>
            <w:shd w:val="clear" w:color="auto" w:fill="D2D2D2"/>
          </w:tcPr>
          <w:p>
            <w:pPr/>
          </w:p>
        </w:tc>
        <w:tc>
          <w:tcPr>
            <w:tcW w:w="91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6"/>
              <w:ind w:left="89" w:right="84"/>
              <w:jc w:val="both"/>
              <w:rPr>
                <w:rFonts w:ascii="宋体" w:hAnsi="宋体" w:cs="宋体" w:eastAsia="宋体" w:hint="default"/>
                <w:sz w:val="18"/>
                <w:szCs w:val="18"/>
              </w:rPr>
            </w:pPr>
            <w:r>
              <w:rPr>
                <w:rFonts w:ascii="宋体" w:hAnsi="宋体" w:cs="宋体" w:eastAsia="宋体" w:hint="default"/>
                <w:sz w:val="18"/>
                <w:szCs w:val="18"/>
              </w:rPr>
              <w:t>担保额度</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相关公告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披露日期</w:t>
            </w:r>
          </w:p>
        </w:tc>
        <w:tc>
          <w:tcPr>
            <w:tcW w:w="925" w:type="dxa"/>
            <w:vMerge w:val="restart"/>
            <w:tcBorders>
              <w:top w:val="single" w:sz="4" w:space="0" w:color="000000"/>
              <w:left w:val="single" w:sz="4" w:space="0" w:color="000000"/>
              <w:right w:val="single" w:sz="4" w:space="0" w:color="000000"/>
            </w:tcBorders>
            <w:shd w:val="clear" w:color="auto" w:fill="D2D2D2"/>
          </w:tcPr>
          <w:p>
            <w:pPr/>
          </w:p>
        </w:tc>
        <w:tc>
          <w:tcPr>
            <w:tcW w:w="1310" w:type="dxa"/>
            <w:vMerge w:val="restart"/>
            <w:tcBorders>
              <w:top w:val="single" w:sz="4" w:space="0" w:color="000000"/>
              <w:left w:val="single" w:sz="4" w:space="0" w:color="000000"/>
              <w:right w:val="single" w:sz="4" w:space="0" w:color="000000"/>
            </w:tcBorders>
            <w:shd w:val="clear" w:color="auto" w:fill="D2D2D2"/>
          </w:tcPr>
          <w:p>
            <w:pPr/>
          </w:p>
        </w:tc>
        <w:tc>
          <w:tcPr>
            <w:tcW w:w="1050" w:type="dxa"/>
            <w:tcBorders>
              <w:top w:val="single" w:sz="4" w:space="0" w:color="000000"/>
              <w:left w:val="single" w:sz="4" w:space="0" w:color="000000"/>
              <w:bottom w:val="nil" w:sz="6" w:space="0" w:color="auto"/>
              <w:right w:val="single" w:sz="4" w:space="0" w:color="000000"/>
            </w:tcBorders>
            <w:shd w:val="clear" w:color="auto" w:fill="D2D2D2"/>
          </w:tcPr>
          <w:p>
            <w:pPr/>
          </w:p>
        </w:tc>
        <w:tc>
          <w:tcPr>
            <w:tcW w:w="1040" w:type="dxa"/>
            <w:vMerge w:val="restart"/>
            <w:tcBorders>
              <w:top w:val="single" w:sz="4" w:space="0" w:color="000000"/>
              <w:left w:val="single" w:sz="4" w:space="0" w:color="000000"/>
              <w:right w:val="single" w:sz="4" w:space="0" w:color="000000"/>
            </w:tcBorders>
            <w:shd w:val="clear" w:color="auto" w:fill="D2D2D2"/>
          </w:tcPr>
          <w:p>
            <w:pPr/>
          </w:p>
        </w:tc>
        <w:tc>
          <w:tcPr>
            <w:tcW w:w="1048" w:type="dxa"/>
            <w:vMerge w:val="restart"/>
            <w:tcBorders>
              <w:top w:val="single" w:sz="4" w:space="0" w:color="000000"/>
              <w:left w:val="single" w:sz="4" w:space="0" w:color="000000"/>
              <w:right w:val="single" w:sz="4" w:space="0" w:color="000000"/>
            </w:tcBorders>
            <w:shd w:val="clear" w:color="auto" w:fill="D2D2D2"/>
          </w:tcPr>
          <w:p>
            <w:pPr/>
          </w:p>
        </w:tc>
        <w:tc>
          <w:tcPr>
            <w:tcW w:w="792" w:type="dxa"/>
            <w:tcBorders>
              <w:top w:val="single" w:sz="4" w:space="0" w:color="000000"/>
              <w:left w:val="single" w:sz="4" w:space="0" w:color="000000"/>
              <w:bottom w:val="nil" w:sz="6" w:space="0" w:color="auto"/>
              <w:right w:val="single" w:sz="4" w:space="0" w:color="000000"/>
            </w:tcBorders>
            <w:shd w:val="clear" w:color="auto" w:fill="D2D2D2"/>
          </w:tcPr>
          <w:p>
            <w:pPr/>
          </w:p>
        </w:tc>
        <w:tc>
          <w:tcPr>
            <w:tcW w:w="783"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8" w:hRule="exact"/>
        </w:trPr>
        <w:tc>
          <w:tcPr>
            <w:tcW w:w="1715" w:type="dxa"/>
            <w:vMerge/>
            <w:tcBorders>
              <w:left w:val="single" w:sz="4" w:space="0" w:color="000000"/>
              <w:bottom w:val="nil" w:sz="6" w:space="0" w:color="auto"/>
              <w:right w:val="single" w:sz="4" w:space="0" w:color="000000"/>
            </w:tcBorders>
            <w:shd w:val="clear" w:color="auto" w:fill="D2D2D2"/>
          </w:tcPr>
          <w:p>
            <w:pPr/>
          </w:p>
        </w:tc>
        <w:tc>
          <w:tcPr>
            <w:tcW w:w="911" w:type="dxa"/>
            <w:vMerge/>
            <w:tcBorders>
              <w:left w:val="single" w:sz="4" w:space="0" w:color="000000"/>
              <w:right w:val="single" w:sz="4" w:space="0" w:color="000000"/>
            </w:tcBorders>
            <w:shd w:val="clear" w:color="auto" w:fill="D2D2D2"/>
          </w:tcPr>
          <w:p>
            <w:pPr/>
          </w:p>
        </w:tc>
        <w:tc>
          <w:tcPr>
            <w:tcW w:w="925" w:type="dxa"/>
            <w:vMerge/>
            <w:tcBorders>
              <w:left w:val="single" w:sz="4" w:space="0" w:color="000000"/>
              <w:bottom w:val="nil" w:sz="6" w:space="0" w:color="auto"/>
              <w:right w:val="single" w:sz="4" w:space="0" w:color="000000"/>
            </w:tcBorders>
            <w:shd w:val="clear" w:color="auto" w:fill="D2D2D2"/>
          </w:tcPr>
          <w:p>
            <w:pPr/>
          </w:p>
        </w:tc>
        <w:tc>
          <w:tcPr>
            <w:tcW w:w="1310" w:type="dxa"/>
            <w:vMerge/>
            <w:tcBorders>
              <w:left w:val="single" w:sz="4" w:space="0" w:color="000000"/>
              <w:bottom w:val="nil" w:sz="6" w:space="0" w:color="auto"/>
              <w:right w:val="single" w:sz="4" w:space="0" w:color="000000"/>
            </w:tcBorders>
            <w:shd w:val="clear" w:color="auto" w:fill="D2D2D2"/>
          </w:tcPr>
          <w:p>
            <w:pPr/>
          </w:p>
        </w:tc>
        <w:tc>
          <w:tcPr>
            <w:tcW w:w="1050"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3"/>
              <w:ind w:left="434" w:right="60" w:hanging="360"/>
              <w:jc w:val="left"/>
              <w:rPr>
                <w:rFonts w:ascii="宋体" w:hAnsi="宋体" w:cs="宋体" w:eastAsia="宋体" w:hint="default"/>
                <w:sz w:val="18"/>
                <w:szCs w:val="18"/>
              </w:rPr>
            </w:pPr>
            <w:r>
              <w:rPr>
                <w:rFonts w:ascii="宋体" w:hAnsi="宋体" w:cs="宋体" w:eastAsia="宋体" w:hint="default"/>
                <w:spacing w:val="-2"/>
                <w:sz w:val="18"/>
                <w:szCs w:val="18"/>
              </w:rPr>
              <w:t>实际担保金</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额</w:t>
            </w:r>
          </w:p>
        </w:tc>
        <w:tc>
          <w:tcPr>
            <w:tcW w:w="1040" w:type="dxa"/>
            <w:vMerge/>
            <w:tcBorders>
              <w:left w:val="single" w:sz="4" w:space="0" w:color="000000"/>
              <w:bottom w:val="nil" w:sz="6" w:space="0" w:color="auto"/>
              <w:right w:val="single" w:sz="4" w:space="0" w:color="000000"/>
            </w:tcBorders>
            <w:shd w:val="clear" w:color="auto" w:fill="D2D2D2"/>
          </w:tcPr>
          <w:p>
            <w:pPr/>
          </w:p>
        </w:tc>
        <w:tc>
          <w:tcPr>
            <w:tcW w:w="1048" w:type="dxa"/>
            <w:vMerge/>
            <w:tcBorders>
              <w:left w:val="single" w:sz="4" w:space="0" w:color="000000"/>
              <w:bottom w:val="nil" w:sz="6" w:space="0" w:color="auto"/>
              <w:right w:val="single" w:sz="4" w:space="0" w:color="000000"/>
            </w:tcBorders>
            <w:shd w:val="clear" w:color="auto" w:fill="D2D2D2"/>
          </w:tcPr>
          <w:p>
            <w:pPr/>
          </w:p>
        </w:tc>
        <w:tc>
          <w:tcPr>
            <w:tcW w:w="792"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3"/>
              <w:ind w:left="211" w:right="22" w:hanging="178"/>
              <w:jc w:val="left"/>
              <w:rPr>
                <w:rFonts w:ascii="宋体" w:hAnsi="宋体" w:cs="宋体" w:eastAsia="宋体" w:hint="default"/>
                <w:sz w:val="18"/>
                <w:szCs w:val="18"/>
              </w:rPr>
            </w:pPr>
            <w:r>
              <w:rPr>
                <w:rFonts w:ascii="宋体" w:hAnsi="宋体" w:cs="宋体" w:eastAsia="宋体" w:hint="default"/>
                <w:sz w:val="18"/>
                <w:szCs w:val="18"/>
              </w:rPr>
              <w:t>是否履行</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完毕</w:t>
            </w:r>
          </w:p>
        </w:tc>
        <w:tc>
          <w:tcPr>
            <w:tcW w:w="783"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3"/>
              <w:ind w:left="28" w:right="17"/>
              <w:jc w:val="left"/>
              <w:rPr>
                <w:rFonts w:ascii="宋体" w:hAnsi="宋体" w:cs="宋体" w:eastAsia="宋体" w:hint="default"/>
                <w:sz w:val="18"/>
                <w:szCs w:val="18"/>
              </w:rPr>
            </w:pPr>
            <w:r>
              <w:rPr>
                <w:rFonts w:ascii="宋体" w:hAnsi="宋体" w:cs="宋体" w:eastAsia="宋体" w:hint="default"/>
                <w:sz w:val="18"/>
                <w:szCs w:val="18"/>
              </w:rPr>
              <w:t>是否为关</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联方担保</w:t>
            </w:r>
          </w:p>
        </w:tc>
      </w:tr>
      <w:tr>
        <w:trPr>
          <w:trHeight w:val="389" w:hRule="exact"/>
        </w:trPr>
        <w:tc>
          <w:tcPr>
            <w:tcW w:w="17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right="311"/>
              <w:jc w:val="right"/>
              <w:rPr>
                <w:rFonts w:ascii="宋体" w:hAnsi="宋体" w:cs="宋体" w:eastAsia="宋体" w:hint="default"/>
                <w:sz w:val="18"/>
                <w:szCs w:val="18"/>
              </w:rPr>
            </w:pPr>
            <w:r>
              <w:rPr>
                <w:rFonts w:ascii="宋体" w:hAnsi="宋体" w:cs="宋体" w:eastAsia="宋体" w:hint="default"/>
                <w:spacing w:val="-2"/>
                <w:sz w:val="18"/>
                <w:szCs w:val="18"/>
              </w:rPr>
              <w:t>担保对象名称</w:t>
            </w:r>
          </w:p>
        </w:tc>
        <w:tc>
          <w:tcPr>
            <w:tcW w:w="911" w:type="dxa"/>
            <w:vMerge/>
            <w:tcBorders>
              <w:left w:val="single" w:sz="4" w:space="0" w:color="000000"/>
              <w:right w:val="single" w:sz="4" w:space="0" w:color="000000"/>
            </w:tcBorders>
            <w:shd w:val="clear" w:color="auto" w:fill="D2D2D2"/>
          </w:tcPr>
          <w:p>
            <w:pPr/>
          </w:p>
        </w:tc>
        <w:tc>
          <w:tcPr>
            <w:tcW w:w="92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101"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31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112" w:right="0"/>
              <w:jc w:val="left"/>
              <w:rPr>
                <w:rFonts w:ascii="宋体" w:hAnsi="宋体" w:cs="宋体" w:eastAsia="宋体" w:hint="default"/>
                <w:sz w:val="18"/>
                <w:szCs w:val="18"/>
              </w:rPr>
            </w:pPr>
            <w:r>
              <w:rPr>
                <w:rFonts w:ascii="宋体" w:hAnsi="宋体" w:cs="宋体" w:eastAsia="宋体" w:hint="default"/>
                <w:sz w:val="18"/>
                <w:szCs w:val="18"/>
              </w:rPr>
              <w:t>实际发生日期</w:t>
            </w:r>
          </w:p>
        </w:tc>
        <w:tc>
          <w:tcPr>
            <w:tcW w:w="1050" w:type="dxa"/>
            <w:vMerge/>
            <w:tcBorders>
              <w:left w:val="single" w:sz="4" w:space="0" w:color="000000"/>
              <w:right w:val="single" w:sz="4" w:space="0" w:color="000000"/>
            </w:tcBorders>
            <w:shd w:val="clear" w:color="auto" w:fill="D2D2D2"/>
          </w:tcPr>
          <w:p>
            <w:pPr/>
          </w:p>
        </w:tc>
        <w:tc>
          <w:tcPr>
            <w:tcW w:w="104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20" w:right="0"/>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104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right="237"/>
              <w:jc w:val="right"/>
              <w:rPr>
                <w:rFonts w:ascii="宋体" w:hAnsi="宋体" w:cs="宋体" w:eastAsia="宋体" w:hint="default"/>
                <w:sz w:val="18"/>
                <w:szCs w:val="18"/>
              </w:rPr>
            </w:pPr>
            <w:r>
              <w:rPr>
                <w:rFonts w:ascii="宋体" w:hAnsi="宋体" w:cs="宋体" w:eastAsia="宋体" w:hint="default"/>
                <w:spacing w:val="-2"/>
                <w:sz w:val="18"/>
                <w:szCs w:val="18"/>
              </w:rPr>
              <w:t>担保期</w:t>
            </w:r>
          </w:p>
        </w:tc>
        <w:tc>
          <w:tcPr>
            <w:tcW w:w="792" w:type="dxa"/>
            <w:vMerge/>
            <w:tcBorders>
              <w:left w:val="single" w:sz="4" w:space="0" w:color="000000"/>
              <w:right w:val="single" w:sz="4" w:space="0" w:color="000000"/>
            </w:tcBorders>
            <w:shd w:val="clear" w:color="auto" w:fill="D2D2D2"/>
          </w:tcPr>
          <w:p>
            <w:pPr/>
          </w:p>
        </w:tc>
        <w:tc>
          <w:tcPr>
            <w:tcW w:w="783" w:type="dxa"/>
            <w:vMerge/>
            <w:tcBorders>
              <w:left w:val="single" w:sz="4" w:space="0" w:color="000000"/>
              <w:right w:val="single" w:sz="4" w:space="0" w:color="000000"/>
            </w:tcBorders>
            <w:shd w:val="clear" w:color="auto" w:fill="D2D2D2"/>
          </w:tcPr>
          <w:p>
            <w:pPr/>
          </w:p>
        </w:tc>
      </w:tr>
      <w:tr>
        <w:trPr>
          <w:trHeight w:val="158" w:hRule="exact"/>
        </w:trPr>
        <w:tc>
          <w:tcPr>
            <w:tcW w:w="1715" w:type="dxa"/>
            <w:vMerge w:val="restart"/>
            <w:tcBorders>
              <w:top w:val="nil" w:sz="6" w:space="0" w:color="auto"/>
              <w:left w:val="single" w:sz="4" w:space="0" w:color="000000"/>
              <w:right w:val="single" w:sz="4" w:space="0" w:color="000000"/>
            </w:tcBorders>
            <w:shd w:val="clear" w:color="auto" w:fill="D2D2D2"/>
          </w:tcPr>
          <w:p>
            <w:pPr/>
          </w:p>
        </w:tc>
        <w:tc>
          <w:tcPr>
            <w:tcW w:w="911" w:type="dxa"/>
            <w:vMerge/>
            <w:tcBorders>
              <w:left w:val="single" w:sz="4" w:space="0" w:color="000000"/>
              <w:right w:val="single" w:sz="4" w:space="0" w:color="000000"/>
            </w:tcBorders>
            <w:shd w:val="clear" w:color="auto" w:fill="D2D2D2"/>
          </w:tcPr>
          <w:p>
            <w:pPr/>
          </w:p>
        </w:tc>
        <w:tc>
          <w:tcPr>
            <w:tcW w:w="925" w:type="dxa"/>
            <w:vMerge w:val="restart"/>
            <w:tcBorders>
              <w:top w:val="nil" w:sz="6" w:space="0" w:color="auto"/>
              <w:left w:val="single" w:sz="4" w:space="0" w:color="000000"/>
              <w:right w:val="single" w:sz="4" w:space="0" w:color="000000"/>
            </w:tcBorders>
            <w:shd w:val="clear" w:color="auto" w:fill="D2D2D2"/>
          </w:tcPr>
          <w:p>
            <w:pPr/>
          </w:p>
        </w:tc>
        <w:tc>
          <w:tcPr>
            <w:tcW w:w="1310" w:type="dxa"/>
            <w:vMerge w:val="restart"/>
            <w:tcBorders>
              <w:top w:val="nil" w:sz="6" w:space="0" w:color="auto"/>
              <w:left w:val="single" w:sz="4" w:space="0" w:color="000000"/>
              <w:right w:val="single" w:sz="4" w:space="0" w:color="000000"/>
            </w:tcBorders>
            <w:shd w:val="clear" w:color="auto" w:fill="D2D2D2"/>
          </w:tcPr>
          <w:p>
            <w:pPr/>
          </w:p>
        </w:tc>
        <w:tc>
          <w:tcPr>
            <w:tcW w:w="1050" w:type="dxa"/>
            <w:vMerge/>
            <w:tcBorders>
              <w:left w:val="single" w:sz="4" w:space="0" w:color="000000"/>
              <w:bottom w:val="nil" w:sz="6" w:space="0" w:color="auto"/>
              <w:right w:val="single" w:sz="4" w:space="0" w:color="000000"/>
            </w:tcBorders>
            <w:shd w:val="clear" w:color="auto" w:fill="D2D2D2"/>
          </w:tcPr>
          <w:p>
            <w:pPr/>
          </w:p>
        </w:tc>
        <w:tc>
          <w:tcPr>
            <w:tcW w:w="1040" w:type="dxa"/>
            <w:vMerge w:val="restart"/>
            <w:tcBorders>
              <w:top w:val="nil" w:sz="6" w:space="0" w:color="auto"/>
              <w:left w:val="single" w:sz="4" w:space="0" w:color="000000"/>
              <w:right w:val="single" w:sz="4" w:space="0" w:color="000000"/>
            </w:tcBorders>
            <w:shd w:val="clear" w:color="auto" w:fill="D2D2D2"/>
          </w:tcPr>
          <w:p>
            <w:pPr/>
          </w:p>
        </w:tc>
        <w:tc>
          <w:tcPr>
            <w:tcW w:w="1048" w:type="dxa"/>
            <w:vMerge w:val="restart"/>
            <w:tcBorders>
              <w:top w:val="nil" w:sz="6" w:space="0" w:color="auto"/>
              <w:left w:val="single" w:sz="4" w:space="0" w:color="000000"/>
              <w:right w:val="single" w:sz="4" w:space="0" w:color="000000"/>
            </w:tcBorders>
            <w:shd w:val="clear" w:color="auto" w:fill="D2D2D2"/>
          </w:tcPr>
          <w:p>
            <w:pPr/>
          </w:p>
        </w:tc>
        <w:tc>
          <w:tcPr>
            <w:tcW w:w="792" w:type="dxa"/>
            <w:vMerge/>
            <w:tcBorders>
              <w:left w:val="single" w:sz="4" w:space="0" w:color="000000"/>
              <w:bottom w:val="nil" w:sz="6" w:space="0" w:color="auto"/>
              <w:right w:val="single" w:sz="4" w:space="0" w:color="000000"/>
            </w:tcBorders>
            <w:shd w:val="clear" w:color="auto" w:fill="D2D2D2"/>
          </w:tcPr>
          <w:p>
            <w:pPr/>
          </w:p>
        </w:tc>
        <w:tc>
          <w:tcPr>
            <w:tcW w:w="783"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715" w:type="dxa"/>
            <w:vMerge/>
            <w:tcBorders>
              <w:left w:val="single" w:sz="4" w:space="0" w:color="000000"/>
              <w:bottom w:val="single" w:sz="4" w:space="0" w:color="000000"/>
              <w:right w:val="single" w:sz="4" w:space="0" w:color="000000"/>
            </w:tcBorders>
            <w:shd w:val="clear" w:color="auto" w:fill="D2D2D2"/>
          </w:tcPr>
          <w:p>
            <w:pPr/>
          </w:p>
        </w:tc>
        <w:tc>
          <w:tcPr>
            <w:tcW w:w="911" w:type="dxa"/>
            <w:vMerge/>
            <w:tcBorders>
              <w:left w:val="single" w:sz="4" w:space="0" w:color="000000"/>
              <w:bottom w:val="single" w:sz="4" w:space="0" w:color="000000"/>
              <w:right w:val="single" w:sz="4" w:space="0" w:color="000000"/>
            </w:tcBorders>
            <w:shd w:val="clear" w:color="auto" w:fill="D2D2D2"/>
          </w:tcPr>
          <w:p>
            <w:pPr/>
          </w:p>
        </w:tc>
        <w:tc>
          <w:tcPr>
            <w:tcW w:w="925" w:type="dxa"/>
            <w:vMerge/>
            <w:tcBorders>
              <w:left w:val="single" w:sz="4" w:space="0" w:color="000000"/>
              <w:bottom w:val="single" w:sz="4" w:space="0" w:color="000000"/>
              <w:right w:val="single" w:sz="4" w:space="0" w:color="000000"/>
            </w:tcBorders>
            <w:shd w:val="clear" w:color="auto" w:fill="D2D2D2"/>
          </w:tcPr>
          <w:p>
            <w:pPr/>
          </w:p>
        </w:tc>
        <w:tc>
          <w:tcPr>
            <w:tcW w:w="1310" w:type="dxa"/>
            <w:vMerge/>
            <w:tcBorders>
              <w:left w:val="single" w:sz="4" w:space="0" w:color="000000"/>
              <w:bottom w:val="single" w:sz="4" w:space="0" w:color="000000"/>
              <w:right w:val="single" w:sz="4" w:space="0" w:color="000000"/>
            </w:tcBorders>
            <w:shd w:val="clear" w:color="auto" w:fill="D2D2D2"/>
          </w:tcPr>
          <w:p>
            <w:pPr/>
          </w:p>
        </w:tc>
        <w:tc>
          <w:tcPr>
            <w:tcW w:w="1050" w:type="dxa"/>
            <w:tcBorders>
              <w:top w:val="nil" w:sz="6" w:space="0" w:color="auto"/>
              <w:left w:val="single" w:sz="4" w:space="0" w:color="000000"/>
              <w:bottom w:val="single" w:sz="4" w:space="0" w:color="000000"/>
              <w:right w:val="single" w:sz="4" w:space="0" w:color="000000"/>
            </w:tcBorders>
            <w:shd w:val="clear" w:color="auto" w:fill="D2D2D2"/>
          </w:tcPr>
          <w:p>
            <w:pPr/>
          </w:p>
        </w:tc>
        <w:tc>
          <w:tcPr>
            <w:tcW w:w="1040" w:type="dxa"/>
            <w:vMerge/>
            <w:tcBorders>
              <w:left w:val="single" w:sz="4" w:space="0" w:color="000000"/>
              <w:bottom w:val="single" w:sz="4" w:space="0" w:color="000000"/>
              <w:right w:val="single" w:sz="4" w:space="0" w:color="000000"/>
            </w:tcBorders>
            <w:shd w:val="clear" w:color="auto" w:fill="D2D2D2"/>
          </w:tcPr>
          <w:p>
            <w:pPr/>
          </w:p>
        </w:tc>
        <w:tc>
          <w:tcPr>
            <w:tcW w:w="1048" w:type="dxa"/>
            <w:vMerge/>
            <w:tcBorders>
              <w:left w:val="single" w:sz="4" w:space="0" w:color="000000"/>
              <w:bottom w:val="single" w:sz="4" w:space="0" w:color="000000"/>
              <w:right w:val="single" w:sz="4" w:space="0" w:color="000000"/>
            </w:tcBorders>
            <w:shd w:val="clear" w:color="auto" w:fill="D2D2D2"/>
          </w:tcPr>
          <w:p>
            <w:pPr/>
          </w:p>
        </w:tc>
        <w:tc>
          <w:tcPr>
            <w:tcW w:w="792" w:type="dxa"/>
            <w:tcBorders>
              <w:top w:val="nil" w:sz="6" w:space="0" w:color="auto"/>
              <w:left w:val="single" w:sz="4" w:space="0" w:color="000000"/>
              <w:bottom w:val="single" w:sz="4" w:space="0" w:color="000000"/>
              <w:right w:val="single" w:sz="4" w:space="0" w:color="000000"/>
            </w:tcBorders>
            <w:shd w:val="clear" w:color="auto" w:fill="D2D2D2"/>
          </w:tcPr>
          <w:p>
            <w:pPr/>
          </w:p>
        </w:tc>
        <w:tc>
          <w:tcPr>
            <w:tcW w:w="783"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716" w:hRule="exact"/>
        </w:trPr>
        <w:tc>
          <w:tcPr>
            <w:tcW w:w="1715"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4" w:right="57"/>
              <w:jc w:val="left"/>
              <w:rPr>
                <w:rFonts w:ascii="宋体" w:hAnsi="宋体" w:cs="宋体" w:eastAsia="宋体" w:hint="default"/>
                <w:sz w:val="18"/>
                <w:szCs w:val="18"/>
              </w:rPr>
            </w:pPr>
            <w:r>
              <w:rPr>
                <w:rFonts w:ascii="宋体" w:hAnsi="宋体" w:cs="宋体" w:eastAsia="宋体" w:hint="default"/>
                <w:spacing w:val="-3"/>
                <w:sz w:val="18"/>
                <w:szCs w:val="18"/>
              </w:rPr>
              <w:t>深圳银之杰智慧科技</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有限公司</w:t>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10</w:t>
            </w:r>
          </w:p>
          <w:p>
            <w:pPr>
              <w:pStyle w:val="TableParagraph"/>
              <w:spacing w:line="240" w:lineRule="auto" w:before="67"/>
              <w:ind w:left="17"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494" w:right="0"/>
              <w:jc w:val="left"/>
              <w:rPr>
                <w:rFonts w:ascii="Times New Roman" w:hAnsi="Times New Roman" w:cs="Times New Roman" w:eastAsia="Times New Roman" w:hint="default"/>
                <w:sz w:val="18"/>
                <w:szCs w:val="18"/>
              </w:rPr>
            </w:pPr>
            <w:r>
              <w:rPr>
                <w:rFonts w:ascii="Times New Roman"/>
                <w:sz w:val="18"/>
              </w:rPr>
              <w:t>2,000</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3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pacing w:val="-5"/>
                <w:sz w:val="18"/>
                <w:szCs w:val="18"/>
              </w:rPr>
              <w:t>28</w:t>
            </w:r>
            <w:r>
              <w:rPr>
                <w:rFonts w:ascii="Times New Roman" w:hAnsi="Times New Roman" w:cs="Times New Roman" w:eastAsia="Times New Roman" w:hint="default"/>
                <w:sz w:val="18"/>
                <w:szCs w:val="18"/>
              </w:rPr>
            </w:r>
          </w:p>
          <w:p>
            <w:pPr>
              <w:pStyle w:val="TableParagraph"/>
              <w:spacing w:line="240" w:lineRule="auto" w:before="67"/>
              <w:ind w:left="35"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626" w:right="0"/>
              <w:jc w:val="left"/>
              <w:rPr>
                <w:rFonts w:ascii="Times New Roman" w:hAnsi="Times New Roman" w:cs="Times New Roman" w:eastAsia="Times New Roman" w:hint="default"/>
                <w:sz w:val="18"/>
                <w:szCs w:val="18"/>
              </w:rPr>
            </w:pPr>
            <w:r>
              <w:rPr>
                <w:rFonts w:ascii="Times New Roman"/>
                <w:sz w:val="18"/>
              </w:rPr>
              <w:t>2,000</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33" w:right="92"/>
              <w:jc w:val="left"/>
              <w:rPr>
                <w:rFonts w:ascii="宋体" w:hAnsi="宋体" w:cs="宋体" w:eastAsia="宋体" w:hint="default"/>
                <w:sz w:val="18"/>
                <w:szCs w:val="18"/>
              </w:rPr>
            </w:pPr>
            <w:r>
              <w:rPr>
                <w:rFonts w:ascii="宋体" w:hAnsi="宋体" w:cs="宋体" w:eastAsia="宋体" w:hint="default"/>
                <w:spacing w:val="-2"/>
                <w:sz w:val="18"/>
                <w:szCs w:val="18"/>
              </w:rPr>
              <w:t>连带责任保</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证</w:t>
            </w:r>
          </w:p>
        </w:tc>
        <w:tc>
          <w:tcPr>
            <w:tcW w:w="1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5" w:hRule="exact"/>
        </w:trPr>
        <w:tc>
          <w:tcPr>
            <w:tcW w:w="26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65"/>
              <w:jc w:val="left"/>
              <w:rPr>
                <w:rFonts w:ascii="宋体" w:hAnsi="宋体" w:cs="宋体" w:eastAsia="宋体" w:hint="default"/>
                <w:sz w:val="18"/>
                <w:szCs w:val="18"/>
              </w:rPr>
            </w:pPr>
            <w:r>
              <w:rPr>
                <w:rFonts w:ascii="宋体" w:hAnsi="宋体" w:cs="宋体" w:eastAsia="宋体" w:hint="default"/>
                <w:spacing w:val="-3"/>
                <w:sz w:val="18"/>
                <w:szCs w:val="18"/>
              </w:rPr>
              <w:t>报告期内审批对子公司担保额度</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z w:val="18"/>
                <w:szCs w:val="18"/>
              </w:rPr>
              <w:t>合计（</w:t>
            </w:r>
            <w:r>
              <w:rPr>
                <w:rFonts w:ascii="Times New Roman" w:hAnsi="Times New Roman" w:cs="Times New Roman" w:eastAsia="Times New Roman" w:hint="default"/>
                <w:sz w:val="18"/>
                <w:szCs w:val="18"/>
              </w:rPr>
              <w:t>B1</w:t>
            </w:r>
            <w:r>
              <w:rPr>
                <w:rFonts w:ascii="宋体" w:hAnsi="宋体" w:cs="宋体" w:eastAsia="宋体" w:hint="default"/>
                <w:sz w:val="18"/>
                <w:szCs w:val="18"/>
              </w:rPr>
              <w:t>）</w:t>
            </w:r>
          </w:p>
        </w:tc>
        <w:tc>
          <w:tcPr>
            <w:tcW w:w="2236" w:type="dxa"/>
            <w:gridSpan w:val="2"/>
            <w:tcBorders>
              <w:top w:val="single" w:sz="4" w:space="0" w:color="000000"/>
              <w:left w:val="single" w:sz="10" w:space="0" w:color="D2D2D2"/>
              <w:bottom w:val="single" w:sz="4" w:space="0" w:color="000000"/>
              <w:right w:val="single" w:sz="15" w:space="0" w:color="D2D2D2"/>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209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2" w:right="73"/>
              <w:jc w:val="left"/>
              <w:rPr>
                <w:rFonts w:ascii="宋体" w:hAnsi="宋体" w:cs="宋体" w:eastAsia="宋体" w:hint="default"/>
                <w:sz w:val="18"/>
                <w:szCs w:val="18"/>
              </w:rPr>
            </w:pPr>
            <w:r>
              <w:rPr>
                <w:rFonts w:ascii="宋体" w:hAnsi="宋体" w:cs="宋体" w:eastAsia="宋体" w:hint="default"/>
                <w:spacing w:val="-3"/>
                <w:sz w:val="18"/>
                <w:szCs w:val="18"/>
              </w:rPr>
              <w:t>报告期内对子公司担保实</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z w:val="18"/>
                <w:szCs w:val="18"/>
              </w:rPr>
              <w:t>际发生额合计（</w:t>
            </w:r>
            <w:r>
              <w:rPr>
                <w:rFonts w:ascii="Times New Roman" w:hAnsi="Times New Roman" w:cs="Times New Roman" w:eastAsia="Times New Roman" w:hint="default"/>
                <w:sz w:val="18"/>
                <w:szCs w:val="18"/>
              </w:rPr>
              <w:t>B2</w:t>
            </w:r>
            <w:r>
              <w:rPr>
                <w:rFonts w:ascii="宋体" w:hAnsi="宋体" w:cs="宋体" w:eastAsia="宋体" w:hint="default"/>
                <w:sz w:val="18"/>
                <w:szCs w:val="18"/>
              </w:rPr>
              <w:t>）</w:t>
            </w:r>
          </w:p>
        </w:tc>
        <w:tc>
          <w:tcPr>
            <w:tcW w:w="2623"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720" w:hRule="exact"/>
        </w:trPr>
        <w:tc>
          <w:tcPr>
            <w:tcW w:w="26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65"/>
              <w:jc w:val="left"/>
              <w:rPr>
                <w:rFonts w:ascii="宋体" w:hAnsi="宋体" w:cs="宋体" w:eastAsia="宋体" w:hint="default"/>
                <w:sz w:val="18"/>
                <w:szCs w:val="18"/>
              </w:rPr>
            </w:pPr>
            <w:r>
              <w:rPr>
                <w:rFonts w:ascii="宋体" w:hAnsi="宋体" w:cs="宋体" w:eastAsia="宋体" w:hint="default"/>
                <w:spacing w:val="-3"/>
                <w:sz w:val="18"/>
                <w:szCs w:val="18"/>
              </w:rPr>
              <w:t>报告期末已审批的对子公司担保</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z w:val="18"/>
                <w:szCs w:val="18"/>
              </w:rPr>
              <w:t>额度合计（</w:t>
            </w:r>
            <w:r>
              <w:rPr>
                <w:rFonts w:ascii="Times New Roman" w:hAnsi="Times New Roman" w:cs="Times New Roman" w:eastAsia="Times New Roman" w:hint="default"/>
                <w:sz w:val="18"/>
                <w:szCs w:val="18"/>
              </w:rPr>
              <w:t>B3</w:t>
            </w:r>
            <w:r>
              <w:rPr>
                <w:rFonts w:ascii="宋体" w:hAnsi="宋体" w:cs="宋体" w:eastAsia="宋体" w:hint="default"/>
                <w:sz w:val="18"/>
                <w:szCs w:val="18"/>
              </w:rPr>
              <w:t>）</w:t>
            </w:r>
          </w:p>
        </w:tc>
        <w:tc>
          <w:tcPr>
            <w:tcW w:w="2236" w:type="dxa"/>
            <w:gridSpan w:val="2"/>
            <w:tcBorders>
              <w:top w:val="single" w:sz="4" w:space="0" w:color="000000"/>
              <w:left w:val="single" w:sz="10" w:space="0" w:color="D2D2D2"/>
              <w:bottom w:val="single" w:sz="4" w:space="0" w:color="000000"/>
              <w:right w:val="single" w:sz="15" w:space="0" w:color="D2D2D2"/>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209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2" w:right="73"/>
              <w:jc w:val="left"/>
              <w:rPr>
                <w:rFonts w:ascii="宋体" w:hAnsi="宋体" w:cs="宋体" w:eastAsia="宋体" w:hint="default"/>
                <w:sz w:val="18"/>
                <w:szCs w:val="18"/>
              </w:rPr>
            </w:pPr>
            <w:r>
              <w:rPr>
                <w:rFonts w:ascii="宋体" w:hAnsi="宋体" w:cs="宋体" w:eastAsia="宋体" w:hint="default"/>
                <w:spacing w:val="-3"/>
                <w:sz w:val="18"/>
                <w:szCs w:val="18"/>
              </w:rPr>
              <w:t>报告期末对子公司实际担</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z w:val="18"/>
                <w:szCs w:val="18"/>
              </w:rPr>
              <w:t>保余额合计（</w:t>
            </w:r>
            <w:r>
              <w:rPr>
                <w:rFonts w:ascii="Times New Roman" w:hAnsi="Times New Roman" w:cs="Times New Roman" w:eastAsia="Times New Roman" w:hint="default"/>
                <w:sz w:val="18"/>
                <w:szCs w:val="18"/>
              </w:rPr>
              <w:t>B4</w:t>
            </w:r>
            <w:r>
              <w:rPr>
                <w:rFonts w:ascii="宋体" w:hAnsi="宋体" w:cs="宋体" w:eastAsia="宋体" w:hint="default"/>
                <w:sz w:val="18"/>
                <w:szCs w:val="18"/>
              </w:rPr>
              <w:t>）</w:t>
            </w:r>
          </w:p>
        </w:tc>
        <w:tc>
          <w:tcPr>
            <w:tcW w:w="2623"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389" w:hRule="exact"/>
        </w:trPr>
        <w:tc>
          <w:tcPr>
            <w:tcW w:w="9575"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pacing w:val="-3"/>
                <w:sz w:val="18"/>
                <w:szCs w:val="18"/>
              </w:rPr>
              <w:t>子公司对子公司的担保情况</w:t>
            </w:r>
          </w:p>
        </w:tc>
      </w:tr>
      <w:tr>
        <w:trPr>
          <w:trHeight w:val="168" w:hRule="exact"/>
        </w:trPr>
        <w:tc>
          <w:tcPr>
            <w:tcW w:w="1715" w:type="dxa"/>
            <w:vMerge w:val="restart"/>
            <w:tcBorders>
              <w:top w:val="single" w:sz="4" w:space="0" w:color="000000"/>
              <w:left w:val="single" w:sz="4" w:space="0" w:color="000000"/>
              <w:right w:val="single" w:sz="4" w:space="0" w:color="000000"/>
            </w:tcBorders>
            <w:shd w:val="clear" w:color="auto" w:fill="D2D2D2"/>
          </w:tcPr>
          <w:p>
            <w:pPr/>
          </w:p>
        </w:tc>
        <w:tc>
          <w:tcPr>
            <w:tcW w:w="911"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8"/>
              <w:ind w:left="85" w:right="88"/>
              <w:jc w:val="both"/>
              <w:rPr>
                <w:rFonts w:ascii="宋体" w:hAnsi="宋体" w:cs="宋体" w:eastAsia="宋体" w:hint="default"/>
                <w:sz w:val="18"/>
                <w:szCs w:val="18"/>
              </w:rPr>
            </w:pPr>
            <w:r>
              <w:rPr>
                <w:rFonts w:ascii="宋体" w:hAnsi="宋体" w:cs="宋体" w:eastAsia="宋体" w:hint="default"/>
                <w:sz w:val="18"/>
                <w:szCs w:val="18"/>
              </w:rPr>
              <w:t>担保额度</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相关公告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披露日期</w:t>
            </w:r>
          </w:p>
        </w:tc>
        <w:tc>
          <w:tcPr>
            <w:tcW w:w="925" w:type="dxa"/>
            <w:vMerge w:val="restart"/>
            <w:tcBorders>
              <w:top w:val="single" w:sz="4" w:space="0" w:color="000000"/>
              <w:left w:val="single" w:sz="4" w:space="0" w:color="000000"/>
              <w:right w:val="single" w:sz="4" w:space="0" w:color="000000"/>
            </w:tcBorders>
            <w:shd w:val="clear" w:color="auto" w:fill="D2D2D2"/>
          </w:tcPr>
          <w:p>
            <w:pPr/>
          </w:p>
        </w:tc>
        <w:tc>
          <w:tcPr>
            <w:tcW w:w="1310" w:type="dxa"/>
            <w:vMerge w:val="restart"/>
            <w:tcBorders>
              <w:top w:val="single" w:sz="4" w:space="0" w:color="000000"/>
              <w:left w:val="single" w:sz="4" w:space="0" w:color="000000"/>
              <w:right w:val="single" w:sz="4" w:space="0" w:color="000000"/>
            </w:tcBorders>
            <w:shd w:val="clear" w:color="auto" w:fill="D2D2D2"/>
          </w:tcPr>
          <w:p>
            <w:pPr/>
          </w:p>
        </w:tc>
        <w:tc>
          <w:tcPr>
            <w:tcW w:w="1050" w:type="dxa"/>
            <w:tcBorders>
              <w:top w:val="single" w:sz="4" w:space="0" w:color="000000"/>
              <w:left w:val="single" w:sz="4" w:space="0" w:color="000000"/>
              <w:bottom w:val="nil" w:sz="6" w:space="0" w:color="auto"/>
              <w:right w:val="single" w:sz="4" w:space="0" w:color="000000"/>
            </w:tcBorders>
            <w:shd w:val="clear" w:color="auto" w:fill="D2D2D2"/>
          </w:tcPr>
          <w:p>
            <w:pPr/>
          </w:p>
        </w:tc>
        <w:tc>
          <w:tcPr>
            <w:tcW w:w="1040" w:type="dxa"/>
            <w:vMerge w:val="restart"/>
            <w:tcBorders>
              <w:top w:val="single" w:sz="4" w:space="0" w:color="000000"/>
              <w:left w:val="single" w:sz="4" w:space="0" w:color="000000"/>
              <w:right w:val="single" w:sz="4" w:space="0" w:color="000000"/>
            </w:tcBorders>
            <w:shd w:val="clear" w:color="auto" w:fill="D2D2D2"/>
          </w:tcPr>
          <w:p>
            <w:pPr/>
          </w:p>
        </w:tc>
        <w:tc>
          <w:tcPr>
            <w:tcW w:w="1048" w:type="dxa"/>
            <w:vMerge w:val="restart"/>
            <w:tcBorders>
              <w:top w:val="single" w:sz="4" w:space="0" w:color="000000"/>
              <w:left w:val="single" w:sz="4" w:space="0" w:color="000000"/>
              <w:right w:val="single" w:sz="4" w:space="0" w:color="000000"/>
            </w:tcBorders>
            <w:shd w:val="clear" w:color="auto" w:fill="D2D2D2"/>
          </w:tcPr>
          <w:p>
            <w:pPr/>
          </w:p>
        </w:tc>
        <w:tc>
          <w:tcPr>
            <w:tcW w:w="792" w:type="dxa"/>
            <w:tcBorders>
              <w:top w:val="single" w:sz="4" w:space="0" w:color="000000"/>
              <w:left w:val="single" w:sz="4" w:space="0" w:color="000000"/>
              <w:bottom w:val="nil" w:sz="6" w:space="0" w:color="auto"/>
              <w:right w:val="single" w:sz="4" w:space="0" w:color="000000"/>
            </w:tcBorders>
            <w:shd w:val="clear" w:color="auto" w:fill="D2D2D2"/>
          </w:tcPr>
          <w:p>
            <w:pPr/>
          </w:p>
        </w:tc>
        <w:tc>
          <w:tcPr>
            <w:tcW w:w="783"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4" w:hRule="exact"/>
        </w:trPr>
        <w:tc>
          <w:tcPr>
            <w:tcW w:w="1715" w:type="dxa"/>
            <w:vMerge/>
            <w:tcBorders>
              <w:left w:val="single" w:sz="4" w:space="0" w:color="000000"/>
              <w:bottom w:val="nil" w:sz="6" w:space="0" w:color="auto"/>
              <w:right w:val="single" w:sz="4" w:space="0" w:color="000000"/>
            </w:tcBorders>
            <w:shd w:val="clear" w:color="auto" w:fill="D2D2D2"/>
          </w:tcPr>
          <w:p>
            <w:pPr/>
          </w:p>
        </w:tc>
        <w:tc>
          <w:tcPr>
            <w:tcW w:w="911" w:type="dxa"/>
            <w:vMerge/>
            <w:tcBorders>
              <w:left w:val="single" w:sz="4" w:space="0" w:color="000000"/>
              <w:right w:val="single" w:sz="4" w:space="0" w:color="000000"/>
            </w:tcBorders>
            <w:shd w:val="clear" w:color="auto" w:fill="D2D2D2"/>
          </w:tcPr>
          <w:p>
            <w:pPr/>
          </w:p>
        </w:tc>
        <w:tc>
          <w:tcPr>
            <w:tcW w:w="925" w:type="dxa"/>
            <w:vMerge/>
            <w:tcBorders>
              <w:left w:val="single" w:sz="4" w:space="0" w:color="000000"/>
              <w:bottom w:val="nil" w:sz="6" w:space="0" w:color="auto"/>
              <w:right w:val="single" w:sz="4" w:space="0" w:color="000000"/>
            </w:tcBorders>
            <w:shd w:val="clear" w:color="auto" w:fill="D2D2D2"/>
          </w:tcPr>
          <w:p>
            <w:pPr/>
          </w:p>
        </w:tc>
        <w:tc>
          <w:tcPr>
            <w:tcW w:w="1310" w:type="dxa"/>
            <w:vMerge/>
            <w:tcBorders>
              <w:left w:val="single" w:sz="4" w:space="0" w:color="000000"/>
              <w:bottom w:val="nil" w:sz="6" w:space="0" w:color="auto"/>
              <w:right w:val="single" w:sz="4" w:space="0" w:color="000000"/>
            </w:tcBorders>
            <w:shd w:val="clear" w:color="auto" w:fill="D2D2D2"/>
          </w:tcPr>
          <w:p>
            <w:pPr/>
          </w:p>
        </w:tc>
        <w:tc>
          <w:tcPr>
            <w:tcW w:w="1050"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3"/>
              <w:ind w:left="425" w:right="70" w:hanging="360"/>
              <w:jc w:val="left"/>
              <w:rPr>
                <w:rFonts w:ascii="宋体" w:hAnsi="宋体" w:cs="宋体" w:eastAsia="宋体" w:hint="default"/>
                <w:sz w:val="18"/>
                <w:szCs w:val="18"/>
              </w:rPr>
            </w:pPr>
            <w:r>
              <w:rPr>
                <w:rFonts w:ascii="宋体" w:hAnsi="宋体" w:cs="宋体" w:eastAsia="宋体" w:hint="default"/>
                <w:spacing w:val="-2"/>
                <w:sz w:val="18"/>
                <w:szCs w:val="18"/>
              </w:rPr>
              <w:t>实际担保金</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额</w:t>
            </w:r>
          </w:p>
        </w:tc>
        <w:tc>
          <w:tcPr>
            <w:tcW w:w="1040" w:type="dxa"/>
            <w:vMerge/>
            <w:tcBorders>
              <w:left w:val="single" w:sz="4" w:space="0" w:color="000000"/>
              <w:bottom w:val="nil" w:sz="6" w:space="0" w:color="auto"/>
              <w:right w:val="single" w:sz="4" w:space="0" w:color="000000"/>
            </w:tcBorders>
            <w:shd w:val="clear" w:color="auto" w:fill="D2D2D2"/>
          </w:tcPr>
          <w:p>
            <w:pPr/>
          </w:p>
        </w:tc>
        <w:tc>
          <w:tcPr>
            <w:tcW w:w="1048" w:type="dxa"/>
            <w:vMerge/>
            <w:tcBorders>
              <w:left w:val="single" w:sz="4" w:space="0" w:color="000000"/>
              <w:bottom w:val="nil" w:sz="6" w:space="0" w:color="auto"/>
              <w:right w:val="single" w:sz="4" w:space="0" w:color="000000"/>
            </w:tcBorders>
            <w:shd w:val="clear" w:color="auto" w:fill="D2D2D2"/>
          </w:tcPr>
          <w:p>
            <w:pPr/>
          </w:p>
        </w:tc>
        <w:tc>
          <w:tcPr>
            <w:tcW w:w="792"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3"/>
              <w:ind w:left="206" w:right="27" w:hanging="178"/>
              <w:jc w:val="left"/>
              <w:rPr>
                <w:rFonts w:ascii="宋体" w:hAnsi="宋体" w:cs="宋体" w:eastAsia="宋体" w:hint="default"/>
                <w:sz w:val="18"/>
                <w:szCs w:val="18"/>
              </w:rPr>
            </w:pPr>
            <w:r>
              <w:rPr>
                <w:rFonts w:ascii="宋体" w:hAnsi="宋体" w:cs="宋体" w:eastAsia="宋体" w:hint="default"/>
                <w:sz w:val="18"/>
                <w:szCs w:val="18"/>
              </w:rPr>
              <w:t>是否履行</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完毕</w:t>
            </w:r>
          </w:p>
        </w:tc>
        <w:tc>
          <w:tcPr>
            <w:tcW w:w="783"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3"/>
              <w:ind w:left="23" w:right="21"/>
              <w:jc w:val="left"/>
              <w:rPr>
                <w:rFonts w:ascii="宋体" w:hAnsi="宋体" w:cs="宋体" w:eastAsia="宋体" w:hint="default"/>
                <w:sz w:val="18"/>
                <w:szCs w:val="18"/>
              </w:rPr>
            </w:pPr>
            <w:r>
              <w:rPr>
                <w:rFonts w:ascii="宋体" w:hAnsi="宋体" w:cs="宋体" w:eastAsia="宋体" w:hint="default"/>
                <w:sz w:val="18"/>
                <w:szCs w:val="18"/>
              </w:rPr>
              <w:t>是否为关</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联方担保</w:t>
            </w:r>
          </w:p>
        </w:tc>
      </w:tr>
      <w:tr>
        <w:trPr>
          <w:trHeight w:val="394" w:hRule="exact"/>
        </w:trPr>
        <w:tc>
          <w:tcPr>
            <w:tcW w:w="17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right="311"/>
              <w:jc w:val="right"/>
              <w:rPr>
                <w:rFonts w:ascii="宋体" w:hAnsi="宋体" w:cs="宋体" w:eastAsia="宋体" w:hint="default"/>
                <w:sz w:val="18"/>
                <w:szCs w:val="18"/>
              </w:rPr>
            </w:pPr>
            <w:r>
              <w:rPr>
                <w:rFonts w:ascii="宋体" w:hAnsi="宋体" w:cs="宋体" w:eastAsia="宋体" w:hint="default"/>
                <w:spacing w:val="-2"/>
                <w:sz w:val="18"/>
                <w:szCs w:val="18"/>
              </w:rPr>
              <w:t>担保对象名称</w:t>
            </w:r>
          </w:p>
        </w:tc>
        <w:tc>
          <w:tcPr>
            <w:tcW w:w="911" w:type="dxa"/>
            <w:vMerge/>
            <w:tcBorders>
              <w:left w:val="single" w:sz="4" w:space="0" w:color="000000"/>
              <w:right w:val="single" w:sz="4" w:space="0" w:color="000000"/>
            </w:tcBorders>
            <w:shd w:val="clear" w:color="auto" w:fill="D2D2D2"/>
          </w:tcPr>
          <w:p>
            <w:pPr/>
          </w:p>
        </w:tc>
        <w:tc>
          <w:tcPr>
            <w:tcW w:w="92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91"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31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实际发生日期</w:t>
            </w:r>
          </w:p>
        </w:tc>
        <w:tc>
          <w:tcPr>
            <w:tcW w:w="1050" w:type="dxa"/>
            <w:vMerge/>
            <w:tcBorders>
              <w:left w:val="single" w:sz="4" w:space="0" w:color="000000"/>
              <w:right w:val="single" w:sz="4" w:space="0" w:color="000000"/>
            </w:tcBorders>
            <w:shd w:val="clear" w:color="auto" w:fill="D2D2D2"/>
          </w:tcPr>
          <w:p>
            <w:pPr/>
          </w:p>
        </w:tc>
        <w:tc>
          <w:tcPr>
            <w:tcW w:w="104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1" w:right="0"/>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104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right="237"/>
              <w:jc w:val="right"/>
              <w:rPr>
                <w:rFonts w:ascii="宋体" w:hAnsi="宋体" w:cs="宋体" w:eastAsia="宋体" w:hint="default"/>
                <w:sz w:val="18"/>
                <w:szCs w:val="18"/>
              </w:rPr>
            </w:pPr>
            <w:r>
              <w:rPr>
                <w:rFonts w:ascii="宋体" w:hAnsi="宋体" w:cs="宋体" w:eastAsia="宋体" w:hint="default"/>
                <w:spacing w:val="-2"/>
                <w:sz w:val="18"/>
                <w:szCs w:val="18"/>
              </w:rPr>
              <w:t>担保期</w:t>
            </w:r>
          </w:p>
        </w:tc>
        <w:tc>
          <w:tcPr>
            <w:tcW w:w="792" w:type="dxa"/>
            <w:vMerge/>
            <w:tcBorders>
              <w:left w:val="single" w:sz="4" w:space="0" w:color="000000"/>
              <w:right w:val="single" w:sz="4" w:space="0" w:color="000000"/>
            </w:tcBorders>
            <w:shd w:val="clear" w:color="auto" w:fill="D2D2D2"/>
          </w:tcPr>
          <w:p>
            <w:pPr/>
          </w:p>
        </w:tc>
        <w:tc>
          <w:tcPr>
            <w:tcW w:w="783" w:type="dxa"/>
            <w:vMerge/>
            <w:tcBorders>
              <w:left w:val="single" w:sz="4" w:space="0" w:color="000000"/>
              <w:right w:val="single" w:sz="4" w:space="0" w:color="000000"/>
            </w:tcBorders>
            <w:shd w:val="clear" w:color="auto" w:fill="D2D2D2"/>
          </w:tcPr>
          <w:p>
            <w:pPr/>
          </w:p>
        </w:tc>
      </w:tr>
      <w:tr>
        <w:trPr>
          <w:trHeight w:val="154" w:hRule="exact"/>
        </w:trPr>
        <w:tc>
          <w:tcPr>
            <w:tcW w:w="1715" w:type="dxa"/>
            <w:vMerge w:val="restart"/>
            <w:tcBorders>
              <w:top w:val="nil" w:sz="6" w:space="0" w:color="auto"/>
              <w:left w:val="single" w:sz="4" w:space="0" w:color="000000"/>
              <w:right w:val="single" w:sz="4" w:space="0" w:color="000000"/>
            </w:tcBorders>
            <w:shd w:val="clear" w:color="auto" w:fill="D2D2D2"/>
          </w:tcPr>
          <w:p>
            <w:pPr/>
          </w:p>
        </w:tc>
        <w:tc>
          <w:tcPr>
            <w:tcW w:w="911" w:type="dxa"/>
            <w:vMerge/>
            <w:tcBorders>
              <w:left w:val="single" w:sz="4" w:space="0" w:color="000000"/>
              <w:right w:val="single" w:sz="4" w:space="0" w:color="000000"/>
            </w:tcBorders>
            <w:shd w:val="clear" w:color="auto" w:fill="D2D2D2"/>
          </w:tcPr>
          <w:p>
            <w:pPr/>
          </w:p>
        </w:tc>
        <w:tc>
          <w:tcPr>
            <w:tcW w:w="925" w:type="dxa"/>
            <w:vMerge w:val="restart"/>
            <w:tcBorders>
              <w:top w:val="nil" w:sz="6" w:space="0" w:color="auto"/>
              <w:left w:val="single" w:sz="4" w:space="0" w:color="000000"/>
              <w:right w:val="single" w:sz="4" w:space="0" w:color="000000"/>
            </w:tcBorders>
            <w:shd w:val="clear" w:color="auto" w:fill="D2D2D2"/>
          </w:tcPr>
          <w:p>
            <w:pPr/>
          </w:p>
        </w:tc>
        <w:tc>
          <w:tcPr>
            <w:tcW w:w="1310" w:type="dxa"/>
            <w:vMerge w:val="restart"/>
            <w:tcBorders>
              <w:top w:val="nil" w:sz="6" w:space="0" w:color="auto"/>
              <w:left w:val="single" w:sz="4" w:space="0" w:color="000000"/>
              <w:right w:val="single" w:sz="4" w:space="0" w:color="000000"/>
            </w:tcBorders>
            <w:shd w:val="clear" w:color="auto" w:fill="D2D2D2"/>
          </w:tcPr>
          <w:p>
            <w:pPr/>
          </w:p>
        </w:tc>
        <w:tc>
          <w:tcPr>
            <w:tcW w:w="1050" w:type="dxa"/>
            <w:vMerge/>
            <w:tcBorders>
              <w:left w:val="single" w:sz="4" w:space="0" w:color="000000"/>
              <w:bottom w:val="nil" w:sz="6" w:space="0" w:color="auto"/>
              <w:right w:val="single" w:sz="4" w:space="0" w:color="000000"/>
            </w:tcBorders>
            <w:shd w:val="clear" w:color="auto" w:fill="D2D2D2"/>
          </w:tcPr>
          <w:p>
            <w:pPr/>
          </w:p>
        </w:tc>
        <w:tc>
          <w:tcPr>
            <w:tcW w:w="1040" w:type="dxa"/>
            <w:vMerge w:val="restart"/>
            <w:tcBorders>
              <w:top w:val="nil" w:sz="6" w:space="0" w:color="auto"/>
              <w:left w:val="single" w:sz="4" w:space="0" w:color="000000"/>
              <w:right w:val="single" w:sz="4" w:space="0" w:color="000000"/>
            </w:tcBorders>
            <w:shd w:val="clear" w:color="auto" w:fill="D2D2D2"/>
          </w:tcPr>
          <w:p>
            <w:pPr/>
          </w:p>
        </w:tc>
        <w:tc>
          <w:tcPr>
            <w:tcW w:w="1048" w:type="dxa"/>
            <w:vMerge w:val="restart"/>
            <w:tcBorders>
              <w:top w:val="nil" w:sz="6" w:space="0" w:color="auto"/>
              <w:left w:val="single" w:sz="4" w:space="0" w:color="000000"/>
              <w:right w:val="single" w:sz="4" w:space="0" w:color="000000"/>
            </w:tcBorders>
            <w:shd w:val="clear" w:color="auto" w:fill="D2D2D2"/>
          </w:tcPr>
          <w:p>
            <w:pPr/>
          </w:p>
        </w:tc>
        <w:tc>
          <w:tcPr>
            <w:tcW w:w="792" w:type="dxa"/>
            <w:vMerge/>
            <w:tcBorders>
              <w:left w:val="single" w:sz="4" w:space="0" w:color="000000"/>
              <w:bottom w:val="nil" w:sz="6" w:space="0" w:color="auto"/>
              <w:right w:val="single" w:sz="4" w:space="0" w:color="000000"/>
            </w:tcBorders>
            <w:shd w:val="clear" w:color="auto" w:fill="D2D2D2"/>
          </w:tcPr>
          <w:p>
            <w:pPr/>
          </w:p>
        </w:tc>
        <w:tc>
          <w:tcPr>
            <w:tcW w:w="783" w:type="dxa"/>
            <w:vMerge/>
            <w:tcBorders>
              <w:left w:val="single" w:sz="4" w:space="0" w:color="000000"/>
              <w:bottom w:val="nil" w:sz="6" w:space="0" w:color="auto"/>
              <w:right w:val="single" w:sz="4" w:space="0" w:color="000000"/>
            </w:tcBorders>
            <w:shd w:val="clear" w:color="auto" w:fill="D2D2D2"/>
          </w:tcPr>
          <w:p>
            <w:pPr/>
          </w:p>
        </w:tc>
      </w:tr>
      <w:tr>
        <w:trPr>
          <w:trHeight w:val="163" w:hRule="exact"/>
        </w:trPr>
        <w:tc>
          <w:tcPr>
            <w:tcW w:w="1715" w:type="dxa"/>
            <w:vMerge/>
            <w:tcBorders>
              <w:left w:val="single" w:sz="4" w:space="0" w:color="000000"/>
              <w:bottom w:val="single" w:sz="4" w:space="0" w:color="000000"/>
              <w:right w:val="single" w:sz="4" w:space="0" w:color="000000"/>
            </w:tcBorders>
            <w:shd w:val="clear" w:color="auto" w:fill="D2D2D2"/>
          </w:tcPr>
          <w:p>
            <w:pPr/>
          </w:p>
        </w:tc>
        <w:tc>
          <w:tcPr>
            <w:tcW w:w="911" w:type="dxa"/>
            <w:vMerge/>
            <w:tcBorders>
              <w:left w:val="single" w:sz="4" w:space="0" w:color="000000"/>
              <w:bottom w:val="single" w:sz="4" w:space="0" w:color="000000"/>
              <w:right w:val="single" w:sz="4" w:space="0" w:color="000000"/>
            </w:tcBorders>
            <w:shd w:val="clear" w:color="auto" w:fill="D2D2D2"/>
          </w:tcPr>
          <w:p>
            <w:pPr/>
          </w:p>
        </w:tc>
        <w:tc>
          <w:tcPr>
            <w:tcW w:w="925" w:type="dxa"/>
            <w:vMerge/>
            <w:tcBorders>
              <w:left w:val="single" w:sz="4" w:space="0" w:color="000000"/>
              <w:bottom w:val="single" w:sz="4" w:space="0" w:color="000000"/>
              <w:right w:val="single" w:sz="4" w:space="0" w:color="000000"/>
            </w:tcBorders>
            <w:shd w:val="clear" w:color="auto" w:fill="D2D2D2"/>
          </w:tcPr>
          <w:p>
            <w:pPr/>
          </w:p>
        </w:tc>
        <w:tc>
          <w:tcPr>
            <w:tcW w:w="1310" w:type="dxa"/>
            <w:vMerge/>
            <w:tcBorders>
              <w:left w:val="single" w:sz="4" w:space="0" w:color="000000"/>
              <w:bottom w:val="single" w:sz="4" w:space="0" w:color="000000"/>
              <w:right w:val="single" w:sz="4" w:space="0" w:color="000000"/>
            </w:tcBorders>
            <w:shd w:val="clear" w:color="auto" w:fill="D2D2D2"/>
          </w:tcPr>
          <w:p>
            <w:pPr/>
          </w:p>
        </w:tc>
        <w:tc>
          <w:tcPr>
            <w:tcW w:w="1050" w:type="dxa"/>
            <w:tcBorders>
              <w:top w:val="nil" w:sz="6" w:space="0" w:color="auto"/>
              <w:left w:val="single" w:sz="4" w:space="0" w:color="000000"/>
              <w:bottom w:val="single" w:sz="4" w:space="0" w:color="000000"/>
              <w:right w:val="single" w:sz="4" w:space="0" w:color="000000"/>
            </w:tcBorders>
            <w:shd w:val="clear" w:color="auto" w:fill="D2D2D2"/>
          </w:tcPr>
          <w:p>
            <w:pPr/>
          </w:p>
        </w:tc>
        <w:tc>
          <w:tcPr>
            <w:tcW w:w="1040" w:type="dxa"/>
            <w:vMerge/>
            <w:tcBorders>
              <w:left w:val="single" w:sz="4" w:space="0" w:color="000000"/>
              <w:bottom w:val="single" w:sz="4" w:space="0" w:color="000000"/>
              <w:right w:val="single" w:sz="4" w:space="0" w:color="000000"/>
            </w:tcBorders>
            <w:shd w:val="clear" w:color="auto" w:fill="D2D2D2"/>
          </w:tcPr>
          <w:p>
            <w:pPr/>
          </w:p>
        </w:tc>
        <w:tc>
          <w:tcPr>
            <w:tcW w:w="1048" w:type="dxa"/>
            <w:vMerge/>
            <w:tcBorders>
              <w:left w:val="single" w:sz="4" w:space="0" w:color="000000"/>
              <w:bottom w:val="single" w:sz="4" w:space="0" w:color="000000"/>
              <w:right w:val="single" w:sz="4" w:space="0" w:color="000000"/>
            </w:tcBorders>
            <w:shd w:val="clear" w:color="auto" w:fill="D2D2D2"/>
          </w:tcPr>
          <w:p>
            <w:pPr/>
          </w:p>
        </w:tc>
        <w:tc>
          <w:tcPr>
            <w:tcW w:w="792" w:type="dxa"/>
            <w:tcBorders>
              <w:top w:val="nil" w:sz="6" w:space="0" w:color="auto"/>
              <w:left w:val="single" w:sz="4" w:space="0" w:color="000000"/>
              <w:bottom w:val="single" w:sz="4" w:space="0" w:color="000000"/>
              <w:right w:val="single" w:sz="4" w:space="0" w:color="000000"/>
            </w:tcBorders>
            <w:shd w:val="clear" w:color="auto" w:fill="D2D2D2"/>
          </w:tcPr>
          <w:p>
            <w:pPr/>
          </w:p>
        </w:tc>
        <w:tc>
          <w:tcPr>
            <w:tcW w:w="783"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1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无</w:t>
            </w:r>
            <w:r>
              <w:rPr>
                <w:rFonts w:ascii="宋体" w:hAnsi="宋体" w:cs="宋体" w:eastAsia="宋体" w:hint="default"/>
                <w:sz w:val="18"/>
                <w:szCs w:val="18"/>
              </w:rPr>
            </w:r>
          </w:p>
        </w:tc>
        <w:tc>
          <w:tcPr>
            <w:tcW w:w="911" w:type="dxa"/>
            <w:tcBorders>
              <w:top w:val="single" w:sz="4" w:space="0" w:color="000000"/>
              <w:left w:val="single" w:sz="4" w:space="0" w:color="000000"/>
              <w:bottom w:val="single" w:sz="4" w:space="0" w:color="000000"/>
              <w:right w:val="single" w:sz="4" w:space="0" w:color="000000"/>
            </w:tcBorders>
          </w:tcPr>
          <w:p>
            <w:pPr/>
          </w:p>
        </w:tc>
        <w:tc>
          <w:tcPr>
            <w:tcW w:w="925" w:type="dxa"/>
            <w:tcBorders>
              <w:top w:val="single" w:sz="4" w:space="0" w:color="000000"/>
              <w:left w:val="single" w:sz="4" w:space="0" w:color="000000"/>
              <w:bottom w:val="single" w:sz="4" w:space="0" w:color="000000"/>
              <w:right w:val="single" w:sz="4" w:space="0" w:color="000000"/>
            </w:tcBorders>
          </w:tcPr>
          <w:p>
            <w:pPr/>
          </w:p>
        </w:tc>
        <w:tc>
          <w:tcPr>
            <w:tcW w:w="1310" w:type="dxa"/>
            <w:tcBorders>
              <w:top w:val="single" w:sz="4" w:space="0" w:color="000000"/>
              <w:left w:val="single" w:sz="4" w:space="0" w:color="000000"/>
              <w:bottom w:val="single" w:sz="4" w:space="0" w:color="000000"/>
              <w:right w:val="single" w:sz="4" w:space="0" w:color="000000"/>
            </w:tcBorders>
          </w:tcPr>
          <w:p>
            <w:pPr/>
          </w:p>
        </w:tc>
        <w:tc>
          <w:tcPr>
            <w:tcW w:w="1050" w:type="dxa"/>
            <w:tcBorders>
              <w:top w:val="single" w:sz="4" w:space="0" w:color="000000"/>
              <w:left w:val="single" w:sz="4" w:space="0" w:color="000000"/>
              <w:bottom w:val="single" w:sz="4" w:space="0" w:color="000000"/>
              <w:right w:val="single" w:sz="4" w:space="0" w:color="000000"/>
            </w:tcBorders>
          </w:tcPr>
          <w:p>
            <w:pPr/>
          </w:p>
        </w:tc>
        <w:tc>
          <w:tcPr>
            <w:tcW w:w="1040" w:type="dxa"/>
            <w:tcBorders>
              <w:top w:val="single" w:sz="4" w:space="0" w:color="000000"/>
              <w:left w:val="single" w:sz="4" w:space="0" w:color="000000"/>
              <w:bottom w:val="single" w:sz="4" w:space="0" w:color="000000"/>
              <w:right w:val="single" w:sz="4" w:space="0" w:color="000000"/>
            </w:tcBorders>
          </w:tcPr>
          <w:p>
            <w:pPr/>
          </w:p>
        </w:tc>
        <w:tc>
          <w:tcPr>
            <w:tcW w:w="1048"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6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4"/>
              <w:ind w:left="24" w:right="65"/>
              <w:jc w:val="left"/>
              <w:rPr>
                <w:rFonts w:ascii="宋体" w:hAnsi="宋体" w:cs="宋体" w:eastAsia="宋体" w:hint="default"/>
                <w:sz w:val="18"/>
                <w:szCs w:val="18"/>
              </w:rPr>
            </w:pPr>
            <w:r>
              <w:rPr>
                <w:rFonts w:ascii="宋体" w:hAnsi="宋体" w:cs="宋体" w:eastAsia="宋体" w:hint="default"/>
                <w:spacing w:val="-3"/>
                <w:sz w:val="18"/>
                <w:szCs w:val="18"/>
              </w:rPr>
              <w:t>报告期内审批对子公司担保额度</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z w:val="18"/>
                <w:szCs w:val="18"/>
              </w:rPr>
              <w:t>合计（</w:t>
            </w:r>
            <w:r>
              <w:rPr>
                <w:rFonts w:ascii="Times New Roman" w:hAnsi="Times New Roman" w:cs="Times New Roman" w:eastAsia="Times New Roman" w:hint="default"/>
                <w:sz w:val="18"/>
                <w:szCs w:val="18"/>
              </w:rPr>
              <w:t>C1</w:t>
            </w:r>
            <w:r>
              <w:rPr>
                <w:rFonts w:ascii="宋体" w:hAnsi="宋体" w:cs="宋体" w:eastAsia="宋体" w:hint="default"/>
                <w:sz w:val="18"/>
                <w:szCs w:val="18"/>
              </w:rPr>
              <w:t>）</w:t>
            </w:r>
          </w:p>
        </w:tc>
        <w:tc>
          <w:tcPr>
            <w:tcW w:w="2236" w:type="dxa"/>
            <w:gridSpan w:val="2"/>
            <w:tcBorders>
              <w:top w:val="single" w:sz="4" w:space="0" w:color="000000"/>
              <w:left w:val="single" w:sz="10" w:space="0" w:color="D2D2D2"/>
              <w:bottom w:val="single" w:sz="4" w:space="0" w:color="000000"/>
              <w:right w:val="single" w:sz="15" w:space="0" w:color="D2D2D2"/>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209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4"/>
              <w:ind w:left="22" w:right="73"/>
              <w:jc w:val="left"/>
              <w:rPr>
                <w:rFonts w:ascii="宋体" w:hAnsi="宋体" w:cs="宋体" w:eastAsia="宋体" w:hint="default"/>
                <w:sz w:val="18"/>
                <w:szCs w:val="18"/>
              </w:rPr>
            </w:pPr>
            <w:r>
              <w:rPr>
                <w:rFonts w:ascii="宋体" w:hAnsi="宋体" w:cs="宋体" w:eastAsia="宋体" w:hint="default"/>
                <w:spacing w:val="-3"/>
                <w:sz w:val="18"/>
                <w:szCs w:val="18"/>
              </w:rPr>
              <w:t>报告期内对子公司担保实</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z w:val="18"/>
                <w:szCs w:val="18"/>
              </w:rPr>
              <w:t>际发生额合计（</w:t>
            </w:r>
            <w:r>
              <w:rPr>
                <w:rFonts w:ascii="Times New Roman" w:hAnsi="Times New Roman" w:cs="Times New Roman" w:eastAsia="Times New Roman" w:hint="default"/>
                <w:sz w:val="18"/>
                <w:szCs w:val="18"/>
              </w:rPr>
              <w:t>C2</w:t>
            </w:r>
            <w:r>
              <w:rPr>
                <w:rFonts w:ascii="宋体" w:hAnsi="宋体" w:cs="宋体" w:eastAsia="宋体" w:hint="default"/>
                <w:sz w:val="18"/>
                <w:szCs w:val="18"/>
              </w:rPr>
              <w:t>）</w:t>
            </w:r>
          </w:p>
        </w:tc>
        <w:tc>
          <w:tcPr>
            <w:tcW w:w="2623"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718" w:hRule="exact"/>
        </w:trPr>
        <w:tc>
          <w:tcPr>
            <w:tcW w:w="26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6"/>
              <w:ind w:left="24" w:right="65"/>
              <w:jc w:val="left"/>
              <w:rPr>
                <w:rFonts w:ascii="宋体" w:hAnsi="宋体" w:cs="宋体" w:eastAsia="宋体" w:hint="default"/>
                <w:sz w:val="18"/>
                <w:szCs w:val="18"/>
              </w:rPr>
            </w:pPr>
            <w:r>
              <w:rPr>
                <w:rFonts w:ascii="宋体" w:hAnsi="宋体" w:cs="宋体" w:eastAsia="宋体" w:hint="default"/>
                <w:spacing w:val="-3"/>
                <w:sz w:val="18"/>
                <w:szCs w:val="18"/>
              </w:rPr>
              <w:t>报告期末已审批的对子公司担保</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z w:val="18"/>
                <w:szCs w:val="18"/>
              </w:rPr>
              <w:t>额度合计（</w:t>
            </w:r>
            <w:r>
              <w:rPr>
                <w:rFonts w:ascii="Times New Roman" w:hAnsi="Times New Roman" w:cs="Times New Roman" w:eastAsia="Times New Roman" w:hint="default"/>
                <w:sz w:val="18"/>
                <w:szCs w:val="18"/>
              </w:rPr>
              <w:t>C3</w:t>
            </w:r>
            <w:r>
              <w:rPr>
                <w:rFonts w:ascii="宋体" w:hAnsi="宋体" w:cs="宋体" w:eastAsia="宋体" w:hint="default"/>
                <w:sz w:val="18"/>
                <w:szCs w:val="18"/>
              </w:rPr>
              <w:t>）</w:t>
            </w:r>
          </w:p>
        </w:tc>
        <w:tc>
          <w:tcPr>
            <w:tcW w:w="2236" w:type="dxa"/>
            <w:gridSpan w:val="2"/>
            <w:tcBorders>
              <w:top w:val="single" w:sz="4" w:space="0" w:color="000000"/>
              <w:left w:val="single" w:sz="10" w:space="0" w:color="D2D2D2"/>
              <w:bottom w:val="single" w:sz="4" w:space="0" w:color="000000"/>
              <w:right w:val="single" w:sz="15" w:space="0" w:color="D2D2D2"/>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209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6"/>
              <w:ind w:left="22" w:right="73"/>
              <w:jc w:val="left"/>
              <w:rPr>
                <w:rFonts w:ascii="宋体" w:hAnsi="宋体" w:cs="宋体" w:eastAsia="宋体" w:hint="default"/>
                <w:sz w:val="18"/>
                <w:szCs w:val="18"/>
              </w:rPr>
            </w:pPr>
            <w:r>
              <w:rPr>
                <w:rFonts w:ascii="宋体" w:hAnsi="宋体" w:cs="宋体" w:eastAsia="宋体" w:hint="default"/>
                <w:spacing w:val="-3"/>
                <w:sz w:val="18"/>
                <w:szCs w:val="18"/>
              </w:rPr>
              <w:t>报告期末对子公司实际担</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z w:val="18"/>
                <w:szCs w:val="18"/>
              </w:rPr>
              <w:t>保余额合计（</w:t>
            </w:r>
            <w:r>
              <w:rPr>
                <w:rFonts w:ascii="Times New Roman" w:hAnsi="Times New Roman" w:cs="Times New Roman" w:eastAsia="Times New Roman" w:hint="default"/>
                <w:sz w:val="18"/>
                <w:szCs w:val="18"/>
              </w:rPr>
              <w:t>C4</w:t>
            </w:r>
            <w:r>
              <w:rPr>
                <w:rFonts w:ascii="宋体" w:hAnsi="宋体" w:cs="宋体" w:eastAsia="宋体" w:hint="default"/>
                <w:sz w:val="18"/>
                <w:szCs w:val="18"/>
              </w:rPr>
              <w:t>）</w:t>
            </w:r>
          </w:p>
        </w:tc>
        <w:tc>
          <w:tcPr>
            <w:tcW w:w="2623"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394" w:hRule="exact"/>
        </w:trPr>
        <w:tc>
          <w:tcPr>
            <w:tcW w:w="9575"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pacing w:val="-3"/>
                <w:sz w:val="18"/>
                <w:szCs w:val="18"/>
              </w:rPr>
              <w:t>公司担保总额（即前三大项的合计）</w:t>
            </w:r>
          </w:p>
        </w:tc>
      </w:tr>
      <w:tr>
        <w:trPr>
          <w:trHeight w:val="720" w:hRule="exact"/>
        </w:trPr>
        <w:tc>
          <w:tcPr>
            <w:tcW w:w="26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3"/>
                <w:sz w:val="18"/>
                <w:szCs w:val="18"/>
              </w:rPr>
              <w:t>报告期内审批担保额度合计</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A1+B1+C1</w:t>
            </w:r>
            <w:r>
              <w:rPr>
                <w:rFonts w:ascii="宋体" w:hAnsi="宋体" w:cs="宋体" w:eastAsia="宋体" w:hint="default"/>
                <w:sz w:val="18"/>
                <w:szCs w:val="18"/>
              </w:rPr>
              <w:t>）</w:t>
            </w:r>
          </w:p>
        </w:tc>
        <w:tc>
          <w:tcPr>
            <w:tcW w:w="2236" w:type="dxa"/>
            <w:gridSpan w:val="2"/>
            <w:tcBorders>
              <w:top w:val="single" w:sz="4" w:space="0" w:color="000000"/>
              <w:left w:val="single" w:sz="10" w:space="0" w:color="D2D2D2"/>
              <w:bottom w:val="single" w:sz="4" w:space="0" w:color="000000"/>
              <w:right w:val="single" w:sz="15" w:space="0" w:color="D2D2D2"/>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10"/>
              <w:jc w:val="right"/>
              <w:rPr>
                <w:rFonts w:ascii="Times New Roman" w:hAnsi="Times New Roman" w:cs="Times New Roman" w:eastAsia="Times New Roman" w:hint="default"/>
                <w:sz w:val="18"/>
                <w:szCs w:val="18"/>
              </w:rPr>
            </w:pPr>
            <w:r>
              <w:rPr>
                <w:rFonts w:ascii="Times New Roman"/>
                <w:spacing w:val="-1"/>
                <w:sz w:val="18"/>
              </w:rPr>
              <w:t>2,000</w:t>
            </w:r>
          </w:p>
        </w:tc>
        <w:tc>
          <w:tcPr>
            <w:tcW w:w="209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8"/>
              <w:ind w:left="22" w:right="73"/>
              <w:jc w:val="left"/>
              <w:rPr>
                <w:rFonts w:ascii="宋体" w:hAnsi="宋体" w:cs="宋体" w:eastAsia="宋体" w:hint="default"/>
                <w:sz w:val="18"/>
                <w:szCs w:val="18"/>
              </w:rPr>
            </w:pPr>
            <w:r>
              <w:rPr>
                <w:rFonts w:ascii="宋体" w:hAnsi="宋体" w:cs="宋体" w:eastAsia="宋体" w:hint="default"/>
                <w:spacing w:val="-3"/>
                <w:sz w:val="18"/>
                <w:szCs w:val="18"/>
              </w:rPr>
              <w:t>报告期内担保实际发生额</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z w:val="18"/>
                <w:szCs w:val="18"/>
              </w:rPr>
              <w:t>合计（</w:t>
            </w:r>
            <w:r>
              <w:rPr>
                <w:rFonts w:ascii="Times New Roman" w:hAnsi="Times New Roman" w:cs="Times New Roman" w:eastAsia="Times New Roman" w:hint="default"/>
                <w:sz w:val="18"/>
                <w:szCs w:val="18"/>
              </w:rPr>
              <w:t>A2+B2+C2</w:t>
            </w:r>
            <w:r>
              <w:rPr>
                <w:rFonts w:ascii="宋体" w:hAnsi="宋体" w:cs="宋体" w:eastAsia="宋体" w:hint="default"/>
                <w:sz w:val="18"/>
                <w:szCs w:val="18"/>
              </w:rPr>
              <w:t>）</w:t>
            </w:r>
          </w:p>
        </w:tc>
        <w:tc>
          <w:tcPr>
            <w:tcW w:w="2623"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1,400</w:t>
            </w:r>
          </w:p>
        </w:tc>
      </w:tr>
      <w:tr>
        <w:trPr>
          <w:trHeight w:val="713" w:hRule="exact"/>
        </w:trPr>
        <w:tc>
          <w:tcPr>
            <w:tcW w:w="26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报告期末已审批的担保额度合计</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A3+B3+C3</w:t>
            </w:r>
            <w:r>
              <w:rPr>
                <w:rFonts w:ascii="宋体" w:hAnsi="宋体" w:cs="宋体" w:eastAsia="宋体" w:hint="default"/>
                <w:sz w:val="18"/>
                <w:szCs w:val="18"/>
              </w:rPr>
              <w:t>）</w:t>
            </w:r>
          </w:p>
        </w:tc>
        <w:tc>
          <w:tcPr>
            <w:tcW w:w="2236" w:type="dxa"/>
            <w:gridSpan w:val="2"/>
            <w:tcBorders>
              <w:top w:val="single" w:sz="4" w:space="0" w:color="000000"/>
              <w:left w:val="single" w:sz="10" w:space="0" w:color="D2D2D2"/>
              <w:bottom w:val="single" w:sz="4" w:space="0" w:color="000000"/>
              <w:right w:val="single" w:sz="15" w:space="0" w:color="D2D2D2"/>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
              <w:jc w:val="right"/>
              <w:rPr>
                <w:rFonts w:ascii="Times New Roman" w:hAnsi="Times New Roman" w:cs="Times New Roman" w:eastAsia="Times New Roman" w:hint="default"/>
                <w:sz w:val="18"/>
                <w:szCs w:val="18"/>
              </w:rPr>
            </w:pPr>
            <w:r>
              <w:rPr>
                <w:rFonts w:ascii="Times New Roman"/>
                <w:spacing w:val="-1"/>
                <w:sz w:val="18"/>
              </w:rPr>
              <w:t>2,000</w:t>
            </w:r>
          </w:p>
        </w:tc>
        <w:tc>
          <w:tcPr>
            <w:tcW w:w="209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2" w:right="73"/>
              <w:jc w:val="left"/>
              <w:rPr>
                <w:rFonts w:ascii="宋体" w:hAnsi="宋体" w:cs="宋体" w:eastAsia="宋体" w:hint="default"/>
                <w:sz w:val="18"/>
                <w:szCs w:val="18"/>
              </w:rPr>
            </w:pPr>
            <w:r>
              <w:rPr>
                <w:rFonts w:ascii="宋体" w:hAnsi="宋体" w:cs="宋体" w:eastAsia="宋体" w:hint="default"/>
                <w:spacing w:val="-3"/>
                <w:sz w:val="18"/>
                <w:szCs w:val="18"/>
              </w:rPr>
              <w:t>报告期末实际担保余额合</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z w:val="18"/>
                <w:szCs w:val="18"/>
              </w:rPr>
              <w:t>计（</w:t>
            </w:r>
            <w:r>
              <w:rPr>
                <w:rFonts w:ascii="Times New Roman" w:hAnsi="Times New Roman" w:cs="Times New Roman" w:eastAsia="Times New Roman" w:hint="default"/>
                <w:sz w:val="18"/>
                <w:szCs w:val="18"/>
              </w:rPr>
              <w:t>A4+B4+C4</w:t>
            </w:r>
            <w:r>
              <w:rPr>
                <w:rFonts w:ascii="宋体" w:hAnsi="宋体" w:cs="宋体" w:eastAsia="宋体" w:hint="default"/>
                <w:sz w:val="18"/>
                <w:szCs w:val="18"/>
              </w:rPr>
              <w:t>）</w:t>
            </w:r>
          </w:p>
        </w:tc>
        <w:tc>
          <w:tcPr>
            <w:tcW w:w="2623"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1,400</w:t>
            </w:r>
          </w:p>
        </w:tc>
      </w:tr>
      <w:tr>
        <w:trPr>
          <w:trHeight w:val="406" w:hRule="exact"/>
        </w:trPr>
        <w:tc>
          <w:tcPr>
            <w:tcW w:w="486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pacing w:val="-2"/>
                <w:sz w:val="18"/>
                <w:szCs w:val="18"/>
              </w:rPr>
              <w:t>实际担保总额（即</w:t>
            </w:r>
            <w:r>
              <w:rPr>
                <w:rFonts w:ascii="宋体" w:hAnsi="宋体" w:cs="宋体" w:eastAsia="宋体" w:hint="default"/>
                <w:spacing w:val="9"/>
                <w:sz w:val="18"/>
                <w:szCs w:val="18"/>
              </w:rPr>
              <w:t> </w:t>
            </w:r>
            <w:r>
              <w:rPr>
                <w:rFonts w:ascii="Times New Roman" w:hAnsi="Times New Roman" w:cs="Times New Roman" w:eastAsia="Times New Roman" w:hint="default"/>
                <w:spacing w:val="-2"/>
                <w:sz w:val="18"/>
                <w:szCs w:val="18"/>
              </w:rPr>
              <w:t>A4+B4+C4</w:t>
            </w:r>
            <w:r>
              <w:rPr>
                <w:rFonts w:ascii="宋体" w:hAnsi="宋体" w:cs="宋体" w:eastAsia="宋体" w:hint="default"/>
                <w:spacing w:val="-2"/>
                <w:sz w:val="18"/>
                <w:szCs w:val="18"/>
              </w:rPr>
              <w:t>）占公司净资产的比例</w:t>
            </w:r>
          </w:p>
        </w:tc>
        <w:tc>
          <w:tcPr>
            <w:tcW w:w="4713" w:type="dxa"/>
            <w:gridSpan w:val="5"/>
            <w:tcBorders>
              <w:top w:val="single" w:sz="4" w:space="0" w:color="000000"/>
              <w:left w:val="single" w:sz="10" w:space="0" w:color="D2D2D2"/>
              <w:bottom w:val="single" w:sz="4" w:space="0" w:color="000000"/>
              <w:right w:val="single" w:sz="4" w:space="0" w:color="000000"/>
            </w:tcBorders>
          </w:tcPr>
          <w:p>
            <w:pPr>
              <w:pStyle w:val="TableParagraph"/>
              <w:spacing w:line="240" w:lineRule="auto" w:before="99"/>
              <w:ind w:right="14"/>
              <w:jc w:val="right"/>
              <w:rPr>
                <w:rFonts w:ascii="Times New Roman" w:hAnsi="Times New Roman" w:cs="Times New Roman" w:eastAsia="Times New Roman" w:hint="default"/>
                <w:sz w:val="18"/>
                <w:szCs w:val="18"/>
              </w:rPr>
            </w:pPr>
            <w:r>
              <w:rPr>
                <w:rFonts w:ascii="Times New Roman"/>
                <w:spacing w:val="-1"/>
                <w:sz w:val="18"/>
              </w:rPr>
              <w:t>1.03%</w:t>
            </w:r>
          </w:p>
        </w:tc>
      </w:tr>
      <w:tr>
        <w:trPr>
          <w:trHeight w:val="394" w:hRule="exact"/>
        </w:trPr>
        <w:tc>
          <w:tcPr>
            <w:tcW w:w="9575"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r>
      <w:tr>
        <w:trPr>
          <w:trHeight w:val="408" w:hRule="exact"/>
        </w:trPr>
        <w:tc>
          <w:tcPr>
            <w:tcW w:w="486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3"/>
                <w:sz w:val="18"/>
                <w:szCs w:val="18"/>
              </w:rPr>
              <w:t>为股东、实际控制人及其关联方提供担保的余额（</w:t>
            </w:r>
            <w:r>
              <w:rPr>
                <w:rFonts w:ascii="Times New Roman" w:hAnsi="Times New Roman" w:cs="Times New Roman" w:eastAsia="Times New Roman" w:hint="default"/>
                <w:spacing w:val="-3"/>
                <w:sz w:val="18"/>
                <w:szCs w:val="18"/>
              </w:rPr>
              <w:t>D</w:t>
            </w:r>
            <w:r>
              <w:rPr>
                <w:rFonts w:ascii="宋体" w:hAnsi="宋体" w:cs="宋体" w:eastAsia="宋体" w:hint="default"/>
                <w:spacing w:val="-3"/>
                <w:sz w:val="18"/>
                <w:szCs w:val="18"/>
              </w:rPr>
              <w:t>）</w:t>
            </w:r>
          </w:p>
        </w:tc>
        <w:tc>
          <w:tcPr>
            <w:tcW w:w="4713" w:type="dxa"/>
            <w:gridSpan w:val="5"/>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713" w:hRule="exact"/>
        </w:trPr>
        <w:tc>
          <w:tcPr>
            <w:tcW w:w="486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24" w:right="125"/>
              <w:jc w:val="left"/>
              <w:rPr>
                <w:rFonts w:ascii="宋体" w:hAnsi="宋体" w:cs="宋体" w:eastAsia="宋体" w:hint="default"/>
                <w:sz w:val="18"/>
                <w:szCs w:val="18"/>
              </w:rPr>
            </w:pPr>
            <w:r>
              <w:rPr>
                <w:rFonts w:ascii="宋体" w:hAnsi="宋体" w:cs="宋体" w:eastAsia="宋体" w:hint="default"/>
                <w:sz w:val="18"/>
                <w:szCs w:val="18"/>
              </w:rPr>
              <w:t>直接或间接为资产负债率超过</w:t>
            </w:r>
            <w:r>
              <w:rPr>
                <w:rFonts w:ascii="宋体" w:hAnsi="宋体" w:cs="宋体" w:eastAsia="宋体" w:hint="default"/>
                <w:spacing w:val="-15"/>
                <w:sz w:val="18"/>
                <w:szCs w:val="18"/>
              </w:rPr>
              <w:t> </w:t>
            </w:r>
            <w:r>
              <w:rPr>
                <w:rFonts w:ascii="Times New Roman" w:hAnsi="Times New Roman" w:cs="Times New Roman" w:eastAsia="Times New Roman" w:hint="default"/>
                <w:spacing w:val="-3"/>
                <w:sz w:val="18"/>
                <w:szCs w:val="18"/>
              </w:rPr>
              <w:t>70%</w:t>
            </w:r>
            <w:r>
              <w:rPr>
                <w:rFonts w:ascii="宋体" w:hAnsi="宋体" w:cs="宋体" w:eastAsia="宋体" w:hint="default"/>
                <w:spacing w:val="-3"/>
                <w:sz w:val="18"/>
                <w:szCs w:val="18"/>
              </w:rPr>
              <w:t>的被担保对象提供的债务</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担保余额（</w:t>
            </w:r>
            <w:r>
              <w:rPr>
                <w:rFonts w:ascii="Times New Roman" w:hAnsi="Times New Roman" w:cs="Times New Roman" w:eastAsia="Times New Roman" w:hint="default"/>
                <w:sz w:val="18"/>
                <w:szCs w:val="18"/>
              </w:rPr>
              <w:t>E</w:t>
            </w:r>
            <w:r>
              <w:rPr>
                <w:rFonts w:ascii="宋体" w:hAnsi="宋体" w:cs="宋体" w:eastAsia="宋体" w:hint="default"/>
                <w:sz w:val="18"/>
                <w:szCs w:val="18"/>
              </w:rPr>
              <w:t>）</w:t>
            </w:r>
          </w:p>
        </w:tc>
        <w:tc>
          <w:tcPr>
            <w:tcW w:w="4713" w:type="dxa"/>
            <w:gridSpan w:val="5"/>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1,400</w:t>
            </w:r>
          </w:p>
        </w:tc>
      </w:tr>
      <w:tr>
        <w:trPr>
          <w:trHeight w:val="401" w:hRule="exact"/>
        </w:trPr>
        <w:tc>
          <w:tcPr>
            <w:tcW w:w="486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担保总额超过净资产</w:t>
            </w:r>
            <w:r>
              <w:rPr>
                <w:rFonts w:ascii="宋体" w:hAnsi="宋体" w:cs="宋体" w:eastAsia="宋体" w:hint="default"/>
                <w:spacing w:val="-9"/>
                <w:sz w:val="18"/>
                <w:szCs w:val="18"/>
              </w:rPr>
              <w:t> </w:t>
            </w:r>
            <w:r>
              <w:rPr>
                <w:rFonts w:ascii="Times New Roman" w:hAnsi="Times New Roman" w:cs="Times New Roman" w:eastAsia="Times New Roman" w:hint="default"/>
                <w:spacing w:val="-3"/>
                <w:sz w:val="18"/>
                <w:szCs w:val="18"/>
              </w:rPr>
              <w:t>50%</w:t>
            </w:r>
            <w:r>
              <w:rPr>
                <w:rFonts w:ascii="宋体" w:hAnsi="宋体" w:cs="宋体" w:eastAsia="宋体" w:hint="default"/>
                <w:spacing w:val="-3"/>
                <w:sz w:val="18"/>
                <w:szCs w:val="18"/>
              </w:rPr>
              <w:t>部分的金额（</w:t>
            </w:r>
            <w:r>
              <w:rPr>
                <w:rFonts w:ascii="Times New Roman" w:hAnsi="Times New Roman" w:cs="Times New Roman" w:eastAsia="Times New Roman" w:hint="default"/>
                <w:spacing w:val="-3"/>
                <w:sz w:val="18"/>
                <w:szCs w:val="18"/>
              </w:rPr>
              <w:t>F</w:t>
            </w:r>
            <w:r>
              <w:rPr>
                <w:rFonts w:ascii="宋体" w:hAnsi="宋体" w:cs="宋体" w:eastAsia="宋体" w:hint="default"/>
                <w:spacing w:val="-3"/>
                <w:sz w:val="18"/>
                <w:szCs w:val="18"/>
              </w:rPr>
              <w:t>）</w:t>
            </w:r>
          </w:p>
        </w:tc>
        <w:tc>
          <w:tcPr>
            <w:tcW w:w="4713" w:type="dxa"/>
            <w:gridSpan w:val="5"/>
            <w:tcBorders>
              <w:top w:val="single" w:sz="4" w:space="0" w:color="000000"/>
              <w:left w:val="single" w:sz="10" w:space="0" w:color="D2D2D2"/>
              <w:bottom w:val="single" w:sz="4" w:space="0" w:color="000000"/>
              <w:right w:val="single" w:sz="4" w:space="0" w:color="000000"/>
            </w:tcBorders>
          </w:tcPr>
          <w:p>
            <w:pPr>
              <w:pStyle w:val="TableParagraph"/>
              <w:spacing w:line="240" w:lineRule="auto" w:before="98"/>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403" w:hRule="exact"/>
        </w:trPr>
        <w:tc>
          <w:tcPr>
            <w:tcW w:w="486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上述三项担保金额合计（</w:t>
            </w:r>
            <w:r>
              <w:rPr>
                <w:rFonts w:ascii="Times New Roman" w:hAnsi="Times New Roman" w:cs="Times New Roman" w:eastAsia="Times New Roman" w:hint="default"/>
                <w:sz w:val="18"/>
                <w:szCs w:val="18"/>
              </w:rPr>
              <w:t>D+E+F</w:t>
            </w:r>
            <w:r>
              <w:rPr>
                <w:rFonts w:ascii="宋体" w:hAnsi="宋体" w:cs="宋体" w:eastAsia="宋体" w:hint="default"/>
                <w:sz w:val="18"/>
                <w:szCs w:val="18"/>
              </w:rPr>
              <w:t>）</w:t>
            </w:r>
          </w:p>
        </w:tc>
        <w:tc>
          <w:tcPr>
            <w:tcW w:w="4713" w:type="dxa"/>
            <w:gridSpan w:val="5"/>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1,400</w:t>
            </w:r>
          </w:p>
        </w:tc>
      </w:tr>
      <w:tr>
        <w:trPr>
          <w:trHeight w:val="715" w:hRule="exact"/>
        </w:trPr>
        <w:tc>
          <w:tcPr>
            <w:tcW w:w="486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20"/>
              <w:jc w:val="left"/>
              <w:rPr>
                <w:rFonts w:ascii="宋体" w:hAnsi="宋体" w:cs="宋体" w:eastAsia="宋体" w:hint="default"/>
                <w:sz w:val="18"/>
                <w:szCs w:val="18"/>
              </w:rPr>
            </w:pPr>
            <w:r>
              <w:rPr>
                <w:rFonts w:ascii="宋体" w:hAnsi="宋体" w:cs="宋体" w:eastAsia="宋体" w:hint="default"/>
                <w:spacing w:val="-5"/>
                <w:sz w:val="18"/>
                <w:szCs w:val="18"/>
              </w:rPr>
              <w:t>对未到期担保，报告期内已发生担保责任或可能承担连带清偿</w:t>
            </w:r>
            <w:r>
              <w:rPr>
                <w:rFonts w:ascii="宋体" w:hAnsi="宋体" w:cs="宋体" w:eastAsia="宋体" w:hint="default"/>
                <w:spacing w:val="-14"/>
                <w:sz w:val="18"/>
                <w:szCs w:val="18"/>
              </w:rPr>
              <w:t> </w:t>
            </w:r>
            <w:r>
              <w:rPr>
                <w:rFonts w:ascii="宋体" w:hAnsi="宋体" w:cs="宋体" w:eastAsia="宋体" w:hint="default"/>
                <w:spacing w:val="-14"/>
                <w:sz w:val="18"/>
                <w:szCs w:val="18"/>
              </w:rPr>
            </w:r>
            <w:r>
              <w:rPr>
                <w:rFonts w:ascii="宋体" w:hAnsi="宋体" w:cs="宋体" w:eastAsia="宋体" w:hint="default"/>
                <w:spacing w:val="-3"/>
                <w:sz w:val="18"/>
                <w:szCs w:val="18"/>
              </w:rPr>
              <w:t>责任的情况说明（如有）</w:t>
            </w:r>
          </w:p>
        </w:tc>
        <w:tc>
          <w:tcPr>
            <w:tcW w:w="4713" w:type="dxa"/>
            <w:gridSpan w:val="5"/>
            <w:tcBorders>
              <w:top w:val="single" w:sz="4" w:space="0" w:color="000000"/>
              <w:left w:val="single" w:sz="10" w:space="0" w:color="D2D2D2"/>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4" w:hRule="exact"/>
        </w:trPr>
        <w:tc>
          <w:tcPr>
            <w:tcW w:w="486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pacing w:val="-3"/>
                <w:sz w:val="18"/>
                <w:szCs w:val="18"/>
              </w:rPr>
              <w:t>违反规定程序对外提供担保的说明（如有）</w:t>
            </w:r>
          </w:p>
        </w:tc>
        <w:tc>
          <w:tcPr>
            <w:tcW w:w="4713" w:type="dxa"/>
            <w:gridSpan w:val="5"/>
            <w:tcBorders>
              <w:top w:val="single" w:sz="4" w:space="0" w:color="000000"/>
              <w:left w:val="single" w:sz="10" w:space="0" w:color="D2D2D2"/>
              <w:bottom w:val="single" w:sz="4" w:space="0" w:color="000000"/>
              <w:right w:val="single" w:sz="4" w:space="0" w:color="000000"/>
            </w:tcBorders>
          </w:tcPr>
          <w:p>
            <w:pPr>
              <w:pStyle w:val="TableParagraph"/>
              <w:spacing w:line="240" w:lineRule="auto" w:before="54"/>
              <w:ind w:left="14"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pStyle w:val="BodyText"/>
        <w:spacing w:line="352" w:lineRule="auto" w:before="53"/>
        <w:ind w:left="513" w:right="7565" w:hanging="360"/>
        <w:jc w:val="left"/>
      </w:pPr>
      <w:r>
        <w:rPr>
          <w:spacing w:val="-3"/>
        </w:rPr>
        <w:t>采用复合方式担保的具体情况说明</w:t>
      </w:r>
      <w:r>
        <w:rPr>
          <w:spacing w:val="-44"/>
        </w:rPr>
        <w:t> </w:t>
      </w:r>
      <w:r>
        <w:rPr>
          <w:spacing w:val="-44"/>
        </w:rPr>
      </w:r>
      <w:r>
        <w:rPr/>
        <w:t>不适用。</w:t>
      </w:r>
    </w:p>
    <w:p>
      <w:pPr>
        <w:spacing w:after="0" w:line="352" w:lineRule="auto"/>
        <w:jc w:val="left"/>
        <w:sectPr>
          <w:pgSz w:w="11910" w:h="16840"/>
          <w:pgMar w:header="871" w:footer="1186" w:top="1100" w:bottom="1380" w:left="980" w:right="0"/>
        </w:sectPr>
      </w:pPr>
    </w:p>
    <w:p>
      <w:pPr>
        <w:spacing w:line="240" w:lineRule="auto" w:before="0"/>
        <w:rPr>
          <w:rFonts w:ascii="宋体" w:hAnsi="宋体" w:cs="宋体" w:eastAsia="宋体" w:hint="default"/>
          <w:sz w:val="21"/>
          <w:szCs w:val="21"/>
        </w:rPr>
      </w:pPr>
    </w:p>
    <w:p>
      <w:pPr>
        <w:pStyle w:val="Heading3"/>
        <w:spacing w:line="240" w:lineRule="auto" w:before="36"/>
        <w:ind w:right="0"/>
        <w:jc w:val="left"/>
        <w:rPr>
          <w:b w:val="0"/>
          <w:bCs w:val="0"/>
        </w:rPr>
      </w:pPr>
      <w:bookmarkStart w:name="（2）违规对外担保情况" w:id="92"/>
      <w:bookmarkEnd w:id="92"/>
      <w:r>
        <w:rPr>
          <w:b w:val="0"/>
          <w:bCs w:val="0"/>
        </w:rPr>
      </w:r>
      <w:r>
        <w:rPr/>
        <w:t>（</w:t>
      </w:r>
      <w:r>
        <w:rPr>
          <w:rFonts w:ascii="Times New Roman" w:hAnsi="Times New Roman" w:cs="Times New Roman" w:eastAsia="Times New Roman" w:hint="default"/>
        </w:rPr>
        <w:t>2</w:t>
      </w:r>
      <w:r>
        <w:rPr/>
        <w:t>）违规对外担保情况</w:t>
      </w:r>
      <w:r>
        <w:rPr>
          <w:b w:val="0"/>
          <w:bCs w:val="0"/>
        </w:rPr>
      </w:r>
    </w:p>
    <w:p>
      <w:pPr>
        <w:spacing w:line="240" w:lineRule="auto" w:before="9"/>
        <w:rPr>
          <w:rFonts w:ascii="宋体" w:hAnsi="宋体" w:cs="宋体" w:eastAsia="宋体" w:hint="default"/>
          <w:b/>
          <w:bCs/>
          <w:sz w:val="26"/>
          <w:szCs w:val="26"/>
        </w:rPr>
      </w:pPr>
    </w:p>
    <w:p>
      <w:pPr>
        <w:pStyle w:val="BodyText"/>
        <w:spacing w:line="412" w:lineRule="auto"/>
        <w:ind w:left="513" w:right="7565" w:hanging="36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3"/>
        </w:rPr>
        <w:t>公司报告期无违规对外担保情况。</w:t>
      </w:r>
    </w:p>
    <w:p>
      <w:pPr>
        <w:spacing w:line="240" w:lineRule="auto" w:before="13"/>
        <w:rPr>
          <w:rFonts w:ascii="宋体" w:hAnsi="宋体" w:cs="宋体" w:eastAsia="宋体" w:hint="default"/>
          <w:sz w:val="22"/>
          <w:szCs w:val="22"/>
        </w:rPr>
      </w:pPr>
    </w:p>
    <w:p>
      <w:pPr>
        <w:pStyle w:val="Heading3"/>
        <w:spacing w:line="240" w:lineRule="auto"/>
        <w:ind w:right="0"/>
        <w:jc w:val="left"/>
        <w:rPr>
          <w:b w:val="0"/>
          <w:bCs w:val="0"/>
        </w:rPr>
      </w:pPr>
      <w:bookmarkStart w:name="3、委托他人进行现金资产管理情况" w:id="93"/>
      <w:bookmarkEnd w:id="93"/>
      <w:r>
        <w:rPr>
          <w:b w:val="0"/>
          <w:bCs w:val="0"/>
        </w:rPr>
      </w:r>
      <w:r>
        <w:rPr>
          <w:rFonts w:ascii="Times New Roman" w:hAnsi="Times New Roman" w:cs="Times New Roman" w:eastAsia="Times New Roman" w:hint="default"/>
        </w:rPr>
        <w:t>3</w:t>
      </w:r>
      <w:r>
        <w:rPr/>
        <w:t>、委托他人进行现金资产管理情况</w:t>
      </w:r>
      <w:r>
        <w:rPr>
          <w:b w:val="0"/>
          <w:bCs w:val="0"/>
        </w:rPr>
      </w:r>
    </w:p>
    <w:p>
      <w:pPr>
        <w:spacing w:line="240" w:lineRule="auto" w:before="5"/>
        <w:rPr>
          <w:rFonts w:ascii="宋体" w:hAnsi="宋体" w:cs="宋体" w:eastAsia="宋体" w:hint="default"/>
          <w:b/>
          <w:bCs/>
          <w:sz w:val="24"/>
          <w:szCs w:val="24"/>
        </w:rPr>
      </w:pPr>
    </w:p>
    <w:p>
      <w:pPr>
        <w:pStyle w:val="Heading3"/>
        <w:spacing w:line="240" w:lineRule="auto"/>
        <w:ind w:right="0"/>
        <w:jc w:val="left"/>
        <w:rPr>
          <w:b w:val="0"/>
          <w:bCs w:val="0"/>
        </w:rPr>
      </w:pPr>
      <w:bookmarkStart w:name="（1）委托理财情况" w:id="94"/>
      <w:bookmarkEnd w:id="94"/>
      <w:r>
        <w:rPr>
          <w:b w:val="0"/>
          <w:bCs w:val="0"/>
        </w:rPr>
      </w:r>
      <w:r>
        <w:rPr/>
        <w:t>（</w:t>
      </w:r>
      <w:r>
        <w:rPr>
          <w:rFonts w:ascii="Times New Roman" w:hAnsi="Times New Roman" w:cs="Times New Roman" w:eastAsia="Times New Roman" w:hint="default"/>
        </w:rPr>
        <w:t>1</w:t>
      </w:r>
      <w:r>
        <w:rPr/>
        <w:t>）委托理财情况</w:t>
      </w:r>
      <w:r>
        <w:rPr>
          <w:b w:val="0"/>
          <w:bCs w:val="0"/>
        </w:rPr>
      </w:r>
    </w:p>
    <w:p>
      <w:pPr>
        <w:spacing w:line="240" w:lineRule="auto" w:before="7"/>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871" w:footer="1186" w:top="1100" w:bottom="1380" w:left="980" w:right="0"/>
        </w:sectPr>
      </w:pPr>
    </w:p>
    <w:p>
      <w:pPr>
        <w:pStyle w:val="BodyText"/>
        <w:spacing w:line="338" w:lineRule="auto" w:before="46"/>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2"/>
        </w:rPr>
        <w:t>报告期内委托理财概况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21"/>
          <w:szCs w:val="21"/>
        </w:rPr>
      </w:pPr>
    </w:p>
    <w:p>
      <w:pPr>
        <w:pStyle w:val="BodyText"/>
        <w:spacing w:line="240" w:lineRule="auto"/>
        <w:ind w:right="0"/>
        <w:jc w:val="left"/>
      </w:pPr>
      <w:r>
        <w:rPr/>
        <w:t>单位：万元</w:t>
      </w:r>
    </w:p>
    <w:p>
      <w:pPr>
        <w:spacing w:after="0" w:line="240" w:lineRule="auto"/>
        <w:jc w:val="left"/>
        <w:sectPr>
          <w:type w:val="continuous"/>
          <w:pgSz w:w="11910" w:h="16840"/>
          <w:pgMar w:top="1580" w:bottom="700" w:left="980" w:right="0"/>
          <w:cols w:num="2" w:equalWidth="0">
            <w:col w:w="1959" w:space="6785"/>
            <w:col w:w="2186"/>
          </w:cols>
        </w:sectPr>
      </w:pP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868"/>
        <w:gridCol w:w="1964"/>
        <w:gridCol w:w="1983"/>
        <w:gridCol w:w="1906"/>
        <w:gridCol w:w="1848"/>
      </w:tblGrid>
      <w:tr>
        <w:trPr>
          <w:trHeight w:val="398" w:hRule="exact"/>
        </w:trPr>
        <w:tc>
          <w:tcPr>
            <w:tcW w:w="18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71" w:right="0"/>
              <w:jc w:val="left"/>
              <w:rPr>
                <w:rFonts w:ascii="宋体" w:hAnsi="宋体" w:cs="宋体" w:eastAsia="宋体" w:hint="default"/>
                <w:sz w:val="18"/>
                <w:szCs w:val="18"/>
              </w:rPr>
            </w:pPr>
            <w:r>
              <w:rPr>
                <w:rFonts w:ascii="宋体" w:hAnsi="宋体" w:cs="宋体" w:eastAsia="宋体" w:hint="default"/>
                <w:sz w:val="18"/>
                <w:szCs w:val="18"/>
              </w:rPr>
              <w:t>具体类型</w:t>
            </w:r>
          </w:p>
        </w:tc>
        <w:tc>
          <w:tcPr>
            <w:tcW w:w="1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68" w:right="0"/>
              <w:jc w:val="left"/>
              <w:rPr>
                <w:rFonts w:ascii="宋体" w:hAnsi="宋体" w:cs="宋体" w:eastAsia="宋体" w:hint="default"/>
                <w:sz w:val="18"/>
                <w:szCs w:val="18"/>
              </w:rPr>
            </w:pPr>
            <w:r>
              <w:rPr>
                <w:rFonts w:ascii="宋体" w:hAnsi="宋体" w:cs="宋体" w:eastAsia="宋体" w:hint="default"/>
                <w:spacing w:val="-3"/>
                <w:sz w:val="18"/>
                <w:szCs w:val="18"/>
              </w:rPr>
              <w:t>委托理财的资金来源</w:t>
            </w:r>
          </w:p>
        </w:tc>
        <w:tc>
          <w:tcPr>
            <w:tcW w:w="1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55" w:right="0"/>
              <w:jc w:val="left"/>
              <w:rPr>
                <w:rFonts w:ascii="宋体" w:hAnsi="宋体" w:cs="宋体" w:eastAsia="宋体" w:hint="default"/>
                <w:sz w:val="18"/>
                <w:szCs w:val="18"/>
              </w:rPr>
            </w:pPr>
            <w:r>
              <w:rPr>
                <w:rFonts w:ascii="宋体" w:hAnsi="宋体" w:cs="宋体" w:eastAsia="宋体" w:hint="default"/>
                <w:spacing w:val="-3"/>
                <w:sz w:val="18"/>
                <w:szCs w:val="18"/>
              </w:rPr>
              <w:t>委托理财发生额</w:t>
            </w:r>
          </w:p>
        </w:tc>
        <w:tc>
          <w:tcPr>
            <w:tcW w:w="19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99" w:right="0"/>
              <w:jc w:val="left"/>
              <w:rPr>
                <w:rFonts w:ascii="宋体" w:hAnsi="宋体" w:cs="宋体" w:eastAsia="宋体" w:hint="default"/>
                <w:sz w:val="18"/>
                <w:szCs w:val="18"/>
              </w:rPr>
            </w:pPr>
            <w:r>
              <w:rPr>
                <w:rFonts w:ascii="宋体" w:hAnsi="宋体" w:cs="宋体" w:eastAsia="宋体" w:hint="default"/>
                <w:sz w:val="18"/>
                <w:szCs w:val="18"/>
              </w:rPr>
              <w:t>未到期余额</w:t>
            </w:r>
          </w:p>
        </w:tc>
        <w:tc>
          <w:tcPr>
            <w:tcW w:w="18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96" w:right="0"/>
              <w:jc w:val="left"/>
              <w:rPr>
                <w:rFonts w:ascii="宋体" w:hAnsi="宋体" w:cs="宋体" w:eastAsia="宋体" w:hint="default"/>
                <w:sz w:val="18"/>
                <w:szCs w:val="18"/>
              </w:rPr>
            </w:pPr>
            <w:r>
              <w:rPr>
                <w:rFonts w:ascii="宋体" w:hAnsi="宋体" w:cs="宋体" w:eastAsia="宋体" w:hint="default"/>
                <w:sz w:val="18"/>
                <w:szCs w:val="18"/>
              </w:rPr>
              <w:t>逾期未收回的金额</w:t>
            </w:r>
          </w:p>
        </w:tc>
      </w:tr>
      <w:tr>
        <w:trPr>
          <w:trHeight w:val="404" w:hRule="exact"/>
        </w:trPr>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银行理财产品</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闲置募集资金</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16,200</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16,200</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403" w:hRule="exact"/>
        </w:trPr>
        <w:tc>
          <w:tcPr>
            <w:tcW w:w="383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8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16,200</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16,200</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bl>
    <w:p>
      <w:pPr>
        <w:pStyle w:val="BodyText"/>
        <w:spacing w:line="240" w:lineRule="auto" w:before="53"/>
        <w:ind w:right="0"/>
        <w:jc w:val="left"/>
      </w:pPr>
      <w:r>
        <w:rPr>
          <w:spacing w:val="-3"/>
        </w:rPr>
        <w:t>单项金额重大或安全性较低、流动性较差、不保本的高风险委托理财具体情况</w:t>
      </w:r>
    </w:p>
    <w:p>
      <w:pPr>
        <w:pStyle w:val="BodyText"/>
        <w:spacing w:line="338" w:lineRule="auto" w:before="119"/>
        <w:ind w:right="5655"/>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3"/>
        </w:rPr>
        <w:t>委托理财出现预期无法收回本金或存在其他可能导致减值的情形</w:t>
      </w:r>
    </w:p>
    <w:p>
      <w:pPr>
        <w:pStyle w:val="BodyText"/>
        <w:spacing w:line="240" w:lineRule="auto" w:before="41"/>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8"/>
        <w:rPr>
          <w:rFonts w:ascii="宋体" w:hAnsi="宋体" w:cs="宋体" w:eastAsia="宋体" w:hint="default"/>
          <w:sz w:val="25"/>
          <w:szCs w:val="25"/>
        </w:rPr>
      </w:pPr>
    </w:p>
    <w:p>
      <w:pPr>
        <w:pStyle w:val="Heading3"/>
        <w:spacing w:line="240" w:lineRule="auto"/>
        <w:ind w:right="0"/>
        <w:jc w:val="left"/>
        <w:rPr>
          <w:b w:val="0"/>
          <w:bCs w:val="0"/>
        </w:rPr>
      </w:pPr>
      <w:bookmarkStart w:name="（2）委托贷款情况" w:id="95"/>
      <w:bookmarkEnd w:id="95"/>
      <w:r>
        <w:rPr>
          <w:b w:val="0"/>
          <w:bCs w:val="0"/>
        </w:rPr>
      </w:r>
      <w:r>
        <w:rPr/>
        <w:t>（</w:t>
      </w:r>
      <w:r>
        <w:rPr>
          <w:rFonts w:ascii="Times New Roman" w:hAnsi="Times New Roman" w:cs="Times New Roman" w:eastAsia="Times New Roman" w:hint="default"/>
        </w:rPr>
        <w:t>2</w:t>
      </w:r>
      <w:r>
        <w:rPr/>
        <w:t>）委托贷款情况</w:t>
      </w:r>
      <w:r>
        <w:rPr>
          <w:b w:val="0"/>
          <w:bCs w:val="0"/>
        </w:rPr>
      </w:r>
    </w:p>
    <w:p>
      <w:pPr>
        <w:spacing w:line="240" w:lineRule="auto" w:before="1"/>
        <w:rPr>
          <w:rFonts w:ascii="宋体" w:hAnsi="宋体" w:cs="宋体" w:eastAsia="宋体" w:hint="default"/>
          <w:b/>
          <w:bCs/>
          <w:sz w:val="27"/>
          <w:szCs w:val="27"/>
        </w:rPr>
      </w:pPr>
    </w:p>
    <w:p>
      <w:pPr>
        <w:pStyle w:val="BodyText"/>
        <w:spacing w:line="412" w:lineRule="auto"/>
        <w:ind w:left="513" w:right="7565" w:hanging="36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3"/>
        </w:rPr>
        <w:t>公司报告期不存在委托贷款。</w:t>
      </w:r>
    </w:p>
    <w:p>
      <w:pPr>
        <w:spacing w:line="240" w:lineRule="auto" w:before="8"/>
        <w:rPr>
          <w:rFonts w:ascii="宋体" w:hAnsi="宋体" w:cs="宋体" w:eastAsia="宋体" w:hint="default"/>
          <w:sz w:val="22"/>
          <w:szCs w:val="22"/>
        </w:rPr>
      </w:pPr>
    </w:p>
    <w:p>
      <w:pPr>
        <w:pStyle w:val="Heading3"/>
        <w:spacing w:line="240" w:lineRule="auto"/>
        <w:ind w:right="0"/>
        <w:jc w:val="left"/>
        <w:rPr>
          <w:b w:val="0"/>
          <w:bCs w:val="0"/>
        </w:rPr>
      </w:pPr>
      <w:bookmarkStart w:name="4、其他重大合同" w:id="96"/>
      <w:bookmarkEnd w:id="96"/>
      <w:r>
        <w:rPr>
          <w:b w:val="0"/>
          <w:bCs w:val="0"/>
        </w:rPr>
      </w:r>
      <w:r>
        <w:rPr>
          <w:rFonts w:ascii="Times New Roman" w:hAnsi="Times New Roman" w:cs="Times New Roman" w:eastAsia="Times New Roman" w:hint="default"/>
        </w:rPr>
        <w:t>4</w:t>
      </w:r>
      <w:r>
        <w:rPr/>
        <w:t>、其他重大合同</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7"/>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638"/>
        <w:gridCol w:w="639"/>
        <w:gridCol w:w="638"/>
        <w:gridCol w:w="639"/>
        <w:gridCol w:w="638"/>
        <w:gridCol w:w="639"/>
        <w:gridCol w:w="638"/>
        <w:gridCol w:w="639"/>
        <w:gridCol w:w="638"/>
        <w:gridCol w:w="639"/>
        <w:gridCol w:w="638"/>
        <w:gridCol w:w="639"/>
        <w:gridCol w:w="638"/>
        <w:gridCol w:w="639"/>
        <w:gridCol w:w="634"/>
      </w:tblGrid>
      <w:tr>
        <w:trPr>
          <w:trHeight w:val="2276" w:hRule="exact"/>
        </w:trPr>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43" w:right="41"/>
              <w:jc w:val="both"/>
              <w:rPr>
                <w:rFonts w:ascii="宋体" w:hAnsi="宋体" w:cs="宋体" w:eastAsia="宋体" w:hint="default"/>
                <w:sz w:val="18"/>
                <w:szCs w:val="18"/>
              </w:rPr>
            </w:pPr>
            <w:r>
              <w:rPr>
                <w:rFonts w:ascii="宋体" w:hAnsi="宋体" w:cs="宋体" w:eastAsia="宋体" w:hint="default"/>
                <w:sz w:val="18"/>
                <w:szCs w:val="18"/>
              </w:rPr>
              <w:t>合同订</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立公司</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方名称</w:t>
            </w:r>
          </w:p>
        </w:tc>
        <w:tc>
          <w:tcPr>
            <w:tcW w:w="6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43" w:right="41"/>
              <w:jc w:val="both"/>
              <w:rPr>
                <w:rFonts w:ascii="宋体" w:hAnsi="宋体" w:cs="宋体" w:eastAsia="宋体" w:hint="default"/>
                <w:sz w:val="18"/>
                <w:szCs w:val="18"/>
              </w:rPr>
            </w:pPr>
            <w:r>
              <w:rPr>
                <w:rFonts w:ascii="宋体" w:hAnsi="宋体" w:cs="宋体" w:eastAsia="宋体" w:hint="default"/>
                <w:sz w:val="18"/>
                <w:szCs w:val="18"/>
              </w:rPr>
              <w:t>合同订</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立对方</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名称</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225" w:right="41" w:hanging="183"/>
              <w:jc w:val="left"/>
              <w:rPr>
                <w:rFonts w:ascii="宋体" w:hAnsi="宋体" w:cs="宋体" w:eastAsia="宋体" w:hint="default"/>
                <w:sz w:val="18"/>
                <w:szCs w:val="18"/>
              </w:rPr>
            </w:pPr>
            <w:r>
              <w:rPr>
                <w:rFonts w:ascii="宋体" w:hAnsi="宋体" w:cs="宋体" w:eastAsia="宋体" w:hint="default"/>
                <w:sz w:val="18"/>
                <w:szCs w:val="18"/>
              </w:rPr>
              <w:t>合同标</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的</w:t>
            </w:r>
          </w:p>
        </w:tc>
        <w:tc>
          <w:tcPr>
            <w:tcW w:w="6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48" w:right="36"/>
              <w:jc w:val="left"/>
              <w:rPr>
                <w:rFonts w:ascii="宋体" w:hAnsi="宋体" w:cs="宋体" w:eastAsia="宋体" w:hint="default"/>
                <w:sz w:val="18"/>
                <w:szCs w:val="18"/>
              </w:rPr>
            </w:pPr>
            <w:r>
              <w:rPr>
                <w:rFonts w:ascii="宋体" w:hAnsi="宋体" w:cs="宋体" w:eastAsia="宋体" w:hint="default"/>
                <w:sz w:val="18"/>
                <w:szCs w:val="18"/>
              </w:rPr>
              <w:t>合同签</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订日期</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43" w:right="41"/>
              <w:jc w:val="both"/>
              <w:rPr>
                <w:rFonts w:ascii="宋体" w:hAnsi="宋体" w:cs="宋体" w:eastAsia="宋体" w:hint="default"/>
                <w:sz w:val="18"/>
                <w:szCs w:val="18"/>
              </w:rPr>
            </w:pPr>
            <w:r>
              <w:rPr>
                <w:rFonts w:ascii="宋体" w:hAnsi="宋体" w:cs="宋体" w:eastAsia="宋体" w:hint="default"/>
                <w:sz w:val="18"/>
                <w:szCs w:val="18"/>
              </w:rPr>
              <w:t>合同涉</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及资产</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的账面</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价值</w:t>
            </w:r>
          </w:p>
          <w:p>
            <w:pPr>
              <w:pStyle w:val="TableParagraph"/>
              <w:spacing w:line="321" w:lineRule="auto" w:before="19"/>
              <w:ind w:left="24" w:right="17" w:hanging="1"/>
              <w:jc w:val="center"/>
              <w:rPr>
                <w:rFonts w:ascii="宋体" w:hAnsi="宋体" w:cs="宋体" w:eastAsia="宋体" w:hint="default"/>
                <w:sz w:val="18"/>
                <w:szCs w:val="18"/>
              </w:rPr>
            </w:pPr>
            <w:r>
              <w:rPr>
                <w:rFonts w:ascii="宋体" w:hAnsi="宋体" w:cs="宋体" w:eastAsia="宋体" w:hint="default"/>
                <w:sz w:val="18"/>
                <w:szCs w:val="18"/>
              </w:rPr>
              <w:t>（万</w:t>
            </w:r>
            <w:r>
              <w:rPr>
                <w:rFonts w:ascii="宋体" w:hAnsi="宋体" w:cs="宋体" w:eastAsia="宋体" w:hint="default"/>
                <w:w w:val="101"/>
                <w:sz w:val="18"/>
                <w:szCs w:val="18"/>
              </w:rPr>
              <w:t> </w:t>
            </w:r>
            <w:r>
              <w:rPr>
                <w:rFonts w:ascii="宋体" w:hAnsi="宋体" w:cs="宋体" w:eastAsia="宋体" w:hint="default"/>
                <w:spacing w:val="-36"/>
                <w:w w:val="101"/>
                <w:sz w:val="18"/>
                <w:szCs w:val="18"/>
              </w:rPr>
              <w:t>元）（如</w:t>
            </w:r>
            <w:r>
              <w:rPr>
                <w:rFonts w:ascii="宋体" w:hAnsi="宋体" w:cs="宋体" w:eastAsia="宋体" w:hint="default"/>
                <w:w w:val="101"/>
                <w:sz w:val="18"/>
                <w:szCs w:val="18"/>
              </w:rPr>
              <w:t> </w:t>
            </w:r>
            <w:r>
              <w:rPr>
                <w:rFonts w:ascii="宋体" w:hAnsi="宋体" w:cs="宋体" w:eastAsia="宋体" w:hint="default"/>
                <w:sz w:val="18"/>
                <w:szCs w:val="18"/>
              </w:rPr>
              <w:t>有）</w:t>
            </w:r>
          </w:p>
        </w:tc>
        <w:tc>
          <w:tcPr>
            <w:tcW w:w="6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43" w:right="41"/>
              <w:jc w:val="both"/>
              <w:rPr>
                <w:rFonts w:ascii="宋体" w:hAnsi="宋体" w:cs="宋体" w:eastAsia="宋体" w:hint="default"/>
                <w:sz w:val="18"/>
                <w:szCs w:val="18"/>
              </w:rPr>
            </w:pPr>
            <w:r>
              <w:rPr>
                <w:rFonts w:ascii="宋体" w:hAnsi="宋体" w:cs="宋体" w:eastAsia="宋体" w:hint="default"/>
                <w:sz w:val="18"/>
                <w:szCs w:val="18"/>
              </w:rPr>
              <w:t>合同涉</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及资产</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的评估</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价值</w:t>
            </w:r>
          </w:p>
          <w:p>
            <w:pPr>
              <w:pStyle w:val="TableParagraph"/>
              <w:spacing w:line="321" w:lineRule="auto" w:before="19"/>
              <w:ind w:left="23" w:right="17" w:firstLine="1"/>
              <w:jc w:val="center"/>
              <w:rPr>
                <w:rFonts w:ascii="宋体" w:hAnsi="宋体" w:cs="宋体" w:eastAsia="宋体" w:hint="default"/>
                <w:sz w:val="18"/>
                <w:szCs w:val="18"/>
              </w:rPr>
            </w:pPr>
            <w:r>
              <w:rPr>
                <w:rFonts w:ascii="宋体" w:hAnsi="宋体" w:cs="宋体" w:eastAsia="宋体" w:hint="default"/>
                <w:sz w:val="18"/>
                <w:szCs w:val="18"/>
              </w:rPr>
              <w:t>（万</w:t>
            </w:r>
            <w:r>
              <w:rPr>
                <w:rFonts w:ascii="宋体" w:hAnsi="宋体" w:cs="宋体" w:eastAsia="宋体" w:hint="default"/>
                <w:w w:val="101"/>
                <w:sz w:val="18"/>
                <w:szCs w:val="18"/>
              </w:rPr>
              <w:t> </w:t>
            </w:r>
            <w:r>
              <w:rPr>
                <w:rFonts w:ascii="宋体" w:hAnsi="宋体" w:cs="宋体" w:eastAsia="宋体" w:hint="default"/>
                <w:spacing w:val="-36"/>
                <w:w w:val="101"/>
                <w:sz w:val="18"/>
                <w:szCs w:val="18"/>
              </w:rPr>
              <w:t>元）（如</w:t>
            </w:r>
            <w:r>
              <w:rPr>
                <w:rFonts w:ascii="宋体" w:hAnsi="宋体" w:cs="宋体" w:eastAsia="宋体" w:hint="default"/>
                <w:w w:val="101"/>
                <w:sz w:val="18"/>
                <w:szCs w:val="18"/>
              </w:rPr>
              <w:t> </w:t>
            </w:r>
            <w:r>
              <w:rPr>
                <w:rFonts w:ascii="宋体" w:hAnsi="宋体" w:cs="宋体" w:eastAsia="宋体" w:hint="default"/>
                <w:sz w:val="18"/>
                <w:szCs w:val="18"/>
              </w:rPr>
              <w:t>有）</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312" w:lineRule="auto"/>
              <w:ind w:left="43" w:right="41"/>
              <w:jc w:val="left"/>
              <w:rPr>
                <w:rFonts w:ascii="宋体" w:hAnsi="宋体" w:cs="宋体" w:eastAsia="宋体" w:hint="default"/>
                <w:sz w:val="18"/>
                <w:szCs w:val="18"/>
              </w:rPr>
            </w:pPr>
            <w:r>
              <w:rPr>
                <w:rFonts w:ascii="宋体" w:hAnsi="宋体" w:cs="宋体" w:eastAsia="宋体" w:hint="default"/>
                <w:sz w:val="18"/>
                <w:szCs w:val="18"/>
              </w:rPr>
              <w:t>评估机</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构名称</w:t>
            </w:r>
          </w:p>
          <w:p>
            <w:pPr>
              <w:pStyle w:val="TableParagraph"/>
              <w:spacing w:line="324" w:lineRule="auto" w:before="22"/>
              <w:ind w:left="134" w:right="127"/>
              <w:jc w:val="left"/>
              <w:rPr>
                <w:rFonts w:ascii="宋体" w:hAnsi="宋体" w:cs="宋体" w:eastAsia="宋体" w:hint="default"/>
                <w:sz w:val="18"/>
                <w:szCs w:val="18"/>
              </w:rPr>
            </w:pPr>
            <w:r>
              <w:rPr>
                <w:rFonts w:ascii="宋体" w:hAnsi="宋体" w:cs="宋体" w:eastAsia="宋体" w:hint="default"/>
                <w:sz w:val="18"/>
                <w:szCs w:val="18"/>
              </w:rPr>
              <w:t>（如</w:t>
            </w:r>
            <w:r>
              <w:rPr>
                <w:rFonts w:ascii="宋体" w:hAnsi="宋体" w:cs="宋体" w:eastAsia="宋体" w:hint="default"/>
                <w:spacing w:val="-86"/>
                <w:sz w:val="18"/>
                <w:szCs w:val="18"/>
              </w:rPr>
              <w:t> </w:t>
            </w:r>
            <w:r>
              <w:rPr>
                <w:rFonts w:ascii="宋体" w:hAnsi="宋体" w:cs="宋体" w:eastAsia="宋体" w:hint="default"/>
                <w:sz w:val="18"/>
                <w:szCs w:val="18"/>
              </w:rPr>
              <w:t>有）</w:t>
            </w:r>
          </w:p>
        </w:tc>
        <w:tc>
          <w:tcPr>
            <w:tcW w:w="6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312" w:lineRule="auto"/>
              <w:ind w:left="139" w:right="36" w:hanging="92"/>
              <w:jc w:val="left"/>
              <w:rPr>
                <w:rFonts w:ascii="宋体" w:hAnsi="宋体" w:cs="宋体" w:eastAsia="宋体" w:hint="default"/>
                <w:sz w:val="18"/>
                <w:szCs w:val="18"/>
              </w:rPr>
            </w:pPr>
            <w:r>
              <w:rPr>
                <w:rFonts w:ascii="宋体" w:hAnsi="宋体" w:cs="宋体" w:eastAsia="宋体" w:hint="default"/>
                <w:sz w:val="18"/>
                <w:szCs w:val="18"/>
              </w:rPr>
              <w:t>评估基</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准日</w:t>
            </w:r>
          </w:p>
          <w:p>
            <w:pPr>
              <w:pStyle w:val="TableParagraph"/>
              <w:spacing w:line="324" w:lineRule="auto" w:before="22"/>
              <w:ind w:left="139" w:right="122"/>
              <w:jc w:val="left"/>
              <w:rPr>
                <w:rFonts w:ascii="宋体" w:hAnsi="宋体" w:cs="宋体" w:eastAsia="宋体" w:hint="default"/>
                <w:sz w:val="18"/>
                <w:szCs w:val="18"/>
              </w:rPr>
            </w:pPr>
            <w:r>
              <w:rPr>
                <w:rFonts w:ascii="宋体" w:hAnsi="宋体" w:cs="宋体" w:eastAsia="宋体" w:hint="default"/>
                <w:sz w:val="18"/>
                <w:szCs w:val="18"/>
              </w:rPr>
              <w:t>（如</w:t>
            </w:r>
            <w:r>
              <w:rPr>
                <w:rFonts w:ascii="宋体" w:hAnsi="宋体" w:cs="宋体" w:eastAsia="宋体" w:hint="default"/>
                <w:spacing w:val="-86"/>
                <w:sz w:val="18"/>
                <w:szCs w:val="18"/>
              </w:rPr>
              <w:t> </w:t>
            </w:r>
            <w:r>
              <w:rPr>
                <w:rFonts w:ascii="宋体" w:hAnsi="宋体" w:cs="宋体" w:eastAsia="宋体" w:hint="default"/>
                <w:sz w:val="18"/>
                <w:szCs w:val="18"/>
              </w:rPr>
              <w:t>有）</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225" w:right="41" w:hanging="183"/>
              <w:jc w:val="left"/>
              <w:rPr>
                <w:rFonts w:ascii="宋体" w:hAnsi="宋体" w:cs="宋体" w:eastAsia="宋体" w:hint="default"/>
                <w:sz w:val="18"/>
                <w:szCs w:val="18"/>
              </w:rPr>
            </w:pPr>
            <w:r>
              <w:rPr>
                <w:rFonts w:ascii="宋体" w:hAnsi="宋体" w:cs="宋体" w:eastAsia="宋体" w:hint="default"/>
                <w:sz w:val="18"/>
                <w:szCs w:val="18"/>
              </w:rPr>
              <w:t>定价原</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则</w:t>
            </w:r>
          </w:p>
        </w:tc>
        <w:tc>
          <w:tcPr>
            <w:tcW w:w="6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43" w:right="41"/>
              <w:jc w:val="both"/>
              <w:rPr>
                <w:rFonts w:ascii="宋体" w:hAnsi="宋体" w:cs="宋体" w:eastAsia="宋体" w:hint="default"/>
                <w:sz w:val="18"/>
                <w:szCs w:val="18"/>
              </w:rPr>
            </w:pPr>
            <w:r>
              <w:rPr>
                <w:rFonts w:ascii="宋体" w:hAnsi="宋体" w:cs="宋体" w:eastAsia="宋体" w:hint="default"/>
                <w:sz w:val="18"/>
                <w:szCs w:val="18"/>
              </w:rPr>
              <w:t>交易价</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格（万</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元）</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43" w:right="41"/>
              <w:jc w:val="left"/>
              <w:rPr>
                <w:rFonts w:ascii="宋体" w:hAnsi="宋体" w:cs="宋体" w:eastAsia="宋体" w:hint="default"/>
                <w:sz w:val="18"/>
                <w:szCs w:val="18"/>
              </w:rPr>
            </w:pPr>
            <w:r>
              <w:rPr>
                <w:rFonts w:ascii="宋体" w:hAnsi="宋体" w:cs="宋体" w:eastAsia="宋体" w:hint="default"/>
                <w:sz w:val="18"/>
                <w:szCs w:val="18"/>
              </w:rPr>
              <w:t>是否关</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联交易</w:t>
            </w:r>
          </w:p>
        </w:tc>
        <w:tc>
          <w:tcPr>
            <w:tcW w:w="6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226" w:right="41" w:hanging="183"/>
              <w:jc w:val="left"/>
              <w:rPr>
                <w:rFonts w:ascii="宋体" w:hAnsi="宋体" w:cs="宋体" w:eastAsia="宋体" w:hint="default"/>
                <w:sz w:val="18"/>
                <w:szCs w:val="18"/>
              </w:rPr>
            </w:pPr>
            <w:r>
              <w:rPr>
                <w:rFonts w:ascii="宋体" w:hAnsi="宋体" w:cs="宋体" w:eastAsia="宋体" w:hint="default"/>
                <w:sz w:val="18"/>
                <w:szCs w:val="18"/>
              </w:rPr>
              <w:t>关联关</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系</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319" w:lineRule="auto"/>
              <w:ind w:left="43" w:right="41"/>
              <w:jc w:val="both"/>
              <w:rPr>
                <w:rFonts w:ascii="宋体" w:hAnsi="宋体" w:cs="宋体" w:eastAsia="宋体" w:hint="default"/>
                <w:sz w:val="18"/>
                <w:szCs w:val="18"/>
              </w:rPr>
            </w:pPr>
            <w:r>
              <w:rPr>
                <w:rFonts w:ascii="宋体" w:hAnsi="宋体" w:cs="宋体" w:eastAsia="宋体" w:hint="default"/>
                <w:sz w:val="18"/>
                <w:szCs w:val="18"/>
              </w:rPr>
              <w:t>截至报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告期末</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的执行</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情况</w:t>
            </w:r>
          </w:p>
        </w:tc>
        <w:tc>
          <w:tcPr>
            <w:tcW w:w="6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226" w:right="41" w:hanging="183"/>
              <w:jc w:val="left"/>
              <w:rPr>
                <w:rFonts w:ascii="宋体" w:hAnsi="宋体" w:cs="宋体" w:eastAsia="宋体" w:hint="default"/>
                <w:sz w:val="18"/>
                <w:szCs w:val="18"/>
              </w:rPr>
            </w:pPr>
            <w:r>
              <w:rPr>
                <w:rFonts w:ascii="宋体" w:hAnsi="宋体" w:cs="宋体" w:eastAsia="宋体" w:hint="default"/>
                <w:sz w:val="18"/>
                <w:szCs w:val="18"/>
              </w:rPr>
              <w:t>披露日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期</w:t>
            </w:r>
          </w:p>
        </w:tc>
        <w:tc>
          <w:tcPr>
            <w:tcW w:w="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225" w:right="36" w:hanging="183"/>
              <w:jc w:val="left"/>
              <w:rPr>
                <w:rFonts w:ascii="宋体" w:hAnsi="宋体" w:cs="宋体" w:eastAsia="宋体" w:hint="default"/>
                <w:sz w:val="18"/>
                <w:szCs w:val="18"/>
              </w:rPr>
            </w:pPr>
            <w:r>
              <w:rPr>
                <w:rFonts w:ascii="宋体" w:hAnsi="宋体" w:cs="宋体" w:eastAsia="宋体" w:hint="default"/>
                <w:sz w:val="18"/>
                <w:szCs w:val="18"/>
              </w:rPr>
              <w:t>披露索</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引</w:t>
            </w:r>
          </w:p>
        </w:tc>
      </w:tr>
      <w:tr>
        <w:trPr>
          <w:trHeight w:val="1964" w:hRule="exact"/>
        </w:trPr>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4" w:right="60"/>
              <w:jc w:val="both"/>
              <w:rPr>
                <w:rFonts w:ascii="宋体" w:hAnsi="宋体" w:cs="宋体" w:eastAsia="宋体" w:hint="default"/>
                <w:sz w:val="18"/>
                <w:szCs w:val="18"/>
              </w:rPr>
            </w:pPr>
            <w:r>
              <w:rPr>
                <w:rFonts w:ascii="宋体" w:hAnsi="宋体" w:cs="宋体" w:eastAsia="宋体" w:hint="default"/>
                <w:sz w:val="18"/>
                <w:szCs w:val="18"/>
              </w:rPr>
              <w:t>深圳市</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银之杰</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科技股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份有限</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公司</w:t>
            </w: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319" w:lineRule="auto"/>
              <w:ind w:left="23" w:right="60"/>
              <w:jc w:val="left"/>
              <w:rPr>
                <w:rFonts w:ascii="宋体" w:hAnsi="宋体" w:cs="宋体" w:eastAsia="宋体" w:hint="default"/>
                <w:sz w:val="18"/>
                <w:szCs w:val="18"/>
              </w:rPr>
            </w:pPr>
            <w:r>
              <w:rPr>
                <w:rFonts w:ascii="宋体" w:hAnsi="宋体" w:cs="宋体" w:eastAsia="宋体" w:hint="default"/>
                <w:sz w:val="18"/>
                <w:szCs w:val="18"/>
              </w:rPr>
              <w:t>中国工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商银行</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3" w:right="60"/>
              <w:jc w:val="both"/>
              <w:rPr>
                <w:rFonts w:ascii="宋体" w:hAnsi="宋体" w:cs="宋体" w:eastAsia="宋体" w:hint="default"/>
                <w:sz w:val="18"/>
                <w:szCs w:val="18"/>
              </w:rPr>
            </w:pPr>
            <w:r>
              <w:rPr>
                <w:rFonts w:ascii="宋体" w:hAnsi="宋体" w:cs="宋体" w:eastAsia="宋体" w:hint="default"/>
                <w:sz w:val="18"/>
                <w:szCs w:val="18"/>
              </w:rPr>
              <w:t>行政印</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章用印</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机设备</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及相关</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服务</w:t>
            </w: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8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13</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67"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67"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67"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7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319" w:lineRule="auto"/>
              <w:ind w:left="23" w:right="60"/>
              <w:jc w:val="left"/>
              <w:rPr>
                <w:rFonts w:ascii="宋体" w:hAnsi="宋体" w:cs="宋体" w:eastAsia="宋体" w:hint="default"/>
                <w:sz w:val="18"/>
                <w:szCs w:val="18"/>
              </w:rPr>
            </w:pPr>
            <w:r>
              <w:rPr>
                <w:rFonts w:ascii="宋体" w:hAnsi="宋体" w:cs="宋体" w:eastAsia="宋体" w:hint="default"/>
                <w:sz w:val="18"/>
                <w:szCs w:val="18"/>
              </w:rPr>
              <w:t>市场定</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价</w:t>
            </w: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67"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2" w:lineRule="auto" w:before="130"/>
              <w:ind w:left="23" w:right="60"/>
              <w:jc w:val="left"/>
              <w:rPr>
                <w:rFonts w:ascii="宋体" w:hAnsi="宋体" w:cs="宋体" w:eastAsia="宋体" w:hint="default"/>
                <w:sz w:val="18"/>
                <w:szCs w:val="18"/>
              </w:rPr>
            </w:pPr>
            <w:r>
              <w:rPr>
                <w:rFonts w:ascii="宋体" w:hAnsi="宋体" w:cs="宋体" w:eastAsia="宋体" w:hint="default"/>
                <w:sz w:val="18"/>
                <w:szCs w:val="18"/>
              </w:rPr>
              <w:t>实现销</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售收入</w:t>
            </w:r>
          </w:p>
          <w:p>
            <w:pPr>
              <w:pStyle w:val="TableParagraph"/>
              <w:spacing w:line="304" w:lineRule="auto" w:before="23"/>
              <w:ind w:left="23" w:right="60"/>
              <w:jc w:val="left"/>
              <w:rPr>
                <w:rFonts w:ascii="宋体" w:hAnsi="宋体" w:cs="宋体" w:eastAsia="宋体" w:hint="default"/>
                <w:sz w:val="18"/>
                <w:szCs w:val="18"/>
              </w:rPr>
            </w:pPr>
            <w:r>
              <w:rPr>
                <w:rFonts w:ascii="Times New Roman" w:hAnsi="Times New Roman" w:cs="Times New Roman" w:eastAsia="Times New Roman" w:hint="default"/>
                <w:sz w:val="18"/>
                <w:szCs w:val="18"/>
              </w:rPr>
              <w:t>5.88 </w:t>
            </w:r>
            <w:r>
              <w:rPr>
                <w:rFonts w:ascii="宋体" w:hAnsi="宋体" w:cs="宋体" w:eastAsia="宋体" w:hint="default"/>
                <w:sz w:val="18"/>
                <w:szCs w:val="18"/>
              </w:rPr>
              <w:t>万</w:t>
            </w:r>
            <w:r>
              <w:rPr>
                <w:rFonts w:ascii="宋体" w:hAnsi="宋体" w:cs="宋体" w:eastAsia="宋体" w:hint="default"/>
                <w:spacing w:val="-89"/>
                <w:sz w:val="18"/>
                <w:szCs w:val="18"/>
              </w:rPr>
              <w:t> </w:t>
            </w:r>
            <w:r>
              <w:rPr>
                <w:rFonts w:ascii="宋体" w:hAnsi="宋体" w:cs="宋体" w:eastAsia="宋体" w:hint="default"/>
                <w:sz w:val="18"/>
                <w:szCs w:val="18"/>
              </w:rPr>
              <w:t>元</w:t>
            </w: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7"/>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634"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3"/>
              <w:ind w:left="24" w:right="55"/>
              <w:jc w:val="left"/>
              <w:rPr>
                <w:rFonts w:ascii="宋体" w:hAnsi="宋体" w:cs="宋体" w:eastAsia="宋体" w:hint="default"/>
                <w:sz w:val="18"/>
                <w:szCs w:val="18"/>
              </w:rPr>
            </w:pPr>
            <w:r>
              <w:rPr>
                <w:rFonts w:ascii="宋体" w:hAnsi="宋体" w:cs="宋体" w:eastAsia="宋体" w:hint="default"/>
                <w:sz w:val="18"/>
                <w:szCs w:val="18"/>
              </w:rPr>
              <w:t>巨潮资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讯网</w:t>
            </w:r>
          </w:p>
          <w:p>
            <w:pPr>
              <w:pStyle w:val="TableParagraph"/>
              <w:spacing w:line="240" w:lineRule="auto" w:before="22"/>
              <w:ind w:left="24" w:right="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www</w:t>
            </w:r>
            <w:r>
              <w:rPr>
                <w:rFonts w:ascii="Times New Roman" w:hAnsi="Times New Roman" w:cs="Times New Roman" w:eastAsia="Times New Roman" w:hint="default"/>
                <w:sz w:val="18"/>
                <w:szCs w:val="18"/>
              </w:rPr>
            </w:r>
          </w:p>
          <w:p>
            <w:pPr>
              <w:pStyle w:val="TableParagraph"/>
              <w:spacing w:line="362" w:lineRule="auto" w:before="105"/>
              <w:ind w:left="24" w:right="48"/>
              <w:jc w:val="left"/>
              <w:rPr>
                <w:rFonts w:ascii="Times New Roman" w:hAnsi="Times New Roman" w:cs="Times New Roman" w:eastAsia="Times New Roman" w:hint="default"/>
                <w:sz w:val="18"/>
                <w:szCs w:val="18"/>
              </w:rPr>
            </w:pPr>
            <w:r>
              <w:rPr>
                <w:rFonts w:ascii="Times New Roman"/>
                <w:spacing w:val="-2"/>
                <w:sz w:val="18"/>
              </w:rPr>
              <w:t>.cninfo.</w:t>
            </w:r>
            <w:r>
              <w:rPr>
                <w:rFonts w:ascii="Times New Roman"/>
                <w:spacing w:val="-33"/>
                <w:sz w:val="18"/>
              </w:rPr>
              <w:t> </w:t>
            </w:r>
            <w:r>
              <w:rPr>
                <w:rFonts w:ascii="Times New Roman"/>
                <w:spacing w:val="-33"/>
                <w:sz w:val="18"/>
              </w:rPr>
            </w:r>
            <w:r>
              <w:rPr>
                <w:rFonts w:ascii="Times New Roman"/>
                <w:spacing w:val="-2"/>
                <w:sz w:val="18"/>
              </w:rPr>
              <w:t>com.cn</w:t>
            </w:r>
          </w:p>
          <w:p>
            <w:pPr>
              <w:pStyle w:val="TableParagraph"/>
              <w:spacing w:line="202" w:lineRule="exact"/>
              <w:ind w:left="24" w:right="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tc>
      </w:tr>
    </w:tbl>
    <w:p>
      <w:pPr>
        <w:spacing w:after="0" w:line="202" w:lineRule="exact"/>
        <w:jc w:val="left"/>
        <w:rPr>
          <w:rFonts w:ascii="宋体" w:hAnsi="宋体" w:cs="宋体" w:eastAsia="宋体" w:hint="default"/>
          <w:sz w:val="18"/>
          <w:szCs w:val="18"/>
        </w:rPr>
        <w:sectPr>
          <w:type w:val="continuous"/>
          <w:pgSz w:w="11910" w:h="16840"/>
          <w:pgMar w:top="1580" w:bottom="700" w:left="980" w:right="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638"/>
        <w:gridCol w:w="639"/>
        <w:gridCol w:w="638"/>
        <w:gridCol w:w="639"/>
        <w:gridCol w:w="638"/>
        <w:gridCol w:w="639"/>
        <w:gridCol w:w="638"/>
        <w:gridCol w:w="639"/>
        <w:gridCol w:w="638"/>
        <w:gridCol w:w="639"/>
        <w:gridCol w:w="638"/>
        <w:gridCol w:w="639"/>
        <w:gridCol w:w="638"/>
        <w:gridCol w:w="639"/>
        <w:gridCol w:w="634"/>
      </w:tblGrid>
      <w:tr>
        <w:trPr>
          <w:trHeight w:val="1964" w:hRule="exact"/>
        </w:trPr>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319" w:lineRule="auto"/>
              <w:ind w:left="24" w:right="60"/>
              <w:jc w:val="both"/>
              <w:rPr>
                <w:rFonts w:ascii="宋体" w:hAnsi="宋体" w:cs="宋体" w:eastAsia="宋体" w:hint="default"/>
                <w:sz w:val="18"/>
                <w:szCs w:val="18"/>
              </w:rPr>
            </w:pPr>
            <w:r>
              <w:rPr>
                <w:rFonts w:ascii="宋体" w:hAnsi="宋体" w:cs="宋体" w:eastAsia="宋体" w:hint="default"/>
                <w:sz w:val="18"/>
                <w:szCs w:val="18"/>
              </w:rPr>
              <w:t>深圳市</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银之杰</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科技股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份有限</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公司</w:t>
            </w: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319" w:lineRule="auto"/>
              <w:ind w:left="23" w:right="60"/>
              <w:jc w:val="left"/>
              <w:rPr>
                <w:rFonts w:ascii="宋体" w:hAnsi="宋体" w:cs="宋体" w:eastAsia="宋体" w:hint="default"/>
                <w:sz w:val="18"/>
                <w:szCs w:val="18"/>
              </w:rPr>
            </w:pPr>
            <w:r>
              <w:rPr>
                <w:rFonts w:ascii="宋体" w:hAnsi="宋体" w:cs="宋体" w:eastAsia="宋体" w:hint="default"/>
                <w:sz w:val="18"/>
                <w:szCs w:val="18"/>
              </w:rPr>
              <w:t>中国建</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设银行</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30"/>
              <w:ind w:left="23" w:right="60"/>
              <w:jc w:val="both"/>
              <w:rPr>
                <w:rFonts w:ascii="宋体" w:hAnsi="宋体" w:cs="宋体" w:eastAsia="宋体" w:hint="default"/>
                <w:sz w:val="18"/>
                <w:szCs w:val="18"/>
              </w:rPr>
            </w:pPr>
            <w:r>
              <w:rPr>
                <w:rFonts w:ascii="宋体" w:hAnsi="宋体" w:cs="宋体" w:eastAsia="宋体" w:hint="default"/>
                <w:sz w:val="18"/>
                <w:szCs w:val="18"/>
              </w:rPr>
              <w:t>印控机</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设备及</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相关服</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务</w:t>
            </w: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5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8</w:t>
            </w:r>
          </w:p>
          <w:p>
            <w:pPr>
              <w:pStyle w:val="TableParagraph"/>
              <w:spacing w:line="240" w:lineRule="auto" w:before="68"/>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67"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67"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67"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7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319" w:lineRule="auto"/>
              <w:ind w:left="23" w:right="60"/>
              <w:jc w:val="left"/>
              <w:rPr>
                <w:rFonts w:ascii="宋体" w:hAnsi="宋体" w:cs="宋体" w:eastAsia="宋体" w:hint="default"/>
                <w:sz w:val="18"/>
                <w:szCs w:val="18"/>
              </w:rPr>
            </w:pPr>
            <w:r>
              <w:rPr>
                <w:rFonts w:ascii="宋体" w:hAnsi="宋体" w:cs="宋体" w:eastAsia="宋体" w:hint="default"/>
                <w:sz w:val="18"/>
                <w:szCs w:val="18"/>
              </w:rPr>
              <w:t>市场定</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价</w:t>
            </w: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67"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2" w:lineRule="auto" w:before="130"/>
              <w:ind w:left="23" w:right="60"/>
              <w:jc w:val="left"/>
              <w:rPr>
                <w:rFonts w:ascii="宋体" w:hAnsi="宋体" w:cs="宋体" w:eastAsia="宋体" w:hint="default"/>
                <w:sz w:val="18"/>
                <w:szCs w:val="18"/>
              </w:rPr>
            </w:pPr>
            <w:r>
              <w:rPr>
                <w:rFonts w:ascii="宋体" w:hAnsi="宋体" w:cs="宋体" w:eastAsia="宋体" w:hint="default"/>
                <w:sz w:val="18"/>
                <w:szCs w:val="18"/>
              </w:rPr>
              <w:t>实现销</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售收入</w:t>
            </w:r>
          </w:p>
          <w:p>
            <w:pPr>
              <w:pStyle w:val="TableParagraph"/>
              <w:spacing w:line="240" w:lineRule="auto" w:before="65"/>
              <w:ind w:left="23" w:right="0"/>
              <w:jc w:val="left"/>
              <w:rPr>
                <w:rFonts w:ascii="Times New Roman" w:hAnsi="Times New Roman" w:cs="Times New Roman" w:eastAsia="Times New Roman" w:hint="default"/>
                <w:sz w:val="18"/>
                <w:szCs w:val="18"/>
              </w:rPr>
            </w:pPr>
            <w:r>
              <w:rPr>
                <w:rFonts w:ascii="Times New Roman"/>
                <w:sz w:val="18"/>
              </w:rPr>
              <w:t>446.45</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p>
          <w:p>
            <w:pPr>
              <w:pStyle w:val="TableParagraph"/>
              <w:spacing w:line="240" w:lineRule="auto" w:before="58"/>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r>
          </w:p>
          <w:p>
            <w:pPr>
              <w:pStyle w:val="TableParagraph"/>
              <w:spacing w:line="240" w:lineRule="auto" w:before="68"/>
              <w:ind w:left="24"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634"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3"/>
              <w:ind w:left="24" w:right="55"/>
              <w:jc w:val="left"/>
              <w:rPr>
                <w:rFonts w:ascii="宋体" w:hAnsi="宋体" w:cs="宋体" w:eastAsia="宋体" w:hint="default"/>
                <w:sz w:val="18"/>
                <w:szCs w:val="18"/>
              </w:rPr>
            </w:pPr>
            <w:r>
              <w:rPr>
                <w:rFonts w:ascii="宋体" w:hAnsi="宋体" w:cs="宋体" w:eastAsia="宋体" w:hint="default"/>
                <w:sz w:val="18"/>
                <w:szCs w:val="18"/>
              </w:rPr>
              <w:t>巨潮资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讯网</w:t>
            </w:r>
          </w:p>
          <w:p>
            <w:pPr>
              <w:pStyle w:val="TableParagraph"/>
              <w:spacing w:line="240" w:lineRule="auto" w:before="22"/>
              <w:ind w:left="24" w:right="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www</w:t>
            </w:r>
            <w:r>
              <w:rPr>
                <w:rFonts w:ascii="Times New Roman" w:hAnsi="Times New Roman" w:cs="Times New Roman" w:eastAsia="Times New Roman" w:hint="default"/>
                <w:sz w:val="18"/>
                <w:szCs w:val="18"/>
              </w:rPr>
            </w:r>
          </w:p>
          <w:p>
            <w:pPr>
              <w:pStyle w:val="TableParagraph"/>
              <w:spacing w:line="362" w:lineRule="auto" w:before="105"/>
              <w:ind w:left="24" w:right="48"/>
              <w:jc w:val="left"/>
              <w:rPr>
                <w:rFonts w:ascii="Times New Roman" w:hAnsi="Times New Roman" w:cs="Times New Roman" w:eastAsia="Times New Roman" w:hint="default"/>
                <w:sz w:val="18"/>
                <w:szCs w:val="18"/>
              </w:rPr>
            </w:pPr>
            <w:r>
              <w:rPr>
                <w:rFonts w:ascii="Times New Roman"/>
                <w:spacing w:val="-2"/>
                <w:sz w:val="18"/>
              </w:rPr>
              <w:t>.cninfo.</w:t>
            </w:r>
            <w:r>
              <w:rPr>
                <w:rFonts w:ascii="Times New Roman"/>
                <w:spacing w:val="-33"/>
                <w:sz w:val="18"/>
              </w:rPr>
              <w:t> </w:t>
            </w:r>
            <w:r>
              <w:rPr>
                <w:rFonts w:ascii="Times New Roman"/>
                <w:spacing w:val="-33"/>
                <w:sz w:val="18"/>
              </w:rPr>
            </w:r>
            <w:r>
              <w:rPr>
                <w:rFonts w:ascii="Times New Roman"/>
                <w:spacing w:val="-2"/>
                <w:sz w:val="18"/>
              </w:rPr>
              <w:t>com.cn</w:t>
            </w:r>
          </w:p>
          <w:p>
            <w:pPr>
              <w:pStyle w:val="TableParagraph"/>
              <w:spacing w:line="202" w:lineRule="exact"/>
              <w:ind w:left="24" w:right="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tc>
      </w:tr>
    </w:tbl>
    <w:p>
      <w:pPr>
        <w:spacing w:line="240" w:lineRule="auto" w:before="9"/>
        <w:rPr>
          <w:rFonts w:ascii="宋体" w:hAnsi="宋体" w:cs="宋体" w:eastAsia="宋体" w:hint="default"/>
          <w:sz w:val="17"/>
          <w:szCs w:val="17"/>
        </w:rPr>
      </w:pPr>
    </w:p>
    <w:p>
      <w:pPr>
        <w:pStyle w:val="Heading2"/>
        <w:spacing w:line="240" w:lineRule="auto" w:before="26"/>
        <w:ind w:right="0"/>
        <w:jc w:val="left"/>
        <w:rPr>
          <w:b w:val="0"/>
          <w:bCs w:val="0"/>
        </w:rPr>
      </w:pPr>
      <w:bookmarkStart w:name="十七、社会责任情况" w:id="97"/>
      <w:bookmarkEnd w:id="97"/>
      <w:r>
        <w:rPr>
          <w:b w:val="0"/>
          <w:bCs w:val="0"/>
        </w:rPr>
      </w:r>
      <w:r>
        <w:rPr/>
        <w:t>十七、社会责任情况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left"/>
        <w:rPr>
          <w:b w:val="0"/>
          <w:bCs w:val="0"/>
        </w:rPr>
      </w:pPr>
      <w:bookmarkStart w:name="1、履行社会责任情况" w:id="98"/>
      <w:bookmarkEnd w:id="98"/>
      <w:r>
        <w:rPr>
          <w:b w:val="0"/>
          <w:bCs w:val="0"/>
        </w:rPr>
      </w:r>
      <w:r>
        <w:rPr>
          <w:rFonts w:ascii="Times New Roman" w:hAnsi="Times New Roman" w:cs="Times New Roman" w:eastAsia="Times New Roman" w:hint="default"/>
        </w:rPr>
        <w:t>1</w:t>
      </w:r>
      <w:r>
        <w:rPr/>
        <w:t>、履行社会责任情况</w:t>
      </w:r>
      <w:r>
        <w:rPr>
          <w:b w:val="0"/>
          <w:bCs w:val="0"/>
        </w:rPr>
      </w:r>
    </w:p>
    <w:p>
      <w:pPr>
        <w:spacing w:line="240" w:lineRule="auto" w:before="12"/>
        <w:rPr>
          <w:rFonts w:ascii="宋体" w:hAnsi="宋体" w:cs="宋体" w:eastAsia="宋体" w:hint="default"/>
          <w:b/>
          <w:bCs/>
          <w:sz w:val="32"/>
          <w:szCs w:val="32"/>
        </w:rPr>
      </w:pPr>
    </w:p>
    <w:p>
      <w:pPr>
        <w:pStyle w:val="BodyText"/>
        <w:spacing w:line="475" w:lineRule="auto"/>
        <w:ind w:right="1124" w:firstLine="360"/>
        <w:jc w:val="both"/>
      </w:pPr>
      <w:r>
        <w:rPr>
          <w:spacing w:val="-5"/>
        </w:rPr>
        <w:t>公司积极履行企业应尽的义务，承担社会责任。公司在不断为股东创造价值的同时，也积极承担对员工、客户、社会等</w:t>
      </w:r>
      <w:r>
        <w:rPr>
          <w:w w:val="101"/>
        </w:rPr>
        <w:t> </w:t>
      </w:r>
      <w:r>
        <w:rPr>
          <w:spacing w:val="-3"/>
        </w:rPr>
        <w:t>其他利益相关者的责任。</w:t>
      </w:r>
    </w:p>
    <w:p>
      <w:pPr>
        <w:pStyle w:val="BodyText"/>
        <w:spacing w:line="477" w:lineRule="auto" w:before="59"/>
        <w:ind w:right="1122" w:firstLine="360"/>
        <w:jc w:val="both"/>
      </w:pPr>
      <w:r>
        <w:rPr>
          <w:spacing w:val="-11"/>
          <w:w w:val="101"/>
        </w:rPr>
        <w:t>公司严格按照《公司法》、《深圳证券交易所创业板股票上市规则》、《上市公司信息披露管理办法》等相关法律法规的要</w:t>
      </w:r>
      <w:r>
        <w:rPr>
          <w:w w:val="101"/>
        </w:rPr>
        <w:t> </w:t>
      </w:r>
      <w:r>
        <w:rPr>
          <w:spacing w:val="-5"/>
        </w:rPr>
        <w:t>求，及时、准确、真实、完整地进行信息披露，通过投资者电话、电子邮箱、投资者关系互动平台和实地调研等多种方式与</w:t>
      </w:r>
      <w:r>
        <w:rPr>
          <w:spacing w:val="4"/>
        </w:rPr>
        <w:t> </w:t>
      </w:r>
      <w:r>
        <w:rPr>
          <w:spacing w:val="4"/>
        </w:rPr>
      </w:r>
      <w:r>
        <w:rPr>
          <w:spacing w:val="-4"/>
        </w:rPr>
        <w:t>投资者进行沟通交流，提高了公司的透明度和诚信度。公司非常重视对投资者的合理回报，制定了相对稳定的利润分配政策</w:t>
      </w:r>
      <w:r>
        <w:rPr>
          <w:spacing w:val="43"/>
        </w:rPr>
        <w:t> </w:t>
      </w:r>
      <w:r>
        <w:rPr>
          <w:spacing w:val="43"/>
        </w:rPr>
      </w:r>
      <w:r>
        <w:rPr>
          <w:spacing w:val="-8"/>
          <w:w w:val="101"/>
        </w:rPr>
        <w:t>和分红方案以回报股东。公司一直坚持以人为本的人才理念，实施企业人才战略，严格遵守《劳动法》、《劳动合同法》等相</w:t>
      </w:r>
      <w:r>
        <w:rPr>
          <w:spacing w:val="-50"/>
          <w:w w:val="101"/>
        </w:rPr>
        <w:t> </w:t>
      </w:r>
      <w:r>
        <w:rPr>
          <w:spacing w:val="-50"/>
          <w:w w:val="101"/>
        </w:rPr>
      </w:r>
      <w:r>
        <w:rPr>
          <w:spacing w:val="-4"/>
        </w:rPr>
        <w:t>关法律法规，尊重和维护员工的个人权益，切实关注员工健康、安全和满意度；通过知识技能的理论培训及实践操作技能培</w:t>
      </w:r>
      <w:r>
        <w:rPr>
          <w:spacing w:val="41"/>
        </w:rPr>
        <w:t> </w:t>
      </w:r>
      <w:r>
        <w:rPr>
          <w:spacing w:val="41"/>
        </w:rPr>
      </w:r>
      <w:r>
        <w:rPr>
          <w:spacing w:val="-3"/>
        </w:rPr>
        <w:t>训等方式使员工得到切实的提高和发展，维护员工权益。</w:t>
      </w:r>
    </w:p>
    <w:p>
      <w:pPr>
        <w:pStyle w:val="BodyText"/>
        <w:spacing w:line="475" w:lineRule="auto" w:before="56"/>
        <w:ind w:right="1124" w:firstLine="360"/>
        <w:jc w:val="both"/>
      </w:pPr>
      <w:r>
        <w:rPr>
          <w:spacing w:val="-4"/>
        </w:rPr>
        <w:t>公司始终将依法经营作为公司运行的基本原则，注重企业经济效益与社会效益的同步共赢。公司严格遵守国家法律、法</w:t>
      </w:r>
      <w:r>
        <w:rPr>
          <w:w w:val="101"/>
        </w:rPr>
        <w:t> </w:t>
      </w:r>
      <w:r>
        <w:rPr>
          <w:spacing w:val="-3"/>
        </w:rPr>
        <w:t>规、政策的规定，始终依法经营，积极纳税，发展就业岗位，支持地方经济的发展。</w:t>
      </w:r>
    </w:p>
    <w:p>
      <w:pPr>
        <w:spacing w:line="240" w:lineRule="auto" w:before="5"/>
        <w:rPr>
          <w:rFonts w:ascii="宋体" w:hAnsi="宋体" w:cs="宋体" w:eastAsia="宋体" w:hint="default"/>
          <w:sz w:val="19"/>
          <w:szCs w:val="19"/>
        </w:rPr>
      </w:pPr>
    </w:p>
    <w:p>
      <w:pPr>
        <w:pStyle w:val="Heading3"/>
        <w:spacing w:line="240" w:lineRule="auto"/>
        <w:ind w:right="0"/>
        <w:jc w:val="left"/>
        <w:rPr>
          <w:b w:val="0"/>
          <w:bCs w:val="0"/>
        </w:rPr>
      </w:pPr>
      <w:bookmarkStart w:name="2、履行精准扶贫社会责任情况" w:id="99"/>
      <w:bookmarkEnd w:id="99"/>
      <w:r>
        <w:rPr>
          <w:b w:val="0"/>
          <w:bCs w:val="0"/>
        </w:rPr>
      </w:r>
      <w:r>
        <w:rPr>
          <w:rFonts w:ascii="Times New Roman" w:hAnsi="Times New Roman" w:cs="Times New Roman" w:eastAsia="Times New Roman" w:hint="default"/>
        </w:rPr>
        <w:t>2</w:t>
      </w:r>
      <w:r>
        <w:rPr/>
        <w:t>、履行精准扶贫社会责任情况</w:t>
      </w:r>
      <w:r>
        <w:rPr>
          <w:b w:val="0"/>
          <w:bCs w:val="0"/>
        </w:rPr>
      </w:r>
    </w:p>
    <w:p>
      <w:pPr>
        <w:spacing w:line="240" w:lineRule="auto" w:before="7"/>
        <w:rPr>
          <w:rFonts w:ascii="宋体" w:hAnsi="宋体" w:cs="宋体" w:eastAsia="宋体" w:hint="default"/>
          <w:b/>
          <w:bCs/>
          <w:sz w:val="32"/>
          <w:szCs w:val="32"/>
        </w:rPr>
      </w:pPr>
    </w:p>
    <w:p>
      <w:pPr>
        <w:pStyle w:val="BodyText"/>
        <w:spacing w:line="240" w:lineRule="auto"/>
        <w:ind w:left="513" w:right="0"/>
        <w:jc w:val="left"/>
      </w:pPr>
      <w:r>
        <w:rPr>
          <w:spacing w:val="-3"/>
        </w:rPr>
        <w:t>公司报告年度暂未开展精准扶贫工作，也暂无后续精准扶贫计划。</w:t>
      </w: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14"/>
          <w:szCs w:val="14"/>
        </w:rPr>
      </w:pPr>
    </w:p>
    <w:p>
      <w:pPr>
        <w:pStyle w:val="Heading3"/>
        <w:spacing w:line="240" w:lineRule="auto"/>
        <w:ind w:right="0"/>
        <w:jc w:val="left"/>
        <w:rPr>
          <w:b w:val="0"/>
          <w:bCs w:val="0"/>
        </w:rPr>
      </w:pPr>
      <w:bookmarkStart w:name="3、环境保护相关的情况" w:id="100"/>
      <w:bookmarkEnd w:id="100"/>
      <w:r>
        <w:rPr>
          <w:b w:val="0"/>
          <w:bCs w:val="0"/>
        </w:rPr>
      </w:r>
      <w:r>
        <w:rPr>
          <w:rFonts w:ascii="Times New Roman" w:hAnsi="Times New Roman" w:cs="Times New Roman" w:eastAsia="Times New Roman" w:hint="default"/>
        </w:rPr>
        <w:t>3</w:t>
      </w:r>
      <w:r>
        <w:rPr/>
        <w:t>、环境保护相关的情况</w:t>
      </w:r>
      <w:r>
        <w:rPr>
          <w:b w:val="0"/>
          <w:bCs w:val="0"/>
        </w:rPr>
      </w:r>
    </w:p>
    <w:p>
      <w:pPr>
        <w:spacing w:line="240" w:lineRule="auto" w:before="9"/>
        <w:rPr>
          <w:rFonts w:ascii="宋体" w:hAnsi="宋体" w:cs="宋体" w:eastAsia="宋体" w:hint="default"/>
          <w:b/>
          <w:bCs/>
          <w:sz w:val="26"/>
          <w:szCs w:val="26"/>
        </w:rPr>
      </w:pPr>
    </w:p>
    <w:p>
      <w:pPr>
        <w:pStyle w:val="BodyText"/>
        <w:spacing w:line="434" w:lineRule="auto"/>
        <w:ind w:left="513" w:right="5655" w:hanging="360"/>
        <w:jc w:val="left"/>
      </w:pPr>
      <w:r>
        <w:rPr>
          <w:spacing w:val="-3"/>
        </w:rPr>
        <w:t>上市公司及其子公司是否属于环境保护部门公布的重点排污单位</w:t>
      </w:r>
      <w:r>
        <w:rPr>
          <w:spacing w:val="-9"/>
        </w:rPr>
        <w:t> </w:t>
      </w:r>
      <w:r>
        <w:rPr>
          <w:spacing w:val="-9"/>
        </w:rPr>
      </w:r>
      <w:r>
        <w:rPr/>
        <w:t>否</w:t>
      </w:r>
    </w:p>
    <w:p>
      <w:pPr>
        <w:spacing w:line="240" w:lineRule="auto" w:before="6"/>
        <w:rPr>
          <w:rFonts w:ascii="宋体" w:hAnsi="宋体" w:cs="宋体" w:eastAsia="宋体" w:hint="default"/>
          <w:sz w:val="19"/>
          <w:szCs w:val="19"/>
        </w:rPr>
      </w:pPr>
    </w:p>
    <w:p>
      <w:pPr>
        <w:pStyle w:val="Heading2"/>
        <w:spacing w:line="240" w:lineRule="auto"/>
        <w:ind w:right="0"/>
        <w:jc w:val="left"/>
        <w:rPr>
          <w:b w:val="0"/>
          <w:bCs w:val="0"/>
        </w:rPr>
      </w:pPr>
      <w:bookmarkStart w:name="十八、其他重大事项的说明" w:id="101"/>
      <w:bookmarkEnd w:id="101"/>
      <w:r>
        <w:rPr>
          <w:b w:val="0"/>
          <w:bCs w:val="0"/>
        </w:rPr>
      </w:r>
      <w:r>
        <w:rPr/>
        <w:t>十八、其他重大事项的说明</w:t>
      </w:r>
      <w:r>
        <w:rPr>
          <w:b w:val="0"/>
          <w:bCs w:val="0"/>
        </w:rPr>
      </w:r>
    </w:p>
    <w:p>
      <w:pPr>
        <w:spacing w:line="240" w:lineRule="auto" w:before="3"/>
        <w:rPr>
          <w:rFonts w:ascii="宋体" w:hAnsi="宋体" w:cs="宋体" w:eastAsia="宋体" w:hint="default"/>
          <w:b/>
          <w:bCs/>
          <w:sz w:val="27"/>
          <w:szCs w:val="27"/>
        </w:rPr>
      </w:pPr>
    </w:p>
    <w:p>
      <w:pPr>
        <w:pStyle w:val="BodyText"/>
        <w:spacing w:line="240" w:lineRule="auto"/>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8"/>
        <w:rPr>
          <w:rFonts w:ascii="宋体" w:hAnsi="宋体" w:cs="宋体" w:eastAsia="宋体" w:hint="default"/>
          <w:sz w:val="13"/>
          <w:szCs w:val="13"/>
        </w:rPr>
      </w:pPr>
    </w:p>
    <w:p>
      <w:pPr>
        <w:pStyle w:val="BodyText"/>
        <w:spacing w:line="240" w:lineRule="auto"/>
        <w:ind w:left="513" w:right="0"/>
        <w:jc w:val="left"/>
      </w:pPr>
      <w:r>
        <w:rPr>
          <w:rFonts w:ascii="Times New Roman" w:hAnsi="Times New Roman" w:cs="Times New Roman" w:eastAsia="Times New Roman" w:hint="default"/>
          <w:spacing w:val="-3"/>
        </w:rPr>
        <w:t>1</w:t>
      </w:r>
      <w:r>
        <w:rPr>
          <w:spacing w:val="-3"/>
        </w:rPr>
        <w:t>、增资北京杰智融软件有限公司的情况</w:t>
      </w:r>
    </w:p>
    <w:p>
      <w:pPr>
        <w:spacing w:line="240" w:lineRule="auto" w:before="12"/>
        <w:rPr>
          <w:rFonts w:ascii="宋体" w:hAnsi="宋体" w:cs="宋体" w:eastAsia="宋体" w:hint="default"/>
          <w:sz w:val="16"/>
          <w:szCs w:val="16"/>
        </w:rPr>
      </w:pPr>
    </w:p>
    <w:p>
      <w:pPr>
        <w:pStyle w:val="BodyText"/>
        <w:spacing w:line="240" w:lineRule="auto"/>
        <w:ind w:left="513" w:right="0"/>
        <w:jc w:val="left"/>
      </w:pPr>
      <w:r>
        <w:rPr>
          <w:w w:val="101"/>
        </w:rPr>
        <w:t>公司于</w:t>
      </w:r>
      <w:r>
        <w:rPr>
          <w:spacing w:val="-47"/>
        </w:rPr>
        <w:t> </w:t>
      </w:r>
      <w:r>
        <w:rPr>
          <w:rFonts w:ascii="Times New Roman" w:hAnsi="Times New Roman" w:cs="Times New Roman" w:eastAsia="Times New Roman" w:hint="default"/>
          <w:spacing w:val="-5"/>
          <w:w w:val="101"/>
        </w:rPr>
        <w:t>2</w:t>
      </w:r>
      <w:r>
        <w:rPr>
          <w:rFonts w:ascii="Times New Roman" w:hAnsi="Times New Roman" w:cs="Times New Roman" w:eastAsia="Times New Roman" w:hint="default"/>
          <w:w w:val="101"/>
        </w:rPr>
        <w:t>0</w:t>
      </w:r>
      <w:r>
        <w:rPr>
          <w:rFonts w:ascii="Times New Roman" w:hAnsi="Times New Roman" w:cs="Times New Roman" w:eastAsia="Times New Roman" w:hint="default"/>
          <w:spacing w:val="-5"/>
          <w:w w:val="101"/>
        </w:rPr>
        <w:t>1</w:t>
      </w:r>
      <w:r>
        <w:rPr>
          <w:rFonts w:ascii="Times New Roman" w:hAnsi="Times New Roman" w:cs="Times New Roman" w:eastAsia="Times New Roman" w:hint="default"/>
          <w:w w:val="101"/>
        </w:rPr>
        <w:t>9</w:t>
      </w:r>
      <w:r>
        <w:rPr>
          <w:rFonts w:ascii="Times New Roman" w:hAnsi="Times New Roman" w:cs="Times New Roman" w:eastAsia="Times New Roman" w:hint="default"/>
          <w:spacing w:val="-7"/>
        </w:rPr>
        <w:t> </w:t>
      </w:r>
      <w:r>
        <w:rPr>
          <w:w w:val="101"/>
        </w:rPr>
        <w:t>年</w:t>
      </w:r>
      <w:r>
        <w:rPr>
          <w:spacing w:val="-47"/>
        </w:rPr>
        <w:t> </w:t>
      </w:r>
      <w:r>
        <w:rPr>
          <w:rFonts w:ascii="Times New Roman" w:hAnsi="Times New Roman" w:cs="Times New Roman" w:eastAsia="Times New Roman" w:hint="default"/>
          <w:spacing w:val="-5"/>
          <w:w w:val="101"/>
        </w:rPr>
        <w:t>1</w:t>
      </w:r>
      <w:r>
        <w:rPr>
          <w:rFonts w:ascii="Times New Roman" w:hAnsi="Times New Roman" w:cs="Times New Roman" w:eastAsia="Times New Roman" w:hint="default"/>
          <w:w w:val="101"/>
        </w:rPr>
        <w:t>0</w:t>
      </w:r>
      <w:r>
        <w:rPr>
          <w:rFonts w:ascii="Times New Roman" w:hAnsi="Times New Roman" w:cs="Times New Roman" w:eastAsia="Times New Roman" w:hint="default"/>
          <w:spacing w:val="-7"/>
        </w:rPr>
        <w:t> </w:t>
      </w:r>
      <w:r>
        <w:rPr>
          <w:w w:val="101"/>
        </w:rPr>
        <w:t>月</w:t>
      </w:r>
      <w:r>
        <w:rPr>
          <w:spacing w:val="-47"/>
        </w:rPr>
        <w:t> </w:t>
      </w:r>
      <w:r>
        <w:rPr>
          <w:rFonts w:ascii="Times New Roman" w:hAnsi="Times New Roman" w:cs="Times New Roman" w:eastAsia="Times New Roman" w:hint="default"/>
          <w:spacing w:val="-5"/>
          <w:w w:val="101"/>
        </w:rPr>
        <w:t>2</w:t>
      </w:r>
      <w:r>
        <w:rPr>
          <w:rFonts w:ascii="Times New Roman" w:hAnsi="Times New Roman" w:cs="Times New Roman" w:eastAsia="Times New Roman" w:hint="default"/>
          <w:w w:val="101"/>
        </w:rPr>
        <w:t>8</w:t>
      </w:r>
      <w:r>
        <w:rPr>
          <w:rFonts w:ascii="Times New Roman" w:hAnsi="Times New Roman" w:cs="Times New Roman" w:eastAsia="Times New Roman" w:hint="default"/>
          <w:spacing w:val="-7"/>
        </w:rPr>
        <w:t> </w:t>
      </w:r>
      <w:r>
        <w:rPr>
          <w:spacing w:val="-5"/>
          <w:w w:val="101"/>
        </w:rPr>
        <w:t>日</w:t>
      </w:r>
      <w:r>
        <w:rPr>
          <w:w w:val="101"/>
        </w:rPr>
        <w:t>召</w:t>
      </w:r>
      <w:r>
        <w:rPr>
          <w:spacing w:val="-5"/>
          <w:w w:val="101"/>
        </w:rPr>
        <w:t>开</w:t>
      </w:r>
      <w:r>
        <w:rPr>
          <w:w w:val="101"/>
        </w:rPr>
        <w:t>第</w:t>
      </w:r>
      <w:r>
        <w:rPr>
          <w:spacing w:val="-5"/>
          <w:w w:val="101"/>
        </w:rPr>
        <w:t>四</w:t>
      </w:r>
      <w:r>
        <w:rPr>
          <w:w w:val="101"/>
        </w:rPr>
        <w:t>届</w:t>
      </w:r>
      <w:r>
        <w:rPr>
          <w:spacing w:val="-5"/>
          <w:w w:val="101"/>
        </w:rPr>
        <w:t>董</w:t>
      </w:r>
      <w:r>
        <w:rPr>
          <w:w w:val="101"/>
        </w:rPr>
        <w:t>事</w:t>
      </w:r>
      <w:r>
        <w:rPr>
          <w:spacing w:val="-5"/>
          <w:w w:val="101"/>
        </w:rPr>
        <w:t>会</w:t>
      </w:r>
      <w:r>
        <w:rPr>
          <w:w w:val="101"/>
        </w:rPr>
        <w:t>第</w:t>
      </w:r>
      <w:r>
        <w:rPr>
          <w:spacing w:val="-5"/>
          <w:w w:val="101"/>
        </w:rPr>
        <w:t>十</w:t>
      </w:r>
      <w:r>
        <w:rPr>
          <w:w w:val="101"/>
        </w:rPr>
        <w:t>九</w:t>
      </w:r>
      <w:r>
        <w:rPr>
          <w:spacing w:val="-5"/>
          <w:w w:val="101"/>
        </w:rPr>
        <w:t>次</w:t>
      </w:r>
      <w:r>
        <w:rPr>
          <w:w w:val="101"/>
        </w:rPr>
        <w:t>会</w:t>
      </w:r>
      <w:r>
        <w:rPr>
          <w:spacing w:val="-5"/>
          <w:w w:val="101"/>
        </w:rPr>
        <w:t>议</w:t>
      </w:r>
      <w:r>
        <w:rPr>
          <w:spacing w:val="-20"/>
          <w:w w:val="101"/>
        </w:rPr>
        <w:t>，</w:t>
      </w:r>
      <w:r>
        <w:rPr>
          <w:spacing w:val="-5"/>
          <w:w w:val="101"/>
        </w:rPr>
        <w:t>审</w:t>
      </w:r>
      <w:r>
        <w:rPr>
          <w:w w:val="101"/>
        </w:rPr>
        <w:t>议</w:t>
      </w:r>
      <w:r>
        <w:rPr>
          <w:spacing w:val="-5"/>
          <w:w w:val="101"/>
        </w:rPr>
        <w:t>通</w:t>
      </w:r>
      <w:r>
        <w:rPr>
          <w:w w:val="101"/>
        </w:rPr>
        <w:t>过</w:t>
      </w:r>
      <w:r>
        <w:rPr>
          <w:spacing w:val="-20"/>
          <w:w w:val="101"/>
        </w:rPr>
        <w:t>了</w:t>
      </w:r>
      <w:r>
        <w:rPr>
          <w:spacing w:val="-5"/>
          <w:w w:val="101"/>
        </w:rPr>
        <w:t>《</w:t>
      </w:r>
      <w:r>
        <w:rPr>
          <w:w w:val="101"/>
        </w:rPr>
        <w:t>关</w:t>
      </w:r>
      <w:r>
        <w:rPr>
          <w:spacing w:val="-5"/>
          <w:w w:val="101"/>
        </w:rPr>
        <w:t>于</w:t>
      </w:r>
      <w:r>
        <w:rPr>
          <w:w w:val="101"/>
        </w:rPr>
        <w:t>对</w:t>
      </w:r>
      <w:r>
        <w:rPr>
          <w:spacing w:val="-5"/>
          <w:w w:val="101"/>
        </w:rPr>
        <w:t>外</w:t>
      </w:r>
      <w:r>
        <w:rPr>
          <w:w w:val="101"/>
        </w:rPr>
        <w:t>投</w:t>
      </w:r>
      <w:r>
        <w:rPr>
          <w:spacing w:val="-5"/>
          <w:w w:val="101"/>
        </w:rPr>
        <w:t>资</w:t>
      </w:r>
      <w:r>
        <w:rPr>
          <w:w w:val="101"/>
        </w:rPr>
        <w:t>的</w:t>
      </w:r>
      <w:r>
        <w:rPr>
          <w:spacing w:val="-5"/>
          <w:w w:val="101"/>
        </w:rPr>
        <w:t>议</w:t>
      </w:r>
      <w:r>
        <w:rPr>
          <w:w w:val="101"/>
        </w:rPr>
        <w:t>案</w:t>
      </w:r>
      <w:r>
        <w:rPr>
          <w:spacing w:val="-96"/>
          <w:w w:val="101"/>
        </w:rPr>
        <w:t>》</w:t>
      </w:r>
      <w:r>
        <w:rPr>
          <w:spacing w:val="-20"/>
          <w:w w:val="101"/>
        </w:rPr>
        <w:t>，</w:t>
      </w:r>
      <w:r>
        <w:rPr>
          <w:spacing w:val="-5"/>
          <w:w w:val="101"/>
        </w:rPr>
        <w:t>根</w:t>
      </w:r>
      <w:r>
        <w:rPr>
          <w:w w:val="101"/>
        </w:rPr>
        <w:t>据</w:t>
      </w:r>
      <w:r>
        <w:rPr>
          <w:spacing w:val="-5"/>
          <w:w w:val="101"/>
        </w:rPr>
        <w:t>公</w:t>
      </w:r>
      <w:r>
        <w:rPr>
          <w:w w:val="101"/>
        </w:rPr>
        <w:t>司</w:t>
      </w:r>
      <w:r>
        <w:rPr>
          <w:spacing w:val="-5"/>
          <w:w w:val="101"/>
        </w:rPr>
        <w:t>战</w:t>
      </w:r>
      <w:r>
        <w:rPr>
          <w:w w:val="101"/>
        </w:rPr>
        <w:t>略</w:t>
      </w:r>
      <w:r>
        <w:rPr>
          <w:spacing w:val="-5"/>
          <w:w w:val="101"/>
        </w:rPr>
        <w:t>发</w:t>
      </w:r>
      <w:r>
        <w:rPr>
          <w:w w:val="101"/>
        </w:rPr>
        <w:t>展需</w:t>
      </w:r>
      <w:r>
        <w:rPr/>
      </w:r>
    </w:p>
    <w:p>
      <w:pPr>
        <w:spacing w:line="240" w:lineRule="auto" w:before="7"/>
        <w:rPr>
          <w:rFonts w:ascii="宋体" w:hAnsi="宋体" w:cs="宋体" w:eastAsia="宋体" w:hint="default"/>
          <w:sz w:val="16"/>
          <w:szCs w:val="16"/>
        </w:rPr>
      </w:pPr>
    </w:p>
    <w:p>
      <w:pPr>
        <w:pStyle w:val="BodyText"/>
        <w:spacing w:line="240" w:lineRule="auto"/>
        <w:ind w:right="0"/>
        <w:jc w:val="left"/>
      </w:pPr>
      <w:r>
        <w:rPr>
          <w:spacing w:val="-4"/>
        </w:rPr>
        <w:t>要，公司以自有资金 </w:t>
      </w:r>
      <w:r>
        <w:rPr>
          <w:rFonts w:ascii="Times New Roman" w:hAnsi="Times New Roman" w:cs="Times New Roman" w:eastAsia="Times New Roman" w:hint="default"/>
        </w:rPr>
        <w:t>550 </w:t>
      </w:r>
      <w:r>
        <w:rPr>
          <w:spacing w:val="-4"/>
        </w:rPr>
        <w:t>万元对杰智融进行增资，增资款全部作为杰智融的注册资本。杰智融于 </w:t>
      </w:r>
      <w:r>
        <w:rPr>
          <w:rFonts w:ascii="Times New Roman" w:hAnsi="Times New Roman" w:cs="Times New Roman" w:eastAsia="Times New Roman" w:hint="default"/>
        </w:rPr>
        <w:t>2019 </w:t>
      </w:r>
      <w:r>
        <w:rPr/>
        <w:t>年 </w:t>
      </w:r>
      <w:r>
        <w:rPr>
          <w:rFonts w:ascii="Times New Roman" w:hAnsi="Times New Roman" w:cs="Times New Roman" w:eastAsia="Times New Roman" w:hint="default"/>
          <w:spacing w:val="-5"/>
        </w:rPr>
        <w:t>11</w:t>
      </w:r>
      <w:r>
        <w:rPr>
          <w:rFonts w:ascii="Times New Roman" w:hAnsi="Times New Roman" w:cs="Times New Roman" w:eastAsia="Times New Roman" w:hint="default"/>
          <w:spacing w:val="-21"/>
        </w:rPr>
        <w:t> </w:t>
      </w:r>
      <w:r>
        <w:rPr>
          <w:spacing w:val="-3"/>
        </w:rPr>
        <w:t>月完成工商变更</w:t>
      </w:r>
    </w:p>
    <w:p>
      <w:pPr>
        <w:spacing w:after="0" w:line="240" w:lineRule="auto"/>
        <w:jc w:val="left"/>
        <w:sectPr>
          <w:pgSz w:w="11910" w:h="16840"/>
          <w:pgMar w:header="871" w:footer="1186" w:top="1100" w:bottom="1380" w:left="980" w:right="0"/>
        </w:sectPr>
      </w:pPr>
    </w:p>
    <w:p>
      <w:pPr>
        <w:spacing w:line="240" w:lineRule="auto" w:before="1"/>
        <w:rPr>
          <w:rFonts w:ascii="宋体" w:hAnsi="宋体" w:cs="宋体" w:eastAsia="宋体" w:hint="default"/>
          <w:sz w:val="28"/>
          <w:szCs w:val="28"/>
        </w:rPr>
      </w:pPr>
    </w:p>
    <w:p>
      <w:pPr>
        <w:pStyle w:val="BodyText"/>
        <w:spacing w:line="448" w:lineRule="auto" w:before="46"/>
        <w:ind w:left="513" w:right="0" w:hanging="360"/>
        <w:jc w:val="left"/>
      </w:pPr>
      <w:r>
        <w:rPr/>
        <w:t>登记，公司持有杰智融</w:t>
      </w:r>
      <w:r>
        <w:rPr>
          <w:spacing w:val="-47"/>
        </w:rPr>
        <w:t> </w:t>
      </w:r>
      <w:r>
        <w:rPr>
          <w:rFonts w:ascii="Times New Roman" w:hAnsi="Times New Roman" w:cs="Times New Roman" w:eastAsia="Times New Roman" w:hint="default"/>
          <w:spacing w:val="-3"/>
        </w:rPr>
        <w:t>55%</w:t>
      </w:r>
      <w:r>
        <w:rPr>
          <w:spacing w:val="-3"/>
        </w:rPr>
        <w:t>的股权，杰智融成为公司的控股子公司。</w:t>
      </w:r>
      <w:r>
        <w:rPr>
          <w:spacing w:val="-30"/>
        </w:rPr>
        <w:t> </w:t>
      </w:r>
      <w:r>
        <w:rPr>
          <w:spacing w:val="-30"/>
        </w:rPr>
      </w:r>
      <w:r>
        <w:rPr>
          <w:spacing w:val="-4"/>
        </w:rPr>
        <w:t>本次对杰智融的增资，符合公司的战略布局及长远规划，有利于进一步完善公司业务布局，同时也有利于提升杰智融资</w:t>
      </w:r>
    </w:p>
    <w:p>
      <w:pPr>
        <w:pStyle w:val="BodyText"/>
        <w:spacing w:line="240" w:lineRule="auto" w:before="79"/>
        <w:ind w:right="0"/>
        <w:jc w:val="both"/>
      </w:pPr>
      <w:r>
        <w:rPr>
          <w:spacing w:val="-3"/>
        </w:rPr>
        <w:t>金实力，支撑其业务发展。</w:t>
      </w:r>
    </w:p>
    <w:p>
      <w:pPr>
        <w:spacing w:line="240" w:lineRule="auto" w:before="8"/>
        <w:rPr>
          <w:rFonts w:ascii="宋体" w:hAnsi="宋体" w:cs="宋体" w:eastAsia="宋体" w:hint="default"/>
          <w:sz w:val="17"/>
          <w:szCs w:val="17"/>
        </w:rPr>
      </w:pPr>
    </w:p>
    <w:p>
      <w:pPr>
        <w:pStyle w:val="BodyText"/>
        <w:spacing w:line="240" w:lineRule="auto"/>
        <w:ind w:left="513" w:right="0"/>
        <w:jc w:val="left"/>
      </w:pPr>
      <w:r>
        <w:rPr>
          <w:rFonts w:ascii="Times New Roman" w:hAnsi="Times New Roman" w:cs="Times New Roman" w:eastAsia="Times New Roman" w:hint="default"/>
          <w:spacing w:val="-3"/>
        </w:rPr>
        <w:t>2</w:t>
      </w:r>
      <w:r>
        <w:rPr>
          <w:spacing w:val="-3"/>
        </w:rPr>
        <w:t>、非公开发行股票募集资金的有关事项</w:t>
      </w:r>
    </w:p>
    <w:p>
      <w:pPr>
        <w:spacing w:line="240" w:lineRule="auto" w:before="12"/>
        <w:rPr>
          <w:rFonts w:ascii="宋体" w:hAnsi="宋体" w:cs="宋体" w:eastAsia="宋体" w:hint="default"/>
          <w:sz w:val="16"/>
          <w:szCs w:val="16"/>
        </w:rPr>
      </w:pPr>
    </w:p>
    <w:p>
      <w:pPr>
        <w:pStyle w:val="BodyText"/>
        <w:spacing w:line="240" w:lineRule="auto"/>
        <w:ind w:left="513" w:right="0"/>
        <w:jc w:val="left"/>
      </w:pPr>
      <w:r>
        <w:rPr/>
        <w:t>公司分别于</w:t>
      </w:r>
      <w:r>
        <w:rPr>
          <w:spacing w:val="-36"/>
        </w:rPr>
        <w:t> </w:t>
      </w:r>
      <w:r>
        <w:rPr>
          <w:rFonts w:ascii="Times New Roman" w:hAnsi="Times New Roman" w:cs="Times New Roman" w:eastAsia="Times New Roman" w:hint="default"/>
          <w:spacing w:val="-3"/>
        </w:rPr>
        <w:t>2020</w:t>
      </w:r>
      <w:r>
        <w:rPr>
          <w:rFonts w:ascii="Times New Roman" w:hAnsi="Times New Roman" w:cs="Times New Roman" w:eastAsia="Times New Roman" w:hint="default"/>
          <w:spacing w:val="3"/>
        </w:rPr>
        <w:t> </w:t>
      </w:r>
      <w:r>
        <w:rPr/>
        <w:t>年</w:t>
      </w:r>
      <w:r>
        <w:rPr>
          <w:spacing w:val="-42"/>
        </w:rPr>
        <w:t> </w:t>
      </w:r>
      <w:r>
        <w:rPr>
          <w:rFonts w:ascii="Times New Roman" w:hAnsi="Times New Roman" w:cs="Times New Roman" w:eastAsia="Times New Roman" w:hint="default"/>
        </w:rPr>
        <w:t>4</w:t>
      </w:r>
      <w:r>
        <w:rPr>
          <w:rFonts w:ascii="Times New Roman" w:hAnsi="Times New Roman" w:cs="Times New Roman" w:eastAsia="Times New Roman" w:hint="default"/>
          <w:spacing w:val="3"/>
        </w:rPr>
        <w:t> </w:t>
      </w:r>
      <w:r>
        <w:rPr/>
        <w:t>月</w:t>
      </w:r>
      <w:r>
        <w:rPr>
          <w:spacing w:val="-36"/>
        </w:rPr>
        <w:t> </w:t>
      </w:r>
      <w:r>
        <w:rPr>
          <w:rFonts w:ascii="Times New Roman" w:hAnsi="Times New Roman" w:cs="Times New Roman" w:eastAsia="Times New Roman" w:hint="default"/>
        </w:rPr>
        <w:t>8</w:t>
      </w:r>
      <w:r>
        <w:rPr>
          <w:rFonts w:ascii="Times New Roman" w:hAnsi="Times New Roman" w:cs="Times New Roman" w:eastAsia="Times New Roman" w:hint="default"/>
          <w:spacing w:val="-3"/>
        </w:rPr>
        <w:t> </w:t>
      </w:r>
      <w:r>
        <w:rPr/>
        <w:t>日、</w:t>
      </w:r>
      <w:r>
        <w:rPr>
          <w:rFonts w:ascii="Times New Roman" w:hAnsi="Times New Roman" w:cs="Times New Roman" w:eastAsia="Times New Roman" w:hint="default"/>
        </w:rPr>
        <w:t>2020</w:t>
      </w:r>
      <w:r>
        <w:rPr>
          <w:rFonts w:ascii="Times New Roman" w:hAnsi="Times New Roman" w:cs="Times New Roman" w:eastAsia="Times New Roman" w:hint="default"/>
          <w:spacing w:val="3"/>
        </w:rPr>
        <w:t> </w:t>
      </w:r>
      <w:r>
        <w:rPr/>
        <w:t>年</w:t>
      </w:r>
      <w:r>
        <w:rPr>
          <w:spacing w:val="-41"/>
        </w:rPr>
        <w:t> </w:t>
      </w:r>
      <w:r>
        <w:rPr>
          <w:rFonts w:ascii="Times New Roman" w:hAnsi="Times New Roman" w:cs="Times New Roman" w:eastAsia="Times New Roman" w:hint="default"/>
        </w:rPr>
        <w:t>4</w:t>
      </w:r>
      <w:r>
        <w:rPr>
          <w:rFonts w:ascii="Times New Roman" w:hAnsi="Times New Roman" w:cs="Times New Roman" w:eastAsia="Times New Roman" w:hint="default"/>
          <w:spacing w:val="3"/>
        </w:rPr>
        <w:t> </w:t>
      </w:r>
      <w:r>
        <w:rPr/>
        <w:t>月</w:t>
      </w:r>
      <w:r>
        <w:rPr>
          <w:spacing w:val="-36"/>
        </w:rPr>
        <w:t> </w:t>
      </w:r>
      <w:r>
        <w:rPr>
          <w:rFonts w:ascii="Times New Roman" w:hAnsi="Times New Roman" w:cs="Times New Roman" w:eastAsia="Times New Roman" w:hint="default"/>
          <w:spacing w:val="-3"/>
        </w:rPr>
        <w:t>24</w:t>
      </w:r>
      <w:r>
        <w:rPr>
          <w:rFonts w:ascii="Times New Roman" w:hAnsi="Times New Roman" w:cs="Times New Roman" w:eastAsia="Times New Roman" w:hint="default"/>
          <w:spacing w:val="3"/>
        </w:rPr>
        <w:t> </w:t>
      </w:r>
      <w:r>
        <w:rPr>
          <w:spacing w:val="-3"/>
        </w:rPr>
        <w:t>日召开了第四届董事会第二十一次会议、</w:t>
      </w:r>
      <w:r>
        <w:rPr>
          <w:rFonts w:ascii="Times New Roman" w:hAnsi="Times New Roman" w:cs="Times New Roman" w:eastAsia="Times New Roman" w:hint="default"/>
          <w:spacing w:val="-3"/>
        </w:rPr>
        <w:t>2020 </w:t>
      </w:r>
      <w:r>
        <w:rPr>
          <w:spacing w:val="-3"/>
        </w:rPr>
        <w:t>年第一次临时股东大会，</w:t>
      </w:r>
    </w:p>
    <w:p>
      <w:pPr>
        <w:spacing w:line="240" w:lineRule="auto" w:before="7"/>
        <w:rPr>
          <w:rFonts w:ascii="宋体" w:hAnsi="宋体" w:cs="宋体" w:eastAsia="宋体" w:hint="default"/>
          <w:sz w:val="16"/>
          <w:szCs w:val="16"/>
        </w:rPr>
      </w:pPr>
    </w:p>
    <w:p>
      <w:pPr>
        <w:pStyle w:val="BodyText"/>
        <w:spacing w:line="451" w:lineRule="auto"/>
        <w:ind w:right="1122"/>
        <w:jc w:val="both"/>
      </w:pPr>
      <w:r>
        <w:rPr>
          <w:spacing w:val="-4"/>
        </w:rPr>
        <w:t>审议通过了非公开发行股票募集资金的相关议案，拟募集资金总额不超过 </w:t>
      </w:r>
      <w:r>
        <w:rPr>
          <w:rFonts w:ascii="Times New Roman" w:hAnsi="Times New Roman" w:cs="Times New Roman" w:eastAsia="Times New Roman" w:hint="default"/>
        </w:rPr>
        <w:t>135,297.50 </w:t>
      </w:r>
      <w:r>
        <w:rPr>
          <w:spacing w:val="-5"/>
        </w:rPr>
        <w:t>万元，本次非公开发行股票募集资金扣</w:t>
      </w:r>
      <w:r>
        <w:rPr>
          <w:spacing w:val="-46"/>
        </w:rPr>
        <w:t> </w:t>
      </w:r>
      <w:r>
        <w:rPr>
          <w:spacing w:val="-46"/>
        </w:rPr>
      </w:r>
      <w:r>
        <w:rPr>
          <w:spacing w:val="-4"/>
        </w:rPr>
        <w:t>除发行费用后将用于</w:t>
      </w:r>
      <w:r>
        <w:rPr>
          <w:rFonts w:ascii="Times New Roman" w:hAnsi="Times New Roman" w:cs="Times New Roman" w:eastAsia="Times New Roman" w:hint="default"/>
          <w:spacing w:val="-4"/>
        </w:rPr>
        <w:t>“</w:t>
      </w:r>
      <w:r>
        <w:rPr>
          <w:spacing w:val="-4"/>
        </w:rPr>
        <w:t>银行数字化转型解决方案项目</w:t>
      </w:r>
      <w:r>
        <w:rPr>
          <w:rFonts w:ascii="Times New Roman" w:hAnsi="Times New Roman" w:cs="Times New Roman" w:eastAsia="Times New Roman" w:hint="default"/>
          <w:spacing w:val="-4"/>
        </w:rPr>
        <w:t>”</w:t>
      </w:r>
      <w:r>
        <w:rPr>
          <w:spacing w:val="-4"/>
        </w:rPr>
        <w:t>、</w:t>
      </w:r>
      <w:r>
        <w:rPr>
          <w:rFonts w:ascii="Times New Roman" w:hAnsi="Times New Roman" w:cs="Times New Roman" w:eastAsia="Times New Roman" w:hint="default"/>
          <w:spacing w:val="-4"/>
        </w:rPr>
        <w:t>“</w:t>
      </w:r>
      <w:r>
        <w:rPr>
          <w:spacing w:val="-4"/>
        </w:rPr>
        <w:t>银行智能设备产业化项目</w:t>
      </w:r>
      <w:r>
        <w:rPr>
          <w:rFonts w:ascii="Times New Roman" w:hAnsi="Times New Roman" w:cs="Times New Roman" w:eastAsia="Times New Roman" w:hint="default"/>
          <w:spacing w:val="-4"/>
        </w:rPr>
        <w:t>”</w:t>
      </w:r>
      <w:r>
        <w:rPr>
          <w:spacing w:val="-4"/>
        </w:rPr>
        <w:t>、</w:t>
      </w:r>
      <w:r>
        <w:rPr>
          <w:rFonts w:ascii="Times New Roman" w:hAnsi="Times New Roman" w:cs="Times New Roman" w:eastAsia="Times New Roman" w:hint="default"/>
          <w:spacing w:val="-4"/>
        </w:rPr>
        <w:t>“</w:t>
      </w:r>
      <w:r>
        <w:rPr>
          <w:spacing w:val="-4"/>
        </w:rPr>
        <w:t>研发中心项目</w:t>
      </w:r>
      <w:r>
        <w:rPr>
          <w:rFonts w:ascii="Times New Roman" w:hAnsi="Times New Roman" w:cs="Times New Roman" w:eastAsia="Times New Roman" w:hint="default"/>
          <w:spacing w:val="-4"/>
        </w:rPr>
        <w:t>”</w:t>
      </w:r>
      <w:r>
        <w:rPr>
          <w:spacing w:val="-4"/>
        </w:rPr>
        <w:t>、</w:t>
      </w:r>
      <w:r>
        <w:rPr>
          <w:rFonts w:ascii="Times New Roman" w:hAnsi="Times New Roman" w:cs="Times New Roman" w:eastAsia="Times New Roman" w:hint="default"/>
          <w:spacing w:val="-4"/>
        </w:rPr>
        <w:t>“</w:t>
      </w:r>
      <w:r>
        <w:rPr>
          <w:spacing w:val="-4"/>
        </w:rPr>
        <w:t>补充流动资金</w:t>
      </w:r>
      <w:r>
        <w:rPr>
          <w:rFonts w:ascii="Times New Roman" w:hAnsi="Times New Roman" w:cs="Times New Roman" w:eastAsia="Times New Roman" w:hint="default"/>
          <w:spacing w:val="-4"/>
        </w:rPr>
        <w:t>”</w:t>
      </w:r>
      <w:r>
        <w:rPr>
          <w:spacing w:val="-4"/>
        </w:rPr>
        <w:t>和</w:t>
      </w:r>
      <w:r>
        <w:rPr>
          <w:rFonts w:ascii="Times New Roman" w:hAnsi="Times New Roman" w:cs="Times New Roman" w:eastAsia="Times New Roman" w:hint="default"/>
          <w:spacing w:val="-4"/>
        </w:rPr>
        <w:t>“</w:t>
      </w:r>
      <w:r>
        <w:rPr>
          <w:spacing w:val="-4"/>
        </w:rPr>
        <w:t>偿</w:t>
      </w:r>
      <w:r>
        <w:rPr>
          <w:spacing w:val="53"/>
        </w:rPr>
        <w:t> </w:t>
      </w:r>
      <w:r>
        <w:rPr>
          <w:spacing w:val="-3"/>
        </w:rPr>
        <w:t>还银行贷款</w:t>
      </w:r>
      <w:r>
        <w:rPr>
          <w:rFonts w:ascii="Times New Roman" w:hAnsi="Times New Roman" w:cs="Times New Roman" w:eastAsia="Times New Roman" w:hint="default"/>
          <w:spacing w:val="-3"/>
        </w:rPr>
        <w:t>”</w:t>
      </w:r>
      <w:r>
        <w:rPr>
          <w:spacing w:val="-3"/>
        </w:rPr>
        <w:t>。本次非公开发行股票事项尚需经中国证监会核准。</w:t>
      </w:r>
    </w:p>
    <w:p>
      <w:pPr>
        <w:spacing w:line="240" w:lineRule="auto" w:before="2"/>
        <w:rPr>
          <w:rFonts w:ascii="宋体" w:hAnsi="宋体" w:cs="宋体" w:eastAsia="宋体" w:hint="default"/>
          <w:sz w:val="16"/>
          <w:szCs w:val="16"/>
        </w:rPr>
      </w:pPr>
    </w:p>
    <w:p>
      <w:pPr>
        <w:pStyle w:val="Heading2"/>
        <w:spacing w:line="240" w:lineRule="auto"/>
        <w:ind w:right="0"/>
        <w:jc w:val="both"/>
        <w:rPr>
          <w:b w:val="0"/>
          <w:bCs w:val="0"/>
        </w:rPr>
      </w:pPr>
      <w:bookmarkStart w:name="十九、公司子公司重大事项" w:id="102"/>
      <w:bookmarkEnd w:id="102"/>
      <w:r>
        <w:rPr>
          <w:b w:val="0"/>
          <w:bCs w:val="0"/>
        </w:rPr>
      </w:r>
      <w:r>
        <w:rPr/>
        <w:t>十九、公司子公司重大事项</w:t>
      </w:r>
      <w:r>
        <w:rPr>
          <w:b w:val="0"/>
          <w:bCs w:val="0"/>
        </w:rPr>
      </w:r>
    </w:p>
    <w:p>
      <w:pPr>
        <w:spacing w:line="240" w:lineRule="auto" w:before="3"/>
        <w:rPr>
          <w:rFonts w:ascii="宋体" w:hAnsi="宋体" w:cs="宋体" w:eastAsia="宋体" w:hint="default"/>
          <w:b/>
          <w:bCs/>
          <w:sz w:val="27"/>
          <w:szCs w:val="27"/>
        </w:rPr>
      </w:pPr>
    </w:p>
    <w:p>
      <w:pPr>
        <w:pStyle w:val="BodyText"/>
        <w:spacing w:line="240" w:lineRule="auto"/>
        <w:ind w:right="0"/>
        <w:jc w:val="both"/>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13"/>
        <w:rPr>
          <w:rFonts w:ascii="宋体" w:hAnsi="宋体" w:cs="宋体" w:eastAsia="宋体" w:hint="default"/>
          <w:sz w:val="13"/>
          <w:szCs w:val="13"/>
        </w:rPr>
      </w:pPr>
    </w:p>
    <w:p>
      <w:pPr>
        <w:pStyle w:val="BodyText"/>
        <w:spacing w:line="240" w:lineRule="auto"/>
        <w:ind w:left="513" w:right="0"/>
        <w:jc w:val="left"/>
      </w:pPr>
      <w:r>
        <w:rPr>
          <w:rFonts w:ascii="Times New Roman" w:hAnsi="Times New Roman" w:cs="Times New Roman" w:eastAsia="Times New Roman" w:hint="default"/>
          <w:spacing w:val="-3"/>
        </w:rPr>
        <w:t>1</w:t>
      </w:r>
      <w:r>
        <w:rPr>
          <w:spacing w:val="-3"/>
        </w:rPr>
        <w:t>、亿美软通清算并注销福建片仔癀银之杰健康管理有限公司的相关情况</w:t>
      </w:r>
    </w:p>
    <w:p>
      <w:pPr>
        <w:spacing w:line="240" w:lineRule="auto" w:before="7"/>
        <w:rPr>
          <w:rFonts w:ascii="宋体" w:hAnsi="宋体" w:cs="宋体" w:eastAsia="宋体" w:hint="default"/>
          <w:sz w:val="16"/>
          <w:szCs w:val="16"/>
        </w:rPr>
      </w:pPr>
    </w:p>
    <w:p>
      <w:pPr>
        <w:pStyle w:val="BodyText"/>
        <w:spacing w:line="240" w:lineRule="auto"/>
        <w:ind w:left="513" w:right="0"/>
        <w:jc w:val="left"/>
      </w:pPr>
      <w:r>
        <w:rPr>
          <w:rFonts w:ascii="Times New Roman" w:hAnsi="Times New Roman" w:cs="Times New Roman" w:eastAsia="Times New Roman" w:hint="default"/>
        </w:rPr>
        <w:t>2018</w:t>
      </w:r>
      <w:r>
        <w:rPr>
          <w:rFonts w:ascii="Times New Roman" w:hAnsi="Times New Roman" w:cs="Times New Roman" w:eastAsia="Times New Roman" w:hint="default"/>
          <w:spacing w:val="-2"/>
        </w:rPr>
        <w:t> </w:t>
      </w:r>
      <w:r>
        <w:rPr/>
        <w:t>年</w:t>
      </w:r>
      <w:r>
        <w:rPr>
          <w:spacing w:val="-35"/>
        </w:rPr>
        <w:t> </w:t>
      </w:r>
      <w:r>
        <w:rPr>
          <w:rFonts w:ascii="Times New Roman" w:hAnsi="Times New Roman" w:cs="Times New Roman" w:eastAsia="Times New Roman" w:hint="default"/>
          <w:spacing w:val="-3"/>
        </w:rPr>
        <w:t>10</w:t>
      </w:r>
      <w:r>
        <w:rPr>
          <w:rFonts w:ascii="Times New Roman" w:hAnsi="Times New Roman" w:cs="Times New Roman" w:eastAsia="Times New Roman" w:hint="default"/>
          <w:spacing w:val="3"/>
        </w:rPr>
        <w:t> </w:t>
      </w:r>
      <w:r>
        <w:rPr/>
        <w:t>月</w:t>
      </w:r>
      <w:r>
        <w:rPr>
          <w:spacing w:val="-35"/>
        </w:rPr>
        <w:t> </w:t>
      </w:r>
      <w:r>
        <w:rPr>
          <w:rFonts w:ascii="Times New Roman" w:hAnsi="Times New Roman" w:cs="Times New Roman" w:eastAsia="Times New Roman" w:hint="default"/>
          <w:spacing w:val="-3"/>
        </w:rPr>
        <w:t>29</w:t>
      </w:r>
      <w:r>
        <w:rPr>
          <w:rFonts w:ascii="Times New Roman" w:hAnsi="Times New Roman" w:cs="Times New Roman" w:eastAsia="Times New Roman" w:hint="default"/>
          <w:spacing w:val="3"/>
        </w:rPr>
        <w:t> </w:t>
      </w:r>
      <w:r>
        <w:rPr/>
        <w:t>日，经公司</w:t>
      </w:r>
      <w:r>
        <w:rPr>
          <w:spacing w:val="-35"/>
        </w:rPr>
        <w:t> </w:t>
      </w:r>
      <w:r>
        <w:rPr>
          <w:rFonts w:ascii="Times New Roman" w:hAnsi="Times New Roman" w:cs="Times New Roman" w:eastAsia="Times New Roman" w:hint="default"/>
        </w:rPr>
        <w:t>2018</w:t>
      </w:r>
      <w:r>
        <w:rPr>
          <w:rFonts w:ascii="Times New Roman" w:hAnsi="Times New Roman" w:cs="Times New Roman" w:eastAsia="Times New Roman" w:hint="default"/>
          <w:spacing w:val="-3"/>
        </w:rPr>
        <w:t> </w:t>
      </w:r>
      <w:r>
        <w:rPr/>
        <w:t>年</w:t>
      </w:r>
      <w:r>
        <w:rPr>
          <w:spacing w:val="-35"/>
        </w:rPr>
        <w:t> </w:t>
      </w:r>
      <w:r>
        <w:rPr>
          <w:rFonts w:ascii="Times New Roman" w:hAnsi="Times New Roman" w:cs="Times New Roman" w:eastAsia="Times New Roman" w:hint="default"/>
          <w:spacing w:val="-3"/>
        </w:rPr>
        <w:t>10</w:t>
      </w:r>
      <w:r>
        <w:rPr>
          <w:rFonts w:ascii="Times New Roman" w:hAnsi="Times New Roman" w:cs="Times New Roman" w:eastAsia="Times New Roman" w:hint="default"/>
          <w:spacing w:val="5"/>
        </w:rPr>
        <w:t> </w:t>
      </w:r>
      <w:r>
        <w:rPr/>
        <w:t>月</w:t>
      </w:r>
      <w:r>
        <w:rPr>
          <w:spacing w:val="-35"/>
        </w:rPr>
        <w:t> </w:t>
      </w:r>
      <w:r>
        <w:rPr>
          <w:rFonts w:ascii="Times New Roman" w:hAnsi="Times New Roman" w:cs="Times New Roman" w:eastAsia="Times New Roman" w:hint="default"/>
          <w:spacing w:val="-3"/>
        </w:rPr>
        <w:t>29</w:t>
      </w:r>
      <w:r>
        <w:rPr>
          <w:rFonts w:ascii="Times New Roman" w:hAnsi="Times New Roman" w:cs="Times New Roman" w:eastAsia="Times New Roman" w:hint="default"/>
          <w:spacing w:val="3"/>
        </w:rPr>
        <w:t> </w:t>
      </w:r>
      <w:r>
        <w:rPr>
          <w:spacing w:val="-3"/>
        </w:rPr>
        <w:t>日召开的第四届董事会第十四次会议审议通过，同意亿美软通清算并注销</w:t>
      </w:r>
    </w:p>
    <w:p>
      <w:pPr>
        <w:spacing w:line="240" w:lineRule="auto" w:before="12"/>
        <w:rPr>
          <w:rFonts w:ascii="宋体" w:hAnsi="宋体" w:cs="宋体" w:eastAsia="宋体" w:hint="default"/>
          <w:sz w:val="16"/>
          <w:szCs w:val="16"/>
        </w:rPr>
      </w:pPr>
    </w:p>
    <w:p>
      <w:pPr>
        <w:pStyle w:val="BodyText"/>
        <w:spacing w:line="240" w:lineRule="auto"/>
        <w:ind w:right="0"/>
        <w:jc w:val="both"/>
      </w:pPr>
      <w:r>
        <w:rPr>
          <w:spacing w:val="-4"/>
        </w:rPr>
        <w:t>参股公司福建片仔癀银之杰健康管理有限公司。详见公司 </w:t>
      </w:r>
      <w:r>
        <w:rPr>
          <w:rFonts w:ascii="Times New Roman" w:hAnsi="Times New Roman" w:cs="Times New Roman" w:eastAsia="Times New Roman" w:hint="default"/>
        </w:rPr>
        <w:t>2018 </w:t>
      </w:r>
      <w:r>
        <w:rPr/>
        <w:t>年 </w:t>
      </w:r>
      <w:r>
        <w:rPr>
          <w:rFonts w:ascii="Times New Roman" w:hAnsi="Times New Roman" w:cs="Times New Roman" w:eastAsia="Times New Roman" w:hint="default"/>
        </w:rPr>
        <w:t>10 </w:t>
      </w:r>
      <w:r>
        <w:rPr/>
        <w:t>月 </w:t>
      </w:r>
      <w:r>
        <w:rPr>
          <w:rFonts w:ascii="Times New Roman" w:hAnsi="Times New Roman" w:cs="Times New Roman" w:eastAsia="Times New Roman" w:hint="default"/>
        </w:rPr>
        <w:t>30</w:t>
      </w:r>
      <w:r>
        <w:rPr>
          <w:rFonts w:ascii="Times New Roman" w:hAnsi="Times New Roman" w:cs="Times New Roman" w:eastAsia="Times New Roman" w:hint="default"/>
          <w:spacing w:val="-20"/>
        </w:rPr>
        <w:t> </w:t>
      </w:r>
      <w:r>
        <w:rPr>
          <w:spacing w:val="-7"/>
        </w:rPr>
        <w:t>日披露于巨潮资讯网（</w:t>
      </w:r>
      <w:hyperlink r:id="rId13">
        <w:r>
          <w:rPr>
            <w:rFonts w:ascii="Times New Roman" w:hAnsi="Times New Roman" w:cs="Times New Roman" w:eastAsia="Times New Roman" w:hint="default"/>
            <w:spacing w:val="-7"/>
          </w:rPr>
          <w:t>www.cninfo.com.cn</w:t>
        </w:r>
      </w:hyperlink>
      <w:r>
        <w:rPr>
          <w:spacing w:val="-7"/>
        </w:rPr>
        <w:t>）的《第</w:t>
      </w:r>
    </w:p>
    <w:p>
      <w:pPr>
        <w:spacing w:line="240" w:lineRule="auto" w:before="7"/>
        <w:rPr>
          <w:rFonts w:ascii="宋体" w:hAnsi="宋体" w:cs="宋体" w:eastAsia="宋体" w:hint="default"/>
          <w:sz w:val="16"/>
          <w:szCs w:val="16"/>
        </w:rPr>
      </w:pPr>
    </w:p>
    <w:p>
      <w:pPr>
        <w:pStyle w:val="BodyText"/>
        <w:spacing w:line="240" w:lineRule="auto"/>
        <w:ind w:right="0"/>
        <w:jc w:val="both"/>
      </w:pPr>
      <w:r>
        <w:rPr>
          <w:w w:val="101"/>
        </w:rPr>
        <w:t>四</w:t>
      </w:r>
      <w:r>
        <w:rPr>
          <w:spacing w:val="-5"/>
          <w:w w:val="101"/>
        </w:rPr>
        <w:t>届</w:t>
      </w:r>
      <w:r>
        <w:rPr>
          <w:w w:val="101"/>
        </w:rPr>
        <w:t>董</w:t>
      </w:r>
      <w:r>
        <w:rPr>
          <w:spacing w:val="-5"/>
          <w:w w:val="101"/>
        </w:rPr>
        <w:t>事</w:t>
      </w:r>
      <w:r>
        <w:rPr>
          <w:w w:val="101"/>
        </w:rPr>
        <w:t>会</w:t>
      </w:r>
      <w:r>
        <w:rPr>
          <w:spacing w:val="-5"/>
          <w:w w:val="101"/>
        </w:rPr>
        <w:t>第</w:t>
      </w:r>
      <w:r>
        <w:rPr>
          <w:w w:val="101"/>
        </w:rPr>
        <w:t>十</w:t>
      </w:r>
      <w:r>
        <w:rPr>
          <w:spacing w:val="-5"/>
          <w:w w:val="101"/>
        </w:rPr>
        <w:t>四</w:t>
      </w:r>
      <w:r>
        <w:rPr>
          <w:w w:val="101"/>
        </w:rPr>
        <w:t>次</w:t>
      </w:r>
      <w:r>
        <w:rPr>
          <w:spacing w:val="-5"/>
          <w:w w:val="101"/>
        </w:rPr>
        <w:t>会</w:t>
      </w:r>
      <w:r>
        <w:rPr>
          <w:w w:val="101"/>
        </w:rPr>
        <w:t>议</w:t>
      </w:r>
      <w:r>
        <w:rPr>
          <w:spacing w:val="-5"/>
          <w:w w:val="101"/>
        </w:rPr>
        <w:t>决</w:t>
      </w:r>
      <w:r>
        <w:rPr>
          <w:w w:val="101"/>
        </w:rPr>
        <w:t>议</w:t>
      </w:r>
      <w:r>
        <w:rPr>
          <w:spacing w:val="-5"/>
          <w:w w:val="101"/>
        </w:rPr>
        <w:t>公</w:t>
      </w:r>
      <w:r>
        <w:rPr>
          <w:w w:val="101"/>
        </w:rPr>
        <w:t>告</w:t>
      </w:r>
      <w:r>
        <w:rPr>
          <w:spacing w:val="-111"/>
          <w:w w:val="101"/>
        </w:rPr>
        <w:t>》</w:t>
      </w:r>
      <w:r>
        <w:rPr>
          <w:spacing w:val="-5"/>
          <w:w w:val="101"/>
        </w:rPr>
        <w:t>（</w:t>
      </w:r>
      <w:r>
        <w:rPr>
          <w:w w:val="101"/>
        </w:rPr>
        <w:t>公</w:t>
      </w:r>
      <w:r>
        <w:rPr>
          <w:spacing w:val="-5"/>
          <w:w w:val="101"/>
        </w:rPr>
        <w:t>告</w:t>
      </w:r>
      <w:r>
        <w:rPr>
          <w:w w:val="101"/>
        </w:rPr>
        <w:t>编号</w:t>
      </w:r>
      <w:r>
        <w:rPr>
          <w:spacing w:val="-19"/>
          <w:w w:val="101"/>
        </w:rPr>
        <w:t>：</w:t>
      </w:r>
      <w:r>
        <w:rPr>
          <w:rFonts w:ascii="Times New Roman" w:hAnsi="Times New Roman" w:cs="Times New Roman" w:eastAsia="Times New Roman" w:hint="default"/>
          <w:spacing w:val="-5"/>
          <w:w w:val="101"/>
        </w:rPr>
        <w:t>2</w:t>
      </w:r>
      <w:r>
        <w:rPr>
          <w:rFonts w:ascii="Times New Roman" w:hAnsi="Times New Roman" w:cs="Times New Roman" w:eastAsia="Times New Roman" w:hint="default"/>
          <w:w w:val="101"/>
        </w:rPr>
        <w:t>01</w:t>
      </w:r>
      <w:r>
        <w:rPr>
          <w:rFonts w:ascii="Times New Roman" w:hAnsi="Times New Roman" w:cs="Times New Roman" w:eastAsia="Times New Roman" w:hint="default"/>
          <w:spacing w:val="-1"/>
          <w:w w:val="101"/>
        </w:rPr>
        <w:t>8</w:t>
      </w:r>
      <w:r>
        <w:rPr>
          <w:rFonts w:ascii="Times New Roman" w:hAnsi="Times New Roman" w:cs="Times New Roman" w:eastAsia="Times New Roman" w:hint="default"/>
          <w:spacing w:val="-4"/>
          <w:w w:val="101"/>
        </w:rPr>
        <w:t>-</w:t>
      </w:r>
      <w:r>
        <w:rPr>
          <w:rFonts w:ascii="Times New Roman" w:hAnsi="Times New Roman" w:cs="Times New Roman" w:eastAsia="Times New Roman" w:hint="default"/>
          <w:w w:val="101"/>
        </w:rPr>
        <w:t>05</w:t>
      </w:r>
      <w:r>
        <w:rPr>
          <w:rFonts w:ascii="Times New Roman" w:hAnsi="Times New Roman" w:cs="Times New Roman" w:eastAsia="Times New Roman" w:hint="default"/>
          <w:spacing w:val="-5"/>
          <w:w w:val="101"/>
        </w:rPr>
        <w:t>5</w:t>
      </w:r>
      <w:r>
        <w:rPr>
          <w:spacing w:val="-92"/>
          <w:w w:val="101"/>
        </w:rPr>
        <w:t>）</w:t>
      </w:r>
      <w:r>
        <w:rPr>
          <w:spacing w:val="-19"/>
          <w:w w:val="101"/>
        </w:rPr>
        <w:t>。</w:t>
      </w:r>
      <w:r>
        <w:rPr>
          <w:rFonts w:ascii="Times New Roman" w:hAnsi="Times New Roman" w:cs="Times New Roman" w:eastAsia="Times New Roman" w:hint="default"/>
          <w:spacing w:val="-5"/>
          <w:w w:val="101"/>
        </w:rPr>
        <w:t>2</w:t>
      </w:r>
      <w:r>
        <w:rPr>
          <w:rFonts w:ascii="Times New Roman" w:hAnsi="Times New Roman" w:cs="Times New Roman" w:eastAsia="Times New Roman" w:hint="default"/>
          <w:w w:val="101"/>
        </w:rPr>
        <w:t>019</w:t>
      </w:r>
      <w:r>
        <w:rPr>
          <w:rFonts w:ascii="Times New Roman" w:hAnsi="Times New Roman" w:cs="Times New Roman" w:eastAsia="Times New Roman" w:hint="default"/>
          <w:spacing w:val="-7"/>
        </w:rPr>
        <w:t> </w:t>
      </w:r>
      <w:r>
        <w:rPr>
          <w:w w:val="101"/>
        </w:rPr>
        <w:t>年</w:t>
      </w:r>
      <w:r>
        <w:rPr>
          <w:spacing w:val="-52"/>
        </w:rPr>
        <w:t> </w:t>
      </w:r>
      <w:r>
        <w:rPr>
          <w:rFonts w:ascii="Times New Roman" w:hAnsi="Times New Roman" w:cs="Times New Roman" w:eastAsia="Times New Roman" w:hint="default"/>
          <w:w w:val="101"/>
        </w:rPr>
        <w:t>7</w:t>
      </w:r>
      <w:r>
        <w:rPr>
          <w:rFonts w:ascii="Times New Roman" w:hAnsi="Times New Roman" w:cs="Times New Roman" w:eastAsia="Times New Roman" w:hint="default"/>
          <w:spacing w:val="-7"/>
        </w:rPr>
        <w:t> </w:t>
      </w:r>
      <w:r>
        <w:rPr>
          <w:w w:val="101"/>
        </w:rPr>
        <w:t>月</w:t>
      </w:r>
      <w:r>
        <w:rPr>
          <w:spacing w:val="-52"/>
        </w:rPr>
        <w:t> </w:t>
      </w:r>
      <w:r>
        <w:rPr>
          <w:rFonts w:ascii="Times New Roman" w:hAnsi="Times New Roman" w:cs="Times New Roman" w:eastAsia="Times New Roman" w:hint="default"/>
          <w:w w:val="101"/>
        </w:rPr>
        <w:t>8</w:t>
      </w:r>
      <w:r>
        <w:rPr>
          <w:rFonts w:ascii="Times New Roman" w:hAnsi="Times New Roman" w:cs="Times New Roman" w:eastAsia="Times New Roman" w:hint="default"/>
          <w:spacing w:val="-7"/>
        </w:rPr>
        <w:t> </w:t>
      </w:r>
      <w:r>
        <w:rPr>
          <w:spacing w:val="-5"/>
          <w:w w:val="101"/>
        </w:rPr>
        <w:t>日</w:t>
      </w:r>
      <w:r>
        <w:rPr>
          <w:spacing w:val="-20"/>
          <w:w w:val="101"/>
        </w:rPr>
        <w:t>，</w:t>
      </w:r>
      <w:r>
        <w:rPr>
          <w:spacing w:val="-5"/>
          <w:w w:val="101"/>
        </w:rPr>
        <w:t>片</w:t>
      </w:r>
      <w:r>
        <w:rPr>
          <w:w w:val="101"/>
        </w:rPr>
        <w:t>仔</w:t>
      </w:r>
      <w:r>
        <w:rPr>
          <w:spacing w:val="-5"/>
          <w:w w:val="101"/>
        </w:rPr>
        <w:t>癀</w:t>
      </w:r>
      <w:r>
        <w:rPr>
          <w:w w:val="101"/>
        </w:rPr>
        <w:t>银</w:t>
      </w:r>
      <w:r>
        <w:rPr>
          <w:spacing w:val="-5"/>
          <w:w w:val="101"/>
        </w:rPr>
        <w:t>之</w:t>
      </w:r>
      <w:r>
        <w:rPr>
          <w:w w:val="101"/>
        </w:rPr>
        <w:t>杰</w:t>
      </w:r>
      <w:r>
        <w:rPr>
          <w:spacing w:val="-5"/>
          <w:w w:val="101"/>
        </w:rPr>
        <w:t>收</w:t>
      </w:r>
      <w:r>
        <w:rPr>
          <w:w w:val="101"/>
        </w:rPr>
        <w:t>到</w:t>
      </w:r>
      <w:r>
        <w:rPr>
          <w:spacing w:val="-5"/>
          <w:w w:val="101"/>
        </w:rPr>
        <w:t>了</w:t>
      </w:r>
      <w:r>
        <w:rPr>
          <w:w w:val="101"/>
        </w:rPr>
        <w:t>漳</w:t>
      </w:r>
      <w:r>
        <w:rPr>
          <w:spacing w:val="-5"/>
          <w:w w:val="101"/>
        </w:rPr>
        <w:t>州</w:t>
      </w:r>
      <w:r>
        <w:rPr>
          <w:w w:val="101"/>
        </w:rPr>
        <w:t>市</w:t>
      </w:r>
      <w:r>
        <w:rPr>
          <w:spacing w:val="-5"/>
          <w:w w:val="101"/>
        </w:rPr>
        <w:t>市</w:t>
      </w:r>
      <w:r>
        <w:rPr>
          <w:w w:val="101"/>
        </w:rPr>
        <w:t>场</w:t>
      </w:r>
      <w:r>
        <w:rPr>
          <w:spacing w:val="-5"/>
          <w:w w:val="101"/>
        </w:rPr>
        <w:t>监</w:t>
      </w:r>
      <w:r>
        <w:rPr>
          <w:w w:val="101"/>
        </w:rPr>
        <w:t>督</w:t>
      </w:r>
      <w:r>
        <w:rPr>
          <w:spacing w:val="-5"/>
          <w:w w:val="101"/>
        </w:rPr>
        <w:t>管</w:t>
      </w:r>
      <w:r>
        <w:rPr>
          <w:w w:val="101"/>
        </w:rPr>
        <w:t>理局</w:t>
      </w:r>
      <w:r>
        <w:rPr/>
      </w:r>
    </w:p>
    <w:p>
      <w:pPr>
        <w:spacing w:line="240" w:lineRule="auto" w:before="12"/>
        <w:rPr>
          <w:rFonts w:ascii="宋体" w:hAnsi="宋体" w:cs="宋体" w:eastAsia="宋体" w:hint="default"/>
          <w:sz w:val="16"/>
          <w:szCs w:val="16"/>
        </w:rPr>
      </w:pPr>
    </w:p>
    <w:p>
      <w:pPr>
        <w:pStyle w:val="BodyText"/>
        <w:spacing w:line="448" w:lineRule="auto"/>
        <w:ind w:right="1122"/>
        <w:jc w:val="both"/>
      </w:pPr>
      <w:r>
        <w:rPr>
          <w:spacing w:val="-4"/>
        </w:rPr>
        <w:t>出具的《准予注销登记通知书》</w:t>
      </w:r>
      <w:r>
        <w:rPr>
          <w:rFonts w:ascii="Times New Roman" w:hAnsi="Times New Roman" w:cs="Times New Roman" w:eastAsia="Times New Roman" w:hint="default"/>
          <w:spacing w:val="-4"/>
        </w:rPr>
        <w:t>((</w:t>
      </w:r>
      <w:r>
        <w:rPr>
          <w:spacing w:val="-4"/>
        </w:rPr>
        <w:t>漳</w:t>
      </w:r>
      <w:r>
        <w:rPr>
          <w:rFonts w:ascii="Times New Roman" w:hAnsi="Times New Roman" w:cs="Times New Roman" w:eastAsia="Times New Roman" w:hint="default"/>
          <w:spacing w:val="-4"/>
        </w:rPr>
        <w:t>)</w:t>
      </w:r>
      <w:r>
        <w:rPr>
          <w:spacing w:val="-4"/>
        </w:rPr>
        <w:t>登记内注核字</w:t>
      </w:r>
      <w:r>
        <w:rPr>
          <w:rFonts w:ascii="Times New Roman" w:hAnsi="Times New Roman" w:cs="Times New Roman" w:eastAsia="Times New Roman" w:hint="default"/>
          <w:spacing w:val="-4"/>
        </w:rPr>
        <w:t>[2019]</w:t>
      </w:r>
      <w:r>
        <w:rPr>
          <w:spacing w:val="-4"/>
        </w:rPr>
        <w:t>第 </w:t>
      </w:r>
      <w:r>
        <w:rPr>
          <w:rFonts w:ascii="Times New Roman" w:hAnsi="Times New Roman" w:cs="Times New Roman" w:eastAsia="Times New Roman" w:hint="default"/>
        </w:rPr>
        <w:t>749 </w:t>
      </w:r>
      <w:r>
        <w:rPr>
          <w:spacing w:val="-5"/>
        </w:rPr>
        <w:t>号</w:t>
      </w:r>
      <w:r>
        <w:rPr>
          <w:rFonts w:ascii="Times New Roman" w:hAnsi="Times New Roman" w:cs="Times New Roman" w:eastAsia="Times New Roman" w:hint="default"/>
          <w:spacing w:val="-5"/>
        </w:rPr>
        <w:t>)</w:t>
      </w:r>
      <w:r>
        <w:rPr>
          <w:spacing w:val="-5"/>
        </w:rPr>
        <w:t>，准予片仔癀银之杰注销登记申请。截至本报告期末，片</w:t>
      </w:r>
      <w:r>
        <w:rPr>
          <w:spacing w:val="-6"/>
        </w:rPr>
        <w:t> </w:t>
      </w:r>
      <w:r>
        <w:rPr>
          <w:spacing w:val="-6"/>
        </w:rPr>
      </w:r>
      <w:r>
        <w:rPr>
          <w:spacing w:val="-3"/>
        </w:rPr>
        <w:t>仔癀银之杰的注销登记手续已办理完毕。</w:t>
      </w:r>
    </w:p>
    <w:p>
      <w:pPr>
        <w:pStyle w:val="BodyText"/>
        <w:spacing w:line="240" w:lineRule="auto" w:before="78"/>
        <w:ind w:left="513" w:right="0"/>
        <w:jc w:val="left"/>
      </w:pPr>
      <w:r>
        <w:rPr>
          <w:rFonts w:ascii="Times New Roman" w:hAnsi="Times New Roman" w:cs="Times New Roman" w:eastAsia="Times New Roman" w:hint="default"/>
          <w:spacing w:val="-3"/>
        </w:rPr>
        <w:t>2.</w:t>
      </w:r>
      <w:r>
        <w:rPr>
          <w:spacing w:val="-3"/>
        </w:rPr>
        <w:t>参股公司票联金服股权比例变更的相关情况</w:t>
      </w:r>
    </w:p>
    <w:p>
      <w:pPr>
        <w:spacing w:line="240" w:lineRule="auto" w:before="7"/>
        <w:rPr>
          <w:rFonts w:ascii="宋体" w:hAnsi="宋体" w:cs="宋体" w:eastAsia="宋体" w:hint="default"/>
          <w:sz w:val="16"/>
          <w:szCs w:val="16"/>
        </w:rPr>
      </w:pPr>
    </w:p>
    <w:p>
      <w:pPr>
        <w:pStyle w:val="BodyText"/>
        <w:spacing w:line="240" w:lineRule="auto"/>
        <w:ind w:left="513" w:right="0"/>
        <w:jc w:val="left"/>
      </w:pPr>
      <w:r>
        <w:rPr>
          <w:rFonts w:ascii="Times New Roman" w:hAnsi="Times New Roman" w:cs="Times New Roman" w:eastAsia="Times New Roman" w:hint="default"/>
        </w:rPr>
        <w:t>2019</w:t>
      </w:r>
      <w:r>
        <w:rPr>
          <w:rFonts w:ascii="Times New Roman" w:hAnsi="Times New Roman" w:cs="Times New Roman" w:eastAsia="Times New Roman" w:hint="default"/>
          <w:spacing w:val="6"/>
        </w:rPr>
        <w:t> </w:t>
      </w:r>
      <w:r>
        <w:rPr/>
        <w:t>年</w:t>
      </w:r>
      <w:r>
        <w:rPr>
          <w:spacing w:val="-26"/>
        </w:rPr>
        <w:t> </w:t>
      </w:r>
      <w:r>
        <w:rPr>
          <w:rFonts w:ascii="Times New Roman" w:hAnsi="Times New Roman" w:cs="Times New Roman" w:eastAsia="Times New Roman" w:hint="default"/>
        </w:rPr>
        <w:t>6</w:t>
      </w:r>
      <w:r>
        <w:rPr>
          <w:rFonts w:ascii="Times New Roman" w:hAnsi="Times New Roman" w:cs="Times New Roman" w:eastAsia="Times New Roman" w:hint="default"/>
          <w:spacing w:val="4"/>
        </w:rPr>
        <w:t> </w:t>
      </w:r>
      <w:r>
        <w:rPr>
          <w:spacing w:val="-3"/>
        </w:rPr>
        <w:t>月，公司子公司票联金服召开</w:t>
      </w:r>
      <w:r>
        <w:rPr>
          <w:spacing w:val="-26"/>
        </w:rPr>
        <w:t> </w:t>
      </w:r>
      <w:r>
        <w:rPr>
          <w:rFonts w:ascii="Times New Roman" w:hAnsi="Times New Roman" w:cs="Times New Roman" w:eastAsia="Times New Roman" w:hint="default"/>
        </w:rPr>
        <w:t>2019</w:t>
      </w:r>
      <w:r>
        <w:rPr>
          <w:rFonts w:ascii="Times New Roman" w:hAnsi="Times New Roman" w:cs="Times New Roman" w:eastAsia="Times New Roman" w:hint="default"/>
          <w:spacing w:val="4"/>
        </w:rPr>
        <w:t> </w:t>
      </w:r>
      <w:r>
        <w:rPr>
          <w:spacing w:val="-3"/>
        </w:rPr>
        <w:t>年度第一次临时股东大会，同意票联金服的注册资本由人民币</w:t>
      </w:r>
      <w:r>
        <w:rPr>
          <w:spacing w:val="-24"/>
        </w:rPr>
        <w:t> </w:t>
      </w:r>
      <w:r>
        <w:rPr>
          <w:rFonts w:ascii="Times New Roman" w:hAnsi="Times New Roman" w:cs="Times New Roman" w:eastAsia="Times New Roman" w:hint="default"/>
        </w:rPr>
        <w:t>6000</w:t>
      </w:r>
      <w:r>
        <w:rPr>
          <w:rFonts w:ascii="Times New Roman" w:hAnsi="Times New Roman" w:cs="Times New Roman" w:eastAsia="Times New Roman" w:hint="default"/>
          <w:spacing w:val="4"/>
        </w:rPr>
        <w:t> </w:t>
      </w:r>
      <w:r>
        <w:rPr/>
        <w:t>万元</w:t>
      </w:r>
    </w:p>
    <w:p>
      <w:pPr>
        <w:spacing w:line="240" w:lineRule="auto" w:before="12"/>
        <w:rPr>
          <w:rFonts w:ascii="宋体" w:hAnsi="宋体" w:cs="宋体" w:eastAsia="宋体" w:hint="default"/>
          <w:sz w:val="16"/>
          <w:szCs w:val="16"/>
        </w:rPr>
      </w:pPr>
    </w:p>
    <w:p>
      <w:pPr>
        <w:pStyle w:val="BodyText"/>
        <w:spacing w:line="448" w:lineRule="auto"/>
        <w:ind w:right="1127"/>
        <w:jc w:val="both"/>
      </w:pPr>
      <w:r>
        <w:rPr/>
        <w:t>增至 </w:t>
      </w:r>
      <w:r>
        <w:rPr>
          <w:rFonts w:ascii="Times New Roman" w:hAnsi="Times New Roman" w:cs="Times New Roman" w:eastAsia="Times New Roman" w:hint="default"/>
        </w:rPr>
        <w:t>7575 </w:t>
      </w:r>
      <w:r>
        <w:rPr>
          <w:spacing w:val="-3"/>
        </w:rPr>
        <w:t>万元，公司已无条件放弃本次增资的优先购买权。</w:t>
      </w:r>
      <w:r>
        <w:rPr>
          <w:rFonts w:ascii="Times New Roman" w:hAnsi="Times New Roman" w:cs="Times New Roman" w:eastAsia="Times New Roman" w:hint="default"/>
          <w:spacing w:val="-3"/>
        </w:rPr>
        <w:t>2019 </w:t>
      </w:r>
      <w:r>
        <w:rPr/>
        <w:t>年 </w:t>
      </w:r>
      <w:r>
        <w:rPr>
          <w:rFonts w:ascii="Times New Roman" w:hAnsi="Times New Roman" w:cs="Times New Roman" w:eastAsia="Times New Roman" w:hint="default"/>
        </w:rPr>
        <w:t>7 </w:t>
      </w:r>
      <w:r>
        <w:rPr>
          <w:spacing w:val="-3"/>
        </w:rPr>
        <w:t>月，票联金服本次增资相关手续已完成，公司持有票</w:t>
      </w:r>
      <w:r>
        <w:rPr>
          <w:spacing w:val="-72"/>
        </w:rPr>
        <w:t> </w:t>
      </w:r>
      <w:r>
        <w:rPr>
          <w:spacing w:val="-72"/>
        </w:rPr>
      </w:r>
      <w:r>
        <w:rPr/>
        <w:t>联金服股权的比例降至</w:t>
      </w:r>
      <w:r>
        <w:rPr>
          <w:spacing w:val="87"/>
        </w:rPr>
        <w:t> </w:t>
      </w:r>
      <w:r>
        <w:rPr>
          <w:rFonts w:ascii="Times New Roman" w:hAnsi="Times New Roman" w:cs="Times New Roman" w:eastAsia="Times New Roman" w:hint="default"/>
          <w:spacing w:val="-3"/>
        </w:rPr>
        <w:t>16.17%</w:t>
      </w:r>
      <w:r>
        <w:rPr>
          <w:spacing w:val="-3"/>
        </w:rPr>
        <w:t>，且未向票联金服委派董事或监事职位，公司不再对票联金服的经营管理构成重大影响。</w:t>
      </w:r>
    </w:p>
    <w:p>
      <w:pPr>
        <w:pStyle w:val="BodyText"/>
        <w:spacing w:line="240" w:lineRule="auto" w:before="48"/>
        <w:ind w:left="513" w:right="0"/>
        <w:jc w:val="left"/>
      </w:pPr>
      <w:r>
        <w:rPr>
          <w:rFonts w:ascii="Times New Roman" w:hAnsi="Times New Roman" w:cs="Times New Roman" w:eastAsia="Times New Roman" w:hint="default"/>
          <w:spacing w:val="-3"/>
        </w:rPr>
        <w:t>3.</w:t>
      </w:r>
      <w:r>
        <w:rPr>
          <w:spacing w:val="-3"/>
        </w:rPr>
        <w:t>参股公司智帆金科股权比例变更的相关情况</w:t>
      </w:r>
    </w:p>
    <w:p>
      <w:pPr>
        <w:spacing w:line="240" w:lineRule="auto" w:before="7"/>
        <w:rPr>
          <w:rFonts w:ascii="宋体" w:hAnsi="宋体" w:cs="宋体" w:eastAsia="宋体" w:hint="default"/>
          <w:sz w:val="16"/>
          <w:szCs w:val="16"/>
        </w:rPr>
      </w:pPr>
    </w:p>
    <w:p>
      <w:pPr>
        <w:pStyle w:val="BodyText"/>
        <w:spacing w:line="240" w:lineRule="auto"/>
        <w:ind w:left="513" w:right="0"/>
        <w:jc w:val="left"/>
      </w:pPr>
      <w:r>
        <w:rPr>
          <w:rFonts w:ascii="Times New Roman" w:hAnsi="Times New Roman" w:cs="Times New Roman" w:eastAsia="Times New Roman" w:hint="default"/>
        </w:rPr>
        <w:t>2019  </w:t>
      </w:r>
      <w:r>
        <w:rPr/>
        <w:t>年 </w:t>
      </w:r>
      <w:r>
        <w:rPr>
          <w:rFonts w:ascii="Times New Roman" w:hAnsi="Times New Roman" w:cs="Times New Roman" w:eastAsia="Times New Roman" w:hint="default"/>
        </w:rPr>
        <w:t>9</w:t>
      </w:r>
      <w:r>
        <w:rPr>
          <w:rFonts w:ascii="Times New Roman" w:hAnsi="Times New Roman" w:cs="Times New Roman" w:eastAsia="Times New Roman" w:hint="default"/>
          <w:spacing w:val="33"/>
        </w:rPr>
        <w:t> </w:t>
      </w:r>
      <w:r>
        <w:rPr>
          <w:spacing w:val="-3"/>
        </w:rPr>
        <w:t>月，经公司参股公司智帆金科股东会审议，同意天津众创同道企业管理中心（有限合伙）对智帆金科增资人</w:t>
      </w:r>
    </w:p>
    <w:p>
      <w:pPr>
        <w:spacing w:line="240" w:lineRule="auto" w:before="12"/>
        <w:rPr>
          <w:rFonts w:ascii="宋体" w:hAnsi="宋体" w:cs="宋体" w:eastAsia="宋体" w:hint="default"/>
          <w:sz w:val="16"/>
          <w:szCs w:val="16"/>
        </w:rPr>
      </w:pPr>
    </w:p>
    <w:p>
      <w:pPr>
        <w:pStyle w:val="BodyText"/>
        <w:spacing w:line="451" w:lineRule="auto"/>
        <w:ind w:right="1161"/>
        <w:jc w:val="both"/>
      </w:pPr>
      <w:r>
        <w:rPr/>
        <w:t>民币</w:t>
      </w:r>
      <w:r>
        <w:rPr>
          <w:spacing w:val="-29"/>
        </w:rPr>
        <w:t> </w:t>
      </w:r>
      <w:r>
        <w:rPr>
          <w:rFonts w:ascii="Times New Roman" w:hAnsi="Times New Roman" w:cs="Times New Roman" w:eastAsia="Times New Roman" w:hint="default"/>
        </w:rPr>
        <w:t>300</w:t>
      </w:r>
      <w:r>
        <w:rPr>
          <w:rFonts w:ascii="Times New Roman" w:hAnsi="Times New Roman" w:cs="Times New Roman" w:eastAsia="Times New Roman" w:hint="default"/>
          <w:spacing w:val="9"/>
        </w:rPr>
        <w:t> </w:t>
      </w:r>
      <w:r>
        <w:rPr>
          <w:spacing w:val="-3"/>
        </w:rPr>
        <w:t>万元，智帆金科注册资本由</w:t>
      </w:r>
      <w:r>
        <w:rPr>
          <w:spacing w:val="-29"/>
        </w:rPr>
        <w:t> </w:t>
      </w:r>
      <w:r>
        <w:rPr>
          <w:rFonts w:ascii="Times New Roman" w:hAnsi="Times New Roman" w:cs="Times New Roman" w:eastAsia="Times New Roman" w:hint="default"/>
        </w:rPr>
        <w:t>206.3909</w:t>
      </w:r>
      <w:r>
        <w:rPr>
          <w:rFonts w:ascii="Times New Roman" w:hAnsi="Times New Roman" w:cs="Times New Roman" w:eastAsia="Times New Roman" w:hint="default"/>
          <w:spacing w:val="3"/>
        </w:rPr>
        <w:t> </w:t>
      </w:r>
      <w:r>
        <w:rPr/>
        <w:t>万元增至</w:t>
      </w:r>
      <w:r>
        <w:rPr>
          <w:spacing w:val="-29"/>
        </w:rPr>
        <w:t> </w:t>
      </w:r>
      <w:r>
        <w:rPr>
          <w:rFonts w:ascii="Times New Roman" w:hAnsi="Times New Roman" w:cs="Times New Roman" w:eastAsia="Times New Roman" w:hint="default"/>
        </w:rPr>
        <w:t>210.5187</w:t>
      </w:r>
      <w:r>
        <w:rPr>
          <w:rFonts w:ascii="Times New Roman" w:hAnsi="Times New Roman" w:cs="Times New Roman" w:eastAsia="Times New Roman" w:hint="default"/>
          <w:spacing w:val="9"/>
        </w:rPr>
        <w:t> </w:t>
      </w:r>
      <w:r>
        <w:rPr>
          <w:spacing w:val="-3"/>
        </w:rPr>
        <w:t>万元，公司全资子公司银之杰资产管理放弃本次增资的优</w:t>
      </w:r>
      <w:r>
        <w:rPr>
          <w:spacing w:val="-83"/>
        </w:rPr>
        <w:t> </w:t>
      </w:r>
      <w:r>
        <w:rPr>
          <w:spacing w:val="-83"/>
        </w:rPr>
      </w:r>
      <w:r>
        <w:rPr>
          <w:spacing w:val="-3"/>
        </w:rPr>
        <w:t>先认购权。本次增资完成后，银之杰资产管理持有智帆金科的股权比例降至 </w:t>
      </w:r>
      <w:r>
        <w:rPr>
          <w:rFonts w:ascii="Times New Roman" w:hAnsi="Times New Roman" w:cs="Times New Roman" w:eastAsia="Times New Roman" w:hint="default"/>
          <w:spacing w:val="-3"/>
        </w:rPr>
        <w:t>19.6079%</w:t>
      </w:r>
      <w:r>
        <w:rPr>
          <w:spacing w:val="-3"/>
        </w:rPr>
        <w:t>，且未向智帆金科委派董事或监事职</w:t>
      </w:r>
      <w:r>
        <w:rPr>
          <w:spacing w:val="-54"/>
        </w:rPr>
        <w:t> </w:t>
      </w:r>
      <w:r>
        <w:rPr>
          <w:spacing w:val="-54"/>
        </w:rPr>
      </w:r>
      <w:r>
        <w:rPr>
          <w:spacing w:val="-3"/>
        </w:rPr>
        <w:t>位，不再对智帆金科的经营管理构成重大影响。</w:t>
      </w:r>
    </w:p>
    <w:p>
      <w:pPr>
        <w:spacing w:after="0" w:line="451" w:lineRule="auto"/>
        <w:jc w:val="both"/>
        <w:sectPr>
          <w:pgSz w:w="11910" w:h="16840"/>
          <w:pgMar w:header="871" w:footer="1186" w:top="1100" w:bottom="138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9"/>
          <w:szCs w:val="19"/>
        </w:rPr>
      </w:pPr>
    </w:p>
    <w:p>
      <w:pPr>
        <w:pStyle w:val="Heading1"/>
        <w:spacing w:line="240" w:lineRule="auto"/>
        <w:ind w:left="2967" w:right="0"/>
        <w:jc w:val="left"/>
        <w:rPr>
          <w:b w:val="0"/>
          <w:bCs w:val="0"/>
        </w:rPr>
      </w:pPr>
      <w:bookmarkStart w:name="第六节 股份变动及股东情况" w:id="103"/>
      <w:bookmarkEnd w:id="103"/>
      <w:r>
        <w:rPr>
          <w:b w:val="0"/>
          <w:bCs w:val="0"/>
        </w:rPr>
      </w:r>
      <w:bookmarkStart w:name="_bookmark5" w:id="104"/>
      <w:bookmarkEnd w:id="104"/>
      <w:r>
        <w:rPr>
          <w:b w:val="0"/>
          <w:bCs w:val="0"/>
        </w:rPr>
      </w:r>
      <w:r>
        <w:rPr/>
        <w:t>第六节</w:t>
      </w:r>
      <w:r>
        <w:rPr>
          <w:spacing w:val="1"/>
        </w:rPr>
        <w:t> </w:t>
      </w:r>
      <w:r>
        <w:rPr/>
        <w:t>股份变动及股东情况</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5"/>
          <w:szCs w:val="15"/>
        </w:rPr>
      </w:pPr>
    </w:p>
    <w:p>
      <w:pPr>
        <w:pStyle w:val="Heading2"/>
        <w:spacing w:line="240" w:lineRule="auto" w:before="26"/>
        <w:ind w:right="0"/>
        <w:jc w:val="left"/>
        <w:rPr>
          <w:b w:val="0"/>
          <w:bCs w:val="0"/>
        </w:rPr>
      </w:pPr>
      <w:bookmarkStart w:name="一、股份变动情况" w:id="105"/>
      <w:bookmarkEnd w:id="105"/>
      <w:r>
        <w:rPr>
          <w:b w:val="0"/>
          <w:bCs w:val="0"/>
        </w:rPr>
      </w:r>
      <w:r>
        <w:rPr/>
        <w:t>一、股份变动情况</w:t>
      </w:r>
      <w:r>
        <w:rPr>
          <w:b w:val="0"/>
          <w:bCs w:val="0"/>
        </w:rPr>
      </w:r>
    </w:p>
    <w:p>
      <w:pPr>
        <w:spacing w:line="240" w:lineRule="auto" w:before="3"/>
        <w:rPr>
          <w:rFonts w:ascii="宋体" w:hAnsi="宋体" w:cs="宋体" w:eastAsia="宋体" w:hint="default"/>
          <w:b/>
          <w:bCs/>
          <w:sz w:val="25"/>
          <w:szCs w:val="25"/>
        </w:rPr>
      </w:pPr>
    </w:p>
    <w:p>
      <w:pPr>
        <w:pStyle w:val="Heading3"/>
        <w:spacing w:line="240" w:lineRule="auto"/>
        <w:ind w:right="0"/>
        <w:jc w:val="left"/>
        <w:rPr>
          <w:b w:val="0"/>
          <w:bCs w:val="0"/>
        </w:rPr>
      </w:pPr>
      <w:bookmarkStart w:name="1、股份变动情况" w:id="106"/>
      <w:bookmarkEnd w:id="106"/>
      <w:r>
        <w:rPr>
          <w:b w:val="0"/>
          <w:bCs w:val="0"/>
        </w:rPr>
      </w:r>
      <w:r>
        <w:rPr>
          <w:rFonts w:ascii="Times New Roman" w:hAnsi="Times New Roman" w:cs="Times New Roman" w:eastAsia="Times New Roman" w:hint="default"/>
        </w:rPr>
        <w:t>1</w:t>
      </w:r>
      <w:r>
        <w:rPr/>
        <w:t>、股份变动情况</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6"/>
        <w:ind w:left="0" w:right="1122"/>
        <w:jc w:val="right"/>
      </w:pPr>
      <w:r>
        <w:rPr>
          <w:spacing w:val="-2"/>
        </w:rPr>
        <w:t>单位：股</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964"/>
        <w:gridCol w:w="1073"/>
        <w:gridCol w:w="826"/>
        <w:gridCol w:w="821"/>
        <w:gridCol w:w="826"/>
        <w:gridCol w:w="821"/>
        <w:gridCol w:w="821"/>
        <w:gridCol w:w="634"/>
        <w:gridCol w:w="984"/>
        <w:gridCol w:w="792"/>
      </w:tblGrid>
      <w:tr>
        <w:trPr>
          <w:trHeight w:val="403" w:hRule="exact"/>
        </w:trPr>
        <w:tc>
          <w:tcPr>
            <w:tcW w:w="1964" w:type="dxa"/>
            <w:tcBorders>
              <w:top w:val="single" w:sz="4" w:space="0" w:color="000000"/>
              <w:left w:val="single" w:sz="4" w:space="0" w:color="000000"/>
              <w:bottom w:val="nil" w:sz="6" w:space="0" w:color="auto"/>
              <w:right w:val="single" w:sz="4" w:space="0" w:color="000000"/>
            </w:tcBorders>
            <w:shd w:val="clear" w:color="auto" w:fill="D2D2D2"/>
          </w:tcPr>
          <w:p>
            <w:pPr/>
          </w:p>
        </w:tc>
        <w:tc>
          <w:tcPr>
            <w:tcW w:w="189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01"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3923"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69" w:right="0"/>
              <w:jc w:val="left"/>
              <w:rPr>
                <w:rFonts w:ascii="宋体" w:hAnsi="宋体" w:cs="宋体" w:eastAsia="宋体" w:hint="default"/>
                <w:sz w:val="18"/>
                <w:szCs w:val="18"/>
              </w:rPr>
            </w:pPr>
            <w:r>
              <w:rPr>
                <w:rFonts w:ascii="宋体" w:hAnsi="宋体" w:cs="宋体" w:eastAsia="宋体" w:hint="default"/>
                <w:spacing w:val="-3"/>
                <w:sz w:val="18"/>
                <w:szCs w:val="18"/>
              </w:rPr>
              <w:t>本次变动增减（＋，－）</w:t>
            </w:r>
          </w:p>
        </w:tc>
        <w:tc>
          <w:tcPr>
            <w:tcW w:w="177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31"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58" w:hRule="exact"/>
        </w:trPr>
        <w:tc>
          <w:tcPr>
            <w:tcW w:w="1964" w:type="dxa"/>
            <w:vMerge w:val="restart"/>
            <w:tcBorders>
              <w:top w:val="nil" w:sz="6" w:space="0" w:color="auto"/>
              <w:left w:val="single" w:sz="4" w:space="0" w:color="000000"/>
              <w:right w:val="single" w:sz="4" w:space="0" w:color="000000"/>
            </w:tcBorders>
            <w:shd w:val="clear" w:color="auto" w:fill="D2D2D2"/>
          </w:tcPr>
          <w:p>
            <w:pPr/>
          </w:p>
        </w:tc>
        <w:tc>
          <w:tcPr>
            <w:tcW w:w="1073" w:type="dxa"/>
            <w:tcBorders>
              <w:top w:val="single" w:sz="4" w:space="0" w:color="000000"/>
              <w:left w:val="single" w:sz="4" w:space="0" w:color="000000"/>
              <w:bottom w:val="nil" w:sz="6" w:space="0" w:color="auto"/>
              <w:right w:val="single" w:sz="4" w:space="0" w:color="000000"/>
            </w:tcBorders>
            <w:shd w:val="clear" w:color="auto" w:fill="D2D2D2"/>
          </w:tcPr>
          <w:p>
            <w:pPr/>
          </w:p>
        </w:tc>
        <w:tc>
          <w:tcPr>
            <w:tcW w:w="82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1" w:type="dxa"/>
            <w:tcBorders>
              <w:top w:val="single" w:sz="4" w:space="0" w:color="000000"/>
              <w:left w:val="single" w:sz="4" w:space="0" w:color="000000"/>
              <w:bottom w:val="nil" w:sz="6" w:space="0" w:color="auto"/>
              <w:right w:val="single" w:sz="4" w:space="0" w:color="000000"/>
            </w:tcBorders>
            <w:shd w:val="clear" w:color="auto" w:fill="D2D2D2"/>
          </w:tcPr>
          <w:p>
            <w:pPr/>
          </w:p>
        </w:tc>
        <w:tc>
          <w:tcPr>
            <w:tcW w:w="82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317" w:right="36" w:hanging="270"/>
              <w:jc w:val="left"/>
              <w:rPr>
                <w:rFonts w:ascii="宋体" w:hAnsi="宋体" w:cs="宋体" w:eastAsia="宋体" w:hint="default"/>
                <w:sz w:val="18"/>
                <w:szCs w:val="18"/>
              </w:rPr>
            </w:pPr>
            <w:r>
              <w:rPr>
                <w:rFonts w:ascii="宋体" w:hAnsi="宋体" w:cs="宋体" w:eastAsia="宋体" w:hint="default"/>
                <w:sz w:val="18"/>
                <w:szCs w:val="18"/>
              </w:rPr>
              <w:t>公积金转</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股</w:t>
            </w:r>
          </w:p>
        </w:tc>
        <w:tc>
          <w:tcPr>
            <w:tcW w:w="821" w:type="dxa"/>
            <w:tcBorders>
              <w:top w:val="single" w:sz="4" w:space="0" w:color="000000"/>
              <w:left w:val="single" w:sz="4" w:space="0" w:color="000000"/>
              <w:bottom w:val="nil" w:sz="6" w:space="0" w:color="auto"/>
              <w:right w:val="single" w:sz="4" w:space="0" w:color="000000"/>
            </w:tcBorders>
            <w:shd w:val="clear" w:color="auto" w:fill="D2D2D2"/>
          </w:tcPr>
          <w:p>
            <w:pPr/>
          </w:p>
        </w:tc>
        <w:tc>
          <w:tcPr>
            <w:tcW w:w="634" w:type="dxa"/>
            <w:tcBorders>
              <w:top w:val="single" w:sz="4" w:space="0" w:color="000000"/>
              <w:left w:val="single" w:sz="4" w:space="0" w:color="000000"/>
              <w:bottom w:val="nil" w:sz="6" w:space="0" w:color="auto"/>
              <w:right w:val="single" w:sz="4" w:space="0" w:color="000000"/>
            </w:tcBorders>
            <w:shd w:val="clear" w:color="auto" w:fill="D2D2D2"/>
          </w:tcPr>
          <w:p>
            <w:pPr/>
          </w:p>
        </w:tc>
        <w:tc>
          <w:tcPr>
            <w:tcW w:w="984" w:type="dxa"/>
            <w:tcBorders>
              <w:top w:val="single" w:sz="4" w:space="0" w:color="000000"/>
              <w:left w:val="single" w:sz="4" w:space="0" w:color="000000"/>
              <w:bottom w:val="nil" w:sz="6" w:space="0" w:color="auto"/>
              <w:right w:val="single" w:sz="4" w:space="0" w:color="000000"/>
            </w:tcBorders>
            <w:shd w:val="clear" w:color="auto" w:fill="D2D2D2"/>
          </w:tcPr>
          <w:p>
            <w:pPr/>
          </w:p>
        </w:tc>
        <w:tc>
          <w:tcPr>
            <w:tcW w:w="792"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2" w:hRule="exact"/>
        </w:trPr>
        <w:tc>
          <w:tcPr>
            <w:tcW w:w="1964" w:type="dxa"/>
            <w:vMerge/>
            <w:tcBorders>
              <w:left w:val="single" w:sz="4" w:space="0" w:color="000000"/>
              <w:bottom w:val="nil" w:sz="6" w:space="0" w:color="auto"/>
              <w:right w:val="single" w:sz="4" w:space="0" w:color="000000"/>
            </w:tcBorders>
            <w:shd w:val="clear" w:color="auto" w:fill="D2D2D2"/>
          </w:tcPr>
          <w:p>
            <w:pPr/>
          </w:p>
        </w:tc>
        <w:tc>
          <w:tcPr>
            <w:tcW w:w="107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357"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2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2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2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47"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82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25"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821" w:type="dxa"/>
            <w:vMerge/>
            <w:tcBorders>
              <w:left w:val="single" w:sz="4" w:space="0" w:color="000000"/>
              <w:right w:val="single" w:sz="4" w:space="0" w:color="000000"/>
            </w:tcBorders>
            <w:shd w:val="clear" w:color="auto" w:fill="D2D2D2"/>
          </w:tcPr>
          <w:p>
            <w:pPr/>
          </w:p>
        </w:tc>
        <w:tc>
          <w:tcPr>
            <w:tcW w:w="82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2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3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34"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98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307"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9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11"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202" w:hRule="exact"/>
        </w:trPr>
        <w:tc>
          <w:tcPr>
            <w:tcW w:w="1964" w:type="dxa"/>
            <w:vMerge w:val="restart"/>
            <w:tcBorders>
              <w:top w:val="nil" w:sz="6" w:space="0" w:color="auto"/>
              <w:left w:val="single" w:sz="4" w:space="0" w:color="000000"/>
              <w:right w:val="single" w:sz="4" w:space="0" w:color="000000"/>
            </w:tcBorders>
            <w:shd w:val="clear" w:color="auto" w:fill="D2D2D2"/>
          </w:tcPr>
          <w:p>
            <w:pPr/>
          </w:p>
        </w:tc>
        <w:tc>
          <w:tcPr>
            <w:tcW w:w="1073" w:type="dxa"/>
            <w:vMerge/>
            <w:tcBorders>
              <w:left w:val="single" w:sz="4" w:space="0" w:color="000000"/>
              <w:bottom w:val="nil" w:sz="6" w:space="0" w:color="auto"/>
              <w:right w:val="single" w:sz="4" w:space="0" w:color="000000"/>
            </w:tcBorders>
            <w:shd w:val="clear" w:color="auto" w:fill="D2D2D2"/>
          </w:tcPr>
          <w:p>
            <w:pPr/>
          </w:p>
        </w:tc>
        <w:tc>
          <w:tcPr>
            <w:tcW w:w="826" w:type="dxa"/>
            <w:vMerge/>
            <w:tcBorders>
              <w:left w:val="single" w:sz="4" w:space="0" w:color="000000"/>
              <w:bottom w:val="nil" w:sz="6" w:space="0" w:color="auto"/>
              <w:right w:val="single" w:sz="4" w:space="0" w:color="000000"/>
            </w:tcBorders>
            <w:shd w:val="clear" w:color="auto" w:fill="D2D2D2"/>
          </w:tcPr>
          <w:p>
            <w:pPr/>
          </w:p>
        </w:tc>
        <w:tc>
          <w:tcPr>
            <w:tcW w:w="821" w:type="dxa"/>
            <w:vMerge/>
            <w:tcBorders>
              <w:left w:val="single" w:sz="4" w:space="0" w:color="000000"/>
              <w:bottom w:val="nil" w:sz="6" w:space="0" w:color="auto"/>
              <w:right w:val="single" w:sz="4" w:space="0" w:color="000000"/>
            </w:tcBorders>
            <w:shd w:val="clear" w:color="auto" w:fill="D2D2D2"/>
          </w:tcPr>
          <w:p>
            <w:pPr/>
          </w:p>
        </w:tc>
        <w:tc>
          <w:tcPr>
            <w:tcW w:w="826" w:type="dxa"/>
            <w:vMerge/>
            <w:tcBorders>
              <w:left w:val="single" w:sz="4" w:space="0" w:color="000000"/>
              <w:bottom w:val="nil" w:sz="6" w:space="0" w:color="auto"/>
              <w:right w:val="single" w:sz="4" w:space="0" w:color="000000"/>
            </w:tcBorders>
            <w:shd w:val="clear" w:color="auto" w:fill="D2D2D2"/>
          </w:tcPr>
          <w:p>
            <w:pPr/>
          </w:p>
        </w:tc>
        <w:tc>
          <w:tcPr>
            <w:tcW w:w="821" w:type="dxa"/>
            <w:vMerge/>
            <w:tcBorders>
              <w:left w:val="single" w:sz="4" w:space="0" w:color="000000"/>
              <w:right w:val="single" w:sz="4" w:space="0" w:color="000000"/>
            </w:tcBorders>
            <w:shd w:val="clear" w:color="auto" w:fill="D2D2D2"/>
          </w:tcPr>
          <w:p>
            <w:pPr/>
          </w:p>
        </w:tc>
        <w:tc>
          <w:tcPr>
            <w:tcW w:w="821" w:type="dxa"/>
            <w:vMerge/>
            <w:tcBorders>
              <w:left w:val="single" w:sz="4" w:space="0" w:color="000000"/>
              <w:bottom w:val="nil" w:sz="6" w:space="0" w:color="auto"/>
              <w:right w:val="single" w:sz="4" w:space="0" w:color="000000"/>
            </w:tcBorders>
            <w:shd w:val="clear" w:color="auto" w:fill="D2D2D2"/>
          </w:tcPr>
          <w:p>
            <w:pPr/>
          </w:p>
        </w:tc>
        <w:tc>
          <w:tcPr>
            <w:tcW w:w="634" w:type="dxa"/>
            <w:vMerge/>
            <w:tcBorders>
              <w:left w:val="single" w:sz="4" w:space="0" w:color="000000"/>
              <w:bottom w:val="nil" w:sz="6" w:space="0" w:color="auto"/>
              <w:right w:val="single" w:sz="4" w:space="0" w:color="000000"/>
            </w:tcBorders>
            <w:shd w:val="clear" w:color="auto" w:fill="D2D2D2"/>
          </w:tcPr>
          <w:p>
            <w:pPr/>
          </w:p>
        </w:tc>
        <w:tc>
          <w:tcPr>
            <w:tcW w:w="984" w:type="dxa"/>
            <w:vMerge/>
            <w:tcBorders>
              <w:left w:val="single" w:sz="4" w:space="0" w:color="000000"/>
              <w:bottom w:val="nil" w:sz="6" w:space="0" w:color="auto"/>
              <w:right w:val="single" w:sz="4" w:space="0" w:color="000000"/>
            </w:tcBorders>
            <w:shd w:val="clear" w:color="auto" w:fill="D2D2D2"/>
          </w:tcPr>
          <w:p>
            <w:pPr/>
          </w:p>
        </w:tc>
        <w:tc>
          <w:tcPr>
            <w:tcW w:w="792"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964" w:type="dxa"/>
            <w:vMerge/>
            <w:tcBorders>
              <w:left w:val="single" w:sz="4" w:space="0" w:color="000000"/>
              <w:bottom w:val="single" w:sz="4" w:space="0" w:color="000000"/>
              <w:right w:val="single" w:sz="4" w:space="0" w:color="000000"/>
            </w:tcBorders>
            <w:shd w:val="clear" w:color="auto" w:fill="D2D2D2"/>
          </w:tcPr>
          <w:p>
            <w:pPr/>
          </w:p>
        </w:tc>
        <w:tc>
          <w:tcPr>
            <w:tcW w:w="1073" w:type="dxa"/>
            <w:tcBorders>
              <w:top w:val="nil" w:sz="6" w:space="0" w:color="auto"/>
              <w:left w:val="single" w:sz="4" w:space="0" w:color="000000"/>
              <w:bottom w:val="single" w:sz="4" w:space="0" w:color="000000"/>
              <w:right w:val="single" w:sz="4" w:space="0" w:color="000000"/>
            </w:tcBorders>
            <w:shd w:val="clear" w:color="auto" w:fill="D2D2D2"/>
          </w:tcPr>
          <w:p>
            <w:pPr/>
          </w:p>
        </w:tc>
        <w:tc>
          <w:tcPr>
            <w:tcW w:w="82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1" w:type="dxa"/>
            <w:tcBorders>
              <w:top w:val="nil" w:sz="6" w:space="0" w:color="auto"/>
              <w:left w:val="single" w:sz="4" w:space="0" w:color="000000"/>
              <w:bottom w:val="single" w:sz="4" w:space="0" w:color="000000"/>
              <w:right w:val="single" w:sz="4" w:space="0" w:color="000000"/>
            </w:tcBorders>
            <w:shd w:val="clear" w:color="auto" w:fill="D2D2D2"/>
          </w:tcPr>
          <w:p>
            <w:pPr/>
          </w:p>
        </w:tc>
        <w:tc>
          <w:tcPr>
            <w:tcW w:w="82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1" w:type="dxa"/>
            <w:vMerge/>
            <w:tcBorders>
              <w:left w:val="single" w:sz="4" w:space="0" w:color="000000"/>
              <w:bottom w:val="single" w:sz="4" w:space="0" w:color="000000"/>
              <w:right w:val="single" w:sz="4" w:space="0" w:color="000000"/>
            </w:tcBorders>
            <w:shd w:val="clear" w:color="auto" w:fill="D2D2D2"/>
          </w:tcPr>
          <w:p>
            <w:pPr/>
          </w:p>
        </w:tc>
        <w:tc>
          <w:tcPr>
            <w:tcW w:w="821" w:type="dxa"/>
            <w:tcBorders>
              <w:top w:val="nil" w:sz="6" w:space="0" w:color="auto"/>
              <w:left w:val="single" w:sz="4" w:space="0" w:color="000000"/>
              <w:bottom w:val="single" w:sz="4" w:space="0" w:color="000000"/>
              <w:right w:val="single" w:sz="4" w:space="0" w:color="000000"/>
            </w:tcBorders>
            <w:shd w:val="clear" w:color="auto" w:fill="D2D2D2"/>
          </w:tcPr>
          <w:p>
            <w:pPr/>
          </w:p>
        </w:tc>
        <w:tc>
          <w:tcPr>
            <w:tcW w:w="634" w:type="dxa"/>
            <w:tcBorders>
              <w:top w:val="nil" w:sz="6" w:space="0" w:color="auto"/>
              <w:left w:val="single" w:sz="4" w:space="0" w:color="000000"/>
              <w:bottom w:val="single" w:sz="4" w:space="0" w:color="000000"/>
              <w:right w:val="single" w:sz="4" w:space="0" w:color="000000"/>
            </w:tcBorders>
            <w:shd w:val="clear" w:color="auto" w:fill="D2D2D2"/>
          </w:tcPr>
          <w:p>
            <w:pPr/>
          </w:p>
        </w:tc>
        <w:tc>
          <w:tcPr>
            <w:tcW w:w="984" w:type="dxa"/>
            <w:tcBorders>
              <w:top w:val="nil" w:sz="6" w:space="0" w:color="auto"/>
              <w:left w:val="single" w:sz="4" w:space="0" w:color="000000"/>
              <w:bottom w:val="single" w:sz="4" w:space="0" w:color="000000"/>
              <w:right w:val="single" w:sz="4" w:space="0" w:color="000000"/>
            </w:tcBorders>
            <w:shd w:val="clear" w:color="auto" w:fill="D2D2D2"/>
          </w:tcPr>
          <w:p>
            <w:pPr/>
          </w:p>
        </w:tc>
        <w:tc>
          <w:tcPr>
            <w:tcW w:w="792"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4" w:hRule="exact"/>
        </w:trPr>
        <w:tc>
          <w:tcPr>
            <w:tcW w:w="1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1" w:right="0"/>
              <w:jc w:val="left"/>
              <w:rPr>
                <w:rFonts w:ascii="宋体" w:hAnsi="宋体" w:cs="宋体" w:eastAsia="宋体" w:hint="default"/>
                <w:sz w:val="18"/>
                <w:szCs w:val="18"/>
              </w:rPr>
            </w:pPr>
            <w:r>
              <w:rPr>
                <w:rFonts w:ascii="宋体" w:hAnsi="宋体" w:cs="宋体" w:eastAsia="宋体" w:hint="default"/>
                <w:spacing w:val="-3"/>
                <w:sz w:val="18"/>
                <w:szCs w:val="18"/>
              </w:rPr>
              <w:t>一、有限售条件股份</w:t>
            </w:r>
          </w:p>
        </w:tc>
        <w:tc>
          <w:tcPr>
            <w:tcW w:w="107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291,578,928</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41.26%</w:t>
            </w:r>
          </w:p>
        </w:tc>
        <w:tc>
          <w:tcPr>
            <w:tcW w:w="821" w:type="dxa"/>
            <w:tcBorders>
              <w:top w:val="single" w:sz="4" w:space="0" w:color="000000"/>
              <w:left w:val="single" w:sz="4" w:space="0" w:color="000000"/>
              <w:bottom w:val="single" w:sz="4" w:space="0" w:color="000000"/>
              <w:right w:val="single" w:sz="4" w:space="0" w:color="000000"/>
            </w:tcBorders>
          </w:tcPr>
          <w:p>
            <w:pPr/>
          </w:p>
        </w:tc>
        <w:tc>
          <w:tcPr>
            <w:tcW w:w="826"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634" w:type="dxa"/>
            <w:tcBorders>
              <w:top w:val="single" w:sz="4" w:space="0" w:color="000000"/>
              <w:left w:val="single" w:sz="4" w:space="0" w:color="000000"/>
              <w:bottom w:val="single" w:sz="4" w:space="0" w:color="000000"/>
              <w:right w:val="single" w:sz="4" w:space="0" w:color="000000"/>
            </w:tcBorders>
          </w:tcPr>
          <w:p>
            <w:pP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33" w:right="0"/>
              <w:jc w:val="center"/>
              <w:rPr>
                <w:rFonts w:ascii="Times New Roman" w:hAnsi="Times New Roman" w:cs="Times New Roman" w:eastAsia="Times New Roman" w:hint="default"/>
                <w:sz w:val="18"/>
                <w:szCs w:val="18"/>
              </w:rPr>
            </w:pPr>
            <w:r>
              <w:rPr>
                <w:rFonts w:ascii="Times New Roman"/>
                <w:sz w:val="18"/>
              </w:rPr>
              <w:t>291,578,928</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4"/>
              <w:jc w:val="right"/>
              <w:rPr>
                <w:rFonts w:ascii="Times New Roman" w:hAnsi="Times New Roman" w:cs="Times New Roman" w:eastAsia="Times New Roman" w:hint="default"/>
                <w:sz w:val="18"/>
                <w:szCs w:val="18"/>
              </w:rPr>
            </w:pPr>
            <w:r>
              <w:rPr>
                <w:rFonts w:ascii="Times New Roman"/>
                <w:spacing w:val="-1"/>
                <w:sz w:val="18"/>
              </w:rPr>
              <w:t>41.26%</w:t>
            </w:r>
          </w:p>
        </w:tc>
      </w:tr>
      <w:tr>
        <w:trPr>
          <w:trHeight w:val="403" w:hRule="exact"/>
        </w:trPr>
        <w:tc>
          <w:tcPr>
            <w:tcW w:w="1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107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291,578,928</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41.26%</w:t>
            </w:r>
          </w:p>
        </w:tc>
        <w:tc>
          <w:tcPr>
            <w:tcW w:w="821" w:type="dxa"/>
            <w:tcBorders>
              <w:top w:val="single" w:sz="4" w:space="0" w:color="000000"/>
              <w:left w:val="single" w:sz="4" w:space="0" w:color="000000"/>
              <w:bottom w:val="single" w:sz="4" w:space="0" w:color="000000"/>
              <w:right w:val="single" w:sz="4" w:space="0" w:color="000000"/>
            </w:tcBorders>
          </w:tcPr>
          <w:p>
            <w:pPr/>
          </w:p>
        </w:tc>
        <w:tc>
          <w:tcPr>
            <w:tcW w:w="826"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634" w:type="dxa"/>
            <w:tcBorders>
              <w:top w:val="single" w:sz="4" w:space="0" w:color="000000"/>
              <w:left w:val="single" w:sz="4" w:space="0" w:color="000000"/>
              <w:bottom w:val="single" w:sz="4" w:space="0" w:color="000000"/>
              <w:right w:val="single" w:sz="4" w:space="0" w:color="000000"/>
            </w:tcBorders>
          </w:tcPr>
          <w:p>
            <w:pP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3" w:right="0"/>
              <w:jc w:val="center"/>
              <w:rPr>
                <w:rFonts w:ascii="Times New Roman" w:hAnsi="Times New Roman" w:cs="Times New Roman" w:eastAsia="Times New Roman" w:hint="default"/>
                <w:sz w:val="18"/>
                <w:szCs w:val="18"/>
              </w:rPr>
            </w:pPr>
            <w:r>
              <w:rPr>
                <w:rFonts w:ascii="Times New Roman"/>
                <w:sz w:val="18"/>
              </w:rPr>
              <w:t>291,578,928</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41.26%</w:t>
            </w:r>
          </w:p>
        </w:tc>
      </w:tr>
      <w:tr>
        <w:trPr>
          <w:trHeight w:val="403" w:hRule="exact"/>
        </w:trPr>
        <w:tc>
          <w:tcPr>
            <w:tcW w:w="1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54" w:right="0"/>
              <w:jc w:val="left"/>
              <w:rPr>
                <w:rFonts w:ascii="宋体" w:hAnsi="宋体" w:cs="宋体" w:eastAsia="宋体" w:hint="default"/>
                <w:sz w:val="18"/>
                <w:szCs w:val="18"/>
              </w:rPr>
            </w:pPr>
            <w:r>
              <w:rPr>
                <w:rFonts w:ascii="宋体" w:hAnsi="宋体" w:cs="宋体" w:eastAsia="宋体" w:hint="default"/>
                <w:spacing w:val="-3"/>
                <w:sz w:val="18"/>
                <w:szCs w:val="18"/>
              </w:rPr>
              <w:t>境内自然人持股</w:t>
            </w:r>
          </w:p>
        </w:tc>
        <w:tc>
          <w:tcPr>
            <w:tcW w:w="107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291,578,928</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41.26%</w:t>
            </w:r>
          </w:p>
        </w:tc>
        <w:tc>
          <w:tcPr>
            <w:tcW w:w="821" w:type="dxa"/>
            <w:tcBorders>
              <w:top w:val="single" w:sz="4" w:space="0" w:color="000000"/>
              <w:left w:val="single" w:sz="4" w:space="0" w:color="000000"/>
              <w:bottom w:val="single" w:sz="4" w:space="0" w:color="000000"/>
              <w:right w:val="single" w:sz="4" w:space="0" w:color="000000"/>
            </w:tcBorders>
          </w:tcPr>
          <w:p>
            <w:pPr/>
          </w:p>
        </w:tc>
        <w:tc>
          <w:tcPr>
            <w:tcW w:w="826"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634" w:type="dxa"/>
            <w:tcBorders>
              <w:top w:val="single" w:sz="4" w:space="0" w:color="000000"/>
              <w:left w:val="single" w:sz="4" w:space="0" w:color="000000"/>
              <w:bottom w:val="single" w:sz="4" w:space="0" w:color="000000"/>
              <w:right w:val="single" w:sz="4" w:space="0" w:color="000000"/>
            </w:tcBorders>
          </w:tcPr>
          <w:p>
            <w:pP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3" w:right="0"/>
              <w:jc w:val="center"/>
              <w:rPr>
                <w:rFonts w:ascii="Times New Roman" w:hAnsi="Times New Roman" w:cs="Times New Roman" w:eastAsia="Times New Roman" w:hint="default"/>
                <w:sz w:val="18"/>
                <w:szCs w:val="18"/>
              </w:rPr>
            </w:pPr>
            <w:r>
              <w:rPr>
                <w:rFonts w:ascii="Times New Roman"/>
                <w:sz w:val="18"/>
              </w:rPr>
              <w:t>291,578,928</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41.26%</w:t>
            </w:r>
          </w:p>
        </w:tc>
      </w:tr>
      <w:tr>
        <w:trPr>
          <w:trHeight w:val="398" w:hRule="exact"/>
        </w:trPr>
        <w:tc>
          <w:tcPr>
            <w:tcW w:w="1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二、无限售条件股份</w:t>
            </w:r>
          </w:p>
        </w:tc>
        <w:tc>
          <w:tcPr>
            <w:tcW w:w="107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415,061,607</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58.74%</w:t>
            </w:r>
          </w:p>
        </w:tc>
        <w:tc>
          <w:tcPr>
            <w:tcW w:w="821" w:type="dxa"/>
            <w:tcBorders>
              <w:top w:val="single" w:sz="4" w:space="0" w:color="000000"/>
              <w:left w:val="single" w:sz="4" w:space="0" w:color="000000"/>
              <w:bottom w:val="single" w:sz="4" w:space="0" w:color="000000"/>
              <w:right w:val="single" w:sz="4" w:space="0" w:color="000000"/>
            </w:tcBorders>
          </w:tcPr>
          <w:p>
            <w:pPr/>
          </w:p>
        </w:tc>
        <w:tc>
          <w:tcPr>
            <w:tcW w:w="826"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634" w:type="dxa"/>
            <w:tcBorders>
              <w:top w:val="single" w:sz="4" w:space="0" w:color="000000"/>
              <w:left w:val="single" w:sz="4" w:space="0" w:color="000000"/>
              <w:bottom w:val="single" w:sz="4" w:space="0" w:color="000000"/>
              <w:right w:val="single" w:sz="4" w:space="0" w:color="000000"/>
            </w:tcBorders>
          </w:tcPr>
          <w:p>
            <w:pP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3" w:right="0"/>
              <w:jc w:val="center"/>
              <w:rPr>
                <w:rFonts w:ascii="Times New Roman" w:hAnsi="Times New Roman" w:cs="Times New Roman" w:eastAsia="Times New Roman" w:hint="default"/>
                <w:sz w:val="18"/>
                <w:szCs w:val="18"/>
              </w:rPr>
            </w:pPr>
            <w:r>
              <w:rPr>
                <w:rFonts w:ascii="Times New Roman"/>
                <w:sz w:val="18"/>
              </w:rPr>
              <w:t>415,061,607</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58.74%</w:t>
            </w:r>
          </w:p>
        </w:tc>
      </w:tr>
      <w:tr>
        <w:trPr>
          <w:trHeight w:val="403" w:hRule="exact"/>
        </w:trPr>
        <w:tc>
          <w:tcPr>
            <w:tcW w:w="1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107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415,061,607</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58.74%</w:t>
            </w:r>
          </w:p>
        </w:tc>
        <w:tc>
          <w:tcPr>
            <w:tcW w:w="821" w:type="dxa"/>
            <w:tcBorders>
              <w:top w:val="single" w:sz="4" w:space="0" w:color="000000"/>
              <w:left w:val="single" w:sz="4" w:space="0" w:color="000000"/>
              <w:bottom w:val="single" w:sz="4" w:space="0" w:color="000000"/>
              <w:right w:val="single" w:sz="4" w:space="0" w:color="000000"/>
            </w:tcBorders>
          </w:tcPr>
          <w:p>
            <w:pPr/>
          </w:p>
        </w:tc>
        <w:tc>
          <w:tcPr>
            <w:tcW w:w="826"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634" w:type="dxa"/>
            <w:tcBorders>
              <w:top w:val="single" w:sz="4" w:space="0" w:color="000000"/>
              <w:left w:val="single" w:sz="4" w:space="0" w:color="000000"/>
              <w:bottom w:val="single" w:sz="4" w:space="0" w:color="000000"/>
              <w:right w:val="single" w:sz="4" w:space="0" w:color="000000"/>
            </w:tcBorders>
          </w:tcPr>
          <w:p>
            <w:pP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33" w:right="0"/>
              <w:jc w:val="center"/>
              <w:rPr>
                <w:rFonts w:ascii="Times New Roman" w:hAnsi="Times New Roman" w:cs="Times New Roman" w:eastAsia="Times New Roman" w:hint="default"/>
                <w:sz w:val="18"/>
                <w:szCs w:val="18"/>
              </w:rPr>
            </w:pPr>
            <w:r>
              <w:rPr>
                <w:rFonts w:ascii="Times New Roman"/>
                <w:sz w:val="18"/>
              </w:rPr>
              <w:t>415,061,607</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4"/>
              <w:jc w:val="right"/>
              <w:rPr>
                <w:rFonts w:ascii="Times New Roman" w:hAnsi="Times New Roman" w:cs="Times New Roman" w:eastAsia="Times New Roman" w:hint="default"/>
                <w:sz w:val="18"/>
                <w:szCs w:val="18"/>
              </w:rPr>
            </w:pPr>
            <w:r>
              <w:rPr>
                <w:rFonts w:ascii="Times New Roman"/>
                <w:spacing w:val="-1"/>
                <w:sz w:val="18"/>
              </w:rPr>
              <w:t>58.74%</w:t>
            </w:r>
          </w:p>
        </w:tc>
      </w:tr>
      <w:tr>
        <w:trPr>
          <w:trHeight w:val="403" w:hRule="exact"/>
        </w:trPr>
        <w:tc>
          <w:tcPr>
            <w:tcW w:w="1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107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706,640,535</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2"/>
                <w:sz w:val="18"/>
              </w:rPr>
              <w:t>100.00%</w:t>
            </w:r>
          </w:p>
        </w:tc>
        <w:tc>
          <w:tcPr>
            <w:tcW w:w="821" w:type="dxa"/>
            <w:tcBorders>
              <w:top w:val="single" w:sz="4" w:space="0" w:color="000000"/>
              <w:left w:val="single" w:sz="4" w:space="0" w:color="000000"/>
              <w:bottom w:val="single" w:sz="4" w:space="0" w:color="000000"/>
              <w:right w:val="single" w:sz="4" w:space="0" w:color="000000"/>
            </w:tcBorders>
          </w:tcPr>
          <w:p>
            <w:pPr/>
          </w:p>
        </w:tc>
        <w:tc>
          <w:tcPr>
            <w:tcW w:w="826"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634" w:type="dxa"/>
            <w:tcBorders>
              <w:top w:val="single" w:sz="4" w:space="0" w:color="000000"/>
              <w:left w:val="single" w:sz="4" w:space="0" w:color="000000"/>
              <w:bottom w:val="single" w:sz="4" w:space="0" w:color="000000"/>
              <w:right w:val="single" w:sz="4" w:space="0" w:color="000000"/>
            </w:tcBorders>
          </w:tcPr>
          <w:p>
            <w:pP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3" w:right="0"/>
              <w:jc w:val="center"/>
              <w:rPr>
                <w:rFonts w:ascii="Times New Roman" w:hAnsi="Times New Roman" w:cs="Times New Roman" w:eastAsia="Times New Roman" w:hint="default"/>
                <w:sz w:val="18"/>
                <w:szCs w:val="18"/>
              </w:rPr>
            </w:pPr>
            <w:r>
              <w:rPr>
                <w:rFonts w:ascii="Times New Roman"/>
                <w:sz w:val="18"/>
              </w:rPr>
              <w:t>706,640,535</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100.00%</w:t>
            </w:r>
          </w:p>
        </w:tc>
      </w:tr>
    </w:tbl>
    <w:p>
      <w:pPr>
        <w:pStyle w:val="BodyText"/>
        <w:spacing w:line="240" w:lineRule="auto" w:before="53"/>
        <w:ind w:right="0"/>
        <w:jc w:val="left"/>
      </w:pPr>
      <w:r>
        <w:rPr>
          <w:spacing w:val="-3"/>
        </w:rPr>
        <w:t>股份变动的原因</w:t>
      </w:r>
    </w:p>
    <w:p>
      <w:pPr>
        <w:pStyle w:val="BodyText"/>
        <w:spacing w:line="338" w:lineRule="auto" w:before="119"/>
        <w:ind w:right="8838"/>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3"/>
        </w:rPr>
        <w:t>股份变动的批准情况</w:t>
      </w:r>
    </w:p>
    <w:p>
      <w:pPr>
        <w:pStyle w:val="BodyText"/>
        <w:spacing w:line="343" w:lineRule="auto" w:before="41"/>
        <w:ind w:right="8838"/>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3"/>
        </w:rPr>
        <w:t>股份变动的过户情况</w:t>
      </w:r>
    </w:p>
    <w:p>
      <w:pPr>
        <w:pStyle w:val="BodyText"/>
        <w:spacing w:line="338" w:lineRule="auto" w:before="37"/>
        <w:ind w:right="7565"/>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3"/>
        </w:rPr>
        <w:t>股份回购的实施进展情况</w:t>
      </w:r>
    </w:p>
    <w:p>
      <w:pPr>
        <w:pStyle w:val="BodyText"/>
        <w:spacing w:line="338" w:lineRule="auto" w:before="46"/>
        <w:ind w:right="668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3"/>
        </w:rPr>
        <w:t>采用集中竞价方式减持回购股份的实施进展情况</w:t>
      </w:r>
    </w:p>
    <w:p>
      <w:pPr>
        <w:pStyle w:val="BodyText"/>
        <w:spacing w:line="343" w:lineRule="auto" w:before="41"/>
        <w:ind w:right="1029"/>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3"/>
        </w:rPr>
        <w:t>股份变动对最近一年和最近一期基本每股收益和稀释每股收益、归属于公司普通股股东的每股净资产等财务指标的影响</w:t>
      </w:r>
    </w:p>
    <w:p>
      <w:pPr>
        <w:pStyle w:val="BodyText"/>
        <w:spacing w:line="338" w:lineRule="auto" w:before="37"/>
        <w:ind w:right="668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3"/>
        </w:rPr>
        <w:t>公司认为必要或证券监管机构要求披露的其他内容</w:t>
      </w:r>
    </w:p>
    <w:p>
      <w:pPr>
        <w:pStyle w:val="BodyText"/>
        <w:spacing w:line="240" w:lineRule="auto" w:before="46"/>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3"/>
        <w:rPr>
          <w:rFonts w:ascii="宋体" w:hAnsi="宋体" w:cs="宋体" w:eastAsia="宋体" w:hint="default"/>
          <w:sz w:val="25"/>
          <w:szCs w:val="25"/>
        </w:rPr>
      </w:pPr>
    </w:p>
    <w:p>
      <w:pPr>
        <w:pStyle w:val="Heading3"/>
        <w:spacing w:line="240" w:lineRule="auto"/>
        <w:ind w:right="0"/>
        <w:jc w:val="left"/>
        <w:rPr>
          <w:b w:val="0"/>
          <w:bCs w:val="0"/>
        </w:rPr>
      </w:pPr>
      <w:bookmarkStart w:name="2、限售股份变动情况" w:id="107"/>
      <w:bookmarkEnd w:id="107"/>
      <w:r>
        <w:rPr>
          <w:b w:val="0"/>
          <w:bCs w:val="0"/>
        </w:rPr>
      </w:r>
      <w:r>
        <w:rPr>
          <w:rFonts w:ascii="Times New Roman" w:hAnsi="Times New Roman" w:cs="Times New Roman" w:eastAsia="Times New Roman" w:hint="default"/>
        </w:rPr>
        <w:t>2</w:t>
      </w:r>
      <w:r>
        <w:rPr/>
        <w:t>、限售股份变动情况</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6"/>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pStyle w:val="BodyText"/>
        <w:spacing w:line="240" w:lineRule="auto" w:before="102"/>
        <w:ind w:left="0" w:right="1122"/>
        <w:jc w:val="right"/>
      </w:pPr>
      <w:r>
        <w:rPr>
          <w:spacing w:val="-2"/>
        </w:rPr>
        <w:t>单位：股</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205"/>
        <w:gridCol w:w="1488"/>
        <w:gridCol w:w="1491"/>
        <w:gridCol w:w="1486"/>
        <w:gridCol w:w="1489"/>
        <w:gridCol w:w="1205"/>
        <w:gridCol w:w="1205"/>
      </w:tblGrid>
      <w:tr>
        <w:trPr>
          <w:trHeight w:val="710" w:hRule="exact"/>
        </w:trPr>
        <w:tc>
          <w:tcPr>
            <w:tcW w:w="1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0"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期初限售股数</w:t>
            </w:r>
          </w:p>
        </w:tc>
        <w:tc>
          <w:tcPr>
            <w:tcW w:w="14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648" w:right="106" w:hanging="539"/>
              <w:jc w:val="left"/>
              <w:rPr>
                <w:rFonts w:ascii="宋体" w:hAnsi="宋体" w:cs="宋体" w:eastAsia="宋体" w:hint="default"/>
                <w:sz w:val="18"/>
                <w:szCs w:val="18"/>
              </w:rPr>
            </w:pPr>
            <w:r>
              <w:rPr>
                <w:rFonts w:ascii="宋体" w:hAnsi="宋体" w:cs="宋体" w:eastAsia="宋体" w:hint="default"/>
                <w:spacing w:val="-3"/>
                <w:sz w:val="18"/>
                <w:szCs w:val="18"/>
              </w:rPr>
              <w:t>本期增加限售股</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数</w:t>
            </w:r>
          </w:p>
        </w:tc>
        <w:tc>
          <w:tcPr>
            <w:tcW w:w="14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646" w:right="103" w:hanging="538"/>
              <w:jc w:val="left"/>
              <w:rPr>
                <w:rFonts w:ascii="宋体" w:hAnsi="宋体" w:cs="宋体" w:eastAsia="宋体" w:hint="default"/>
                <w:sz w:val="18"/>
                <w:szCs w:val="18"/>
              </w:rPr>
            </w:pPr>
            <w:r>
              <w:rPr>
                <w:rFonts w:ascii="宋体" w:hAnsi="宋体" w:cs="宋体" w:eastAsia="宋体" w:hint="default"/>
                <w:spacing w:val="-3"/>
                <w:sz w:val="18"/>
                <w:szCs w:val="18"/>
              </w:rPr>
              <w:t>本期解除限售股</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数</w:t>
            </w:r>
          </w:p>
        </w:tc>
        <w:tc>
          <w:tcPr>
            <w:tcW w:w="14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7" w:right="0"/>
              <w:jc w:val="left"/>
              <w:rPr>
                <w:rFonts w:ascii="宋体" w:hAnsi="宋体" w:cs="宋体" w:eastAsia="宋体" w:hint="default"/>
                <w:sz w:val="18"/>
                <w:szCs w:val="18"/>
              </w:rPr>
            </w:pPr>
            <w:r>
              <w:rPr>
                <w:rFonts w:ascii="宋体" w:hAnsi="宋体" w:cs="宋体" w:eastAsia="宋体" w:hint="default"/>
                <w:sz w:val="18"/>
                <w:szCs w:val="18"/>
              </w:rPr>
              <w:t>期末限售股数</w:t>
            </w:r>
          </w:p>
        </w:tc>
        <w:tc>
          <w:tcPr>
            <w:tcW w:w="1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5" w:right="0"/>
              <w:jc w:val="left"/>
              <w:rPr>
                <w:rFonts w:ascii="宋体" w:hAnsi="宋体" w:cs="宋体" w:eastAsia="宋体" w:hint="default"/>
                <w:sz w:val="18"/>
                <w:szCs w:val="18"/>
              </w:rPr>
            </w:pPr>
            <w:r>
              <w:rPr>
                <w:rFonts w:ascii="宋体" w:hAnsi="宋体" w:cs="宋体" w:eastAsia="宋体" w:hint="default"/>
                <w:sz w:val="18"/>
                <w:szCs w:val="18"/>
              </w:rPr>
              <w:t>限售原因</w:t>
            </w:r>
          </w:p>
        </w:tc>
        <w:tc>
          <w:tcPr>
            <w:tcW w:w="1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508" w:right="50" w:hanging="452"/>
              <w:jc w:val="left"/>
              <w:rPr>
                <w:rFonts w:ascii="宋体" w:hAnsi="宋体" w:cs="宋体" w:eastAsia="宋体" w:hint="default"/>
                <w:sz w:val="18"/>
                <w:szCs w:val="18"/>
              </w:rPr>
            </w:pPr>
            <w:r>
              <w:rPr>
                <w:rFonts w:ascii="宋体" w:hAnsi="宋体" w:cs="宋体" w:eastAsia="宋体" w:hint="default"/>
                <w:spacing w:val="-2"/>
                <w:sz w:val="18"/>
                <w:szCs w:val="18"/>
              </w:rPr>
              <w:t>拟解除限售日</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期</w:t>
            </w:r>
          </w:p>
        </w:tc>
      </w:tr>
    </w:tbl>
    <w:p>
      <w:pPr>
        <w:spacing w:after="0" w:line="316" w:lineRule="auto"/>
        <w:jc w:val="left"/>
        <w:rPr>
          <w:rFonts w:ascii="宋体" w:hAnsi="宋体" w:cs="宋体" w:eastAsia="宋体" w:hint="default"/>
          <w:sz w:val="18"/>
          <w:szCs w:val="18"/>
        </w:rPr>
        <w:sectPr>
          <w:pgSz w:w="11910" w:h="16840"/>
          <w:pgMar w:header="871" w:footer="1186" w:top="1100" w:bottom="1380" w:left="980" w:right="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1205"/>
        <w:gridCol w:w="1488"/>
        <w:gridCol w:w="1489"/>
        <w:gridCol w:w="1488"/>
        <w:gridCol w:w="1489"/>
        <w:gridCol w:w="1205"/>
        <w:gridCol w:w="1205"/>
      </w:tblGrid>
      <w:tr>
        <w:trPr>
          <w:trHeight w:val="1340" w:hRule="exact"/>
        </w:trPr>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张学君</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100,595,100</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100,595,100</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3"/>
              <w:ind w:left="23" w:right="69"/>
              <w:jc w:val="both"/>
              <w:rPr>
                <w:rFonts w:ascii="宋体" w:hAnsi="宋体" w:cs="宋体" w:eastAsia="宋体" w:hint="default"/>
                <w:sz w:val="18"/>
                <w:szCs w:val="18"/>
              </w:rPr>
            </w:pPr>
            <w:r>
              <w:rPr>
                <w:rFonts w:ascii="宋体" w:hAnsi="宋体" w:cs="宋体" w:eastAsia="宋体" w:hint="default"/>
                <w:sz w:val="18"/>
                <w:szCs w:val="18"/>
              </w:rPr>
              <w:t>每年按照上年</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末持有股份数</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的</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解除限</w:t>
            </w:r>
            <w:r>
              <w:rPr>
                <w:rFonts w:ascii="宋体" w:hAnsi="宋体" w:cs="宋体" w:eastAsia="宋体" w:hint="default"/>
                <w:w w:val="101"/>
                <w:sz w:val="18"/>
                <w:szCs w:val="18"/>
              </w:rPr>
              <w:t> </w:t>
            </w:r>
            <w:r>
              <w:rPr>
                <w:rFonts w:ascii="宋体" w:hAnsi="宋体" w:cs="宋体" w:eastAsia="宋体" w:hint="default"/>
                <w:sz w:val="18"/>
                <w:szCs w:val="18"/>
              </w:rPr>
              <w:t>售</w:t>
            </w:r>
          </w:p>
        </w:tc>
      </w:tr>
      <w:tr>
        <w:trPr>
          <w:trHeight w:val="1334" w:hRule="exact"/>
        </w:trPr>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何晔</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86,245,800</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86,245,800</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3"/>
              <w:ind w:left="23" w:right="69"/>
              <w:jc w:val="both"/>
              <w:rPr>
                <w:rFonts w:ascii="宋体" w:hAnsi="宋体" w:cs="宋体" w:eastAsia="宋体" w:hint="default"/>
                <w:sz w:val="18"/>
                <w:szCs w:val="18"/>
              </w:rPr>
            </w:pPr>
            <w:r>
              <w:rPr>
                <w:rFonts w:ascii="宋体" w:hAnsi="宋体" w:cs="宋体" w:eastAsia="宋体" w:hint="default"/>
                <w:sz w:val="18"/>
                <w:szCs w:val="18"/>
              </w:rPr>
              <w:t>每年按照上年</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末持有股份数</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的</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解除限</w:t>
            </w:r>
            <w:r>
              <w:rPr>
                <w:rFonts w:ascii="宋体" w:hAnsi="宋体" w:cs="宋体" w:eastAsia="宋体" w:hint="default"/>
                <w:w w:val="101"/>
                <w:sz w:val="18"/>
                <w:szCs w:val="18"/>
              </w:rPr>
              <w:t> </w:t>
            </w:r>
            <w:r>
              <w:rPr>
                <w:rFonts w:ascii="宋体" w:hAnsi="宋体" w:cs="宋体" w:eastAsia="宋体" w:hint="default"/>
                <w:sz w:val="18"/>
                <w:szCs w:val="18"/>
              </w:rPr>
              <w:t>售</w:t>
            </w:r>
          </w:p>
        </w:tc>
      </w:tr>
      <w:tr>
        <w:trPr>
          <w:trHeight w:val="1340" w:hRule="exact"/>
        </w:trPr>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陈向军</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43,238,025</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43,238,025</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9"/>
              <w:ind w:left="23" w:right="69"/>
              <w:jc w:val="both"/>
              <w:rPr>
                <w:rFonts w:ascii="宋体" w:hAnsi="宋体" w:cs="宋体" w:eastAsia="宋体" w:hint="default"/>
                <w:sz w:val="18"/>
                <w:szCs w:val="18"/>
              </w:rPr>
            </w:pPr>
            <w:r>
              <w:rPr>
                <w:rFonts w:ascii="宋体" w:hAnsi="宋体" w:cs="宋体" w:eastAsia="宋体" w:hint="default"/>
                <w:sz w:val="18"/>
                <w:szCs w:val="18"/>
              </w:rPr>
              <w:t>每年按照上年</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末持有股份数</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的</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解除限</w:t>
            </w:r>
            <w:r>
              <w:rPr>
                <w:rFonts w:ascii="宋体" w:hAnsi="宋体" w:cs="宋体" w:eastAsia="宋体" w:hint="default"/>
                <w:w w:val="101"/>
                <w:sz w:val="18"/>
                <w:szCs w:val="18"/>
              </w:rPr>
              <w:t> </w:t>
            </w:r>
            <w:r>
              <w:rPr>
                <w:rFonts w:ascii="宋体" w:hAnsi="宋体" w:cs="宋体" w:eastAsia="宋体" w:hint="default"/>
                <w:sz w:val="18"/>
                <w:szCs w:val="18"/>
              </w:rPr>
              <w:t>售</w:t>
            </w:r>
          </w:p>
        </w:tc>
      </w:tr>
      <w:tr>
        <w:trPr>
          <w:trHeight w:val="1340" w:hRule="exact"/>
        </w:trPr>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李军</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43,233,150</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43,233,150</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3" w:right="69"/>
              <w:jc w:val="both"/>
              <w:rPr>
                <w:rFonts w:ascii="宋体" w:hAnsi="宋体" w:cs="宋体" w:eastAsia="宋体" w:hint="default"/>
                <w:sz w:val="18"/>
                <w:szCs w:val="18"/>
              </w:rPr>
            </w:pPr>
            <w:r>
              <w:rPr>
                <w:rFonts w:ascii="宋体" w:hAnsi="宋体" w:cs="宋体" w:eastAsia="宋体" w:hint="default"/>
                <w:sz w:val="18"/>
                <w:szCs w:val="18"/>
              </w:rPr>
              <w:t>每年按照上年</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末持有股份数</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的</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解除限</w:t>
            </w:r>
            <w:r>
              <w:rPr>
                <w:rFonts w:ascii="宋体" w:hAnsi="宋体" w:cs="宋体" w:eastAsia="宋体" w:hint="default"/>
                <w:w w:val="101"/>
                <w:sz w:val="18"/>
                <w:szCs w:val="18"/>
              </w:rPr>
              <w:t> </w:t>
            </w:r>
            <w:r>
              <w:rPr>
                <w:rFonts w:ascii="宋体" w:hAnsi="宋体" w:cs="宋体" w:eastAsia="宋体" w:hint="default"/>
                <w:sz w:val="18"/>
                <w:szCs w:val="18"/>
              </w:rPr>
              <w:t>售</w:t>
            </w:r>
          </w:p>
        </w:tc>
      </w:tr>
      <w:tr>
        <w:trPr>
          <w:trHeight w:val="1340" w:hRule="exact"/>
        </w:trPr>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刘奕</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2,652,000</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2,652,000</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3"/>
              <w:ind w:left="23" w:right="69"/>
              <w:jc w:val="both"/>
              <w:rPr>
                <w:rFonts w:ascii="宋体" w:hAnsi="宋体" w:cs="宋体" w:eastAsia="宋体" w:hint="default"/>
                <w:sz w:val="18"/>
                <w:szCs w:val="18"/>
              </w:rPr>
            </w:pPr>
            <w:r>
              <w:rPr>
                <w:rFonts w:ascii="宋体" w:hAnsi="宋体" w:cs="宋体" w:eastAsia="宋体" w:hint="default"/>
                <w:sz w:val="18"/>
                <w:szCs w:val="18"/>
              </w:rPr>
              <w:t>每年按照上年</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末持有股份数</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的</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解除限</w:t>
            </w:r>
            <w:r>
              <w:rPr>
                <w:rFonts w:ascii="宋体" w:hAnsi="宋体" w:cs="宋体" w:eastAsia="宋体" w:hint="default"/>
                <w:w w:val="101"/>
                <w:sz w:val="18"/>
                <w:szCs w:val="18"/>
              </w:rPr>
              <w:t> </w:t>
            </w:r>
            <w:r>
              <w:rPr>
                <w:rFonts w:ascii="宋体" w:hAnsi="宋体" w:cs="宋体" w:eastAsia="宋体" w:hint="default"/>
                <w:sz w:val="18"/>
                <w:szCs w:val="18"/>
              </w:rPr>
              <w:t>售</w:t>
            </w:r>
          </w:p>
        </w:tc>
      </w:tr>
      <w:tr>
        <w:trPr>
          <w:trHeight w:val="1335" w:hRule="exact"/>
        </w:trPr>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许秋江</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1,716,000</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1,716,000</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3"/>
              <w:ind w:left="23" w:right="69"/>
              <w:jc w:val="both"/>
              <w:rPr>
                <w:rFonts w:ascii="宋体" w:hAnsi="宋体" w:cs="宋体" w:eastAsia="宋体" w:hint="default"/>
                <w:sz w:val="18"/>
                <w:szCs w:val="18"/>
              </w:rPr>
            </w:pPr>
            <w:r>
              <w:rPr>
                <w:rFonts w:ascii="宋体" w:hAnsi="宋体" w:cs="宋体" w:eastAsia="宋体" w:hint="default"/>
                <w:sz w:val="18"/>
                <w:szCs w:val="18"/>
              </w:rPr>
              <w:t>每年按照上年</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末持有股份数</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的</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解除限</w:t>
            </w:r>
            <w:r>
              <w:rPr>
                <w:rFonts w:ascii="宋体" w:hAnsi="宋体" w:cs="宋体" w:eastAsia="宋体" w:hint="default"/>
                <w:w w:val="101"/>
                <w:sz w:val="18"/>
                <w:szCs w:val="18"/>
              </w:rPr>
              <w:t> </w:t>
            </w:r>
            <w:r>
              <w:rPr>
                <w:rFonts w:ascii="宋体" w:hAnsi="宋体" w:cs="宋体" w:eastAsia="宋体" w:hint="default"/>
                <w:sz w:val="18"/>
                <w:szCs w:val="18"/>
              </w:rPr>
              <w:t>售</w:t>
            </w:r>
          </w:p>
        </w:tc>
      </w:tr>
      <w:tr>
        <w:trPr>
          <w:trHeight w:val="1339" w:hRule="exact"/>
        </w:trPr>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冯军</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13,898,853</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13,898,853</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8"/>
              <w:ind w:left="23" w:right="69"/>
              <w:jc w:val="both"/>
              <w:rPr>
                <w:rFonts w:ascii="宋体" w:hAnsi="宋体" w:cs="宋体" w:eastAsia="宋体" w:hint="default"/>
                <w:sz w:val="18"/>
                <w:szCs w:val="18"/>
              </w:rPr>
            </w:pPr>
            <w:r>
              <w:rPr>
                <w:rFonts w:ascii="宋体" w:hAnsi="宋体" w:cs="宋体" w:eastAsia="宋体" w:hint="default"/>
                <w:sz w:val="18"/>
                <w:szCs w:val="18"/>
              </w:rPr>
              <w:t>每年按照上年</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末持有股份数</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的</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解除限</w:t>
            </w:r>
            <w:r>
              <w:rPr>
                <w:rFonts w:ascii="宋体" w:hAnsi="宋体" w:cs="宋体" w:eastAsia="宋体" w:hint="default"/>
                <w:w w:val="101"/>
                <w:sz w:val="18"/>
                <w:szCs w:val="18"/>
              </w:rPr>
              <w:t> </w:t>
            </w:r>
            <w:r>
              <w:rPr>
                <w:rFonts w:ascii="宋体" w:hAnsi="宋体" w:cs="宋体" w:eastAsia="宋体" w:hint="default"/>
                <w:sz w:val="18"/>
                <w:szCs w:val="18"/>
              </w:rPr>
              <w:t>售</w:t>
            </w:r>
          </w:p>
        </w:tc>
      </w:tr>
      <w:tr>
        <w:trPr>
          <w:trHeight w:val="404" w:hRule="exact"/>
        </w:trPr>
        <w:tc>
          <w:tcPr>
            <w:tcW w:w="1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8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291,578,928</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291,578,928</w:t>
            </w:r>
          </w:p>
        </w:tc>
        <w:tc>
          <w:tcPr>
            <w:tcW w:w="1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3"/>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1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bl>
    <w:p>
      <w:pPr>
        <w:spacing w:line="240" w:lineRule="auto" w:before="9"/>
        <w:rPr>
          <w:rFonts w:ascii="宋体" w:hAnsi="宋体" w:cs="宋体" w:eastAsia="宋体" w:hint="default"/>
          <w:sz w:val="17"/>
          <w:szCs w:val="17"/>
        </w:rPr>
      </w:pPr>
    </w:p>
    <w:p>
      <w:pPr>
        <w:pStyle w:val="Heading2"/>
        <w:spacing w:line="240" w:lineRule="auto" w:before="26"/>
        <w:ind w:right="0"/>
        <w:jc w:val="left"/>
        <w:rPr>
          <w:b w:val="0"/>
          <w:bCs w:val="0"/>
        </w:rPr>
      </w:pPr>
      <w:bookmarkStart w:name="二、证券发行与上市情况" w:id="108"/>
      <w:bookmarkEnd w:id="108"/>
      <w:r>
        <w:rPr>
          <w:b w:val="0"/>
          <w:bCs w:val="0"/>
        </w:rPr>
      </w:r>
      <w:r>
        <w:rPr/>
        <w:t>二、证券发行与上市情况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left"/>
        <w:rPr>
          <w:b w:val="0"/>
          <w:bCs w:val="0"/>
        </w:rPr>
      </w:pPr>
      <w:bookmarkStart w:name="1、报告期内证券发行（不含优先股）情况" w:id="109"/>
      <w:bookmarkEnd w:id="109"/>
      <w:r>
        <w:rPr>
          <w:b w:val="0"/>
          <w:bCs w:val="0"/>
        </w:rPr>
      </w:r>
      <w:r>
        <w:rPr>
          <w:rFonts w:ascii="Times New Roman" w:hAnsi="Times New Roman" w:cs="Times New Roman" w:eastAsia="Times New Roman" w:hint="default"/>
        </w:rPr>
        <w:t>1</w:t>
      </w:r>
      <w:r>
        <w:rPr/>
        <w:t>、报告期内证券发行（不含优先股）情况</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3"/>
        <w:rPr>
          <w:rFonts w:ascii="宋体" w:hAnsi="宋体" w:cs="宋体" w:eastAsia="宋体" w:hint="default"/>
          <w:sz w:val="25"/>
          <w:szCs w:val="25"/>
        </w:rPr>
      </w:pPr>
    </w:p>
    <w:p>
      <w:pPr>
        <w:pStyle w:val="Heading3"/>
        <w:spacing w:line="240" w:lineRule="auto"/>
        <w:ind w:right="0"/>
        <w:jc w:val="left"/>
        <w:rPr>
          <w:b w:val="0"/>
          <w:bCs w:val="0"/>
        </w:rPr>
      </w:pPr>
      <w:bookmarkStart w:name="2、公司股份总数及股东结构的变动、公司资产和负债结构的变动情况说明" w:id="110"/>
      <w:bookmarkEnd w:id="110"/>
      <w:r>
        <w:rPr>
          <w:b w:val="0"/>
          <w:bCs w:val="0"/>
        </w:rPr>
      </w: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after="0" w:line="240" w:lineRule="auto"/>
        <w:jc w:val="left"/>
        <w:sectPr>
          <w:pgSz w:w="11910" w:h="16840"/>
          <w:pgMar w:header="871" w:footer="1186" w:top="1100" w:bottom="1380" w:left="980" w:right="0"/>
        </w:sectPr>
      </w:pPr>
    </w:p>
    <w:p>
      <w:pPr>
        <w:spacing w:line="240" w:lineRule="auto" w:before="9"/>
        <w:rPr>
          <w:rFonts w:ascii="宋体" w:hAnsi="宋体" w:cs="宋体" w:eastAsia="宋体" w:hint="default"/>
          <w:sz w:val="20"/>
          <w:szCs w:val="20"/>
        </w:rPr>
      </w:pPr>
    </w:p>
    <w:p>
      <w:pPr>
        <w:pStyle w:val="Heading3"/>
        <w:spacing w:line="240" w:lineRule="auto" w:before="36"/>
        <w:ind w:right="0"/>
        <w:jc w:val="left"/>
        <w:rPr>
          <w:b w:val="0"/>
          <w:bCs w:val="0"/>
        </w:rPr>
      </w:pPr>
      <w:bookmarkStart w:name="3、现存的内部职工股情况" w:id="111"/>
      <w:bookmarkEnd w:id="111"/>
      <w:r>
        <w:rPr>
          <w:b w:val="0"/>
          <w:bCs w:val="0"/>
        </w:rPr>
      </w:r>
      <w:r>
        <w:rPr>
          <w:rFonts w:ascii="Times New Roman" w:hAnsi="Times New Roman" w:cs="Times New Roman" w:eastAsia="Times New Roman" w:hint="default"/>
        </w:rPr>
        <w:t>3</w:t>
      </w:r>
      <w:r>
        <w:rPr/>
        <w:t>、现存的内部职工股情况</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13"/>
        <w:rPr>
          <w:rFonts w:ascii="宋体" w:hAnsi="宋体" w:cs="宋体" w:eastAsia="宋体" w:hint="default"/>
          <w:sz w:val="22"/>
          <w:szCs w:val="22"/>
        </w:rPr>
      </w:pPr>
    </w:p>
    <w:p>
      <w:pPr>
        <w:pStyle w:val="Heading2"/>
        <w:spacing w:line="240" w:lineRule="auto"/>
        <w:ind w:right="0"/>
        <w:jc w:val="left"/>
        <w:rPr>
          <w:b w:val="0"/>
          <w:bCs w:val="0"/>
        </w:rPr>
      </w:pPr>
      <w:bookmarkStart w:name="三、股东和实际控制人情况" w:id="112"/>
      <w:bookmarkEnd w:id="112"/>
      <w:r>
        <w:rPr>
          <w:b w:val="0"/>
          <w:bCs w:val="0"/>
        </w:rPr>
      </w:r>
      <w:r>
        <w:rPr/>
        <w:t>三、股东和实际控制人情况</w:t>
      </w:r>
      <w:r>
        <w:rPr>
          <w:b w:val="0"/>
          <w:bCs w:val="0"/>
        </w:rPr>
      </w:r>
    </w:p>
    <w:p>
      <w:pPr>
        <w:spacing w:line="240" w:lineRule="auto" w:before="3"/>
        <w:rPr>
          <w:rFonts w:ascii="宋体" w:hAnsi="宋体" w:cs="宋体" w:eastAsia="宋体" w:hint="default"/>
          <w:b/>
          <w:bCs/>
          <w:sz w:val="25"/>
          <w:szCs w:val="25"/>
        </w:rPr>
      </w:pPr>
    </w:p>
    <w:p>
      <w:pPr>
        <w:pStyle w:val="Heading3"/>
        <w:spacing w:line="240" w:lineRule="auto"/>
        <w:ind w:right="0"/>
        <w:jc w:val="left"/>
        <w:rPr>
          <w:b w:val="0"/>
          <w:bCs w:val="0"/>
        </w:rPr>
      </w:pPr>
      <w:bookmarkStart w:name="1、公司股东数量及持股情况" w:id="113"/>
      <w:bookmarkEnd w:id="113"/>
      <w:r>
        <w:rPr>
          <w:b w:val="0"/>
          <w:bCs w:val="0"/>
        </w:rPr>
      </w:r>
      <w:r>
        <w:rPr>
          <w:rFonts w:ascii="Times New Roman" w:hAnsi="Times New Roman" w:cs="Times New Roman" w:eastAsia="Times New Roman" w:hint="default"/>
        </w:rPr>
        <w:t>1</w:t>
      </w:r>
      <w:r>
        <w:rPr/>
        <w:t>、公司股东数量及持股情况</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6"/>
        <w:ind w:left="0" w:right="1122"/>
        <w:jc w:val="right"/>
      </w:pPr>
      <w:r>
        <w:rPr/>
        <w:pict>
          <v:group style="position:absolute;margin-left:329.640015pt;margin-top:70.437729pt;width:52.85pt;height:31.25pt;mso-position-horizontal-relative:page;mso-position-vertical-relative:paragraph;z-index:-1026232" coordorigin="6593,1409" coordsize="1057,625">
            <v:shape style="position:absolute;left:6593;top:1409;width:1057;height:625" coordorigin="6593,1409" coordsize="1057,625" path="m6593,2033l7649,2033,7649,1409,6593,1409,6593,2033xe" filled="true" fillcolor="#ffffff" stroked="false">
              <v:path arrowok="t"/>
              <v:fill type="solid"/>
            </v:shape>
            <w10:wrap type="none"/>
          </v:group>
        </w:pict>
      </w:r>
      <w:r>
        <w:rPr>
          <w:spacing w:val="-2"/>
        </w:rPr>
        <w:t>单位：股</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201"/>
        <w:gridCol w:w="1202"/>
        <w:gridCol w:w="921"/>
        <w:gridCol w:w="1076"/>
        <w:gridCol w:w="1049"/>
        <w:gridCol w:w="1078"/>
        <w:gridCol w:w="916"/>
        <w:gridCol w:w="1065"/>
        <w:gridCol w:w="1067"/>
      </w:tblGrid>
      <w:tr>
        <w:trPr>
          <w:trHeight w:val="163" w:hRule="exact"/>
        </w:trPr>
        <w:tc>
          <w:tcPr>
            <w:tcW w:w="1201" w:type="dxa"/>
            <w:vMerge w:val="restart"/>
            <w:tcBorders>
              <w:top w:val="single" w:sz="4" w:space="0" w:color="000000"/>
              <w:left w:val="single" w:sz="4" w:space="0" w:color="000000"/>
              <w:right w:val="single" w:sz="4" w:space="0" w:color="000000"/>
            </w:tcBorders>
            <w:shd w:val="clear" w:color="auto" w:fill="D2D2D2"/>
          </w:tcPr>
          <w:p>
            <w:pPr/>
          </w:p>
        </w:tc>
        <w:tc>
          <w:tcPr>
            <w:tcW w:w="1202" w:type="dxa"/>
            <w:vMerge w:val="restart"/>
            <w:tcBorders>
              <w:top w:val="single" w:sz="4" w:space="0" w:color="000000"/>
              <w:left w:val="single" w:sz="8" w:space="0" w:color="D2D2D2"/>
              <w:right w:val="single" w:sz="13"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667" w:right="0"/>
              <w:jc w:val="left"/>
              <w:rPr>
                <w:rFonts w:ascii="Times New Roman" w:hAnsi="Times New Roman" w:cs="Times New Roman" w:eastAsia="Times New Roman" w:hint="default"/>
                <w:sz w:val="18"/>
                <w:szCs w:val="18"/>
              </w:rPr>
            </w:pPr>
            <w:r>
              <w:rPr>
                <w:rFonts w:ascii="Times New Roman"/>
                <w:sz w:val="18"/>
              </w:rPr>
              <w:t>42,707</w:t>
            </w:r>
          </w:p>
        </w:tc>
        <w:tc>
          <w:tcPr>
            <w:tcW w:w="921"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3"/>
              <w:ind w:left="17" w:right="166"/>
              <w:jc w:val="both"/>
              <w:rPr>
                <w:rFonts w:ascii="宋体" w:hAnsi="宋体" w:cs="宋体" w:eastAsia="宋体" w:hint="default"/>
                <w:sz w:val="18"/>
                <w:szCs w:val="18"/>
              </w:rPr>
            </w:pPr>
            <w:r>
              <w:rPr>
                <w:rFonts w:ascii="宋体" w:hAnsi="宋体" w:cs="宋体" w:eastAsia="宋体" w:hint="default"/>
                <w:sz w:val="18"/>
                <w:szCs w:val="18"/>
              </w:rPr>
              <w:t>年度报告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披露日前</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上一月末</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普通股股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东总数</w:t>
            </w:r>
          </w:p>
        </w:tc>
        <w:tc>
          <w:tcPr>
            <w:tcW w:w="1076" w:type="dxa"/>
            <w:vMerge w:val="restart"/>
            <w:tcBorders>
              <w:top w:val="single" w:sz="4" w:space="0" w:color="000000"/>
              <w:left w:val="single" w:sz="8" w:space="0" w:color="D2D2D2"/>
              <w:right w:val="single" w:sz="13"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537" w:right="0"/>
              <w:jc w:val="left"/>
              <w:rPr>
                <w:rFonts w:ascii="Times New Roman" w:hAnsi="Times New Roman" w:cs="Times New Roman" w:eastAsia="Times New Roman" w:hint="default"/>
                <w:sz w:val="18"/>
                <w:szCs w:val="18"/>
              </w:rPr>
            </w:pPr>
            <w:r>
              <w:rPr>
                <w:rFonts w:ascii="Times New Roman"/>
                <w:sz w:val="18"/>
              </w:rPr>
              <w:t>51,700</w:t>
            </w:r>
          </w:p>
        </w:tc>
        <w:tc>
          <w:tcPr>
            <w:tcW w:w="1049"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18" w:right="117"/>
              <w:jc w:val="both"/>
              <w:rPr>
                <w:rFonts w:ascii="宋体" w:hAnsi="宋体" w:cs="宋体" w:eastAsia="宋体" w:hint="default"/>
                <w:sz w:val="18"/>
                <w:szCs w:val="18"/>
              </w:rPr>
            </w:pPr>
            <w:r>
              <w:rPr>
                <w:rFonts w:ascii="宋体" w:hAnsi="宋体" w:cs="宋体" w:eastAsia="宋体" w:hint="default"/>
                <w:spacing w:val="-2"/>
                <w:sz w:val="18"/>
                <w:szCs w:val="18"/>
              </w:rPr>
              <w:t>报告期末表</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决权恢复的</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优先股股东</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总数（如有</w:t>
            </w:r>
          </w:p>
          <w:p>
            <w:pPr>
              <w:pStyle w:val="TableParagraph"/>
              <w:spacing w:line="240" w:lineRule="auto" w:before="23"/>
              <w:ind w:left="18" w:right="0"/>
              <w:jc w:val="both"/>
              <w:rPr>
                <w:rFonts w:ascii="宋体" w:hAnsi="宋体" w:cs="宋体" w:eastAsia="宋体" w:hint="default"/>
                <w:sz w:val="18"/>
                <w:szCs w:val="18"/>
              </w:rPr>
            </w:pPr>
            <w:r>
              <w:rPr>
                <w:rFonts w:ascii="宋体" w:hAnsi="宋体" w:cs="宋体" w:eastAsia="宋体" w:hint="default"/>
                <w:sz w:val="18"/>
                <w:szCs w:val="18"/>
              </w:rPr>
              <w:t>（参见注</w:t>
            </w:r>
            <w:r>
              <w:rPr>
                <w:rFonts w:ascii="宋体" w:hAnsi="宋体" w:cs="宋体" w:eastAsia="宋体" w:hint="default"/>
                <w:spacing w:val="-86"/>
                <w:sz w:val="18"/>
                <w:szCs w:val="18"/>
              </w:rPr>
              <w:t> </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p>
        </w:tc>
        <w:tc>
          <w:tcPr>
            <w:tcW w:w="1078" w:type="dxa"/>
            <w:vMerge w:val="restart"/>
            <w:tcBorders>
              <w:top w:val="single" w:sz="4" w:space="0" w:color="000000"/>
              <w:left w:val="single" w:sz="13" w:space="0" w:color="D2D2D2"/>
              <w:right w:val="single" w:sz="10"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p>
            <w:pPr>
              <w:pStyle w:val="TableParagraph"/>
              <w:spacing w:line="240" w:lineRule="auto" w:before="63"/>
              <w:ind w:left="-141" w:right="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tc>
        <w:tc>
          <w:tcPr>
            <w:tcW w:w="1981"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1067" w:type="dxa"/>
            <w:vMerge w:val="restart"/>
            <w:tcBorders>
              <w:top w:val="single" w:sz="4" w:space="0" w:color="000000"/>
              <w:left w:val="single" w:sz="10"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312" w:hRule="exact"/>
        </w:trPr>
        <w:tc>
          <w:tcPr>
            <w:tcW w:w="1201" w:type="dxa"/>
            <w:vMerge/>
            <w:tcBorders>
              <w:left w:val="single" w:sz="4" w:space="0" w:color="000000"/>
              <w:bottom w:val="nil" w:sz="6" w:space="0" w:color="auto"/>
              <w:right w:val="single" w:sz="4" w:space="0" w:color="000000"/>
            </w:tcBorders>
            <w:shd w:val="clear" w:color="auto" w:fill="D2D2D2"/>
          </w:tcPr>
          <w:p>
            <w:pPr/>
          </w:p>
        </w:tc>
        <w:tc>
          <w:tcPr>
            <w:tcW w:w="1202" w:type="dxa"/>
            <w:vMerge/>
            <w:tcBorders>
              <w:left w:val="single" w:sz="8" w:space="0" w:color="D2D2D2"/>
              <w:right w:val="single" w:sz="13" w:space="0" w:color="D2D2D2"/>
            </w:tcBorders>
          </w:tcPr>
          <w:p>
            <w:pPr/>
          </w:p>
        </w:tc>
        <w:tc>
          <w:tcPr>
            <w:tcW w:w="921" w:type="dxa"/>
            <w:vMerge/>
            <w:tcBorders>
              <w:left w:val="single" w:sz="4" w:space="0" w:color="000000"/>
              <w:right w:val="single" w:sz="4" w:space="0" w:color="000000"/>
            </w:tcBorders>
            <w:shd w:val="clear" w:color="auto" w:fill="D2D2D2"/>
          </w:tcPr>
          <w:p>
            <w:pPr/>
          </w:p>
        </w:tc>
        <w:tc>
          <w:tcPr>
            <w:tcW w:w="1076" w:type="dxa"/>
            <w:vMerge/>
            <w:tcBorders>
              <w:left w:val="single" w:sz="8" w:space="0" w:color="D2D2D2"/>
              <w:right w:val="single" w:sz="13" w:space="0" w:color="D2D2D2"/>
            </w:tcBorders>
          </w:tcPr>
          <w:p>
            <w:pPr/>
          </w:p>
        </w:tc>
        <w:tc>
          <w:tcPr>
            <w:tcW w:w="1049" w:type="dxa"/>
            <w:vMerge/>
            <w:tcBorders>
              <w:left w:val="single" w:sz="4" w:space="0" w:color="000000"/>
              <w:right w:val="single" w:sz="4" w:space="0" w:color="000000"/>
            </w:tcBorders>
            <w:shd w:val="clear" w:color="auto" w:fill="D2D2D2"/>
          </w:tcPr>
          <w:p>
            <w:pPr/>
          </w:p>
        </w:tc>
        <w:tc>
          <w:tcPr>
            <w:tcW w:w="1078" w:type="dxa"/>
            <w:vMerge/>
            <w:tcBorders>
              <w:left w:val="single" w:sz="13" w:space="0" w:color="D2D2D2"/>
              <w:right w:val="single" w:sz="10" w:space="0" w:color="D2D2D2"/>
            </w:tcBorders>
          </w:tcPr>
          <w:p>
            <w:pPr/>
          </w:p>
        </w:tc>
        <w:tc>
          <w:tcPr>
            <w:tcW w:w="1981"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3"/>
              <w:ind w:left="17" w:right="55"/>
              <w:jc w:val="left"/>
              <w:rPr>
                <w:rFonts w:ascii="宋体" w:hAnsi="宋体" w:cs="宋体" w:eastAsia="宋体" w:hint="default"/>
                <w:sz w:val="18"/>
                <w:szCs w:val="18"/>
              </w:rPr>
            </w:pPr>
            <w:r>
              <w:rPr>
                <w:rFonts w:ascii="宋体" w:hAnsi="宋体" w:cs="宋体" w:eastAsia="宋体" w:hint="default"/>
                <w:sz w:val="18"/>
                <w:szCs w:val="18"/>
              </w:rPr>
              <w:t>年度报告披露日前上一</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月末表决权恢复的优先</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0"/>
                <w:w w:val="101"/>
                <w:sz w:val="18"/>
                <w:szCs w:val="18"/>
              </w:rPr>
              <w:t>股股东总数（如有）（参</w:t>
            </w:r>
            <w:r>
              <w:rPr>
                <w:rFonts w:ascii="宋体" w:hAnsi="宋体" w:cs="宋体" w:eastAsia="宋体" w:hint="default"/>
                <w:w w:val="101"/>
                <w:sz w:val="18"/>
                <w:szCs w:val="18"/>
              </w:rPr>
              <w:t> </w:t>
            </w:r>
            <w:r>
              <w:rPr>
                <w:rFonts w:ascii="宋体" w:hAnsi="宋体" w:cs="宋体" w:eastAsia="宋体" w:hint="default"/>
                <w:sz w:val="18"/>
                <w:szCs w:val="18"/>
              </w:rPr>
              <w:t>见注</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p>
        </w:tc>
        <w:tc>
          <w:tcPr>
            <w:tcW w:w="1067" w:type="dxa"/>
            <w:vMerge/>
            <w:tcBorders>
              <w:left w:val="single" w:sz="10" w:space="0" w:color="D2D2D2"/>
              <w:right w:val="single" w:sz="4" w:space="0" w:color="000000"/>
            </w:tcBorders>
          </w:tcPr>
          <w:p>
            <w:pPr/>
          </w:p>
        </w:tc>
      </w:tr>
      <w:tr>
        <w:trPr>
          <w:trHeight w:val="701" w:hRule="exact"/>
        </w:trPr>
        <w:tc>
          <w:tcPr>
            <w:tcW w:w="120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53"/>
              <w:ind w:left="24" w:right="80"/>
              <w:jc w:val="left"/>
              <w:rPr>
                <w:rFonts w:ascii="宋体" w:hAnsi="宋体" w:cs="宋体" w:eastAsia="宋体" w:hint="default"/>
                <w:sz w:val="18"/>
                <w:szCs w:val="18"/>
              </w:rPr>
            </w:pPr>
            <w:r>
              <w:rPr>
                <w:rFonts w:ascii="宋体" w:hAnsi="宋体" w:cs="宋体" w:eastAsia="宋体" w:hint="default"/>
                <w:spacing w:val="-2"/>
                <w:sz w:val="18"/>
                <w:szCs w:val="18"/>
              </w:rPr>
              <w:t>报告期末普通</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股股东总数</w:t>
            </w:r>
          </w:p>
        </w:tc>
        <w:tc>
          <w:tcPr>
            <w:tcW w:w="1202" w:type="dxa"/>
            <w:vMerge/>
            <w:tcBorders>
              <w:left w:val="single" w:sz="8" w:space="0" w:color="D2D2D2"/>
              <w:right w:val="single" w:sz="13" w:space="0" w:color="D2D2D2"/>
            </w:tcBorders>
          </w:tcPr>
          <w:p>
            <w:pPr/>
          </w:p>
        </w:tc>
        <w:tc>
          <w:tcPr>
            <w:tcW w:w="921" w:type="dxa"/>
            <w:vMerge/>
            <w:tcBorders>
              <w:left w:val="single" w:sz="4" w:space="0" w:color="000000"/>
              <w:right w:val="single" w:sz="4" w:space="0" w:color="000000"/>
            </w:tcBorders>
            <w:shd w:val="clear" w:color="auto" w:fill="D2D2D2"/>
          </w:tcPr>
          <w:p>
            <w:pPr/>
          </w:p>
        </w:tc>
        <w:tc>
          <w:tcPr>
            <w:tcW w:w="1076" w:type="dxa"/>
            <w:vMerge/>
            <w:tcBorders>
              <w:left w:val="single" w:sz="8" w:space="0" w:color="D2D2D2"/>
              <w:right w:val="single" w:sz="13" w:space="0" w:color="D2D2D2"/>
            </w:tcBorders>
          </w:tcPr>
          <w:p>
            <w:pPr/>
          </w:p>
        </w:tc>
        <w:tc>
          <w:tcPr>
            <w:tcW w:w="1049" w:type="dxa"/>
            <w:vMerge/>
            <w:tcBorders>
              <w:left w:val="single" w:sz="4" w:space="0" w:color="000000"/>
              <w:right w:val="single" w:sz="4" w:space="0" w:color="000000"/>
            </w:tcBorders>
            <w:shd w:val="clear" w:color="auto" w:fill="D2D2D2"/>
          </w:tcPr>
          <w:p>
            <w:pPr/>
          </w:p>
        </w:tc>
        <w:tc>
          <w:tcPr>
            <w:tcW w:w="1078" w:type="dxa"/>
            <w:vMerge/>
            <w:tcBorders>
              <w:left w:val="single" w:sz="13" w:space="0" w:color="D2D2D2"/>
              <w:right w:val="single" w:sz="10" w:space="0" w:color="D2D2D2"/>
            </w:tcBorders>
          </w:tcPr>
          <w:p>
            <w:pPr/>
          </w:p>
        </w:tc>
        <w:tc>
          <w:tcPr>
            <w:tcW w:w="1981" w:type="dxa"/>
            <w:gridSpan w:val="2"/>
            <w:vMerge/>
            <w:tcBorders>
              <w:left w:val="single" w:sz="4" w:space="0" w:color="000000"/>
              <w:right w:val="single" w:sz="4" w:space="0" w:color="000000"/>
            </w:tcBorders>
            <w:shd w:val="clear" w:color="auto" w:fill="D2D2D2"/>
          </w:tcPr>
          <w:p>
            <w:pPr/>
          </w:p>
        </w:tc>
        <w:tc>
          <w:tcPr>
            <w:tcW w:w="1067" w:type="dxa"/>
            <w:vMerge/>
            <w:tcBorders>
              <w:left w:val="single" w:sz="10" w:space="0" w:color="D2D2D2"/>
              <w:right w:val="single" w:sz="4" w:space="0" w:color="000000"/>
            </w:tcBorders>
          </w:tcPr>
          <w:p>
            <w:pPr/>
          </w:p>
        </w:tc>
      </w:tr>
      <w:tr>
        <w:trPr>
          <w:trHeight w:val="312" w:hRule="exact"/>
        </w:trPr>
        <w:tc>
          <w:tcPr>
            <w:tcW w:w="1201" w:type="dxa"/>
            <w:vMerge w:val="restart"/>
            <w:tcBorders>
              <w:top w:val="nil" w:sz="6" w:space="0" w:color="auto"/>
              <w:left w:val="single" w:sz="4" w:space="0" w:color="000000"/>
              <w:right w:val="single" w:sz="4" w:space="0" w:color="000000"/>
            </w:tcBorders>
            <w:shd w:val="clear" w:color="auto" w:fill="D2D2D2"/>
          </w:tcPr>
          <w:p>
            <w:pPr/>
          </w:p>
        </w:tc>
        <w:tc>
          <w:tcPr>
            <w:tcW w:w="1202" w:type="dxa"/>
            <w:vMerge/>
            <w:tcBorders>
              <w:left w:val="single" w:sz="8" w:space="0" w:color="D2D2D2"/>
              <w:right w:val="single" w:sz="13" w:space="0" w:color="D2D2D2"/>
            </w:tcBorders>
          </w:tcPr>
          <w:p>
            <w:pPr/>
          </w:p>
        </w:tc>
        <w:tc>
          <w:tcPr>
            <w:tcW w:w="921" w:type="dxa"/>
            <w:vMerge/>
            <w:tcBorders>
              <w:left w:val="single" w:sz="4" w:space="0" w:color="000000"/>
              <w:right w:val="single" w:sz="4" w:space="0" w:color="000000"/>
            </w:tcBorders>
            <w:shd w:val="clear" w:color="auto" w:fill="D2D2D2"/>
          </w:tcPr>
          <w:p>
            <w:pPr/>
          </w:p>
        </w:tc>
        <w:tc>
          <w:tcPr>
            <w:tcW w:w="1076" w:type="dxa"/>
            <w:vMerge/>
            <w:tcBorders>
              <w:left w:val="single" w:sz="8" w:space="0" w:color="D2D2D2"/>
              <w:right w:val="single" w:sz="13" w:space="0" w:color="D2D2D2"/>
            </w:tcBorders>
          </w:tcPr>
          <w:p>
            <w:pPr/>
          </w:p>
        </w:tc>
        <w:tc>
          <w:tcPr>
            <w:tcW w:w="1049" w:type="dxa"/>
            <w:vMerge/>
            <w:tcBorders>
              <w:left w:val="single" w:sz="4" w:space="0" w:color="000000"/>
              <w:right w:val="single" w:sz="4" w:space="0" w:color="000000"/>
            </w:tcBorders>
            <w:shd w:val="clear" w:color="auto" w:fill="D2D2D2"/>
          </w:tcPr>
          <w:p>
            <w:pPr/>
          </w:p>
        </w:tc>
        <w:tc>
          <w:tcPr>
            <w:tcW w:w="1078" w:type="dxa"/>
            <w:vMerge/>
            <w:tcBorders>
              <w:left w:val="single" w:sz="13" w:space="0" w:color="D2D2D2"/>
              <w:right w:val="single" w:sz="10" w:space="0" w:color="D2D2D2"/>
            </w:tcBorders>
          </w:tcPr>
          <w:p>
            <w:pPr/>
          </w:p>
        </w:tc>
        <w:tc>
          <w:tcPr>
            <w:tcW w:w="1981" w:type="dxa"/>
            <w:gridSpan w:val="2"/>
            <w:vMerge/>
            <w:tcBorders>
              <w:left w:val="single" w:sz="4" w:space="0" w:color="000000"/>
              <w:bottom w:val="nil" w:sz="6" w:space="0" w:color="auto"/>
              <w:right w:val="single" w:sz="4" w:space="0" w:color="000000"/>
            </w:tcBorders>
            <w:shd w:val="clear" w:color="auto" w:fill="D2D2D2"/>
          </w:tcPr>
          <w:p>
            <w:pPr/>
          </w:p>
        </w:tc>
        <w:tc>
          <w:tcPr>
            <w:tcW w:w="1067" w:type="dxa"/>
            <w:vMerge/>
            <w:tcBorders>
              <w:left w:val="single" w:sz="10" w:space="0" w:color="D2D2D2"/>
              <w:right w:val="single" w:sz="4" w:space="0" w:color="000000"/>
            </w:tcBorders>
          </w:tcPr>
          <w:p>
            <w:pPr/>
          </w:p>
        </w:tc>
      </w:tr>
      <w:tr>
        <w:trPr>
          <w:trHeight w:val="169" w:hRule="exact"/>
        </w:trPr>
        <w:tc>
          <w:tcPr>
            <w:tcW w:w="1201" w:type="dxa"/>
            <w:vMerge/>
            <w:tcBorders>
              <w:left w:val="single" w:sz="4" w:space="0" w:color="000000"/>
              <w:bottom w:val="single" w:sz="4" w:space="0" w:color="000000"/>
              <w:right w:val="single" w:sz="4" w:space="0" w:color="000000"/>
            </w:tcBorders>
            <w:shd w:val="clear" w:color="auto" w:fill="D2D2D2"/>
          </w:tcPr>
          <w:p>
            <w:pPr/>
          </w:p>
        </w:tc>
        <w:tc>
          <w:tcPr>
            <w:tcW w:w="1202" w:type="dxa"/>
            <w:vMerge/>
            <w:tcBorders>
              <w:left w:val="single" w:sz="8" w:space="0" w:color="D2D2D2"/>
              <w:bottom w:val="single" w:sz="4" w:space="0" w:color="000000"/>
              <w:right w:val="single" w:sz="13" w:space="0" w:color="D2D2D2"/>
            </w:tcBorders>
          </w:tcPr>
          <w:p>
            <w:pPr/>
          </w:p>
        </w:tc>
        <w:tc>
          <w:tcPr>
            <w:tcW w:w="921" w:type="dxa"/>
            <w:vMerge/>
            <w:tcBorders>
              <w:left w:val="single" w:sz="4" w:space="0" w:color="000000"/>
              <w:bottom w:val="single" w:sz="4" w:space="0" w:color="000000"/>
              <w:right w:val="single" w:sz="4" w:space="0" w:color="000000"/>
            </w:tcBorders>
            <w:shd w:val="clear" w:color="auto" w:fill="D2D2D2"/>
          </w:tcPr>
          <w:p>
            <w:pPr/>
          </w:p>
        </w:tc>
        <w:tc>
          <w:tcPr>
            <w:tcW w:w="1076" w:type="dxa"/>
            <w:vMerge/>
            <w:tcBorders>
              <w:left w:val="single" w:sz="8" w:space="0" w:color="D2D2D2"/>
              <w:bottom w:val="single" w:sz="4" w:space="0" w:color="000000"/>
              <w:right w:val="single" w:sz="13" w:space="0" w:color="D2D2D2"/>
            </w:tcBorders>
          </w:tcPr>
          <w:p>
            <w:pPr/>
          </w:p>
        </w:tc>
        <w:tc>
          <w:tcPr>
            <w:tcW w:w="1049" w:type="dxa"/>
            <w:vMerge/>
            <w:tcBorders>
              <w:left w:val="single" w:sz="4" w:space="0" w:color="000000"/>
              <w:bottom w:val="single" w:sz="4" w:space="0" w:color="000000"/>
              <w:right w:val="single" w:sz="4" w:space="0" w:color="000000"/>
            </w:tcBorders>
            <w:shd w:val="clear" w:color="auto" w:fill="D2D2D2"/>
          </w:tcPr>
          <w:p>
            <w:pPr/>
          </w:p>
        </w:tc>
        <w:tc>
          <w:tcPr>
            <w:tcW w:w="1078" w:type="dxa"/>
            <w:vMerge/>
            <w:tcBorders>
              <w:left w:val="single" w:sz="13" w:space="0" w:color="D2D2D2"/>
              <w:bottom w:val="single" w:sz="4" w:space="0" w:color="000000"/>
              <w:right w:val="single" w:sz="10" w:space="0" w:color="D2D2D2"/>
            </w:tcBorders>
          </w:tcPr>
          <w:p>
            <w:pPr/>
          </w:p>
        </w:tc>
        <w:tc>
          <w:tcPr>
            <w:tcW w:w="1981"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1067" w:type="dxa"/>
            <w:vMerge/>
            <w:tcBorders>
              <w:left w:val="single" w:sz="10" w:space="0" w:color="D2D2D2"/>
              <w:bottom w:val="single" w:sz="4" w:space="0" w:color="000000"/>
              <w:right w:val="single" w:sz="4" w:space="0" w:color="000000"/>
            </w:tcBorders>
          </w:tcPr>
          <w:p>
            <w:pPr/>
          </w:p>
        </w:tc>
      </w:tr>
      <w:tr>
        <w:trPr>
          <w:trHeight w:val="394" w:hRule="exact"/>
        </w:trPr>
        <w:tc>
          <w:tcPr>
            <w:tcW w:w="9575"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063"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28"/>
                <w:sz w:val="18"/>
                <w:szCs w:val="18"/>
              </w:rPr>
              <w:t> </w:t>
            </w:r>
            <w:r>
              <w:rPr>
                <w:rFonts w:ascii="Times New Roman" w:hAnsi="Times New Roman" w:cs="Times New Roman" w:eastAsia="Times New Roman" w:hint="default"/>
                <w:spacing w:val="-3"/>
                <w:sz w:val="18"/>
                <w:szCs w:val="18"/>
              </w:rPr>
              <w:t>5%</w:t>
            </w:r>
            <w:r>
              <w:rPr>
                <w:rFonts w:ascii="宋体" w:hAnsi="宋体" w:cs="宋体" w:eastAsia="宋体" w:hint="default"/>
                <w:spacing w:val="-3"/>
                <w:sz w:val="18"/>
                <w:szCs w:val="18"/>
              </w:rPr>
              <w:t>以上的股东或前</w:t>
            </w:r>
            <w:r>
              <w:rPr>
                <w:rFonts w:ascii="宋体" w:hAnsi="宋体" w:cs="宋体" w:eastAsia="宋体" w:hint="default"/>
                <w:spacing w:val="-2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7"/>
                <w:sz w:val="18"/>
                <w:szCs w:val="18"/>
              </w:rPr>
              <w:t> </w:t>
            </w:r>
            <w:r>
              <w:rPr>
                <w:rFonts w:ascii="宋体" w:hAnsi="宋体" w:cs="宋体" w:eastAsia="宋体" w:hint="default"/>
                <w:spacing w:val="-3"/>
                <w:sz w:val="18"/>
                <w:szCs w:val="18"/>
              </w:rPr>
              <w:t>名股东持股情况</w:t>
            </w:r>
          </w:p>
        </w:tc>
      </w:tr>
      <w:tr>
        <w:trPr>
          <w:trHeight w:val="163" w:hRule="exact"/>
        </w:trPr>
        <w:tc>
          <w:tcPr>
            <w:tcW w:w="1201" w:type="dxa"/>
            <w:vMerge w:val="restart"/>
            <w:tcBorders>
              <w:top w:val="single" w:sz="4" w:space="0" w:color="000000"/>
              <w:left w:val="single" w:sz="4" w:space="0" w:color="000000"/>
              <w:right w:val="single" w:sz="4" w:space="0" w:color="000000"/>
            </w:tcBorders>
            <w:shd w:val="clear" w:color="auto" w:fill="D2D2D2"/>
          </w:tcPr>
          <w:p>
            <w:pPr/>
          </w:p>
        </w:tc>
        <w:tc>
          <w:tcPr>
            <w:tcW w:w="1202" w:type="dxa"/>
            <w:vMerge w:val="restart"/>
            <w:tcBorders>
              <w:top w:val="single" w:sz="4" w:space="0" w:color="000000"/>
              <w:left w:val="single" w:sz="4" w:space="0" w:color="000000"/>
              <w:right w:val="single" w:sz="4" w:space="0" w:color="000000"/>
            </w:tcBorders>
            <w:shd w:val="clear" w:color="auto" w:fill="D2D2D2"/>
          </w:tcPr>
          <w:p>
            <w:pPr/>
          </w:p>
        </w:tc>
        <w:tc>
          <w:tcPr>
            <w:tcW w:w="921" w:type="dxa"/>
            <w:vMerge w:val="restart"/>
            <w:tcBorders>
              <w:top w:val="single" w:sz="4" w:space="0" w:color="000000"/>
              <w:left w:val="single" w:sz="4" w:space="0" w:color="000000"/>
              <w:right w:val="single" w:sz="4" w:space="0" w:color="000000"/>
            </w:tcBorders>
            <w:shd w:val="clear" w:color="auto" w:fill="D2D2D2"/>
          </w:tcPr>
          <w:p>
            <w:pPr/>
          </w:p>
        </w:tc>
        <w:tc>
          <w:tcPr>
            <w:tcW w:w="1076" w:type="dxa"/>
            <w:tcBorders>
              <w:top w:val="single" w:sz="4" w:space="0" w:color="000000"/>
              <w:left w:val="single" w:sz="4" w:space="0" w:color="000000"/>
              <w:bottom w:val="nil" w:sz="6" w:space="0" w:color="auto"/>
              <w:right w:val="single" w:sz="4" w:space="0" w:color="000000"/>
            </w:tcBorders>
            <w:shd w:val="clear" w:color="auto" w:fill="D2D2D2"/>
          </w:tcPr>
          <w:p>
            <w:pPr/>
          </w:p>
        </w:tc>
        <w:tc>
          <w:tcPr>
            <w:tcW w:w="1049" w:type="dxa"/>
            <w:tcBorders>
              <w:top w:val="single" w:sz="4" w:space="0" w:color="000000"/>
              <w:left w:val="single" w:sz="4" w:space="0" w:color="000000"/>
              <w:bottom w:val="nil" w:sz="6" w:space="0" w:color="auto"/>
              <w:right w:val="single" w:sz="4" w:space="0" w:color="000000"/>
            </w:tcBorders>
            <w:shd w:val="clear" w:color="auto" w:fill="D2D2D2"/>
          </w:tcPr>
          <w:p>
            <w:pPr/>
          </w:p>
        </w:tc>
        <w:tc>
          <w:tcPr>
            <w:tcW w:w="107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8"/>
              <w:ind w:left="82" w:right="81"/>
              <w:jc w:val="center"/>
              <w:rPr>
                <w:rFonts w:ascii="宋体" w:hAnsi="宋体" w:cs="宋体" w:eastAsia="宋体" w:hint="default"/>
                <w:sz w:val="18"/>
                <w:szCs w:val="18"/>
              </w:rPr>
            </w:pPr>
            <w:r>
              <w:rPr>
                <w:rFonts w:ascii="宋体" w:hAnsi="宋体" w:cs="宋体" w:eastAsia="宋体" w:hint="default"/>
                <w:spacing w:val="-2"/>
                <w:sz w:val="18"/>
                <w:szCs w:val="18"/>
              </w:rPr>
              <w:t>持有有限售</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条件的股份</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数量</w:t>
            </w:r>
          </w:p>
        </w:tc>
        <w:tc>
          <w:tcPr>
            <w:tcW w:w="91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8"/>
              <w:ind w:left="89" w:right="89"/>
              <w:jc w:val="both"/>
              <w:rPr>
                <w:rFonts w:ascii="宋体" w:hAnsi="宋体" w:cs="宋体" w:eastAsia="宋体" w:hint="default"/>
                <w:sz w:val="18"/>
                <w:szCs w:val="18"/>
              </w:rPr>
            </w:pPr>
            <w:r>
              <w:rPr>
                <w:rFonts w:ascii="宋体" w:hAnsi="宋体" w:cs="宋体" w:eastAsia="宋体" w:hint="default"/>
                <w:sz w:val="18"/>
                <w:szCs w:val="18"/>
              </w:rPr>
              <w:t>持有无限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售条件的</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股份数量</w:t>
            </w:r>
          </w:p>
        </w:tc>
        <w:tc>
          <w:tcPr>
            <w:tcW w:w="213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427" w:right="0"/>
              <w:jc w:val="left"/>
              <w:rPr>
                <w:rFonts w:ascii="宋体" w:hAnsi="宋体" w:cs="宋体" w:eastAsia="宋体" w:hint="default"/>
                <w:sz w:val="18"/>
                <w:szCs w:val="18"/>
              </w:rPr>
            </w:pPr>
            <w:r>
              <w:rPr>
                <w:rFonts w:ascii="宋体" w:hAnsi="宋体" w:cs="宋体" w:eastAsia="宋体" w:hint="default"/>
                <w:spacing w:val="-3"/>
                <w:sz w:val="18"/>
                <w:szCs w:val="18"/>
              </w:rPr>
              <w:t>质押或冻结情况</w:t>
            </w:r>
          </w:p>
        </w:tc>
      </w:tr>
      <w:tr>
        <w:trPr>
          <w:trHeight w:val="158" w:hRule="exact"/>
        </w:trPr>
        <w:tc>
          <w:tcPr>
            <w:tcW w:w="1201" w:type="dxa"/>
            <w:vMerge/>
            <w:tcBorders>
              <w:left w:val="single" w:sz="4" w:space="0" w:color="000000"/>
              <w:bottom w:val="nil" w:sz="6" w:space="0" w:color="auto"/>
              <w:right w:val="single" w:sz="4" w:space="0" w:color="000000"/>
            </w:tcBorders>
            <w:shd w:val="clear" w:color="auto" w:fill="D2D2D2"/>
          </w:tcPr>
          <w:p>
            <w:pPr/>
          </w:p>
        </w:tc>
        <w:tc>
          <w:tcPr>
            <w:tcW w:w="1202" w:type="dxa"/>
            <w:vMerge/>
            <w:tcBorders>
              <w:left w:val="single" w:sz="4" w:space="0" w:color="000000"/>
              <w:bottom w:val="nil" w:sz="6" w:space="0" w:color="auto"/>
              <w:right w:val="single" w:sz="4" w:space="0" w:color="000000"/>
            </w:tcBorders>
            <w:shd w:val="clear" w:color="auto" w:fill="D2D2D2"/>
          </w:tcPr>
          <w:p>
            <w:pPr/>
          </w:p>
        </w:tc>
        <w:tc>
          <w:tcPr>
            <w:tcW w:w="921" w:type="dxa"/>
            <w:vMerge/>
            <w:tcBorders>
              <w:left w:val="single" w:sz="4" w:space="0" w:color="000000"/>
              <w:bottom w:val="nil" w:sz="6" w:space="0" w:color="auto"/>
              <w:right w:val="single" w:sz="4" w:space="0" w:color="000000"/>
            </w:tcBorders>
            <w:shd w:val="clear" w:color="auto" w:fill="D2D2D2"/>
          </w:tcPr>
          <w:p>
            <w:pPr/>
          </w:p>
        </w:tc>
        <w:tc>
          <w:tcPr>
            <w:tcW w:w="1076" w:type="dxa"/>
            <w:vMerge w:val="restart"/>
            <w:tcBorders>
              <w:top w:val="nil" w:sz="6" w:space="0" w:color="auto"/>
              <w:left w:val="single" w:sz="4" w:space="0" w:color="000000"/>
              <w:right w:val="single" w:sz="4" w:space="0" w:color="000000"/>
            </w:tcBorders>
            <w:shd w:val="clear" w:color="auto" w:fill="D2D2D2"/>
          </w:tcPr>
          <w:p>
            <w:pPr>
              <w:pStyle w:val="TableParagraph"/>
              <w:spacing w:line="321" w:lineRule="auto" w:before="53"/>
              <w:ind w:left="264" w:right="80" w:hanging="183"/>
              <w:jc w:val="left"/>
              <w:rPr>
                <w:rFonts w:ascii="宋体" w:hAnsi="宋体" w:cs="宋体" w:eastAsia="宋体" w:hint="default"/>
                <w:sz w:val="18"/>
                <w:szCs w:val="18"/>
              </w:rPr>
            </w:pPr>
            <w:r>
              <w:rPr>
                <w:rFonts w:ascii="宋体" w:hAnsi="宋体" w:cs="宋体" w:eastAsia="宋体" w:hint="default"/>
                <w:spacing w:val="-2"/>
                <w:sz w:val="18"/>
                <w:szCs w:val="18"/>
              </w:rPr>
              <w:t>报告期末持</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股数量</w:t>
            </w:r>
          </w:p>
        </w:tc>
        <w:tc>
          <w:tcPr>
            <w:tcW w:w="1049" w:type="dxa"/>
            <w:vMerge w:val="restart"/>
            <w:tcBorders>
              <w:top w:val="nil" w:sz="6" w:space="0" w:color="auto"/>
              <w:left w:val="single" w:sz="4" w:space="0" w:color="000000"/>
              <w:right w:val="single" w:sz="4" w:space="0" w:color="000000"/>
            </w:tcBorders>
            <w:shd w:val="clear" w:color="auto" w:fill="D2D2D2"/>
          </w:tcPr>
          <w:p>
            <w:pPr>
              <w:pStyle w:val="TableParagraph"/>
              <w:spacing w:line="321" w:lineRule="auto" w:before="53"/>
              <w:ind w:left="70" w:right="64"/>
              <w:jc w:val="left"/>
              <w:rPr>
                <w:rFonts w:ascii="宋体" w:hAnsi="宋体" w:cs="宋体" w:eastAsia="宋体" w:hint="default"/>
                <w:sz w:val="18"/>
                <w:szCs w:val="18"/>
              </w:rPr>
            </w:pPr>
            <w:r>
              <w:rPr>
                <w:rFonts w:ascii="宋体" w:hAnsi="宋体" w:cs="宋体" w:eastAsia="宋体" w:hint="default"/>
                <w:spacing w:val="-2"/>
                <w:sz w:val="18"/>
                <w:szCs w:val="18"/>
              </w:rPr>
              <w:t>报告期内增</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减变动情况</w:t>
            </w:r>
          </w:p>
        </w:tc>
        <w:tc>
          <w:tcPr>
            <w:tcW w:w="1078" w:type="dxa"/>
            <w:vMerge/>
            <w:tcBorders>
              <w:left w:val="single" w:sz="4" w:space="0" w:color="000000"/>
              <w:right w:val="single" w:sz="4" w:space="0" w:color="000000"/>
            </w:tcBorders>
            <w:shd w:val="clear" w:color="auto" w:fill="D2D2D2"/>
          </w:tcPr>
          <w:p>
            <w:pPr/>
          </w:p>
        </w:tc>
        <w:tc>
          <w:tcPr>
            <w:tcW w:w="916" w:type="dxa"/>
            <w:vMerge/>
            <w:tcBorders>
              <w:left w:val="single" w:sz="4" w:space="0" w:color="000000"/>
              <w:right w:val="single" w:sz="4" w:space="0" w:color="000000"/>
            </w:tcBorders>
            <w:shd w:val="clear" w:color="auto" w:fill="D2D2D2"/>
          </w:tcPr>
          <w:p>
            <w:pPr/>
          </w:p>
        </w:tc>
        <w:tc>
          <w:tcPr>
            <w:tcW w:w="2132" w:type="dxa"/>
            <w:gridSpan w:val="2"/>
            <w:vMerge/>
            <w:tcBorders>
              <w:left w:val="single" w:sz="4" w:space="0" w:color="000000"/>
              <w:right w:val="single" w:sz="4" w:space="0" w:color="000000"/>
            </w:tcBorders>
            <w:shd w:val="clear" w:color="auto" w:fill="D2D2D2"/>
          </w:tcPr>
          <w:p>
            <w:pPr/>
          </w:p>
        </w:tc>
      </w:tr>
      <w:tr>
        <w:trPr>
          <w:trHeight w:val="139" w:hRule="exact"/>
        </w:trPr>
        <w:tc>
          <w:tcPr>
            <w:tcW w:w="12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35"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20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35"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92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94"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1076" w:type="dxa"/>
            <w:vMerge/>
            <w:tcBorders>
              <w:left w:val="single" w:sz="4" w:space="0" w:color="000000"/>
              <w:right w:val="single" w:sz="4" w:space="0" w:color="000000"/>
            </w:tcBorders>
            <w:shd w:val="clear" w:color="auto" w:fill="D2D2D2"/>
          </w:tcPr>
          <w:p>
            <w:pPr/>
          </w:p>
        </w:tc>
        <w:tc>
          <w:tcPr>
            <w:tcW w:w="1049" w:type="dxa"/>
            <w:vMerge/>
            <w:tcBorders>
              <w:left w:val="single" w:sz="4" w:space="0" w:color="000000"/>
              <w:right w:val="single" w:sz="4" w:space="0" w:color="000000"/>
            </w:tcBorders>
            <w:shd w:val="clear" w:color="auto" w:fill="D2D2D2"/>
          </w:tcPr>
          <w:p>
            <w:pPr/>
          </w:p>
        </w:tc>
        <w:tc>
          <w:tcPr>
            <w:tcW w:w="1078" w:type="dxa"/>
            <w:vMerge/>
            <w:tcBorders>
              <w:left w:val="single" w:sz="4" w:space="0" w:color="000000"/>
              <w:right w:val="single" w:sz="4" w:space="0" w:color="000000"/>
            </w:tcBorders>
            <w:shd w:val="clear" w:color="auto" w:fill="D2D2D2"/>
          </w:tcPr>
          <w:p>
            <w:pPr/>
          </w:p>
        </w:tc>
        <w:tc>
          <w:tcPr>
            <w:tcW w:w="916" w:type="dxa"/>
            <w:vMerge/>
            <w:tcBorders>
              <w:left w:val="single" w:sz="4" w:space="0" w:color="000000"/>
              <w:right w:val="single" w:sz="4" w:space="0" w:color="000000"/>
            </w:tcBorders>
            <w:shd w:val="clear" w:color="auto" w:fill="D2D2D2"/>
          </w:tcPr>
          <w:p>
            <w:pPr/>
          </w:p>
        </w:tc>
        <w:tc>
          <w:tcPr>
            <w:tcW w:w="2132" w:type="dxa"/>
            <w:gridSpan w:val="2"/>
            <w:vMerge/>
            <w:tcBorders>
              <w:left w:val="single" w:sz="4" w:space="0" w:color="000000"/>
              <w:bottom w:val="single" w:sz="4" w:space="0" w:color="000000"/>
              <w:right w:val="single" w:sz="4" w:space="0" w:color="000000"/>
            </w:tcBorders>
            <w:shd w:val="clear" w:color="auto" w:fill="D2D2D2"/>
          </w:tcPr>
          <w:p>
            <w:pPr/>
          </w:p>
        </w:tc>
      </w:tr>
      <w:tr>
        <w:trPr>
          <w:trHeight w:val="250" w:hRule="exact"/>
        </w:trPr>
        <w:tc>
          <w:tcPr>
            <w:tcW w:w="1201" w:type="dxa"/>
            <w:vMerge/>
            <w:tcBorders>
              <w:left w:val="single" w:sz="4" w:space="0" w:color="000000"/>
              <w:bottom w:val="nil" w:sz="6" w:space="0" w:color="auto"/>
              <w:right w:val="single" w:sz="4" w:space="0" w:color="000000"/>
            </w:tcBorders>
            <w:shd w:val="clear" w:color="auto" w:fill="D2D2D2"/>
          </w:tcPr>
          <w:p>
            <w:pPr/>
          </w:p>
        </w:tc>
        <w:tc>
          <w:tcPr>
            <w:tcW w:w="1202" w:type="dxa"/>
            <w:vMerge/>
            <w:tcBorders>
              <w:left w:val="single" w:sz="4" w:space="0" w:color="000000"/>
              <w:bottom w:val="nil" w:sz="6" w:space="0" w:color="auto"/>
              <w:right w:val="single" w:sz="4" w:space="0" w:color="000000"/>
            </w:tcBorders>
            <w:shd w:val="clear" w:color="auto" w:fill="D2D2D2"/>
          </w:tcPr>
          <w:p>
            <w:pPr/>
          </w:p>
        </w:tc>
        <w:tc>
          <w:tcPr>
            <w:tcW w:w="921" w:type="dxa"/>
            <w:vMerge/>
            <w:tcBorders>
              <w:left w:val="single" w:sz="4" w:space="0" w:color="000000"/>
              <w:bottom w:val="nil" w:sz="6" w:space="0" w:color="auto"/>
              <w:right w:val="single" w:sz="4" w:space="0" w:color="000000"/>
            </w:tcBorders>
            <w:shd w:val="clear" w:color="auto" w:fill="D2D2D2"/>
          </w:tcPr>
          <w:p>
            <w:pPr/>
          </w:p>
        </w:tc>
        <w:tc>
          <w:tcPr>
            <w:tcW w:w="1076" w:type="dxa"/>
            <w:vMerge/>
            <w:tcBorders>
              <w:left w:val="single" w:sz="4" w:space="0" w:color="000000"/>
              <w:right w:val="single" w:sz="4" w:space="0" w:color="000000"/>
            </w:tcBorders>
            <w:shd w:val="clear" w:color="auto" w:fill="D2D2D2"/>
          </w:tcPr>
          <w:p>
            <w:pPr/>
          </w:p>
        </w:tc>
        <w:tc>
          <w:tcPr>
            <w:tcW w:w="1049" w:type="dxa"/>
            <w:vMerge/>
            <w:tcBorders>
              <w:left w:val="single" w:sz="4" w:space="0" w:color="000000"/>
              <w:right w:val="single" w:sz="4" w:space="0" w:color="000000"/>
            </w:tcBorders>
            <w:shd w:val="clear" w:color="auto" w:fill="D2D2D2"/>
          </w:tcPr>
          <w:p>
            <w:pPr/>
          </w:p>
        </w:tc>
        <w:tc>
          <w:tcPr>
            <w:tcW w:w="1078" w:type="dxa"/>
            <w:vMerge/>
            <w:tcBorders>
              <w:left w:val="single" w:sz="4" w:space="0" w:color="000000"/>
              <w:right w:val="single" w:sz="4" w:space="0" w:color="000000"/>
            </w:tcBorders>
            <w:shd w:val="clear" w:color="auto" w:fill="D2D2D2"/>
          </w:tcPr>
          <w:p>
            <w:pPr/>
          </w:p>
        </w:tc>
        <w:tc>
          <w:tcPr>
            <w:tcW w:w="916" w:type="dxa"/>
            <w:vMerge/>
            <w:tcBorders>
              <w:left w:val="single" w:sz="4" w:space="0" w:color="000000"/>
              <w:right w:val="single" w:sz="4" w:space="0" w:color="000000"/>
            </w:tcBorders>
            <w:shd w:val="clear" w:color="auto" w:fill="D2D2D2"/>
          </w:tcPr>
          <w:p>
            <w:pPr/>
          </w:p>
        </w:tc>
        <w:tc>
          <w:tcPr>
            <w:tcW w:w="10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1"/>
              <w:ind w:left="167"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10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1"/>
              <w:ind w:left="351" w:right="0"/>
              <w:jc w:val="left"/>
              <w:rPr>
                <w:rFonts w:ascii="宋体" w:hAnsi="宋体" w:cs="宋体" w:eastAsia="宋体" w:hint="default"/>
                <w:sz w:val="18"/>
                <w:szCs w:val="18"/>
              </w:rPr>
            </w:pPr>
            <w:r>
              <w:rPr>
                <w:rFonts w:ascii="宋体" w:hAnsi="宋体" w:cs="宋体" w:eastAsia="宋体" w:hint="default"/>
                <w:sz w:val="18"/>
                <w:szCs w:val="18"/>
              </w:rPr>
              <w:t>数量</w:t>
            </w:r>
          </w:p>
        </w:tc>
      </w:tr>
      <w:tr>
        <w:trPr>
          <w:trHeight w:val="158" w:hRule="exact"/>
        </w:trPr>
        <w:tc>
          <w:tcPr>
            <w:tcW w:w="1201" w:type="dxa"/>
            <w:vMerge w:val="restart"/>
            <w:tcBorders>
              <w:top w:val="nil" w:sz="6" w:space="0" w:color="auto"/>
              <w:left w:val="single" w:sz="4" w:space="0" w:color="000000"/>
              <w:right w:val="single" w:sz="4" w:space="0" w:color="000000"/>
            </w:tcBorders>
            <w:shd w:val="clear" w:color="auto" w:fill="D2D2D2"/>
          </w:tcPr>
          <w:p>
            <w:pPr/>
          </w:p>
        </w:tc>
        <w:tc>
          <w:tcPr>
            <w:tcW w:w="1202" w:type="dxa"/>
            <w:vMerge w:val="restart"/>
            <w:tcBorders>
              <w:top w:val="nil" w:sz="6" w:space="0" w:color="auto"/>
              <w:left w:val="single" w:sz="4" w:space="0" w:color="000000"/>
              <w:right w:val="single" w:sz="4" w:space="0" w:color="000000"/>
            </w:tcBorders>
            <w:shd w:val="clear" w:color="auto" w:fill="D2D2D2"/>
          </w:tcPr>
          <w:p>
            <w:pPr/>
          </w:p>
        </w:tc>
        <w:tc>
          <w:tcPr>
            <w:tcW w:w="921" w:type="dxa"/>
            <w:vMerge w:val="restart"/>
            <w:tcBorders>
              <w:top w:val="nil" w:sz="6" w:space="0" w:color="auto"/>
              <w:left w:val="single" w:sz="4" w:space="0" w:color="000000"/>
              <w:right w:val="single" w:sz="4" w:space="0" w:color="000000"/>
            </w:tcBorders>
            <w:shd w:val="clear" w:color="auto" w:fill="D2D2D2"/>
          </w:tcPr>
          <w:p>
            <w:pPr/>
          </w:p>
        </w:tc>
        <w:tc>
          <w:tcPr>
            <w:tcW w:w="1076" w:type="dxa"/>
            <w:vMerge/>
            <w:tcBorders>
              <w:left w:val="single" w:sz="4" w:space="0" w:color="000000"/>
              <w:bottom w:val="nil" w:sz="6" w:space="0" w:color="auto"/>
              <w:right w:val="single" w:sz="4" w:space="0" w:color="000000"/>
            </w:tcBorders>
            <w:shd w:val="clear" w:color="auto" w:fill="D2D2D2"/>
          </w:tcPr>
          <w:p>
            <w:pPr/>
          </w:p>
        </w:tc>
        <w:tc>
          <w:tcPr>
            <w:tcW w:w="1049" w:type="dxa"/>
            <w:vMerge/>
            <w:tcBorders>
              <w:left w:val="single" w:sz="4" w:space="0" w:color="000000"/>
              <w:bottom w:val="nil" w:sz="6" w:space="0" w:color="auto"/>
              <w:right w:val="single" w:sz="4" w:space="0" w:color="000000"/>
            </w:tcBorders>
            <w:shd w:val="clear" w:color="auto" w:fill="D2D2D2"/>
          </w:tcPr>
          <w:p>
            <w:pPr/>
          </w:p>
        </w:tc>
        <w:tc>
          <w:tcPr>
            <w:tcW w:w="1078" w:type="dxa"/>
            <w:vMerge/>
            <w:tcBorders>
              <w:left w:val="single" w:sz="4" w:space="0" w:color="000000"/>
              <w:right w:val="single" w:sz="4" w:space="0" w:color="000000"/>
            </w:tcBorders>
            <w:shd w:val="clear" w:color="auto" w:fill="D2D2D2"/>
          </w:tcPr>
          <w:p>
            <w:pPr/>
          </w:p>
        </w:tc>
        <w:tc>
          <w:tcPr>
            <w:tcW w:w="916" w:type="dxa"/>
            <w:vMerge/>
            <w:tcBorders>
              <w:left w:val="single" w:sz="4" w:space="0" w:color="000000"/>
              <w:right w:val="single" w:sz="4" w:space="0" w:color="000000"/>
            </w:tcBorders>
            <w:shd w:val="clear" w:color="auto" w:fill="D2D2D2"/>
          </w:tcPr>
          <w:p>
            <w:pPr/>
          </w:p>
        </w:tc>
        <w:tc>
          <w:tcPr>
            <w:tcW w:w="1065" w:type="dxa"/>
            <w:vMerge/>
            <w:tcBorders>
              <w:left w:val="single" w:sz="4" w:space="0" w:color="000000"/>
              <w:right w:val="single" w:sz="4" w:space="0" w:color="000000"/>
            </w:tcBorders>
            <w:shd w:val="clear" w:color="auto" w:fill="D2D2D2"/>
          </w:tcPr>
          <w:p>
            <w:pPr/>
          </w:p>
        </w:tc>
        <w:tc>
          <w:tcPr>
            <w:tcW w:w="1067" w:type="dxa"/>
            <w:vMerge/>
            <w:tcBorders>
              <w:left w:val="single" w:sz="4" w:space="0" w:color="000000"/>
              <w:right w:val="single" w:sz="4" w:space="0" w:color="000000"/>
            </w:tcBorders>
            <w:shd w:val="clear" w:color="auto" w:fill="D2D2D2"/>
          </w:tcPr>
          <w:p>
            <w:pPr/>
          </w:p>
        </w:tc>
      </w:tr>
      <w:tr>
        <w:trPr>
          <w:trHeight w:val="158" w:hRule="exact"/>
        </w:trPr>
        <w:tc>
          <w:tcPr>
            <w:tcW w:w="1201" w:type="dxa"/>
            <w:vMerge/>
            <w:tcBorders>
              <w:left w:val="single" w:sz="4" w:space="0" w:color="000000"/>
              <w:bottom w:val="single" w:sz="4" w:space="0" w:color="000000"/>
              <w:right w:val="single" w:sz="4" w:space="0" w:color="000000"/>
            </w:tcBorders>
            <w:shd w:val="clear" w:color="auto" w:fill="D2D2D2"/>
          </w:tcPr>
          <w:p>
            <w:pPr/>
          </w:p>
        </w:tc>
        <w:tc>
          <w:tcPr>
            <w:tcW w:w="1202" w:type="dxa"/>
            <w:vMerge/>
            <w:tcBorders>
              <w:left w:val="single" w:sz="4" w:space="0" w:color="000000"/>
              <w:bottom w:val="single" w:sz="4" w:space="0" w:color="000000"/>
              <w:right w:val="single" w:sz="4" w:space="0" w:color="000000"/>
            </w:tcBorders>
            <w:shd w:val="clear" w:color="auto" w:fill="D2D2D2"/>
          </w:tcPr>
          <w:p>
            <w:pPr/>
          </w:p>
        </w:tc>
        <w:tc>
          <w:tcPr>
            <w:tcW w:w="921" w:type="dxa"/>
            <w:vMerge/>
            <w:tcBorders>
              <w:left w:val="single" w:sz="4" w:space="0" w:color="000000"/>
              <w:bottom w:val="single" w:sz="4" w:space="0" w:color="000000"/>
              <w:right w:val="single" w:sz="4" w:space="0" w:color="000000"/>
            </w:tcBorders>
            <w:shd w:val="clear" w:color="auto" w:fill="D2D2D2"/>
          </w:tcPr>
          <w:p>
            <w:pPr/>
          </w:p>
        </w:tc>
        <w:tc>
          <w:tcPr>
            <w:tcW w:w="1076" w:type="dxa"/>
            <w:tcBorders>
              <w:top w:val="nil" w:sz="6" w:space="0" w:color="auto"/>
              <w:left w:val="single" w:sz="4" w:space="0" w:color="000000"/>
              <w:bottom w:val="single" w:sz="4" w:space="0" w:color="000000"/>
              <w:right w:val="single" w:sz="4" w:space="0" w:color="000000"/>
            </w:tcBorders>
            <w:shd w:val="clear" w:color="auto" w:fill="D2D2D2"/>
          </w:tcPr>
          <w:p>
            <w:pPr/>
          </w:p>
        </w:tc>
        <w:tc>
          <w:tcPr>
            <w:tcW w:w="1049" w:type="dxa"/>
            <w:tcBorders>
              <w:top w:val="nil" w:sz="6" w:space="0" w:color="auto"/>
              <w:left w:val="single" w:sz="4" w:space="0" w:color="000000"/>
              <w:bottom w:val="single" w:sz="4" w:space="0" w:color="000000"/>
              <w:right w:val="single" w:sz="4" w:space="0" w:color="000000"/>
            </w:tcBorders>
            <w:shd w:val="clear" w:color="auto" w:fill="D2D2D2"/>
          </w:tcPr>
          <w:p>
            <w:pPr/>
          </w:p>
        </w:tc>
        <w:tc>
          <w:tcPr>
            <w:tcW w:w="1078" w:type="dxa"/>
            <w:vMerge/>
            <w:tcBorders>
              <w:left w:val="single" w:sz="4" w:space="0" w:color="000000"/>
              <w:bottom w:val="single" w:sz="4" w:space="0" w:color="000000"/>
              <w:right w:val="single" w:sz="4" w:space="0" w:color="000000"/>
            </w:tcBorders>
            <w:shd w:val="clear" w:color="auto" w:fill="D2D2D2"/>
          </w:tcPr>
          <w:p>
            <w:pPr/>
          </w:p>
        </w:tc>
        <w:tc>
          <w:tcPr>
            <w:tcW w:w="916" w:type="dxa"/>
            <w:vMerge/>
            <w:tcBorders>
              <w:left w:val="single" w:sz="4" w:space="0" w:color="000000"/>
              <w:bottom w:val="single" w:sz="4" w:space="0" w:color="000000"/>
              <w:right w:val="single" w:sz="4" w:space="0" w:color="000000"/>
            </w:tcBorders>
            <w:shd w:val="clear" w:color="auto" w:fill="D2D2D2"/>
          </w:tcPr>
          <w:p>
            <w:pPr/>
          </w:p>
        </w:tc>
        <w:tc>
          <w:tcPr>
            <w:tcW w:w="1065" w:type="dxa"/>
            <w:vMerge/>
            <w:tcBorders>
              <w:left w:val="single" w:sz="4" w:space="0" w:color="000000"/>
              <w:bottom w:val="single" w:sz="4" w:space="0" w:color="000000"/>
              <w:right w:val="single" w:sz="4" w:space="0" w:color="000000"/>
            </w:tcBorders>
            <w:shd w:val="clear" w:color="auto" w:fill="D2D2D2"/>
          </w:tcPr>
          <w:p>
            <w:pPr/>
          </w:p>
        </w:tc>
        <w:tc>
          <w:tcPr>
            <w:tcW w:w="1067" w:type="dxa"/>
            <w:vMerge/>
            <w:tcBorders>
              <w:left w:val="single" w:sz="4" w:space="0" w:color="000000"/>
              <w:bottom w:val="single" w:sz="4" w:space="0" w:color="000000"/>
              <w:right w:val="single" w:sz="4" w:space="0" w:color="000000"/>
            </w:tcBorders>
            <w:shd w:val="clear" w:color="auto" w:fill="D2D2D2"/>
          </w:tcPr>
          <w:p>
            <w:pPr/>
          </w:p>
        </w:tc>
      </w:tr>
      <w:tr>
        <w:trPr>
          <w:trHeight w:val="40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张学君</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18.98%</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pacing w:val="-1"/>
                <w:sz w:val="18"/>
              </w:rPr>
              <w:t>134,126,800</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8"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pacing w:val="-1"/>
                <w:sz w:val="18"/>
              </w:rPr>
              <w:t>100,595,100</w:t>
            </w:r>
          </w:p>
        </w:tc>
        <w:tc>
          <w:tcPr>
            <w:tcW w:w="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33,531,700</w:t>
            </w:r>
          </w:p>
        </w:tc>
        <w:tc>
          <w:tcPr>
            <w:tcW w:w="1065" w:type="dxa"/>
            <w:tcBorders>
              <w:top w:val="single" w:sz="48" w:space="0" w:color="D2D2D2"/>
              <w:left w:val="single" w:sz="4" w:space="0" w:color="000000"/>
              <w:bottom w:val="single" w:sz="4" w:space="0" w:color="000000"/>
              <w:right w:val="single" w:sz="4" w:space="0" w:color="000000"/>
            </w:tcBorders>
          </w:tcPr>
          <w:p>
            <w:pPr/>
          </w:p>
        </w:tc>
        <w:tc>
          <w:tcPr>
            <w:tcW w:w="1067" w:type="dxa"/>
            <w:tcBorders>
              <w:top w:val="single" w:sz="48" w:space="0" w:color="D2D2D2"/>
              <w:left w:val="single" w:sz="4" w:space="0" w:color="000000"/>
              <w:bottom w:val="single" w:sz="4" w:space="0" w:color="000000"/>
              <w:right w:val="single" w:sz="4" w:space="0" w:color="000000"/>
            </w:tcBorders>
          </w:tcPr>
          <w:p>
            <w:pPr/>
          </w:p>
        </w:tc>
      </w:tr>
      <w:tr>
        <w:trPr>
          <w:trHeight w:val="403"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何晔</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16.27%</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pacing w:val="-2"/>
                <w:sz w:val="18"/>
              </w:rPr>
              <w:t>114,994,400</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8"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pacing w:val="-1"/>
                <w:sz w:val="18"/>
              </w:rPr>
              <w:t>86,245,800</w:t>
            </w:r>
          </w:p>
        </w:tc>
        <w:tc>
          <w:tcPr>
            <w:tcW w:w="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28,748,600</w:t>
            </w:r>
          </w:p>
        </w:tc>
        <w:tc>
          <w:tcPr>
            <w:tcW w:w="1065" w:type="dxa"/>
            <w:tcBorders>
              <w:top w:val="single" w:sz="4" w:space="0" w:color="000000"/>
              <w:left w:val="single" w:sz="4" w:space="0" w:color="000000"/>
              <w:bottom w:val="single" w:sz="4" w:space="0" w:color="000000"/>
              <w:right w:val="single" w:sz="4" w:space="0" w:color="000000"/>
            </w:tcBorders>
          </w:tcPr>
          <w:p>
            <w:pPr/>
          </w:p>
        </w:tc>
        <w:tc>
          <w:tcPr>
            <w:tcW w:w="10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陈向军</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8.16%</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pacing w:val="-1"/>
                <w:sz w:val="18"/>
              </w:rPr>
              <w:t>57,650,700</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8"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pacing w:val="-1"/>
                <w:sz w:val="18"/>
              </w:rPr>
              <w:t>43,238,025</w:t>
            </w:r>
          </w:p>
        </w:tc>
        <w:tc>
          <w:tcPr>
            <w:tcW w:w="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14,412,675</w:t>
            </w:r>
          </w:p>
        </w:tc>
        <w:tc>
          <w:tcPr>
            <w:tcW w:w="1065" w:type="dxa"/>
            <w:tcBorders>
              <w:top w:val="single" w:sz="4" w:space="0" w:color="000000"/>
              <w:left w:val="single" w:sz="4" w:space="0" w:color="000000"/>
              <w:bottom w:val="single" w:sz="4" w:space="0" w:color="000000"/>
              <w:right w:val="single" w:sz="4" w:space="0" w:color="000000"/>
            </w:tcBorders>
          </w:tcPr>
          <w:p>
            <w:pPr/>
          </w:p>
        </w:tc>
        <w:tc>
          <w:tcPr>
            <w:tcW w:w="1067"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李军</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8.16%</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pacing w:val="-1"/>
                <w:sz w:val="18"/>
              </w:rPr>
              <w:t>57,644,200</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8"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pacing w:val="-1"/>
                <w:sz w:val="18"/>
              </w:rPr>
              <w:t>43,233,150</w:t>
            </w:r>
          </w:p>
        </w:tc>
        <w:tc>
          <w:tcPr>
            <w:tcW w:w="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14,411,050</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0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33,500,000</w:t>
            </w:r>
          </w:p>
        </w:tc>
      </w:tr>
      <w:tr>
        <w:trPr>
          <w:trHeight w:val="40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冯军</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2.62%</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pacing w:val="-1"/>
                <w:sz w:val="18"/>
              </w:rPr>
              <w:t>18,531,804</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8"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pacing w:val="-1"/>
                <w:sz w:val="18"/>
              </w:rPr>
              <w:t>13,898,853</w:t>
            </w:r>
          </w:p>
        </w:tc>
        <w:tc>
          <w:tcPr>
            <w:tcW w:w="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4,632,951</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0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10,500,000</w:t>
            </w:r>
          </w:p>
        </w:tc>
      </w:tr>
      <w:tr>
        <w:trPr>
          <w:trHeight w:val="1027"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80"/>
              <w:jc w:val="both"/>
              <w:rPr>
                <w:rFonts w:ascii="宋体" w:hAnsi="宋体" w:cs="宋体" w:eastAsia="宋体" w:hint="default"/>
                <w:sz w:val="18"/>
                <w:szCs w:val="18"/>
              </w:rPr>
            </w:pPr>
            <w:r>
              <w:rPr>
                <w:rFonts w:ascii="宋体" w:hAnsi="宋体" w:cs="宋体" w:eastAsia="宋体" w:hint="default"/>
                <w:spacing w:val="-2"/>
                <w:sz w:val="18"/>
                <w:szCs w:val="18"/>
              </w:rPr>
              <w:t>深圳弘道天瑞</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投资有限责任</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公司</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316" w:lineRule="auto"/>
              <w:ind w:left="23" w:right="81"/>
              <w:jc w:val="left"/>
              <w:rPr>
                <w:rFonts w:ascii="宋体" w:hAnsi="宋体" w:cs="宋体" w:eastAsia="宋体" w:hint="default"/>
                <w:sz w:val="18"/>
                <w:szCs w:val="18"/>
              </w:rPr>
            </w:pPr>
            <w:r>
              <w:rPr>
                <w:rFonts w:ascii="宋体" w:hAnsi="宋体" w:cs="宋体" w:eastAsia="宋体" w:hint="default"/>
                <w:spacing w:val="-2"/>
                <w:sz w:val="18"/>
                <w:szCs w:val="18"/>
              </w:rPr>
              <w:t>境内非国有法</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人</w:t>
            </w:r>
          </w:p>
        </w:tc>
        <w:tc>
          <w:tcPr>
            <w:tcW w:w="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1.29%</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9,135,635</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18"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9,135,635</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0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9,135,627</w:t>
            </w:r>
          </w:p>
        </w:tc>
      </w:tr>
      <w:tr>
        <w:trPr>
          <w:trHeight w:val="1340"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3"/>
              <w:ind w:left="24" w:right="12"/>
              <w:jc w:val="left"/>
              <w:rPr>
                <w:rFonts w:ascii="宋体" w:hAnsi="宋体" w:cs="宋体" w:eastAsia="宋体" w:hint="default"/>
                <w:sz w:val="18"/>
                <w:szCs w:val="18"/>
              </w:rPr>
            </w:pPr>
            <w:r>
              <w:rPr>
                <w:rFonts w:ascii="宋体" w:hAnsi="宋体" w:cs="宋体" w:eastAsia="宋体" w:hint="default"/>
                <w:sz w:val="18"/>
                <w:szCs w:val="18"/>
              </w:rPr>
              <w:t>深圳市明达资</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产管理有限公</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司－明达</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期</w:t>
            </w:r>
            <w:r>
              <w:rPr>
                <w:rFonts w:ascii="宋体" w:hAnsi="宋体" w:cs="宋体" w:eastAsia="宋体" w:hint="default"/>
                <w:w w:val="101"/>
                <w:sz w:val="18"/>
                <w:szCs w:val="18"/>
              </w:rPr>
              <w:t> </w:t>
            </w:r>
            <w:r>
              <w:rPr>
                <w:rFonts w:ascii="宋体" w:hAnsi="宋体" w:cs="宋体" w:eastAsia="宋体" w:hint="default"/>
                <w:sz w:val="18"/>
                <w:szCs w:val="18"/>
              </w:rPr>
              <w:t>私募投资基金</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0.89%</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6,272,523</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18" w:right="0"/>
              <w:jc w:val="left"/>
              <w:rPr>
                <w:rFonts w:ascii="Times New Roman" w:hAnsi="Times New Roman" w:cs="Times New Roman" w:eastAsia="Times New Roman" w:hint="default"/>
                <w:sz w:val="18"/>
                <w:szCs w:val="18"/>
              </w:rPr>
            </w:pPr>
            <w:r>
              <w:rPr>
                <w:rFonts w:ascii="Times New Roman"/>
                <w:sz w:val="18"/>
              </w:rPr>
              <w:t>-3372837</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6,272,523</w:t>
            </w:r>
          </w:p>
        </w:tc>
        <w:tc>
          <w:tcPr>
            <w:tcW w:w="1065" w:type="dxa"/>
            <w:tcBorders>
              <w:top w:val="single" w:sz="4" w:space="0" w:color="000000"/>
              <w:left w:val="single" w:sz="4" w:space="0" w:color="000000"/>
              <w:bottom w:val="single" w:sz="4" w:space="0" w:color="000000"/>
              <w:right w:val="single" w:sz="4" w:space="0" w:color="000000"/>
            </w:tcBorders>
          </w:tcPr>
          <w:p>
            <w:pPr/>
          </w:p>
        </w:tc>
        <w:tc>
          <w:tcPr>
            <w:tcW w:w="1067" w:type="dxa"/>
            <w:tcBorders>
              <w:top w:val="single" w:sz="4" w:space="0" w:color="000000"/>
              <w:left w:val="single" w:sz="4" w:space="0" w:color="000000"/>
              <w:bottom w:val="single" w:sz="4" w:space="0" w:color="000000"/>
              <w:right w:val="single" w:sz="4" w:space="0" w:color="000000"/>
            </w:tcBorders>
          </w:tcPr>
          <w:p>
            <w:pPr/>
          </w:p>
        </w:tc>
      </w:tr>
      <w:tr>
        <w:trPr>
          <w:trHeight w:val="1959"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4" w:right="80"/>
              <w:jc w:val="both"/>
              <w:rPr>
                <w:rFonts w:ascii="宋体" w:hAnsi="宋体" w:cs="宋体" w:eastAsia="宋体" w:hint="default"/>
                <w:sz w:val="18"/>
                <w:szCs w:val="18"/>
              </w:rPr>
            </w:pPr>
            <w:r>
              <w:rPr>
                <w:rFonts w:ascii="宋体" w:hAnsi="宋体" w:cs="宋体" w:eastAsia="宋体" w:hint="default"/>
                <w:spacing w:val="-2"/>
                <w:sz w:val="18"/>
                <w:szCs w:val="18"/>
              </w:rPr>
              <w:t>兴业国际信托</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有限公司－兴</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享进取明达</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41"/>
                <w:sz w:val="18"/>
                <w:szCs w:val="18"/>
              </w:rPr>
              <w:t> </w:t>
            </w:r>
            <w:r>
              <w:rPr>
                <w:rFonts w:ascii="宋体" w:hAnsi="宋体" w:cs="宋体" w:eastAsia="宋体" w:hint="default"/>
                <w:spacing w:val="-2"/>
                <w:sz w:val="18"/>
                <w:szCs w:val="18"/>
              </w:rPr>
              <w:t>号证券投资集</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合资金信托计</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划</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0.82%</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5,799,002</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8" w:right="0"/>
              <w:jc w:val="left"/>
              <w:rPr>
                <w:rFonts w:ascii="Times New Roman" w:hAnsi="Times New Roman" w:cs="Times New Roman" w:eastAsia="Times New Roman" w:hint="default"/>
                <w:sz w:val="18"/>
                <w:szCs w:val="18"/>
              </w:rPr>
            </w:pPr>
            <w:r>
              <w:rPr>
                <w:rFonts w:ascii="Times New Roman"/>
                <w:sz w:val="18"/>
              </w:rPr>
              <w:t>-3872750</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5,799,002</w:t>
            </w:r>
          </w:p>
        </w:tc>
        <w:tc>
          <w:tcPr>
            <w:tcW w:w="1065" w:type="dxa"/>
            <w:tcBorders>
              <w:top w:val="single" w:sz="4" w:space="0" w:color="000000"/>
              <w:left w:val="single" w:sz="4" w:space="0" w:color="000000"/>
              <w:bottom w:val="single" w:sz="4" w:space="0" w:color="000000"/>
              <w:right w:val="single" w:sz="4" w:space="0" w:color="000000"/>
            </w:tcBorders>
          </w:tcPr>
          <w:p>
            <w:pPr/>
          </w:p>
        </w:tc>
        <w:tc>
          <w:tcPr>
            <w:tcW w:w="1067"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4" w:right="80"/>
              <w:jc w:val="both"/>
              <w:rPr>
                <w:rFonts w:ascii="宋体" w:hAnsi="宋体" w:cs="宋体" w:eastAsia="宋体" w:hint="default"/>
                <w:sz w:val="18"/>
                <w:szCs w:val="18"/>
              </w:rPr>
            </w:pPr>
            <w:r>
              <w:rPr>
                <w:rFonts w:ascii="宋体" w:hAnsi="宋体" w:cs="宋体" w:eastAsia="宋体" w:hint="default"/>
                <w:spacing w:val="-2"/>
                <w:sz w:val="18"/>
                <w:szCs w:val="18"/>
              </w:rPr>
              <w:t>武汉春天和谐</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物业管理有限</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公司</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319" w:lineRule="auto"/>
              <w:ind w:left="23" w:right="81"/>
              <w:jc w:val="left"/>
              <w:rPr>
                <w:rFonts w:ascii="宋体" w:hAnsi="宋体" w:cs="宋体" w:eastAsia="宋体" w:hint="default"/>
                <w:sz w:val="18"/>
                <w:szCs w:val="18"/>
              </w:rPr>
            </w:pPr>
            <w:r>
              <w:rPr>
                <w:rFonts w:ascii="宋体" w:hAnsi="宋体" w:cs="宋体" w:eastAsia="宋体" w:hint="default"/>
                <w:spacing w:val="-2"/>
                <w:sz w:val="18"/>
                <w:szCs w:val="18"/>
              </w:rPr>
              <w:t>境内非国有法</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人</w:t>
            </w:r>
          </w:p>
        </w:tc>
        <w:tc>
          <w:tcPr>
            <w:tcW w:w="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0.55%</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3,907,331</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18" w:right="0"/>
              <w:jc w:val="left"/>
              <w:rPr>
                <w:rFonts w:ascii="Times New Roman" w:hAnsi="Times New Roman" w:cs="Times New Roman" w:eastAsia="Times New Roman" w:hint="default"/>
                <w:sz w:val="18"/>
                <w:szCs w:val="18"/>
              </w:rPr>
            </w:pPr>
            <w:r>
              <w:rPr>
                <w:rFonts w:ascii="Times New Roman"/>
                <w:sz w:val="18"/>
              </w:rPr>
              <w:t>3907331</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3,907,331</w:t>
            </w:r>
          </w:p>
        </w:tc>
        <w:tc>
          <w:tcPr>
            <w:tcW w:w="1065" w:type="dxa"/>
            <w:tcBorders>
              <w:top w:val="single" w:sz="4" w:space="0" w:color="000000"/>
              <w:left w:val="single" w:sz="4" w:space="0" w:color="000000"/>
              <w:bottom w:val="single" w:sz="4" w:space="0" w:color="000000"/>
              <w:right w:val="single" w:sz="4" w:space="0" w:color="000000"/>
            </w:tcBorders>
          </w:tcPr>
          <w:p>
            <w:pPr/>
          </w:p>
        </w:tc>
        <w:tc>
          <w:tcPr>
            <w:tcW w:w="10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刘奕</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0.50%</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pacing w:val="-1"/>
                <w:sz w:val="18"/>
              </w:rPr>
              <w:t>3,536,000</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8"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pacing w:val="-1"/>
                <w:sz w:val="18"/>
              </w:rPr>
              <w:t>2,652,000</w:t>
            </w:r>
          </w:p>
        </w:tc>
        <w:tc>
          <w:tcPr>
            <w:tcW w:w="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884,000</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0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1,420,000</w:t>
            </w:r>
          </w:p>
        </w:tc>
      </w:tr>
    </w:tbl>
    <w:p>
      <w:pPr>
        <w:spacing w:after="0" w:line="240" w:lineRule="auto"/>
        <w:jc w:val="right"/>
        <w:rPr>
          <w:rFonts w:ascii="Times New Roman" w:hAnsi="Times New Roman" w:cs="Times New Roman" w:eastAsia="Times New Roman" w:hint="default"/>
          <w:sz w:val="18"/>
          <w:szCs w:val="18"/>
        </w:rPr>
        <w:sectPr>
          <w:pgSz w:w="11910" w:h="16840"/>
          <w:pgMar w:header="871" w:footer="1186" w:top="1100" w:bottom="1380" w:left="980" w:right="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2391"/>
        <w:gridCol w:w="5052"/>
        <w:gridCol w:w="1071"/>
        <w:gridCol w:w="1061"/>
      </w:tblGrid>
      <w:tr>
        <w:trPr>
          <w:trHeight w:val="715"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12"/>
              <w:jc w:val="left"/>
              <w:rPr>
                <w:rFonts w:ascii="宋体" w:hAnsi="宋体" w:cs="宋体" w:eastAsia="宋体" w:hint="default"/>
                <w:sz w:val="18"/>
                <w:szCs w:val="18"/>
              </w:rPr>
            </w:pPr>
            <w:r>
              <w:rPr>
                <w:rFonts w:ascii="宋体" w:hAnsi="宋体" w:cs="宋体" w:eastAsia="宋体" w:hint="default"/>
                <w:spacing w:val="-3"/>
                <w:sz w:val="18"/>
                <w:szCs w:val="18"/>
              </w:rPr>
              <w:t>上述股东关联关系或一致行动</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z w:val="18"/>
                <w:szCs w:val="18"/>
              </w:rPr>
              <w:t>的说明</w:t>
            </w:r>
          </w:p>
        </w:tc>
        <w:tc>
          <w:tcPr>
            <w:tcW w:w="7183" w:type="dxa"/>
            <w:gridSpan w:val="3"/>
            <w:tcBorders>
              <w:top w:val="single" w:sz="4" w:space="0" w:color="000000"/>
              <w:left w:val="single" w:sz="10" w:space="0" w:color="D2D2D2"/>
              <w:bottom w:val="single" w:sz="4" w:space="0" w:color="000000"/>
              <w:right w:val="single" w:sz="4" w:space="0" w:color="000000"/>
            </w:tcBorders>
          </w:tcPr>
          <w:p>
            <w:pPr>
              <w:pStyle w:val="TableParagraph"/>
              <w:spacing w:line="316" w:lineRule="auto" w:before="53"/>
              <w:ind w:left="21" w:right="23"/>
              <w:jc w:val="left"/>
              <w:rPr>
                <w:rFonts w:ascii="宋体" w:hAnsi="宋体" w:cs="宋体" w:eastAsia="宋体" w:hint="default"/>
                <w:sz w:val="18"/>
                <w:szCs w:val="18"/>
              </w:rPr>
            </w:pPr>
            <w:r>
              <w:rPr>
                <w:rFonts w:ascii="宋体" w:hAnsi="宋体" w:cs="宋体" w:eastAsia="宋体" w:hint="default"/>
                <w:spacing w:val="-5"/>
                <w:sz w:val="18"/>
                <w:szCs w:val="18"/>
              </w:rPr>
              <w:t>公司前十名股东之间，张学君、陈向军、李军三人为公司共同实际控制人、一致行动人。除</w:t>
            </w:r>
            <w:r>
              <w:rPr>
                <w:rFonts w:ascii="宋体" w:hAnsi="宋体" w:cs="宋体" w:eastAsia="宋体" w:hint="default"/>
                <w:spacing w:val="20"/>
                <w:sz w:val="18"/>
                <w:szCs w:val="18"/>
              </w:rPr>
              <w:t> </w:t>
            </w:r>
            <w:r>
              <w:rPr>
                <w:rFonts w:ascii="宋体" w:hAnsi="宋体" w:cs="宋体" w:eastAsia="宋体" w:hint="default"/>
                <w:spacing w:val="20"/>
                <w:sz w:val="18"/>
                <w:szCs w:val="18"/>
              </w:rPr>
            </w:r>
            <w:r>
              <w:rPr>
                <w:rFonts w:ascii="宋体" w:hAnsi="宋体" w:cs="宋体" w:eastAsia="宋体" w:hint="default"/>
                <w:spacing w:val="-3"/>
                <w:sz w:val="18"/>
                <w:szCs w:val="18"/>
              </w:rPr>
              <w:t>此之外，公司未知前十名股东之间是否存在关联关系，也未知是否属于一致行动人。</w:t>
            </w:r>
          </w:p>
        </w:tc>
      </w:tr>
      <w:tr>
        <w:trPr>
          <w:trHeight w:val="401" w:hRule="exact"/>
        </w:trPr>
        <w:tc>
          <w:tcPr>
            <w:tcW w:w="9575"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前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5"/>
                <w:sz w:val="18"/>
                <w:szCs w:val="18"/>
              </w:rPr>
              <w:t> </w:t>
            </w:r>
            <w:r>
              <w:rPr>
                <w:rFonts w:ascii="宋体" w:hAnsi="宋体" w:cs="宋体" w:eastAsia="宋体" w:hint="default"/>
                <w:spacing w:val="-3"/>
                <w:sz w:val="18"/>
                <w:szCs w:val="18"/>
              </w:rPr>
              <w:t>名无限售条件股东持股情况</w:t>
            </w:r>
          </w:p>
        </w:tc>
      </w:tr>
      <w:tr>
        <w:trPr>
          <w:trHeight w:val="204" w:hRule="exact"/>
        </w:trPr>
        <w:tc>
          <w:tcPr>
            <w:tcW w:w="2391" w:type="dxa"/>
            <w:tcBorders>
              <w:top w:val="single" w:sz="4" w:space="0" w:color="000000"/>
              <w:left w:val="single" w:sz="4" w:space="0" w:color="000000"/>
              <w:bottom w:val="nil" w:sz="6" w:space="0" w:color="auto"/>
              <w:right w:val="single" w:sz="4" w:space="0" w:color="000000"/>
            </w:tcBorders>
            <w:shd w:val="clear" w:color="auto" w:fill="D2D2D2"/>
          </w:tcPr>
          <w:p>
            <w:pPr/>
          </w:p>
        </w:tc>
        <w:tc>
          <w:tcPr>
            <w:tcW w:w="5052" w:type="dxa"/>
            <w:tcBorders>
              <w:top w:val="single" w:sz="4" w:space="0" w:color="000000"/>
              <w:left w:val="single" w:sz="4" w:space="0" w:color="000000"/>
              <w:bottom w:val="nil" w:sz="6" w:space="0" w:color="auto"/>
              <w:right w:val="single" w:sz="4" w:space="0" w:color="000000"/>
            </w:tcBorders>
            <w:shd w:val="clear" w:color="auto" w:fill="D2D2D2"/>
          </w:tcPr>
          <w:p>
            <w:pPr/>
          </w:p>
        </w:tc>
        <w:tc>
          <w:tcPr>
            <w:tcW w:w="213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695" w:right="0"/>
              <w:jc w:val="left"/>
              <w:rPr>
                <w:rFonts w:ascii="宋体" w:hAnsi="宋体" w:cs="宋体" w:eastAsia="宋体" w:hint="default"/>
                <w:sz w:val="18"/>
                <w:szCs w:val="18"/>
              </w:rPr>
            </w:pPr>
            <w:r>
              <w:rPr>
                <w:rFonts w:ascii="宋体" w:hAnsi="宋体" w:cs="宋体" w:eastAsia="宋体" w:hint="default"/>
                <w:sz w:val="18"/>
                <w:szCs w:val="18"/>
              </w:rPr>
              <w:t>股份种类</w:t>
            </w:r>
          </w:p>
        </w:tc>
      </w:tr>
      <w:tr>
        <w:trPr>
          <w:trHeight w:val="192" w:hRule="exact"/>
        </w:trPr>
        <w:tc>
          <w:tcPr>
            <w:tcW w:w="239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4"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505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171" w:right="0"/>
              <w:jc w:val="left"/>
              <w:rPr>
                <w:rFonts w:ascii="宋体" w:hAnsi="宋体" w:cs="宋体" w:eastAsia="宋体" w:hint="default"/>
                <w:sz w:val="18"/>
                <w:szCs w:val="18"/>
              </w:rPr>
            </w:pPr>
            <w:r>
              <w:rPr>
                <w:rFonts w:ascii="宋体" w:hAnsi="宋体" w:cs="宋体" w:eastAsia="宋体" w:hint="default"/>
                <w:spacing w:val="-3"/>
                <w:sz w:val="18"/>
                <w:szCs w:val="18"/>
              </w:rPr>
              <w:t>报告期末持有无限售条件股份数量</w:t>
            </w:r>
          </w:p>
        </w:tc>
        <w:tc>
          <w:tcPr>
            <w:tcW w:w="2132"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2391" w:type="dxa"/>
            <w:vMerge/>
            <w:tcBorders>
              <w:left w:val="single" w:sz="4" w:space="0" w:color="000000"/>
              <w:bottom w:val="nil" w:sz="6" w:space="0" w:color="auto"/>
              <w:right w:val="single" w:sz="4" w:space="0" w:color="000000"/>
            </w:tcBorders>
            <w:shd w:val="clear" w:color="auto" w:fill="D2D2D2"/>
          </w:tcPr>
          <w:p>
            <w:pPr/>
          </w:p>
        </w:tc>
        <w:tc>
          <w:tcPr>
            <w:tcW w:w="5052" w:type="dxa"/>
            <w:vMerge/>
            <w:tcBorders>
              <w:left w:val="single" w:sz="4" w:space="0" w:color="000000"/>
              <w:bottom w:val="nil" w:sz="6" w:space="0" w:color="auto"/>
              <w:right w:val="single" w:sz="4" w:space="0" w:color="000000"/>
            </w:tcBorders>
            <w:shd w:val="clear" w:color="auto" w:fill="D2D2D2"/>
          </w:tcPr>
          <w:p>
            <w:pPr/>
          </w:p>
        </w:tc>
        <w:tc>
          <w:tcPr>
            <w:tcW w:w="107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167"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0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r>
      <w:tr>
        <w:trPr>
          <w:trHeight w:val="206" w:hRule="exact"/>
        </w:trPr>
        <w:tc>
          <w:tcPr>
            <w:tcW w:w="2391" w:type="dxa"/>
            <w:tcBorders>
              <w:top w:val="nil" w:sz="6" w:space="0" w:color="auto"/>
              <w:left w:val="single" w:sz="4" w:space="0" w:color="000000"/>
              <w:bottom w:val="single" w:sz="4" w:space="0" w:color="000000"/>
              <w:right w:val="single" w:sz="4" w:space="0" w:color="000000"/>
            </w:tcBorders>
            <w:shd w:val="clear" w:color="auto" w:fill="D2D2D2"/>
          </w:tcPr>
          <w:p>
            <w:pPr/>
          </w:p>
        </w:tc>
        <w:tc>
          <w:tcPr>
            <w:tcW w:w="5052" w:type="dxa"/>
            <w:tcBorders>
              <w:top w:val="nil" w:sz="6" w:space="0" w:color="auto"/>
              <w:left w:val="single" w:sz="4" w:space="0" w:color="000000"/>
              <w:bottom w:val="single" w:sz="4" w:space="0" w:color="000000"/>
              <w:right w:val="single" w:sz="4" w:space="0" w:color="000000"/>
            </w:tcBorders>
            <w:shd w:val="clear" w:color="auto" w:fill="D2D2D2"/>
          </w:tcPr>
          <w:p>
            <w:pPr/>
          </w:p>
        </w:tc>
        <w:tc>
          <w:tcPr>
            <w:tcW w:w="1071" w:type="dxa"/>
            <w:vMerge/>
            <w:tcBorders>
              <w:left w:val="single" w:sz="4" w:space="0" w:color="000000"/>
              <w:bottom w:val="single" w:sz="4" w:space="0" w:color="000000"/>
              <w:right w:val="single" w:sz="4" w:space="0" w:color="000000"/>
            </w:tcBorders>
            <w:shd w:val="clear" w:color="auto" w:fill="D2D2D2"/>
          </w:tcPr>
          <w:p>
            <w:pPr/>
          </w:p>
        </w:tc>
        <w:tc>
          <w:tcPr>
            <w:tcW w:w="1061" w:type="dxa"/>
            <w:vMerge/>
            <w:tcBorders>
              <w:left w:val="single" w:sz="4" w:space="0" w:color="000000"/>
              <w:bottom w:val="single" w:sz="4" w:space="0" w:color="000000"/>
              <w:right w:val="single" w:sz="4" w:space="0" w:color="000000"/>
            </w:tcBorders>
            <w:shd w:val="clear" w:color="auto" w:fill="D2D2D2"/>
          </w:tcPr>
          <w:p>
            <w:pPr/>
          </w:p>
        </w:tc>
      </w:tr>
      <w:tr>
        <w:trPr>
          <w:trHeight w:val="715"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张学君</w:t>
            </w:r>
          </w:p>
        </w:tc>
        <w:tc>
          <w:tcPr>
            <w:tcW w:w="5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33,531,700</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132"/>
              <w:jc w:val="left"/>
              <w:rPr>
                <w:rFonts w:ascii="宋体" w:hAnsi="宋体" w:cs="宋体" w:eastAsia="宋体" w:hint="default"/>
                <w:sz w:val="18"/>
                <w:szCs w:val="18"/>
              </w:rPr>
            </w:pPr>
            <w:r>
              <w:rPr>
                <w:rFonts w:ascii="宋体" w:hAnsi="宋体" w:cs="宋体" w:eastAsia="宋体" w:hint="default"/>
                <w:spacing w:val="-2"/>
                <w:sz w:val="18"/>
                <w:szCs w:val="18"/>
              </w:rPr>
              <w:t>人民币普通</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股</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33,531,700</w:t>
            </w:r>
          </w:p>
        </w:tc>
      </w:tr>
      <w:tr>
        <w:trPr>
          <w:trHeight w:val="711"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何晔</w:t>
            </w:r>
          </w:p>
        </w:tc>
        <w:tc>
          <w:tcPr>
            <w:tcW w:w="5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28,748,600</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4"/>
              <w:ind w:left="23" w:right="132"/>
              <w:jc w:val="left"/>
              <w:rPr>
                <w:rFonts w:ascii="宋体" w:hAnsi="宋体" w:cs="宋体" w:eastAsia="宋体" w:hint="default"/>
                <w:sz w:val="18"/>
                <w:szCs w:val="18"/>
              </w:rPr>
            </w:pPr>
            <w:r>
              <w:rPr>
                <w:rFonts w:ascii="宋体" w:hAnsi="宋体" w:cs="宋体" w:eastAsia="宋体" w:hint="default"/>
                <w:spacing w:val="-2"/>
                <w:sz w:val="18"/>
                <w:szCs w:val="18"/>
              </w:rPr>
              <w:t>人民币普通</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股</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28,748,600</w:t>
            </w:r>
          </w:p>
        </w:tc>
      </w:tr>
      <w:tr>
        <w:trPr>
          <w:trHeight w:val="715"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陈向军</w:t>
            </w:r>
          </w:p>
        </w:tc>
        <w:tc>
          <w:tcPr>
            <w:tcW w:w="5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14,412,675</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23" w:right="132"/>
              <w:jc w:val="left"/>
              <w:rPr>
                <w:rFonts w:ascii="宋体" w:hAnsi="宋体" w:cs="宋体" w:eastAsia="宋体" w:hint="default"/>
                <w:sz w:val="18"/>
                <w:szCs w:val="18"/>
              </w:rPr>
            </w:pPr>
            <w:r>
              <w:rPr>
                <w:rFonts w:ascii="宋体" w:hAnsi="宋体" w:cs="宋体" w:eastAsia="宋体" w:hint="default"/>
                <w:spacing w:val="-2"/>
                <w:sz w:val="18"/>
                <w:szCs w:val="18"/>
              </w:rPr>
              <w:t>人民币普通</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股</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14,412,675</w:t>
            </w:r>
          </w:p>
        </w:tc>
      </w:tr>
      <w:tr>
        <w:trPr>
          <w:trHeight w:val="716"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李军</w:t>
            </w:r>
          </w:p>
        </w:tc>
        <w:tc>
          <w:tcPr>
            <w:tcW w:w="5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2"/>
                <w:sz w:val="18"/>
              </w:rPr>
              <w:t>14,411,050</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324" w:lineRule="auto" w:before="53"/>
              <w:ind w:left="23" w:right="132"/>
              <w:jc w:val="left"/>
              <w:rPr>
                <w:rFonts w:ascii="宋体" w:hAnsi="宋体" w:cs="宋体" w:eastAsia="宋体" w:hint="default"/>
                <w:sz w:val="18"/>
                <w:szCs w:val="18"/>
              </w:rPr>
            </w:pPr>
            <w:r>
              <w:rPr>
                <w:rFonts w:ascii="宋体" w:hAnsi="宋体" w:cs="宋体" w:eastAsia="宋体" w:hint="default"/>
                <w:spacing w:val="-2"/>
                <w:sz w:val="18"/>
                <w:szCs w:val="18"/>
              </w:rPr>
              <w:t>人民币普通</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股</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2"/>
                <w:sz w:val="18"/>
              </w:rPr>
              <w:t>14,411,050</w:t>
            </w:r>
          </w:p>
        </w:tc>
      </w:tr>
      <w:tr>
        <w:trPr>
          <w:trHeight w:val="715"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12"/>
              <w:jc w:val="left"/>
              <w:rPr>
                <w:rFonts w:ascii="宋体" w:hAnsi="宋体" w:cs="宋体" w:eastAsia="宋体" w:hint="default"/>
                <w:sz w:val="18"/>
                <w:szCs w:val="18"/>
              </w:rPr>
            </w:pPr>
            <w:r>
              <w:rPr>
                <w:rFonts w:ascii="宋体" w:hAnsi="宋体" w:cs="宋体" w:eastAsia="宋体" w:hint="default"/>
                <w:spacing w:val="-3"/>
                <w:sz w:val="18"/>
                <w:szCs w:val="18"/>
              </w:rPr>
              <w:t>深圳弘道天瑞投资有限责任公</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z w:val="18"/>
                <w:szCs w:val="18"/>
              </w:rPr>
              <w:t>司</w:t>
            </w:r>
          </w:p>
        </w:tc>
        <w:tc>
          <w:tcPr>
            <w:tcW w:w="5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9,135,635</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132"/>
              <w:jc w:val="left"/>
              <w:rPr>
                <w:rFonts w:ascii="宋体" w:hAnsi="宋体" w:cs="宋体" w:eastAsia="宋体" w:hint="default"/>
                <w:sz w:val="18"/>
                <w:szCs w:val="18"/>
              </w:rPr>
            </w:pPr>
            <w:r>
              <w:rPr>
                <w:rFonts w:ascii="宋体" w:hAnsi="宋体" w:cs="宋体" w:eastAsia="宋体" w:hint="default"/>
                <w:spacing w:val="-2"/>
                <w:sz w:val="18"/>
                <w:szCs w:val="18"/>
              </w:rPr>
              <w:t>人民币普通</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股</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9,135,635</w:t>
            </w:r>
          </w:p>
        </w:tc>
      </w:tr>
      <w:tr>
        <w:trPr>
          <w:trHeight w:val="711"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深圳市明达资产管理有限公司</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－明达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2"/>
                <w:sz w:val="18"/>
                <w:szCs w:val="18"/>
              </w:rPr>
              <w:t> </w:t>
            </w:r>
            <w:r>
              <w:rPr>
                <w:rFonts w:ascii="宋体" w:hAnsi="宋体" w:cs="宋体" w:eastAsia="宋体" w:hint="default"/>
                <w:spacing w:val="-3"/>
                <w:sz w:val="18"/>
                <w:szCs w:val="18"/>
              </w:rPr>
              <w:t>期私募投资基金</w:t>
            </w:r>
          </w:p>
        </w:tc>
        <w:tc>
          <w:tcPr>
            <w:tcW w:w="5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6,272,523</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132"/>
              <w:jc w:val="left"/>
              <w:rPr>
                <w:rFonts w:ascii="宋体" w:hAnsi="宋体" w:cs="宋体" w:eastAsia="宋体" w:hint="default"/>
                <w:sz w:val="18"/>
                <w:szCs w:val="18"/>
              </w:rPr>
            </w:pPr>
            <w:r>
              <w:rPr>
                <w:rFonts w:ascii="宋体" w:hAnsi="宋体" w:cs="宋体" w:eastAsia="宋体" w:hint="default"/>
                <w:spacing w:val="-2"/>
                <w:sz w:val="18"/>
                <w:szCs w:val="18"/>
              </w:rPr>
              <w:t>人民币普通</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股</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6,272,523</w:t>
            </w:r>
          </w:p>
        </w:tc>
      </w:tr>
      <w:tr>
        <w:trPr>
          <w:trHeight w:val="1027"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8"/>
              <w:ind w:left="24" w:right="12"/>
              <w:jc w:val="both"/>
              <w:rPr>
                <w:rFonts w:ascii="宋体" w:hAnsi="宋体" w:cs="宋体" w:eastAsia="宋体" w:hint="default"/>
                <w:sz w:val="18"/>
                <w:szCs w:val="18"/>
              </w:rPr>
            </w:pPr>
            <w:r>
              <w:rPr>
                <w:rFonts w:ascii="宋体" w:hAnsi="宋体" w:cs="宋体" w:eastAsia="宋体" w:hint="default"/>
                <w:spacing w:val="-3"/>
                <w:sz w:val="18"/>
                <w:szCs w:val="18"/>
              </w:rPr>
              <w:t>兴业国际信托有限公司－兴享</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z w:val="18"/>
                <w:szCs w:val="18"/>
              </w:rPr>
              <w:t>进取明达</w:t>
            </w:r>
            <w:r>
              <w:rPr>
                <w:rFonts w:ascii="宋体" w:hAnsi="宋体" w:cs="宋体" w:eastAsia="宋体" w:hint="default"/>
                <w:spacing w:val="-3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0"/>
                <w:sz w:val="18"/>
                <w:szCs w:val="18"/>
              </w:rPr>
              <w:t> </w:t>
            </w:r>
            <w:r>
              <w:rPr>
                <w:rFonts w:ascii="宋体" w:hAnsi="宋体" w:cs="宋体" w:eastAsia="宋体" w:hint="default"/>
                <w:spacing w:val="-3"/>
                <w:sz w:val="18"/>
                <w:szCs w:val="18"/>
              </w:rPr>
              <w:t>号证券投资集合资</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金信托计划</w:t>
            </w:r>
          </w:p>
        </w:tc>
        <w:tc>
          <w:tcPr>
            <w:tcW w:w="5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5,799,002</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316" w:lineRule="auto"/>
              <w:ind w:left="23" w:right="132"/>
              <w:jc w:val="left"/>
              <w:rPr>
                <w:rFonts w:ascii="宋体" w:hAnsi="宋体" w:cs="宋体" w:eastAsia="宋体" w:hint="default"/>
                <w:sz w:val="18"/>
                <w:szCs w:val="18"/>
              </w:rPr>
            </w:pPr>
            <w:r>
              <w:rPr>
                <w:rFonts w:ascii="宋体" w:hAnsi="宋体" w:cs="宋体" w:eastAsia="宋体" w:hint="default"/>
                <w:spacing w:val="-2"/>
                <w:sz w:val="18"/>
                <w:szCs w:val="18"/>
              </w:rPr>
              <w:t>人民币普通</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股</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5,799,002</w:t>
            </w:r>
          </w:p>
        </w:tc>
      </w:tr>
      <w:tr>
        <w:trPr>
          <w:trHeight w:val="716"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冯军</w:t>
            </w:r>
          </w:p>
        </w:tc>
        <w:tc>
          <w:tcPr>
            <w:tcW w:w="5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4,632,951</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324" w:lineRule="auto" w:before="53"/>
              <w:ind w:left="23" w:right="132"/>
              <w:jc w:val="left"/>
              <w:rPr>
                <w:rFonts w:ascii="宋体" w:hAnsi="宋体" w:cs="宋体" w:eastAsia="宋体" w:hint="default"/>
                <w:sz w:val="18"/>
                <w:szCs w:val="18"/>
              </w:rPr>
            </w:pPr>
            <w:r>
              <w:rPr>
                <w:rFonts w:ascii="宋体" w:hAnsi="宋体" w:cs="宋体" w:eastAsia="宋体" w:hint="default"/>
                <w:spacing w:val="-2"/>
                <w:sz w:val="18"/>
                <w:szCs w:val="18"/>
              </w:rPr>
              <w:t>人民币普通</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股</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4,632,951</w:t>
            </w:r>
          </w:p>
        </w:tc>
      </w:tr>
      <w:tr>
        <w:trPr>
          <w:trHeight w:val="715"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12"/>
              <w:jc w:val="left"/>
              <w:rPr>
                <w:rFonts w:ascii="宋体" w:hAnsi="宋体" w:cs="宋体" w:eastAsia="宋体" w:hint="default"/>
                <w:sz w:val="18"/>
                <w:szCs w:val="18"/>
              </w:rPr>
            </w:pPr>
            <w:r>
              <w:rPr>
                <w:rFonts w:ascii="宋体" w:hAnsi="宋体" w:cs="宋体" w:eastAsia="宋体" w:hint="default"/>
                <w:spacing w:val="-3"/>
                <w:sz w:val="18"/>
                <w:szCs w:val="18"/>
              </w:rPr>
              <w:t>武汉春天和谐物业管理有限公</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z w:val="18"/>
                <w:szCs w:val="18"/>
              </w:rPr>
              <w:t>司</w:t>
            </w:r>
          </w:p>
        </w:tc>
        <w:tc>
          <w:tcPr>
            <w:tcW w:w="5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3,907,331</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132"/>
              <w:jc w:val="left"/>
              <w:rPr>
                <w:rFonts w:ascii="宋体" w:hAnsi="宋体" w:cs="宋体" w:eastAsia="宋体" w:hint="default"/>
                <w:sz w:val="18"/>
                <w:szCs w:val="18"/>
              </w:rPr>
            </w:pPr>
            <w:r>
              <w:rPr>
                <w:rFonts w:ascii="宋体" w:hAnsi="宋体" w:cs="宋体" w:eastAsia="宋体" w:hint="default"/>
                <w:spacing w:val="-2"/>
                <w:sz w:val="18"/>
                <w:szCs w:val="18"/>
              </w:rPr>
              <w:t>人民币普通</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股</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3,907,331</w:t>
            </w:r>
          </w:p>
        </w:tc>
      </w:tr>
      <w:tr>
        <w:trPr>
          <w:trHeight w:val="710"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李岩</w:t>
            </w:r>
          </w:p>
        </w:tc>
        <w:tc>
          <w:tcPr>
            <w:tcW w:w="5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3,305,450</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132"/>
              <w:jc w:val="left"/>
              <w:rPr>
                <w:rFonts w:ascii="宋体" w:hAnsi="宋体" w:cs="宋体" w:eastAsia="宋体" w:hint="default"/>
                <w:sz w:val="18"/>
                <w:szCs w:val="18"/>
              </w:rPr>
            </w:pPr>
            <w:r>
              <w:rPr>
                <w:rFonts w:ascii="宋体" w:hAnsi="宋体" w:cs="宋体" w:eastAsia="宋体" w:hint="default"/>
                <w:spacing w:val="-2"/>
                <w:sz w:val="18"/>
                <w:szCs w:val="18"/>
              </w:rPr>
              <w:t>人民币普通</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股</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3,305,450</w:t>
            </w:r>
          </w:p>
        </w:tc>
      </w:tr>
      <w:tr>
        <w:trPr>
          <w:trHeight w:val="1340"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名无限售流通股股东之</w:t>
            </w:r>
          </w:p>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w w:val="101"/>
                <w:sz w:val="18"/>
                <w:szCs w:val="18"/>
              </w:rPr>
              <w:t>间</w:t>
            </w:r>
            <w:r>
              <w:rPr>
                <w:rFonts w:ascii="宋体" w:hAnsi="宋体" w:cs="宋体" w:eastAsia="宋体" w:hint="default"/>
                <w:spacing w:val="-92"/>
                <w:w w:val="101"/>
                <w:sz w:val="18"/>
                <w:szCs w:val="18"/>
              </w:rPr>
              <w:t>，</w:t>
            </w:r>
            <w:r>
              <w:rPr>
                <w:rFonts w:ascii="宋体" w:hAnsi="宋体" w:cs="宋体" w:eastAsia="宋体" w:hint="default"/>
                <w:spacing w:val="-5"/>
                <w:w w:val="101"/>
                <w:sz w:val="18"/>
                <w:szCs w:val="18"/>
              </w:rPr>
              <w:t>以</w:t>
            </w:r>
            <w:r>
              <w:rPr>
                <w:rFonts w:ascii="宋体" w:hAnsi="宋体" w:cs="宋体" w:eastAsia="宋体" w:hint="default"/>
                <w:w w:val="101"/>
                <w:sz w:val="18"/>
                <w:szCs w:val="18"/>
              </w:rPr>
              <w:t>及前</w:t>
            </w:r>
            <w:r>
              <w:rPr>
                <w:rFonts w:ascii="宋体" w:hAnsi="宋体" w:cs="宋体" w:eastAsia="宋体" w:hint="default"/>
                <w:spacing w:val="-47"/>
                <w:sz w:val="18"/>
                <w:szCs w:val="18"/>
              </w:rPr>
              <w:t> </w:t>
            </w:r>
            <w:r>
              <w:rPr>
                <w:rFonts w:ascii="Times New Roman" w:hAnsi="Times New Roman" w:cs="Times New Roman" w:eastAsia="Times New Roman" w:hint="default"/>
                <w:w w:val="101"/>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pacing w:val="-5"/>
                <w:w w:val="101"/>
                <w:sz w:val="18"/>
                <w:szCs w:val="18"/>
              </w:rPr>
              <w:t>名</w:t>
            </w:r>
            <w:r>
              <w:rPr>
                <w:rFonts w:ascii="宋体" w:hAnsi="宋体" w:cs="宋体" w:eastAsia="宋体" w:hint="default"/>
                <w:w w:val="101"/>
                <w:sz w:val="18"/>
                <w:szCs w:val="18"/>
              </w:rPr>
              <w:t>无</w:t>
            </w:r>
            <w:r>
              <w:rPr>
                <w:rFonts w:ascii="宋体" w:hAnsi="宋体" w:cs="宋体" w:eastAsia="宋体" w:hint="default"/>
                <w:spacing w:val="-5"/>
                <w:w w:val="101"/>
                <w:sz w:val="18"/>
                <w:szCs w:val="18"/>
              </w:rPr>
              <w:t>限</w:t>
            </w:r>
            <w:r>
              <w:rPr>
                <w:rFonts w:ascii="宋体" w:hAnsi="宋体" w:cs="宋体" w:eastAsia="宋体" w:hint="default"/>
                <w:w w:val="101"/>
                <w:sz w:val="18"/>
                <w:szCs w:val="18"/>
              </w:rPr>
              <w:t>售</w:t>
            </w:r>
            <w:r>
              <w:rPr>
                <w:rFonts w:ascii="宋体" w:hAnsi="宋体" w:cs="宋体" w:eastAsia="宋体" w:hint="default"/>
                <w:spacing w:val="-5"/>
                <w:w w:val="101"/>
                <w:sz w:val="18"/>
                <w:szCs w:val="18"/>
              </w:rPr>
              <w:t>流</w:t>
            </w:r>
            <w:r>
              <w:rPr>
                <w:rFonts w:ascii="宋体" w:hAnsi="宋体" w:cs="宋体" w:eastAsia="宋体" w:hint="default"/>
                <w:w w:val="101"/>
                <w:sz w:val="18"/>
                <w:szCs w:val="18"/>
              </w:rPr>
              <w:t>通股</w:t>
            </w:r>
            <w:r>
              <w:rPr>
                <w:rFonts w:ascii="宋体" w:hAnsi="宋体" w:cs="宋体" w:eastAsia="宋体" w:hint="default"/>
                <w:sz w:val="18"/>
                <w:szCs w:val="18"/>
              </w:rPr>
            </w:r>
          </w:p>
          <w:p>
            <w:pPr>
              <w:pStyle w:val="TableParagraph"/>
              <w:spacing w:line="304" w:lineRule="auto" w:before="63"/>
              <w:ind w:left="24" w:right="99"/>
              <w:jc w:val="left"/>
              <w:rPr>
                <w:rFonts w:ascii="宋体" w:hAnsi="宋体" w:cs="宋体" w:eastAsia="宋体" w:hint="default"/>
                <w:sz w:val="18"/>
                <w:szCs w:val="18"/>
              </w:rPr>
            </w:pPr>
            <w:r>
              <w:rPr>
                <w:rFonts w:ascii="宋体" w:hAnsi="宋体" w:cs="宋体" w:eastAsia="宋体" w:hint="default"/>
                <w:sz w:val="18"/>
                <w:szCs w:val="18"/>
              </w:rPr>
              <w:t>股东和前</w:t>
            </w:r>
            <w:r>
              <w:rPr>
                <w:rFonts w:ascii="宋体" w:hAnsi="宋体" w:cs="宋体" w:eastAsia="宋体" w:hint="default"/>
                <w:spacing w:val="-3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0"/>
                <w:sz w:val="18"/>
                <w:szCs w:val="18"/>
              </w:rPr>
              <w:t> </w:t>
            </w:r>
            <w:r>
              <w:rPr>
                <w:rFonts w:ascii="宋体" w:hAnsi="宋体" w:cs="宋体" w:eastAsia="宋体" w:hint="default"/>
                <w:spacing w:val="-3"/>
                <w:sz w:val="18"/>
                <w:szCs w:val="18"/>
              </w:rPr>
              <w:t>名股东之间关联</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关系或一致行动的说明</w:t>
            </w:r>
          </w:p>
        </w:tc>
        <w:tc>
          <w:tcPr>
            <w:tcW w:w="718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35"/>
              <w:ind w:left="28" w:right="23"/>
              <w:jc w:val="left"/>
              <w:rPr>
                <w:rFonts w:ascii="宋体" w:hAnsi="宋体" w:cs="宋体" w:eastAsia="宋体" w:hint="default"/>
                <w:sz w:val="18"/>
                <w:szCs w:val="18"/>
              </w:rPr>
            </w:pPr>
            <w:r>
              <w:rPr>
                <w:rFonts w:ascii="宋体" w:hAnsi="宋体" w:cs="宋体" w:eastAsia="宋体" w:hint="default"/>
                <w:spacing w:val="-5"/>
                <w:sz w:val="18"/>
                <w:szCs w:val="18"/>
              </w:rPr>
              <w:t>公司前十名股东之间，张学君、陈向军、李军三人为公司共同实际控制人、一致行动人。除</w:t>
            </w:r>
            <w:r>
              <w:rPr>
                <w:rFonts w:ascii="宋体" w:hAnsi="宋体" w:cs="宋体" w:eastAsia="宋体" w:hint="default"/>
                <w:spacing w:val="20"/>
                <w:sz w:val="18"/>
                <w:szCs w:val="18"/>
              </w:rPr>
              <w:t> </w:t>
            </w:r>
            <w:r>
              <w:rPr>
                <w:rFonts w:ascii="宋体" w:hAnsi="宋体" w:cs="宋体" w:eastAsia="宋体" w:hint="default"/>
                <w:spacing w:val="20"/>
                <w:sz w:val="18"/>
                <w:szCs w:val="18"/>
              </w:rPr>
            </w:r>
            <w:r>
              <w:rPr>
                <w:rFonts w:ascii="宋体" w:hAnsi="宋体" w:cs="宋体" w:eastAsia="宋体" w:hint="default"/>
                <w:spacing w:val="-3"/>
                <w:sz w:val="18"/>
                <w:szCs w:val="18"/>
              </w:rPr>
              <w:t>此之外，公司未知前十名股东之间是否存在关联关系，也未知是否属于一致行动人。</w:t>
            </w:r>
          </w:p>
        </w:tc>
      </w:tr>
      <w:tr>
        <w:trPr>
          <w:trHeight w:val="1028"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319" w:lineRule="auto"/>
              <w:ind w:left="24" w:right="12"/>
              <w:jc w:val="left"/>
              <w:rPr>
                <w:rFonts w:ascii="宋体" w:hAnsi="宋体" w:cs="宋体" w:eastAsia="宋体" w:hint="default"/>
                <w:sz w:val="18"/>
                <w:szCs w:val="18"/>
              </w:rPr>
            </w:pPr>
            <w:r>
              <w:rPr>
                <w:rFonts w:ascii="宋体" w:hAnsi="宋体" w:cs="宋体" w:eastAsia="宋体" w:hint="default"/>
                <w:spacing w:val="-3"/>
                <w:sz w:val="18"/>
                <w:szCs w:val="18"/>
              </w:rPr>
              <w:t>参与融资融券业务股东情况说</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pacing w:val="-12"/>
                <w:w w:val="101"/>
                <w:sz w:val="18"/>
                <w:szCs w:val="18"/>
              </w:rPr>
              <w:t>明（如有）（参见注</w:t>
            </w:r>
            <w:r>
              <w:rPr>
                <w:rFonts w:ascii="宋体" w:hAnsi="宋体" w:cs="宋体" w:eastAsia="宋体" w:hint="default"/>
                <w:spacing w:val="-46"/>
                <w:w w:val="101"/>
                <w:sz w:val="18"/>
                <w:szCs w:val="18"/>
              </w:rPr>
              <w:t> </w:t>
            </w:r>
            <w:r>
              <w:rPr>
                <w:rFonts w:ascii="Times New Roman" w:hAnsi="Times New Roman" w:cs="Times New Roman" w:eastAsia="Times New Roman" w:hint="default"/>
                <w:spacing w:val="-3"/>
                <w:w w:val="101"/>
                <w:sz w:val="18"/>
                <w:szCs w:val="18"/>
              </w:rPr>
              <w:t>5</w:t>
            </w:r>
            <w:r>
              <w:rPr>
                <w:rFonts w:ascii="宋体" w:hAnsi="宋体" w:cs="宋体" w:eastAsia="宋体" w:hint="default"/>
                <w:spacing w:val="-3"/>
                <w:w w:val="101"/>
                <w:sz w:val="18"/>
                <w:szCs w:val="18"/>
              </w:rPr>
              <w:t>）</w:t>
            </w:r>
            <w:r>
              <w:rPr>
                <w:rFonts w:ascii="宋体" w:hAnsi="宋体" w:cs="宋体" w:eastAsia="宋体" w:hint="default"/>
                <w:spacing w:val="-3"/>
                <w:sz w:val="18"/>
                <w:szCs w:val="18"/>
              </w:rPr>
            </w:r>
          </w:p>
        </w:tc>
        <w:tc>
          <w:tcPr>
            <w:tcW w:w="718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8" w:right="0"/>
              <w:jc w:val="left"/>
              <w:rPr>
                <w:rFonts w:ascii="宋体" w:hAnsi="宋体" w:cs="宋体" w:eastAsia="宋体" w:hint="default"/>
                <w:sz w:val="18"/>
                <w:szCs w:val="18"/>
              </w:rPr>
            </w:pPr>
            <w:r>
              <w:rPr>
                <w:rFonts w:ascii="宋体" w:hAnsi="宋体" w:cs="宋体" w:eastAsia="宋体" w:hint="default"/>
                <w:spacing w:val="-3"/>
                <w:sz w:val="18"/>
                <w:szCs w:val="18"/>
              </w:rPr>
              <w:t>公司股东武汉春天和谐物业管理有限公司除通过普通证券账户持有公司股份 </w:t>
            </w:r>
            <w:r>
              <w:rPr>
                <w:rFonts w:ascii="Times New Roman" w:hAnsi="Times New Roman" w:cs="Times New Roman" w:eastAsia="Times New Roman" w:hint="default"/>
                <w:sz w:val="18"/>
                <w:szCs w:val="18"/>
              </w:rPr>
              <w:t>20,000 </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股外，</w:t>
            </w:r>
          </w:p>
          <w:p>
            <w:pPr>
              <w:pStyle w:val="TableParagraph"/>
              <w:spacing w:line="240" w:lineRule="auto" w:before="63"/>
              <w:ind w:left="28" w:right="0"/>
              <w:jc w:val="left"/>
              <w:rPr>
                <w:rFonts w:ascii="宋体" w:hAnsi="宋体" w:cs="宋体" w:eastAsia="宋体" w:hint="default"/>
                <w:sz w:val="18"/>
                <w:szCs w:val="18"/>
              </w:rPr>
            </w:pPr>
            <w:r>
              <w:rPr>
                <w:rFonts w:ascii="宋体" w:hAnsi="宋体" w:cs="宋体" w:eastAsia="宋体" w:hint="default"/>
                <w:spacing w:val="-3"/>
                <w:sz w:val="18"/>
                <w:szCs w:val="18"/>
              </w:rPr>
              <w:t>还通过中国银河证券股份有限公司客户信用交易担保证券账户持有公司股份 </w:t>
            </w:r>
            <w:r>
              <w:rPr>
                <w:rFonts w:ascii="Times New Roman" w:hAnsi="Times New Roman" w:cs="Times New Roman" w:eastAsia="Times New Roman" w:hint="default"/>
                <w:sz w:val="18"/>
                <w:szCs w:val="18"/>
              </w:rPr>
              <w:t>3,887,331 </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股，</w:t>
            </w:r>
          </w:p>
          <w:p>
            <w:pPr>
              <w:pStyle w:val="TableParagraph"/>
              <w:spacing w:line="240" w:lineRule="auto" w:before="67"/>
              <w:ind w:left="28" w:right="0"/>
              <w:jc w:val="left"/>
              <w:rPr>
                <w:rFonts w:ascii="宋体" w:hAnsi="宋体" w:cs="宋体" w:eastAsia="宋体" w:hint="default"/>
                <w:sz w:val="18"/>
                <w:szCs w:val="18"/>
              </w:rPr>
            </w:pPr>
            <w:r>
              <w:rPr>
                <w:rFonts w:ascii="宋体" w:hAnsi="宋体" w:cs="宋体" w:eastAsia="宋体" w:hint="default"/>
                <w:sz w:val="18"/>
                <w:szCs w:val="18"/>
              </w:rPr>
              <w:t>实际合计持有公司股份</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3,907,331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tc>
      </w:tr>
    </w:tbl>
    <w:p>
      <w:pPr>
        <w:pStyle w:val="BodyText"/>
        <w:spacing w:line="240" w:lineRule="auto" w:before="53"/>
        <w:ind w:right="0"/>
        <w:jc w:val="left"/>
      </w:pPr>
      <w:r>
        <w:rPr/>
        <w:t>公司前 </w:t>
      </w:r>
      <w:r>
        <w:rPr>
          <w:rFonts w:ascii="Times New Roman" w:hAnsi="Times New Roman" w:cs="Times New Roman" w:eastAsia="Times New Roman" w:hint="default"/>
        </w:rPr>
        <w:t>10 </w:t>
      </w:r>
      <w:r>
        <w:rPr/>
        <w:t>名普通股股东、前 </w:t>
      </w:r>
      <w:r>
        <w:rPr>
          <w:rFonts w:ascii="Times New Roman" w:hAnsi="Times New Roman" w:cs="Times New Roman" w:eastAsia="Times New Roman" w:hint="default"/>
        </w:rPr>
        <w:t>10</w:t>
      </w:r>
      <w:r>
        <w:rPr>
          <w:rFonts w:ascii="Times New Roman" w:hAnsi="Times New Roman" w:cs="Times New Roman" w:eastAsia="Times New Roman" w:hint="default"/>
          <w:spacing w:val="-17"/>
        </w:rPr>
        <w:t> </w:t>
      </w:r>
      <w:r>
        <w:rPr>
          <w:spacing w:val="-3"/>
        </w:rPr>
        <w:t>名无限售条件普通股股东在报告期内是否进行约定购回交易</w:t>
      </w:r>
    </w:p>
    <w:p>
      <w:pPr>
        <w:pStyle w:val="BodyText"/>
        <w:spacing w:line="240" w:lineRule="auto" w:before="106"/>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8"/>
        <w:rPr>
          <w:rFonts w:ascii="宋体" w:hAnsi="宋体" w:cs="宋体" w:eastAsia="宋体" w:hint="default"/>
          <w:sz w:val="13"/>
          <w:szCs w:val="13"/>
        </w:rPr>
      </w:pPr>
    </w:p>
    <w:p>
      <w:pPr>
        <w:pStyle w:val="BodyText"/>
        <w:spacing w:line="240" w:lineRule="auto"/>
        <w:ind w:left="513" w:right="0"/>
        <w:jc w:val="left"/>
      </w:pPr>
      <w:r>
        <w:rPr/>
        <w:t>公司前 </w:t>
      </w:r>
      <w:r>
        <w:rPr>
          <w:rFonts w:ascii="Times New Roman" w:hAnsi="Times New Roman" w:cs="Times New Roman" w:eastAsia="Times New Roman" w:hint="default"/>
        </w:rPr>
        <w:t>10 </w:t>
      </w:r>
      <w:r>
        <w:rPr/>
        <w:t>名普通股股东、前 </w:t>
      </w:r>
      <w:r>
        <w:rPr>
          <w:rFonts w:ascii="Times New Roman" w:hAnsi="Times New Roman" w:cs="Times New Roman" w:eastAsia="Times New Roman" w:hint="default"/>
        </w:rPr>
        <w:t>10</w:t>
      </w:r>
      <w:r>
        <w:rPr>
          <w:rFonts w:ascii="Times New Roman" w:hAnsi="Times New Roman" w:cs="Times New Roman" w:eastAsia="Times New Roman" w:hint="default"/>
          <w:spacing w:val="-17"/>
        </w:rPr>
        <w:t> </w:t>
      </w:r>
      <w:r>
        <w:rPr>
          <w:spacing w:val="-3"/>
        </w:rPr>
        <w:t>名无限售条件普通股股东在报告期内未进行约定购回交易。</w:t>
      </w:r>
    </w:p>
    <w:p>
      <w:pPr>
        <w:spacing w:after="0" w:line="240" w:lineRule="auto"/>
        <w:jc w:val="left"/>
        <w:sectPr>
          <w:pgSz w:w="11910" w:h="16840"/>
          <w:pgMar w:header="871" w:footer="1186" w:top="1100" w:bottom="1380" w:left="980" w:right="0"/>
        </w:sectPr>
      </w:pPr>
    </w:p>
    <w:p>
      <w:pPr>
        <w:spacing w:line="240" w:lineRule="auto" w:before="0"/>
        <w:rPr>
          <w:rFonts w:ascii="宋体" w:hAnsi="宋体" w:cs="宋体" w:eastAsia="宋体" w:hint="default"/>
          <w:sz w:val="21"/>
          <w:szCs w:val="21"/>
        </w:rPr>
      </w:pPr>
    </w:p>
    <w:p>
      <w:pPr>
        <w:pStyle w:val="Heading3"/>
        <w:spacing w:line="240" w:lineRule="auto" w:before="36"/>
        <w:ind w:right="0"/>
        <w:jc w:val="left"/>
        <w:rPr>
          <w:b w:val="0"/>
          <w:bCs w:val="0"/>
        </w:rPr>
      </w:pPr>
      <w:bookmarkStart w:name="2、公司控股股东情况" w:id="114"/>
      <w:bookmarkEnd w:id="114"/>
      <w:r>
        <w:rPr>
          <w:b w:val="0"/>
          <w:bCs w:val="0"/>
        </w:rPr>
      </w:r>
      <w:r>
        <w:rPr>
          <w:rFonts w:ascii="Times New Roman" w:hAnsi="Times New Roman" w:cs="Times New Roman" w:eastAsia="Times New Roman" w:hint="default"/>
        </w:rPr>
        <w:t>2</w:t>
      </w:r>
      <w:r>
        <w:rPr/>
        <w:t>、公司控股股东情况</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right="7565"/>
        <w:jc w:val="left"/>
      </w:pPr>
      <w:r>
        <w:rPr>
          <w:spacing w:val="-3"/>
        </w:rPr>
        <w:t>控股股东性质：自然人控股</w:t>
      </w:r>
      <w:r>
        <w:rPr>
          <w:spacing w:val="-51"/>
        </w:rPr>
        <w:t> </w:t>
      </w:r>
      <w:r>
        <w:rPr>
          <w:spacing w:val="-51"/>
        </w:rPr>
      </w:r>
      <w:r>
        <w:rPr/>
        <w:t>控股股东类型：自然人</w:t>
      </w:r>
    </w:p>
    <w:tbl>
      <w:tblPr>
        <w:tblW w:w="0" w:type="auto"/>
        <w:jc w:val="left"/>
        <w:tblInd w:w="148" w:type="dxa"/>
        <w:tblLayout w:type="fixed"/>
        <w:tblCellMar>
          <w:top w:w="0" w:type="dxa"/>
          <w:left w:w="0" w:type="dxa"/>
          <w:bottom w:w="0" w:type="dxa"/>
          <w:right w:w="0" w:type="dxa"/>
        </w:tblCellMar>
        <w:tblLook w:val="01E0"/>
      </w:tblPr>
      <w:tblGrid>
        <w:gridCol w:w="3419"/>
        <w:gridCol w:w="2031"/>
        <w:gridCol w:w="4120"/>
      </w:tblGrid>
      <w:tr>
        <w:trPr>
          <w:trHeight w:val="401" w:hRule="exact"/>
        </w:trPr>
        <w:tc>
          <w:tcPr>
            <w:tcW w:w="3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控股股东姓名</w:t>
            </w:r>
          </w:p>
        </w:tc>
        <w:tc>
          <w:tcPr>
            <w:tcW w:w="20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4"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41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797" w:right="0"/>
              <w:jc w:val="left"/>
              <w:rPr>
                <w:rFonts w:ascii="宋体" w:hAnsi="宋体" w:cs="宋体" w:eastAsia="宋体" w:hint="default"/>
                <w:sz w:val="18"/>
                <w:szCs w:val="18"/>
              </w:rPr>
            </w:pPr>
            <w:r>
              <w:rPr>
                <w:rFonts w:ascii="宋体" w:hAnsi="宋体" w:cs="宋体" w:eastAsia="宋体" w:hint="default"/>
                <w:spacing w:val="-3"/>
                <w:sz w:val="18"/>
                <w:szCs w:val="18"/>
              </w:rPr>
              <w:t>是否取得其他国家或地区居留权</w:t>
            </w:r>
          </w:p>
        </w:tc>
      </w:tr>
      <w:tr>
        <w:trPr>
          <w:trHeight w:val="403" w:hRule="exact"/>
        </w:trPr>
        <w:tc>
          <w:tcPr>
            <w:tcW w:w="3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张学君</w:t>
            </w:r>
          </w:p>
        </w:tc>
        <w:tc>
          <w:tcPr>
            <w:tcW w:w="20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3" w:hRule="exact"/>
        </w:trPr>
        <w:tc>
          <w:tcPr>
            <w:tcW w:w="3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陈向军</w:t>
            </w:r>
          </w:p>
        </w:tc>
        <w:tc>
          <w:tcPr>
            <w:tcW w:w="20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399" w:hRule="exact"/>
        </w:trPr>
        <w:tc>
          <w:tcPr>
            <w:tcW w:w="3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李军</w:t>
            </w:r>
          </w:p>
        </w:tc>
        <w:tc>
          <w:tcPr>
            <w:tcW w:w="20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5" w:hRule="exact"/>
        </w:trPr>
        <w:tc>
          <w:tcPr>
            <w:tcW w:w="3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pacing w:val="-3"/>
                <w:sz w:val="18"/>
                <w:szCs w:val="18"/>
              </w:rPr>
              <w:t>主要职业及职务</w:t>
            </w:r>
          </w:p>
        </w:tc>
        <w:tc>
          <w:tcPr>
            <w:tcW w:w="6151"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23" w:right="17"/>
              <w:jc w:val="left"/>
              <w:rPr>
                <w:rFonts w:ascii="宋体" w:hAnsi="宋体" w:cs="宋体" w:eastAsia="宋体" w:hint="default"/>
                <w:sz w:val="18"/>
                <w:szCs w:val="18"/>
              </w:rPr>
            </w:pPr>
            <w:r>
              <w:rPr>
                <w:rFonts w:ascii="宋体" w:hAnsi="宋体" w:cs="宋体" w:eastAsia="宋体" w:hint="default"/>
                <w:sz w:val="18"/>
                <w:szCs w:val="18"/>
              </w:rPr>
              <w:t>张学君女士现任本公司董事。</w:t>
            </w:r>
            <w:r>
              <w:rPr>
                <w:rFonts w:ascii="宋体" w:hAnsi="宋体" w:cs="宋体" w:eastAsia="宋体" w:hint="default"/>
                <w:spacing w:val="9"/>
                <w:sz w:val="18"/>
                <w:szCs w:val="18"/>
              </w:rPr>
              <w:t> </w:t>
            </w:r>
            <w:r>
              <w:rPr>
                <w:rFonts w:ascii="宋体" w:hAnsi="宋体" w:cs="宋体" w:eastAsia="宋体" w:hint="default"/>
                <w:spacing w:val="-3"/>
                <w:sz w:val="18"/>
                <w:szCs w:val="18"/>
              </w:rPr>
              <w:t>陈向军先生现任本公司董事长。</w:t>
            </w:r>
            <w:r>
              <w:rPr>
                <w:rFonts w:ascii="宋体" w:hAnsi="宋体" w:cs="宋体" w:eastAsia="宋体" w:hint="default"/>
                <w:spacing w:val="16"/>
                <w:sz w:val="18"/>
                <w:szCs w:val="18"/>
              </w:rPr>
              <w:t> </w:t>
            </w:r>
            <w:r>
              <w:rPr>
                <w:rFonts w:ascii="宋体" w:hAnsi="宋体" w:cs="宋体" w:eastAsia="宋体" w:hint="default"/>
                <w:spacing w:val="-3"/>
                <w:sz w:val="18"/>
                <w:szCs w:val="18"/>
              </w:rPr>
              <w:t>李军先生现任</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本公司董事、总经理。</w:t>
            </w:r>
          </w:p>
        </w:tc>
      </w:tr>
      <w:tr>
        <w:trPr>
          <w:trHeight w:val="715" w:hRule="exact"/>
        </w:trPr>
        <w:tc>
          <w:tcPr>
            <w:tcW w:w="3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24" w:right="138"/>
              <w:jc w:val="left"/>
              <w:rPr>
                <w:rFonts w:ascii="宋体" w:hAnsi="宋体" w:cs="宋体" w:eastAsia="宋体" w:hint="default"/>
                <w:sz w:val="18"/>
                <w:szCs w:val="18"/>
              </w:rPr>
            </w:pPr>
            <w:r>
              <w:rPr>
                <w:rFonts w:ascii="宋体" w:hAnsi="宋体" w:cs="宋体" w:eastAsia="宋体" w:hint="default"/>
                <w:spacing w:val="-3"/>
                <w:sz w:val="18"/>
                <w:szCs w:val="18"/>
              </w:rPr>
              <w:t>报告期内控股和参股的其他境内外上市公</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z w:val="18"/>
                <w:szCs w:val="18"/>
              </w:rPr>
              <w:t>司的股权情况</w:t>
            </w:r>
          </w:p>
        </w:tc>
        <w:tc>
          <w:tcPr>
            <w:tcW w:w="61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68"/>
        <w:ind w:right="0"/>
        <w:jc w:val="left"/>
      </w:pPr>
      <w:r>
        <w:rPr/>
        <w:t>控股股东报告期内变更</w:t>
      </w:r>
    </w:p>
    <w:p>
      <w:pPr>
        <w:pStyle w:val="BodyText"/>
        <w:spacing w:line="410" w:lineRule="auto" w:before="119"/>
        <w:ind w:left="513" w:right="7565" w:hanging="36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3"/>
        </w:rPr>
        <w:t>公司报告期控股股东未发生变更。</w:t>
      </w:r>
    </w:p>
    <w:p>
      <w:pPr>
        <w:spacing w:line="240" w:lineRule="auto" w:before="1"/>
        <w:rPr>
          <w:rFonts w:ascii="宋体" w:hAnsi="宋体" w:cs="宋体" w:eastAsia="宋体" w:hint="default"/>
          <w:sz w:val="23"/>
          <w:szCs w:val="23"/>
        </w:rPr>
      </w:pPr>
    </w:p>
    <w:p>
      <w:pPr>
        <w:pStyle w:val="Heading3"/>
        <w:spacing w:line="240" w:lineRule="auto"/>
        <w:ind w:right="0"/>
        <w:jc w:val="left"/>
        <w:rPr>
          <w:b w:val="0"/>
          <w:bCs w:val="0"/>
        </w:rPr>
      </w:pPr>
      <w:bookmarkStart w:name="3、公司实际控制人及其一致行动人" w:id="115"/>
      <w:bookmarkEnd w:id="115"/>
      <w:r>
        <w:rPr>
          <w:b w:val="0"/>
          <w:bCs w:val="0"/>
        </w:rPr>
      </w:r>
      <w:r>
        <w:rPr>
          <w:rFonts w:ascii="Times New Roman" w:hAnsi="Times New Roman" w:cs="Times New Roman" w:eastAsia="Times New Roman" w:hint="default"/>
        </w:rPr>
        <w:t>3</w:t>
      </w:r>
      <w:r>
        <w:rPr/>
        <w:t>、公司实际控制人及其一致行动人</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right="6680"/>
        <w:jc w:val="left"/>
      </w:pPr>
      <w:r>
        <w:rPr>
          <w:spacing w:val="-3"/>
        </w:rPr>
        <w:t>实际控制人性质：境内自然人</w:t>
      </w:r>
      <w:r>
        <w:rPr>
          <w:spacing w:val="-50"/>
        </w:rPr>
        <w:t> </w:t>
      </w:r>
      <w:r>
        <w:rPr>
          <w:spacing w:val="-50"/>
        </w:rPr>
      </w:r>
      <w:r>
        <w:rPr>
          <w:spacing w:val="-3"/>
        </w:rPr>
        <w:t>实际控制人类型：自然人</w:t>
      </w:r>
    </w:p>
    <w:tbl>
      <w:tblPr>
        <w:tblW w:w="0" w:type="auto"/>
        <w:jc w:val="left"/>
        <w:tblInd w:w="148" w:type="dxa"/>
        <w:tblLayout w:type="fixed"/>
        <w:tblCellMar>
          <w:top w:w="0" w:type="dxa"/>
          <w:left w:w="0" w:type="dxa"/>
          <w:bottom w:w="0" w:type="dxa"/>
          <w:right w:w="0" w:type="dxa"/>
        </w:tblCellMar>
        <w:tblLook w:val="01E0"/>
      </w:tblPr>
      <w:tblGrid>
        <w:gridCol w:w="2391"/>
        <w:gridCol w:w="2396"/>
        <w:gridCol w:w="2391"/>
        <w:gridCol w:w="2391"/>
      </w:tblGrid>
      <w:tr>
        <w:trPr>
          <w:trHeight w:val="71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561" w:right="0"/>
              <w:jc w:val="left"/>
              <w:rPr>
                <w:rFonts w:ascii="宋体" w:hAnsi="宋体" w:cs="宋体" w:eastAsia="宋体" w:hint="default"/>
                <w:sz w:val="18"/>
                <w:szCs w:val="18"/>
              </w:rPr>
            </w:pPr>
            <w:r>
              <w:rPr>
                <w:rFonts w:ascii="宋体" w:hAnsi="宋体" w:cs="宋体" w:eastAsia="宋体" w:hint="default"/>
                <w:spacing w:val="-3"/>
                <w:sz w:val="18"/>
                <w:szCs w:val="18"/>
              </w:rPr>
              <w:t>实际控制人姓名</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470" w:right="0"/>
              <w:jc w:val="left"/>
              <w:rPr>
                <w:rFonts w:ascii="宋体" w:hAnsi="宋体" w:cs="宋体" w:eastAsia="宋体" w:hint="default"/>
                <w:sz w:val="18"/>
                <w:szCs w:val="18"/>
              </w:rPr>
            </w:pPr>
            <w:r>
              <w:rPr>
                <w:rFonts w:ascii="宋体" w:hAnsi="宋体" w:cs="宋体" w:eastAsia="宋体" w:hint="default"/>
                <w:sz w:val="18"/>
                <w:szCs w:val="18"/>
              </w:rPr>
              <w:t>与实际控制人关系</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6"/>
              <w:ind w:left="1012" w:right="103" w:hanging="903"/>
              <w:jc w:val="left"/>
              <w:rPr>
                <w:rFonts w:ascii="宋体" w:hAnsi="宋体" w:cs="宋体" w:eastAsia="宋体" w:hint="default"/>
                <w:sz w:val="18"/>
                <w:szCs w:val="18"/>
              </w:rPr>
            </w:pPr>
            <w:r>
              <w:rPr>
                <w:rFonts w:ascii="宋体" w:hAnsi="宋体" w:cs="宋体" w:eastAsia="宋体" w:hint="default"/>
                <w:spacing w:val="-3"/>
                <w:sz w:val="18"/>
                <w:szCs w:val="18"/>
              </w:rPr>
              <w:t>是否取得其他国家或地区居</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留权</w:t>
            </w:r>
          </w:p>
        </w:tc>
      </w:tr>
      <w:tr>
        <w:trPr>
          <w:trHeight w:val="715"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张学君</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3" w:right="17"/>
              <w:jc w:val="left"/>
              <w:rPr>
                <w:rFonts w:ascii="宋体" w:hAnsi="宋体" w:cs="宋体" w:eastAsia="宋体" w:hint="default"/>
                <w:sz w:val="18"/>
                <w:szCs w:val="18"/>
              </w:rPr>
            </w:pPr>
            <w:r>
              <w:rPr>
                <w:rFonts w:ascii="宋体" w:hAnsi="宋体" w:cs="宋体" w:eastAsia="宋体" w:hint="default"/>
                <w:spacing w:val="-3"/>
                <w:sz w:val="18"/>
                <w:szCs w:val="18"/>
              </w:rPr>
              <w:t>一致行动（含协议、亲属、同</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z w:val="18"/>
                <w:szCs w:val="18"/>
              </w:rPr>
              <w:t>一控制）</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5"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陈向军</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17"/>
              <w:jc w:val="left"/>
              <w:rPr>
                <w:rFonts w:ascii="宋体" w:hAnsi="宋体" w:cs="宋体" w:eastAsia="宋体" w:hint="default"/>
                <w:sz w:val="18"/>
                <w:szCs w:val="18"/>
              </w:rPr>
            </w:pPr>
            <w:r>
              <w:rPr>
                <w:rFonts w:ascii="宋体" w:hAnsi="宋体" w:cs="宋体" w:eastAsia="宋体" w:hint="default"/>
                <w:spacing w:val="-3"/>
                <w:sz w:val="18"/>
                <w:szCs w:val="18"/>
              </w:rPr>
              <w:t>一致行动（含协议、亲属、同</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z w:val="18"/>
                <w:szCs w:val="18"/>
              </w:rPr>
              <w:t>一控制）</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1"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李军</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4"/>
              <w:ind w:left="23" w:right="17"/>
              <w:jc w:val="left"/>
              <w:rPr>
                <w:rFonts w:ascii="宋体" w:hAnsi="宋体" w:cs="宋体" w:eastAsia="宋体" w:hint="default"/>
                <w:sz w:val="18"/>
                <w:szCs w:val="18"/>
              </w:rPr>
            </w:pPr>
            <w:r>
              <w:rPr>
                <w:rFonts w:ascii="宋体" w:hAnsi="宋体" w:cs="宋体" w:eastAsia="宋体" w:hint="default"/>
                <w:spacing w:val="-3"/>
                <w:sz w:val="18"/>
                <w:szCs w:val="18"/>
              </w:rPr>
              <w:t>一致行动（含协议、亲属、同</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z w:val="18"/>
                <w:szCs w:val="18"/>
              </w:rPr>
              <w:t>一控制）</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1109"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pacing w:val="-3"/>
                <w:sz w:val="18"/>
                <w:szCs w:val="18"/>
              </w:rPr>
              <w:t>主要职业及职务</w:t>
            </w:r>
          </w:p>
        </w:tc>
        <w:tc>
          <w:tcPr>
            <w:tcW w:w="7178" w:type="dxa"/>
            <w:gridSpan w:val="3"/>
            <w:tcBorders>
              <w:top w:val="single" w:sz="4" w:space="0" w:color="000000"/>
              <w:left w:val="single" w:sz="4" w:space="0" w:color="000000"/>
              <w:bottom w:val="single" w:sz="4" w:space="0" w:color="000000"/>
              <w:right w:val="single" w:sz="4" w:space="0" w:color="000000"/>
            </w:tcBorders>
          </w:tcPr>
          <w:p>
            <w:pPr>
              <w:pStyle w:val="TableParagraph"/>
              <w:spacing w:line="360" w:lineRule="auto" w:before="58"/>
              <w:ind w:left="23" w:right="4257"/>
              <w:jc w:val="left"/>
              <w:rPr>
                <w:rFonts w:ascii="宋体" w:hAnsi="宋体" w:cs="宋体" w:eastAsia="宋体" w:hint="default"/>
                <w:sz w:val="18"/>
                <w:szCs w:val="18"/>
              </w:rPr>
            </w:pPr>
            <w:r>
              <w:rPr>
                <w:rFonts w:ascii="宋体" w:hAnsi="宋体" w:cs="宋体" w:eastAsia="宋体" w:hint="default"/>
                <w:spacing w:val="-3"/>
                <w:sz w:val="18"/>
                <w:szCs w:val="18"/>
              </w:rPr>
              <w:t>张学君女士现任本公司董事。</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pacing w:val="-3"/>
                <w:sz w:val="18"/>
                <w:szCs w:val="18"/>
              </w:rPr>
              <w:t>陈向军先生现任本公司董事长。</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pacing w:val="-3"/>
                <w:sz w:val="18"/>
                <w:szCs w:val="18"/>
              </w:rPr>
              <w:t>李军先生现任本公司董事、总经理。</w:t>
            </w:r>
          </w:p>
        </w:tc>
      </w:tr>
      <w:tr>
        <w:trPr>
          <w:trHeight w:val="716"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4"/>
              <w:ind w:left="24" w:right="99"/>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32"/>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3"/>
                <w:sz w:val="18"/>
                <w:szCs w:val="18"/>
              </w:rPr>
              <w:t> </w:t>
            </w:r>
            <w:r>
              <w:rPr>
                <w:rFonts w:ascii="宋体" w:hAnsi="宋体" w:cs="宋体" w:eastAsia="宋体" w:hint="default"/>
                <w:spacing w:val="-3"/>
                <w:sz w:val="18"/>
                <w:szCs w:val="18"/>
              </w:rPr>
              <w:t>年曾控股的境内外上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市公司情况</w:t>
            </w:r>
          </w:p>
        </w:tc>
        <w:tc>
          <w:tcPr>
            <w:tcW w:w="717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67"/>
        <w:ind w:right="0"/>
        <w:jc w:val="left"/>
      </w:pPr>
      <w:r>
        <w:rPr>
          <w:spacing w:val="-3"/>
        </w:rPr>
        <w:t>实际控制人报告期内变更</w:t>
      </w:r>
    </w:p>
    <w:p>
      <w:pPr>
        <w:pStyle w:val="BodyText"/>
        <w:spacing w:line="417" w:lineRule="auto" w:before="115"/>
        <w:ind w:left="513" w:right="6680" w:hanging="36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3"/>
        </w:rPr>
        <w:t>公司报告期实际控制人未发生变更。</w:t>
      </w:r>
    </w:p>
    <w:p>
      <w:pPr>
        <w:pStyle w:val="BodyText"/>
        <w:spacing w:line="240" w:lineRule="auto" w:before="58"/>
        <w:ind w:right="0"/>
        <w:jc w:val="left"/>
      </w:pPr>
      <w:r>
        <w:rPr>
          <w:spacing w:val="-3"/>
        </w:rPr>
        <w:t>公司与实际控制人之间的产权及控制关系的方框图</w:t>
      </w:r>
    </w:p>
    <w:p>
      <w:pPr>
        <w:spacing w:after="0" w:line="240" w:lineRule="auto"/>
        <w:jc w:val="left"/>
        <w:sectPr>
          <w:pgSz w:w="11910" w:h="16840"/>
          <w:pgMar w:header="871" w:footer="1186" w:top="1100" w:bottom="1380" w:left="980" w:right="0"/>
        </w:sectPr>
      </w:pPr>
    </w:p>
    <w:p>
      <w:pPr>
        <w:spacing w:line="240" w:lineRule="auto" w:before="13"/>
        <w:rPr>
          <w:rFonts w:ascii="宋体" w:hAnsi="宋体" w:cs="宋体" w:eastAsia="宋体" w:hint="default"/>
          <w:sz w:val="24"/>
          <w:szCs w:val="24"/>
        </w:rPr>
      </w:pPr>
    </w:p>
    <w:p>
      <w:pPr>
        <w:spacing w:line="1856" w:lineRule="exact"/>
        <w:ind w:left="2100" w:right="0" w:firstLine="0"/>
        <w:rPr>
          <w:rFonts w:ascii="宋体" w:hAnsi="宋体" w:cs="宋体" w:eastAsia="宋体" w:hint="default"/>
          <w:sz w:val="20"/>
          <w:szCs w:val="20"/>
        </w:rPr>
      </w:pPr>
      <w:r>
        <w:rPr>
          <w:rFonts w:ascii="宋体" w:hAnsi="宋体" w:cs="宋体" w:eastAsia="宋体" w:hint="default"/>
          <w:position w:val="-36"/>
          <w:sz w:val="20"/>
          <w:szCs w:val="20"/>
        </w:rPr>
        <w:drawing>
          <wp:inline distT="0" distB="0" distL="0" distR="0">
            <wp:extent cx="3657069" cy="1178718"/>
            <wp:effectExtent l="0" t="0" r="0" b="0"/>
            <wp:docPr id="3" name="image3.png" descr=""/>
            <wp:cNvGraphicFramePr>
              <a:graphicFrameLocks noChangeAspect="1"/>
            </wp:cNvGraphicFramePr>
            <a:graphic>
              <a:graphicData uri="http://schemas.openxmlformats.org/drawingml/2006/picture">
                <pic:pic>
                  <pic:nvPicPr>
                    <pic:cNvPr id="4" name="image3.png"/>
                    <pic:cNvPicPr/>
                  </pic:nvPicPr>
                  <pic:blipFill>
                    <a:blip r:embed="rId19" cstate="print"/>
                    <a:stretch>
                      <a:fillRect/>
                    </a:stretch>
                  </pic:blipFill>
                  <pic:spPr>
                    <a:xfrm>
                      <a:off x="0" y="0"/>
                      <a:ext cx="3657069" cy="1178718"/>
                    </a:xfrm>
                    <a:prstGeom prst="rect">
                      <a:avLst/>
                    </a:prstGeom>
                  </pic:spPr>
                </pic:pic>
              </a:graphicData>
            </a:graphic>
          </wp:inline>
        </w:drawing>
      </w:r>
      <w:r>
        <w:rPr>
          <w:rFonts w:ascii="宋体" w:hAnsi="宋体" w:cs="宋体" w:eastAsia="宋体" w:hint="default"/>
          <w:position w:val="-36"/>
          <w:sz w:val="20"/>
          <w:szCs w:val="20"/>
        </w:rPr>
      </w:r>
    </w:p>
    <w:p>
      <w:pPr>
        <w:spacing w:line="240" w:lineRule="auto" w:before="12"/>
        <w:rPr>
          <w:rFonts w:ascii="宋体" w:hAnsi="宋体" w:cs="宋体" w:eastAsia="宋体" w:hint="default"/>
          <w:sz w:val="13"/>
          <w:szCs w:val="13"/>
        </w:rPr>
      </w:pPr>
    </w:p>
    <w:p>
      <w:pPr>
        <w:pStyle w:val="BodyText"/>
        <w:spacing w:line="240" w:lineRule="auto" w:before="46"/>
        <w:ind w:right="0"/>
        <w:jc w:val="left"/>
      </w:pPr>
      <w:r>
        <w:rPr>
          <w:spacing w:val="-3"/>
        </w:rPr>
        <w:t>实际控制人通过信托或其他资产管理方式控制公司</w:t>
      </w:r>
    </w:p>
    <w:p>
      <w:pPr>
        <w:pStyle w:val="BodyText"/>
        <w:spacing w:line="240" w:lineRule="auto" w:before="115"/>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3"/>
        <w:rPr>
          <w:rFonts w:ascii="宋体" w:hAnsi="宋体" w:cs="宋体" w:eastAsia="宋体" w:hint="default"/>
          <w:sz w:val="25"/>
          <w:szCs w:val="25"/>
        </w:rPr>
      </w:pPr>
    </w:p>
    <w:p>
      <w:pPr>
        <w:pStyle w:val="Heading3"/>
        <w:spacing w:line="240" w:lineRule="auto"/>
        <w:ind w:right="0"/>
        <w:jc w:val="left"/>
        <w:rPr>
          <w:b w:val="0"/>
          <w:bCs w:val="0"/>
        </w:rPr>
      </w:pPr>
      <w:bookmarkStart w:name="4、其他持股在10%以上的法人股东" w:id="116"/>
      <w:bookmarkEnd w:id="116"/>
      <w:r>
        <w:rPr>
          <w:b w:val="0"/>
          <w:bCs w:val="0"/>
        </w:rPr>
      </w:r>
      <w:r>
        <w:rPr>
          <w:rFonts w:ascii="Times New Roman" w:hAnsi="Times New Roman" w:cs="Times New Roman" w:eastAsia="Times New Roman" w:hint="default"/>
        </w:rPr>
        <w:t>4</w:t>
      </w:r>
      <w:r>
        <w:rPr/>
        <w:t>、其他持股在</w:t>
      </w:r>
      <w:r>
        <w:rPr>
          <w:spacing w:val="-51"/>
        </w:rPr>
        <w:t> </w:t>
      </w:r>
      <w:r>
        <w:rPr>
          <w:rFonts w:ascii="Times New Roman" w:hAnsi="Times New Roman" w:cs="Times New Roman" w:eastAsia="Times New Roman" w:hint="default"/>
        </w:rPr>
        <w:t>10%</w:t>
      </w:r>
      <w:r>
        <w:rPr/>
        <w:t>以上的法人股东</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8"/>
        <w:rPr>
          <w:rFonts w:ascii="宋体" w:hAnsi="宋体" w:cs="宋体" w:eastAsia="宋体" w:hint="default"/>
          <w:sz w:val="25"/>
          <w:szCs w:val="25"/>
        </w:rPr>
      </w:pPr>
    </w:p>
    <w:p>
      <w:pPr>
        <w:pStyle w:val="Heading3"/>
        <w:spacing w:line="240" w:lineRule="auto"/>
        <w:ind w:right="0"/>
        <w:jc w:val="left"/>
        <w:rPr>
          <w:b w:val="0"/>
          <w:bCs w:val="0"/>
        </w:rPr>
      </w:pPr>
      <w:bookmarkStart w:name="5、控股股东、实际控制人、重组方及其他承诺主体股份限制减持情况" w:id="117"/>
      <w:bookmarkEnd w:id="117"/>
      <w:r>
        <w:rPr>
          <w:b w:val="0"/>
          <w:bCs w:val="0"/>
        </w:rPr>
      </w:r>
      <w:r>
        <w:rPr>
          <w:rFonts w:ascii="Times New Roman" w:hAnsi="Times New Roman" w:cs="Times New Roman" w:eastAsia="Times New Roman" w:hint="default"/>
        </w:rPr>
        <w:t>5</w:t>
      </w:r>
      <w:r>
        <w:rPr/>
        <w:t>、控股股东、实际控制人、重组方及其他承诺主体股份限制减持情况</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after="0" w:line="240" w:lineRule="auto"/>
        <w:jc w:val="left"/>
        <w:sectPr>
          <w:pgSz w:w="11910" w:h="16840"/>
          <w:pgMar w:header="871" w:footer="1186" w:top="1100" w:bottom="138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6"/>
          <w:szCs w:val="16"/>
        </w:rPr>
      </w:pPr>
    </w:p>
    <w:p>
      <w:pPr>
        <w:pStyle w:val="Heading1"/>
        <w:spacing w:line="240" w:lineRule="auto"/>
        <w:ind w:left="3283" w:right="0"/>
        <w:jc w:val="left"/>
        <w:rPr>
          <w:b w:val="0"/>
          <w:bCs w:val="0"/>
        </w:rPr>
      </w:pPr>
      <w:bookmarkStart w:name="第七节 优先股相关情况" w:id="118"/>
      <w:bookmarkEnd w:id="118"/>
      <w:r>
        <w:rPr>
          <w:b w:val="0"/>
          <w:bCs w:val="0"/>
        </w:rPr>
      </w:r>
      <w:bookmarkStart w:name="_bookmark6" w:id="119"/>
      <w:bookmarkEnd w:id="119"/>
      <w:r>
        <w:rPr>
          <w:b w:val="0"/>
          <w:bCs w:val="0"/>
        </w:rPr>
      </w:r>
      <w:r>
        <w:rPr/>
        <w:t>第七节 优先股相关情况</w:t>
      </w:r>
      <w:r>
        <w:rPr>
          <w:b w:val="0"/>
          <w:bCs w:val="0"/>
        </w:rPr>
      </w: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9"/>
          <w:szCs w:val="19"/>
        </w:rPr>
      </w:pPr>
    </w:p>
    <w:p>
      <w:pPr>
        <w:pStyle w:val="BodyText"/>
        <w:spacing w:line="410" w:lineRule="auto" w:before="46"/>
        <w:ind w:left="513" w:right="7565" w:hanging="36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3"/>
        </w:rPr>
        <w:t>报告期公司不存在优先股。</w:t>
      </w:r>
    </w:p>
    <w:p>
      <w:pPr>
        <w:spacing w:after="0" w:line="410" w:lineRule="auto"/>
        <w:jc w:val="left"/>
        <w:sectPr>
          <w:pgSz w:w="11910" w:h="16840"/>
          <w:pgMar w:header="871" w:footer="1186" w:top="1100" w:bottom="138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6"/>
          <w:szCs w:val="16"/>
        </w:rPr>
      </w:pPr>
    </w:p>
    <w:p>
      <w:pPr>
        <w:pStyle w:val="Heading1"/>
        <w:spacing w:line="240" w:lineRule="auto"/>
        <w:ind w:left="2645" w:right="0"/>
        <w:jc w:val="left"/>
        <w:rPr>
          <w:b w:val="0"/>
          <w:bCs w:val="0"/>
        </w:rPr>
      </w:pPr>
      <w:bookmarkStart w:name="第八节 可转换公司债券相关情况" w:id="120"/>
      <w:bookmarkEnd w:id="120"/>
      <w:r>
        <w:rPr>
          <w:b w:val="0"/>
          <w:bCs w:val="0"/>
        </w:rPr>
      </w:r>
      <w:bookmarkStart w:name="_bookmark7" w:id="121"/>
      <w:bookmarkEnd w:id="121"/>
      <w:r>
        <w:rPr>
          <w:b w:val="0"/>
          <w:bCs w:val="0"/>
        </w:rPr>
      </w:r>
      <w:r>
        <w:rPr/>
        <w:t>第八节</w:t>
      </w:r>
      <w:r>
        <w:rPr>
          <w:spacing w:val="1"/>
        </w:rPr>
        <w:t> </w:t>
      </w:r>
      <w:r>
        <w:rPr/>
        <w:t>可转换公司债券相关情况</w:t>
      </w:r>
      <w:r>
        <w:rPr>
          <w:b w:val="0"/>
          <w:bCs w:val="0"/>
        </w:rPr>
      </w: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9"/>
          <w:szCs w:val="19"/>
        </w:rPr>
      </w:pPr>
    </w:p>
    <w:p>
      <w:pPr>
        <w:pStyle w:val="BodyText"/>
        <w:spacing w:line="410" w:lineRule="auto" w:before="46"/>
        <w:ind w:left="513" w:right="6680" w:hanging="36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3"/>
        </w:rPr>
        <w:t>报告期公司不存在可转换公司债券。</w:t>
      </w:r>
    </w:p>
    <w:p>
      <w:pPr>
        <w:spacing w:after="0" w:line="410" w:lineRule="auto"/>
        <w:jc w:val="left"/>
        <w:sectPr>
          <w:pgSz w:w="11910" w:h="16840"/>
          <w:pgMar w:header="871" w:footer="1186" w:top="1100" w:bottom="138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6"/>
          <w:szCs w:val="16"/>
        </w:rPr>
      </w:pPr>
    </w:p>
    <w:p>
      <w:pPr>
        <w:pStyle w:val="Heading1"/>
        <w:spacing w:line="240" w:lineRule="auto"/>
        <w:ind w:left="1680" w:right="0"/>
        <w:jc w:val="left"/>
        <w:rPr>
          <w:b w:val="0"/>
          <w:bCs w:val="0"/>
        </w:rPr>
      </w:pPr>
      <w:bookmarkStart w:name="第九节 董事、监事、高级管理人员和员工情况" w:id="122"/>
      <w:bookmarkEnd w:id="122"/>
      <w:r>
        <w:rPr>
          <w:b w:val="0"/>
          <w:bCs w:val="0"/>
        </w:rPr>
      </w:r>
      <w:bookmarkStart w:name="_bookmark8" w:id="123"/>
      <w:bookmarkEnd w:id="123"/>
      <w:r>
        <w:rPr>
          <w:b w:val="0"/>
          <w:bCs w:val="0"/>
        </w:rPr>
      </w:r>
      <w:r>
        <w:rPr/>
        <w:t>第九节</w:t>
      </w:r>
      <w:r>
        <w:rPr>
          <w:spacing w:val="-2"/>
        </w:rPr>
        <w:t> </w:t>
      </w:r>
      <w:r>
        <w:rPr/>
        <w:t>董事、监事、高级管理人员和员工情况</w:t>
      </w:r>
      <w:r>
        <w:rPr>
          <w:b w:val="0"/>
          <w:bCs w:val="0"/>
        </w:rPr>
      </w:r>
    </w:p>
    <w:p>
      <w:pPr>
        <w:spacing w:line="240" w:lineRule="auto" w:before="4"/>
        <w:rPr>
          <w:rFonts w:ascii="宋体" w:hAnsi="宋体" w:cs="宋体" w:eastAsia="宋体" w:hint="default"/>
          <w:b/>
          <w:bCs/>
          <w:sz w:val="38"/>
          <w:szCs w:val="38"/>
        </w:rPr>
      </w:pPr>
    </w:p>
    <w:p>
      <w:pPr>
        <w:pStyle w:val="Heading2"/>
        <w:spacing w:line="240" w:lineRule="auto"/>
        <w:ind w:right="0"/>
        <w:jc w:val="left"/>
        <w:rPr>
          <w:b w:val="0"/>
          <w:bCs w:val="0"/>
        </w:rPr>
      </w:pPr>
      <w:bookmarkStart w:name="一、董事、监事和高级管理人员持股变动" w:id="124"/>
      <w:bookmarkEnd w:id="124"/>
      <w:r>
        <w:rPr>
          <w:b w:val="0"/>
          <w:bCs w:val="0"/>
        </w:rPr>
      </w:r>
      <w:r>
        <w:rPr/>
        <w:t>一、董事、监事和高级管理人员持股变动</w:t>
      </w:r>
      <w:r>
        <w:rPr>
          <w:b w:val="0"/>
          <w:bCs w:val="0"/>
        </w:rPr>
      </w:r>
    </w:p>
    <w:p>
      <w:pPr>
        <w:spacing w:line="240" w:lineRule="auto" w:before="5"/>
        <w:rPr>
          <w:rFonts w:ascii="宋体" w:hAnsi="宋体" w:cs="宋体" w:eastAsia="宋体" w:hint="default"/>
          <w:b/>
          <w:bCs/>
          <w:sz w:val="26"/>
          <w:szCs w:val="26"/>
        </w:rPr>
      </w:pPr>
    </w:p>
    <w:tbl>
      <w:tblPr>
        <w:tblW w:w="0" w:type="auto"/>
        <w:jc w:val="left"/>
        <w:tblInd w:w="148" w:type="dxa"/>
        <w:tblLayout w:type="fixed"/>
        <w:tblCellMar>
          <w:top w:w="0" w:type="dxa"/>
          <w:left w:w="0" w:type="dxa"/>
          <w:bottom w:w="0" w:type="dxa"/>
          <w:right w:w="0" w:type="dxa"/>
        </w:tblCellMar>
        <w:tblLook w:val="01E0"/>
      </w:tblPr>
      <w:tblGrid>
        <w:gridCol w:w="797"/>
        <w:gridCol w:w="797"/>
        <w:gridCol w:w="797"/>
        <w:gridCol w:w="797"/>
        <w:gridCol w:w="802"/>
        <w:gridCol w:w="797"/>
        <w:gridCol w:w="797"/>
        <w:gridCol w:w="797"/>
        <w:gridCol w:w="797"/>
        <w:gridCol w:w="802"/>
        <w:gridCol w:w="797"/>
        <w:gridCol w:w="797"/>
      </w:tblGrid>
      <w:tr>
        <w:trPr>
          <w:trHeight w:val="1023"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15"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11"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33"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11"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16"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211" w:right="27" w:hanging="178"/>
              <w:jc w:val="left"/>
              <w:rPr>
                <w:rFonts w:ascii="宋体" w:hAnsi="宋体" w:cs="宋体" w:eastAsia="宋体" w:hint="default"/>
                <w:sz w:val="18"/>
                <w:szCs w:val="18"/>
              </w:rPr>
            </w:pPr>
            <w:r>
              <w:rPr>
                <w:rFonts w:ascii="宋体" w:hAnsi="宋体" w:cs="宋体" w:eastAsia="宋体" w:hint="default"/>
                <w:sz w:val="18"/>
                <w:szCs w:val="18"/>
              </w:rPr>
              <w:t>任期起始</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日期</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215" w:right="26" w:hanging="183"/>
              <w:jc w:val="left"/>
              <w:rPr>
                <w:rFonts w:ascii="宋体" w:hAnsi="宋体" w:cs="宋体" w:eastAsia="宋体" w:hint="default"/>
                <w:sz w:val="18"/>
                <w:szCs w:val="18"/>
              </w:rPr>
            </w:pPr>
            <w:r>
              <w:rPr>
                <w:rFonts w:ascii="宋体" w:hAnsi="宋体" w:cs="宋体" w:eastAsia="宋体" w:hint="default"/>
                <w:sz w:val="18"/>
                <w:szCs w:val="18"/>
              </w:rPr>
              <w:t>任期终止</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日期</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33" w:right="27"/>
              <w:jc w:val="left"/>
              <w:rPr>
                <w:rFonts w:ascii="宋体" w:hAnsi="宋体" w:cs="宋体" w:eastAsia="宋体" w:hint="default"/>
                <w:sz w:val="18"/>
                <w:szCs w:val="18"/>
              </w:rPr>
            </w:pPr>
            <w:r>
              <w:rPr>
                <w:rFonts w:ascii="宋体" w:hAnsi="宋体" w:cs="宋体" w:eastAsia="宋体" w:hint="default"/>
                <w:sz w:val="18"/>
                <w:szCs w:val="18"/>
              </w:rPr>
              <w:t>期初持股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数（股）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3"/>
              <w:ind w:left="33" w:right="27"/>
              <w:jc w:val="left"/>
              <w:rPr>
                <w:rFonts w:ascii="宋体" w:hAnsi="宋体" w:cs="宋体" w:eastAsia="宋体" w:hint="default"/>
                <w:sz w:val="18"/>
                <w:szCs w:val="18"/>
              </w:rPr>
            </w:pPr>
            <w:r>
              <w:rPr>
                <w:rFonts w:ascii="宋体" w:hAnsi="宋体" w:cs="宋体" w:eastAsia="宋体" w:hint="default"/>
                <w:sz w:val="18"/>
                <w:szCs w:val="18"/>
              </w:rPr>
              <w:t>本期增持</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股份数量</w:t>
            </w:r>
          </w:p>
          <w:p>
            <w:pPr>
              <w:pStyle w:val="TableParagraph"/>
              <w:spacing w:line="240" w:lineRule="auto" w:before="27"/>
              <w:ind w:left="124" w:right="0"/>
              <w:jc w:val="left"/>
              <w:rPr>
                <w:rFonts w:ascii="宋体" w:hAnsi="宋体" w:cs="宋体" w:eastAsia="宋体" w:hint="default"/>
                <w:sz w:val="18"/>
                <w:szCs w:val="18"/>
              </w:rPr>
            </w:pPr>
            <w:r>
              <w:rPr>
                <w:rFonts w:ascii="宋体" w:hAnsi="宋体" w:cs="宋体" w:eastAsia="宋体" w:hint="default"/>
                <w:sz w:val="18"/>
                <w:szCs w:val="18"/>
              </w:rPr>
              <w:t>（股）</w:t>
            </w:r>
          </w:p>
        </w:tc>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3"/>
              <w:ind w:left="33" w:right="31"/>
              <w:jc w:val="left"/>
              <w:rPr>
                <w:rFonts w:ascii="宋体" w:hAnsi="宋体" w:cs="宋体" w:eastAsia="宋体" w:hint="default"/>
                <w:sz w:val="18"/>
                <w:szCs w:val="18"/>
              </w:rPr>
            </w:pPr>
            <w:r>
              <w:rPr>
                <w:rFonts w:ascii="宋体" w:hAnsi="宋体" w:cs="宋体" w:eastAsia="宋体" w:hint="default"/>
                <w:sz w:val="18"/>
                <w:szCs w:val="18"/>
              </w:rPr>
              <w:t>本期减持</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股份数量</w:t>
            </w:r>
          </w:p>
          <w:p>
            <w:pPr>
              <w:pStyle w:val="TableParagraph"/>
              <w:spacing w:line="240" w:lineRule="auto" w:before="27"/>
              <w:ind w:left="124"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23" w:right="-44" w:firstLine="9"/>
              <w:jc w:val="left"/>
              <w:rPr>
                <w:rFonts w:ascii="宋体" w:hAnsi="宋体" w:cs="宋体" w:eastAsia="宋体" w:hint="default"/>
                <w:sz w:val="18"/>
                <w:szCs w:val="18"/>
              </w:rPr>
            </w:pPr>
            <w:r>
              <w:rPr>
                <w:rFonts w:ascii="宋体" w:hAnsi="宋体" w:cs="宋体" w:eastAsia="宋体" w:hint="default"/>
                <w:sz w:val="18"/>
                <w:szCs w:val="18"/>
              </w:rPr>
              <w:t>其他增减</w:t>
            </w:r>
            <w:r>
              <w:rPr>
                <w:rFonts w:ascii="宋体" w:hAnsi="宋体" w:cs="宋体" w:eastAsia="宋体" w:hint="default"/>
                <w:w w:val="101"/>
                <w:sz w:val="18"/>
                <w:szCs w:val="18"/>
              </w:rPr>
              <w:t> </w:t>
            </w:r>
            <w:r>
              <w:rPr>
                <w:rFonts w:ascii="宋体" w:hAnsi="宋体" w:cs="宋体" w:eastAsia="宋体" w:hint="default"/>
                <w:spacing w:val="-22"/>
                <w:w w:val="101"/>
                <w:sz w:val="18"/>
                <w:szCs w:val="18"/>
              </w:rPr>
              <w:t>变动（股）</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33" w:right="26"/>
              <w:jc w:val="left"/>
              <w:rPr>
                <w:rFonts w:ascii="宋体" w:hAnsi="宋体" w:cs="宋体" w:eastAsia="宋体" w:hint="default"/>
                <w:sz w:val="18"/>
                <w:szCs w:val="18"/>
              </w:rPr>
            </w:pPr>
            <w:r>
              <w:rPr>
                <w:rFonts w:ascii="宋体" w:hAnsi="宋体" w:cs="宋体" w:eastAsia="宋体" w:hint="default"/>
                <w:sz w:val="18"/>
                <w:szCs w:val="18"/>
              </w:rPr>
              <w:t>期末持股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数（股）</w:t>
            </w:r>
          </w:p>
        </w:tc>
      </w:tr>
      <w:tr>
        <w:trPr>
          <w:trHeight w:val="1027"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陈向军</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15</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03</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57,650,70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57,650,70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1028"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1"/>
              <w:ind w:left="24" w:right="0"/>
              <w:jc w:val="left"/>
              <w:rPr>
                <w:rFonts w:ascii="宋体" w:hAnsi="宋体" w:cs="宋体" w:eastAsia="宋体" w:hint="default"/>
                <w:sz w:val="18"/>
                <w:szCs w:val="18"/>
              </w:rPr>
            </w:pPr>
            <w:r>
              <w:rPr>
                <w:rFonts w:ascii="宋体" w:hAnsi="宋体" w:cs="宋体" w:eastAsia="宋体" w:hint="default"/>
                <w:sz w:val="18"/>
                <w:szCs w:val="18"/>
              </w:rPr>
              <w:t>李军</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316" w:lineRule="auto"/>
              <w:ind w:left="24" w:right="36"/>
              <w:jc w:val="left"/>
              <w:rPr>
                <w:rFonts w:ascii="宋体" w:hAnsi="宋体" w:cs="宋体" w:eastAsia="宋体" w:hint="default"/>
                <w:sz w:val="18"/>
                <w:szCs w:val="18"/>
              </w:rPr>
            </w:pPr>
            <w:r>
              <w:rPr>
                <w:rFonts w:ascii="宋体" w:hAnsi="宋体" w:cs="宋体" w:eastAsia="宋体" w:hint="default"/>
                <w:sz w:val="18"/>
                <w:szCs w:val="18"/>
              </w:rPr>
              <w:t>董事、总</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1"/>
              <w:ind w:left="23"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5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15</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5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03</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57,644,20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57,644,20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1027"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张学君</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w w:val="101"/>
                <w:sz w:val="18"/>
                <w:szCs w:val="18"/>
              </w:rPr>
              <w:t>女</w:t>
            </w:r>
            <w:r>
              <w:rPr>
                <w:rFonts w:ascii="宋体" w:hAnsi="宋体" w:cs="宋体" w:eastAsia="宋体" w:hint="default"/>
                <w:sz w:val="18"/>
                <w:szCs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80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5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15</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5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03</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134,126,8</w:t>
            </w:r>
          </w:p>
          <w:p>
            <w:pPr>
              <w:pStyle w:val="TableParagraph"/>
              <w:spacing w:line="240" w:lineRule="auto" w:before="110"/>
              <w:ind w:right="12"/>
              <w:jc w:val="right"/>
              <w:rPr>
                <w:rFonts w:ascii="Times New Roman" w:hAnsi="Times New Roman" w:cs="Times New Roman" w:eastAsia="Times New Roman" w:hint="default"/>
                <w:sz w:val="18"/>
                <w:szCs w:val="18"/>
              </w:rPr>
            </w:pPr>
            <w:r>
              <w:rPr>
                <w:rFonts w:ascii="Times New Roman"/>
                <w:sz w:val="18"/>
              </w:rPr>
              <w:t>00</w:t>
            </w:r>
          </w:p>
        </w:tc>
        <w:tc>
          <w:tcPr>
            <w:tcW w:w="797"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134,126,8</w:t>
            </w:r>
          </w:p>
          <w:p>
            <w:pPr>
              <w:pStyle w:val="TableParagraph"/>
              <w:spacing w:line="240" w:lineRule="auto" w:before="110"/>
              <w:ind w:right="12"/>
              <w:jc w:val="right"/>
              <w:rPr>
                <w:rFonts w:ascii="Times New Roman" w:hAnsi="Times New Roman" w:cs="Times New Roman" w:eastAsia="Times New Roman" w:hint="default"/>
                <w:sz w:val="18"/>
                <w:szCs w:val="18"/>
              </w:rPr>
            </w:pPr>
            <w:r>
              <w:rPr>
                <w:rFonts w:ascii="Times New Roman"/>
                <w:sz w:val="18"/>
              </w:rPr>
              <w:t>00</w:t>
            </w:r>
          </w:p>
        </w:tc>
      </w:tr>
      <w:tr>
        <w:trPr>
          <w:trHeight w:val="1023"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何晔</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w w:val="101"/>
                <w:sz w:val="18"/>
                <w:szCs w:val="18"/>
              </w:rPr>
              <w:t>女</w:t>
            </w:r>
            <w:r>
              <w:rPr>
                <w:rFonts w:ascii="宋体" w:hAnsi="宋体" w:cs="宋体" w:eastAsia="宋体" w:hint="default"/>
                <w:sz w:val="18"/>
                <w:szCs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5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15</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5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03</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2"/>
                <w:sz w:val="18"/>
              </w:rPr>
              <w:t>114,994,4</w:t>
            </w:r>
          </w:p>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z w:val="18"/>
              </w:rPr>
              <w:t>00</w:t>
            </w:r>
          </w:p>
        </w:tc>
        <w:tc>
          <w:tcPr>
            <w:tcW w:w="797"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2"/>
                <w:sz w:val="18"/>
              </w:rPr>
              <w:t>114,994,4</w:t>
            </w:r>
          </w:p>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z w:val="18"/>
              </w:rPr>
              <w:t>00</w:t>
            </w:r>
          </w:p>
        </w:tc>
      </w:tr>
      <w:tr>
        <w:trPr>
          <w:trHeight w:val="1028"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冯军</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19</w:t>
            </w:r>
          </w:p>
          <w:p>
            <w:pPr>
              <w:pStyle w:val="TableParagraph"/>
              <w:spacing w:line="240" w:lineRule="auto" w:before="68"/>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03</w:t>
            </w:r>
          </w:p>
          <w:p>
            <w:pPr>
              <w:pStyle w:val="TableParagraph"/>
              <w:spacing w:line="240" w:lineRule="auto" w:before="68"/>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18,531,80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18,531,80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tc>
      </w:tr>
      <w:tr>
        <w:trPr>
          <w:trHeight w:val="1652"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刘奕</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36"/>
              <w:jc w:val="both"/>
              <w:rPr>
                <w:rFonts w:ascii="宋体" w:hAnsi="宋体" w:cs="宋体" w:eastAsia="宋体" w:hint="default"/>
                <w:sz w:val="18"/>
                <w:szCs w:val="18"/>
              </w:rPr>
            </w:pPr>
            <w:r>
              <w:rPr>
                <w:rFonts w:ascii="宋体" w:hAnsi="宋体" w:cs="宋体" w:eastAsia="宋体" w:hint="default"/>
                <w:sz w:val="18"/>
                <w:szCs w:val="18"/>
              </w:rPr>
              <w:t>董事、副</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总经理、</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董事会秘</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书、财务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总监</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0"/>
              <w:ind w:right="0"/>
              <w:jc w:val="left"/>
              <w:rPr>
                <w:rFonts w:ascii="宋体" w:hAnsi="宋体" w:cs="宋体" w:eastAsia="宋体" w:hint="default"/>
                <w:b/>
                <w:bCs/>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5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15</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5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03</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0"/>
              <w:ind w:right="0"/>
              <w:jc w:val="left"/>
              <w:rPr>
                <w:rFonts w:ascii="宋体" w:hAnsi="宋体" w:cs="宋体" w:eastAsia="宋体" w:hint="default"/>
                <w:b/>
                <w:bCs/>
                <w:sz w:val="19"/>
                <w:szCs w:val="19"/>
              </w:rPr>
            </w:pPr>
          </w:p>
          <w:p>
            <w:pPr>
              <w:pStyle w:val="TableParagraph"/>
              <w:spacing w:line="240" w:lineRule="auto"/>
              <w:ind w:left="48" w:right="0"/>
              <w:jc w:val="left"/>
              <w:rPr>
                <w:rFonts w:ascii="Times New Roman" w:hAnsi="Times New Roman" w:cs="Times New Roman" w:eastAsia="Times New Roman" w:hint="default"/>
                <w:sz w:val="18"/>
                <w:szCs w:val="18"/>
              </w:rPr>
            </w:pPr>
            <w:r>
              <w:rPr>
                <w:rFonts w:ascii="Times New Roman"/>
                <w:sz w:val="18"/>
              </w:rPr>
              <w:t>3,536,000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0"/>
              <w:ind w:right="0"/>
              <w:jc w:val="left"/>
              <w:rPr>
                <w:rFonts w:ascii="宋体" w:hAnsi="宋体" w:cs="宋体" w:eastAsia="宋体" w:hint="default"/>
                <w:b/>
                <w:bCs/>
                <w:sz w:val="19"/>
                <w:szCs w:val="19"/>
              </w:rPr>
            </w:pPr>
          </w:p>
          <w:p>
            <w:pPr>
              <w:pStyle w:val="TableParagraph"/>
              <w:spacing w:line="240" w:lineRule="auto"/>
              <w:ind w:left="48" w:right="0"/>
              <w:jc w:val="left"/>
              <w:rPr>
                <w:rFonts w:ascii="Times New Roman" w:hAnsi="Times New Roman" w:cs="Times New Roman" w:eastAsia="Times New Roman" w:hint="default"/>
                <w:sz w:val="18"/>
                <w:szCs w:val="18"/>
              </w:rPr>
            </w:pPr>
            <w:r>
              <w:rPr>
                <w:rFonts w:ascii="Times New Roman"/>
                <w:sz w:val="18"/>
              </w:rPr>
              <w:t>3,536,000</w:t>
            </w:r>
          </w:p>
        </w:tc>
      </w:tr>
      <w:tr>
        <w:trPr>
          <w:trHeight w:val="1027"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郑学定</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5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09</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5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03</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3"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郭斐</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5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09</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5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03</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何剑</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09</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03</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汪婉欣</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w w:val="101"/>
                <w:sz w:val="18"/>
                <w:szCs w:val="18"/>
              </w:rPr>
              <w:t>女</w:t>
            </w:r>
            <w:r>
              <w:rPr>
                <w:rFonts w:ascii="宋体" w:hAnsi="宋体" w:cs="宋体" w:eastAsia="宋体" w:hint="default"/>
                <w:sz w:val="18"/>
                <w:szCs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5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15</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5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03</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1" w:footer="1186" w:top="1100" w:bottom="1460" w:left="980" w:right="0"/>
        </w:sectPr>
      </w:pPr>
    </w:p>
    <w:p>
      <w:pPr>
        <w:spacing w:line="240" w:lineRule="auto" w:before="8"/>
        <w:rPr>
          <w:rFonts w:ascii="宋体" w:hAnsi="宋体" w:cs="宋体" w:eastAsia="宋体" w:hint="default"/>
          <w:b/>
          <w:bCs/>
          <w:sz w:val="24"/>
          <w:szCs w:val="24"/>
        </w:rPr>
      </w:pPr>
    </w:p>
    <w:tbl>
      <w:tblPr>
        <w:tblW w:w="0" w:type="auto"/>
        <w:jc w:val="left"/>
        <w:tblInd w:w="148" w:type="dxa"/>
        <w:tblLayout w:type="fixed"/>
        <w:tblCellMar>
          <w:top w:w="0" w:type="dxa"/>
          <w:left w:w="0" w:type="dxa"/>
          <w:bottom w:w="0" w:type="dxa"/>
          <w:right w:w="0" w:type="dxa"/>
        </w:tblCellMar>
        <w:tblLook w:val="01E0"/>
      </w:tblPr>
      <w:tblGrid>
        <w:gridCol w:w="797"/>
        <w:gridCol w:w="797"/>
        <w:gridCol w:w="797"/>
        <w:gridCol w:w="797"/>
        <w:gridCol w:w="802"/>
        <w:gridCol w:w="797"/>
        <w:gridCol w:w="797"/>
        <w:gridCol w:w="797"/>
        <w:gridCol w:w="797"/>
        <w:gridCol w:w="802"/>
        <w:gridCol w:w="797"/>
        <w:gridCol w:w="797"/>
      </w:tblGrid>
      <w:tr>
        <w:trPr>
          <w:trHeight w:val="1027"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安丰森</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right="396"/>
              <w:jc w:val="righ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5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04</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5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03</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100</w:t>
            </w:r>
          </w:p>
        </w:tc>
        <w:tc>
          <w:tcPr>
            <w:tcW w:w="797"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100</w:t>
            </w:r>
          </w:p>
        </w:tc>
      </w:tr>
      <w:tr>
        <w:trPr>
          <w:trHeight w:val="1023"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1"/>
              <w:ind w:left="24" w:right="0"/>
              <w:jc w:val="left"/>
              <w:rPr>
                <w:rFonts w:ascii="宋体" w:hAnsi="宋体" w:cs="宋体" w:eastAsia="宋体" w:hint="default"/>
                <w:sz w:val="18"/>
                <w:szCs w:val="18"/>
              </w:rPr>
            </w:pPr>
            <w:r>
              <w:rPr>
                <w:rFonts w:ascii="宋体" w:hAnsi="宋体" w:cs="宋体" w:eastAsia="宋体" w:hint="default"/>
                <w:sz w:val="18"/>
                <w:szCs w:val="18"/>
              </w:rPr>
              <w:t>李玟臻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1"/>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1"/>
              <w:ind w:right="396"/>
              <w:jc w:val="righ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1"/>
              <w:ind w:left="23" w:right="0"/>
              <w:jc w:val="left"/>
              <w:rPr>
                <w:rFonts w:ascii="宋体" w:hAnsi="宋体" w:cs="宋体" w:eastAsia="宋体" w:hint="default"/>
                <w:sz w:val="18"/>
                <w:szCs w:val="18"/>
              </w:rPr>
            </w:pPr>
            <w:r>
              <w:rPr>
                <w:rFonts w:ascii="宋体" w:hAnsi="宋体" w:cs="宋体" w:eastAsia="宋体" w:hint="default"/>
                <w:w w:val="101"/>
                <w:sz w:val="18"/>
                <w:szCs w:val="18"/>
              </w:rPr>
              <w:t>女</w:t>
            </w:r>
            <w:r>
              <w:rPr>
                <w:rFonts w:ascii="宋体" w:hAnsi="宋体" w:cs="宋体" w:eastAsia="宋体" w:hint="default"/>
                <w:sz w:val="18"/>
                <w:szCs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5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10</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5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03</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5"/>
              <w:ind w:left="24" w:right="0"/>
              <w:jc w:val="left"/>
              <w:rPr>
                <w:rFonts w:ascii="宋体" w:hAnsi="宋体" w:cs="宋体" w:eastAsia="宋体" w:hint="default"/>
                <w:sz w:val="18"/>
                <w:szCs w:val="18"/>
              </w:rPr>
            </w:pPr>
            <w:r>
              <w:rPr>
                <w:rFonts w:ascii="宋体" w:hAnsi="宋体" w:cs="宋体" w:eastAsia="宋体" w:hint="default"/>
                <w:sz w:val="18"/>
                <w:szCs w:val="18"/>
              </w:rPr>
              <w:t>许秋江</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5"/>
              <w:ind w:left="24"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5"/>
              <w:ind w:right="396"/>
              <w:jc w:val="righ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5"/>
              <w:ind w:left="23"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5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r>
          </w:p>
          <w:p>
            <w:pPr>
              <w:pStyle w:val="TableParagraph"/>
              <w:spacing w:line="240" w:lineRule="auto" w:before="68"/>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5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03</w:t>
            </w:r>
          </w:p>
          <w:p>
            <w:pPr>
              <w:pStyle w:val="TableParagraph"/>
              <w:spacing w:line="240" w:lineRule="auto" w:before="68"/>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3"/>
                <w:szCs w:val="13"/>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2,288,000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3"/>
                <w:szCs w:val="13"/>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2,288,000</w:t>
            </w:r>
          </w:p>
        </w:tc>
      </w:tr>
      <w:tr>
        <w:trPr>
          <w:trHeight w:val="715"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7"/>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339"/>
              <w:jc w:val="right"/>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7"/>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8"/>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388,772,0</w:t>
            </w:r>
          </w:p>
          <w:p>
            <w:pPr>
              <w:pStyle w:val="TableParagraph"/>
              <w:spacing w:line="240" w:lineRule="auto" w:before="110"/>
              <w:ind w:right="12"/>
              <w:jc w:val="right"/>
              <w:rPr>
                <w:rFonts w:ascii="Times New Roman" w:hAnsi="Times New Roman" w:cs="Times New Roman" w:eastAsia="Times New Roman" w:hint="default"/>
                <w:sz w:val="18"/>
                <w:szCs w:val="18"/>
              </w:rPr>
            </w:pPr>
            <w:r>
              <w:rPr>
                <w:rFonts w:ascii="Times New Roman"/>
                <w:sz w:val="18"/>
              </w:rPr>
              <w:t>04</w:t>
            </w:r>
          </w:p>
        </w:tc>
        <w:tc>
          <w:tcPr>
            <w:tcW w:w="797"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388,772,0</w:t>
            </w:r>
          </w:p>
          <w:p>
            <w:pPr>
              <w:pStyle w:val="TableParagraph"/>
              <w:spacing w:line="240" w:lineRule="auto" w:before="110"/>
              <w:ind w:right="12"/>
              <w:jc w:val="right"/>
              <w:rPr>
                <w:rFonts w:ascii="Times New Roman" w:hAnsi="Times New Roman" w:cs="Times New Roman" w:eastAsia="Times New Roman" w:hint="default"/>
                <w:sz w:val="18"/>
                <w:szCs w:val="18"/>
              </w:rPr>
            </w:pPr>
            <w:r>
              <w:rPr>
                <w:rFonts w:ascii="Times New Roman"/>
                <w:sz w:val="18"/>
              </w:rPr>
              <w:t>04</w:t>
            </w:r>
          </w:p>
        </w:tc>
      </w:tr>
    </w:tbl>
    <w:p>
      <w:pPr>
        <w:spacing w:line="240" w:lineRule="auto" w:before="9"/>
        <w:rPr>
          <w:rFonts w:ascii="宋体" w:hAnsi="宋体" w:cs="宋体" w:eastAsia="宋体" w:hint="default"/>
          <w:b/>
          <w:bCs/>
          <w:sz w:val="17"/>
          <w:szCs w:val="17"/>
        </w:rPr>
      </w:pPr>
    </w:p>
    <w:p>
      <w:pPr>
        <w:pStyle w:val="Heading2"/>
        <w:spacing w:line="240" w:lineRule="auto" w:before="26"/>
        <w:ind w:right="0"/>
        <w:jc w:val="left"/>
        <w:rPr>
          <w:b w:val="0"/>
          <w:bCs w:val="0"/>
        </w:rPr>
      </w:pPr>
      <w:bookmarkStart w:name="二、公司董事、监事、高级管理人员变动情况" w:id="125"/>
      <w:bookmarkEnd w:id="125"/>
      <w:r>
        <w:rPr>
          <w:b w:val="0"/>
          <w:bCs w:val="0"/>
        </w:rPr>
      </w:r>
      <w:r>
        <w:rPr/>
        <w:t>二、公司董事、监事、高级管理人员变动情况</w:t>
      </w:r>
      <w:r>
        <w:rPr>
          <w:b w:val="0"/>
          <w:bCs w:val="0"/>
        </w:rPr>
      </w:r>
    </w:p>
    <w:p>
      <w:pPr>
        <w:spacing w:line="240" w:lineRule="auto" w:before="3"/>
        <w:rPr>
          <w:rFonts w:ascii="宋体" w:hAnsi="宋体" w:cs="宋体" w:eastAsia="宋体" w:hint="default"/>
          <w:b/>
          <w:bCs/>
          <w:sz w:val="27"/>
          <w:szCs w:val="27"/>
        </w:rPr>
      </w:pPr>
    </w:p>
    <w:p>
      <w:pPr>
        <w:pStyle w:val="BodyText"/>
        <w:spacing w:line="240" w:lineRule="auto"/>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4"/>
        <w:rPr>
          <w:rFonts w:ascii="宋体" w:hAnsi="宋体" w:cs="宋体" w:eastAsia="宋体" w:hint="default"/>
          <w:sz w:val="23"/>
          <w:szCs w:val="23"/>
        </w:rPr>
      </w:pPr>
    </w:p>
    <w:p>
      <w:pPr>
        <w:pStyle w:val="Heading2"/>
        <w:spacing w:line="240" w:lineRule="auto"/>
        <w:ind w:right="0"/>
        <w:jc w:val="left"/>
        <w:rPr>
          <w:b w:val="0"/>
          <w:bCs w:val="0"/>
        </w:rPr>
      </w:pPr>
      <w:bookmarkStart w:name="三、任职情况" w:id="126"/>
      <w:bookmarkEnd w:id="126"/>
      <w:r>
        <w:rPr>
          <w:b w:val="0"/>
          <w:bCs w:val="0"/>
        </w:rPr>
      </w:r>
      <w:r>
        <w:rPr/>
        <w:t>三、任职情况</w:t>
      </w:r>
      <w:r>
        <w:rPr>
          <w:b w:val="0"/>
          <w:bCs w:val="0"/>
        </w:rPr>
      </w:r>
    </w:p>
    <w:p>
      <w:pPr>
        <w:spacing w:line="240" w:lineRule="auto" w:before="8"/>
        <w:rPr>
          <w:rFonts w:ascii="宋体" w:hAnsi="宋体" w:cs="宋体" w:eastAsia="宋体" w:hint="default"/>
          <w:b/>
          <w:bCs/>
          <w:sz w:val="27"/>
          <w:szCs w:val="27"/>
        </w:rPr>
      </w:pPr>
    </w:p>
    <w:p>
      <w:pPr>
        <w:pStyle w:val="BodyText"/>
        <w:spacing w:line="240" w:lineRule="auto"/>
        <w:ind w:right="0"/>
        <w:jc w:val="left"/>
      </w:pPr>
      <w:r>
        <w:rPr>
          <w:spacing w:val="-3"/>
        </w:rPr>
        <w:t>公司现任董事、监事、高级管理人员专业背景、主要工作经历以及目前在公司的主要职责</w:t>
      </w:r>
    </w:p>
    <w:p>
      <w:pPr>
        <w:spacing w:line="240" w:lineRule="auto" w:before="8"/>
        <w:rPr>
          <w:rFonts w:ascii="宋体" w:hAnsi="宋体" w:cs="宋体" w:eastAsia="宋体" w:hint="default"/>
          <w:sz w:val="14"/>
          <w:szCs w:val="14"/>
        </w:rPr>
      </w:pPr>
    </w:p>
    <w:p>
      <w:pPr>
        <w:pStyle w:val="BodyText"/>
        <w:spacing w:line="240" w:lineRule="auto"/>
        <w:ind w:left="513" w:right="0"/>
        <w:jc w:val="left"/>
      </w:pPr>
      <w:r>
        <w:rPr>
          <w:rFonts w:ascii="Times New Roman" w:hAnsi="Times New Roman" w:cs="Times New Roman" w:eastAsia="Times New Roman" w:hint="default"/>
        </w:rPr>
        <w:t>1</w:t>
      </w:r>
      <w:r>
        <w:rPr/>
        <w:t>．董事</w:t>
      </w:r>
    </w:p>
    <w:p>
      <w:pPr>
        <w:spacing w:line="240" w:lineRule="auto" w:before="7"/>
        <w:rPr>
          <w:rFonts w:ascii="宋体" w:hAnsi="宋体" w:cs="宋体" w:eastAsia="宋体" w:hint="default"/>
          <w:sz w:val="16"/>
          <w:szCs w:val="16"/>
        </w:rPr>
      </w:pPr>
    </w:p>
    <w:p>
      <w:pPr>
        <w:pStyle w:val="BodyText"/>
        <w:spacing w:line="240" w:lineRule="auto"/>
        <w:ind w:left="513" w:right="0"/>
        <w:jc w:val="left"/>
      </w:pPr>
      <w:r>
        <w:rPr/>
        <w:t>公司董事会由</w:t>
      </w:r>
      <w:r>
        <w:rPr>
          <w:spacing w:val="-30"/>
        </w:rPr>
        <w:t> </w:t>
      </w:r>
      <w:r>
        <w:rPr>
          <w:rFonts w:ascii="Times New Roman" w:hAnsi="Times New Roman" w:cs="Times New Roman" w:eastAsia="Times New Roman" w:hint="default"/>
        </w:rPr>
        <w:t>9</w:t>
      </w:r>
      <w:r>
        <w:rPr>
          <w:rFonts w:ascii="Times New Roman" w:hAnsi="Times New Roman" w:cs="Times New Roman" w:eastAsia="Times New Roman" w:hint="default"/>
          <w:spacing w:val="15"/>
        </w:rPr>
        <w:t> </w:t>
      </w:r>
      <w:r>
        <w:rPr>
          <w:spacing w:val="-3"/>
        </w:rPr>
        <w:t>名董事组成，其中独立董事</w:t>
      </w:r>
      <w:r>
        <w:rPr>
          <w:spacing w:val="-30"/>
        </w:rPr>
        <w:t> </w:t>
      </w:r>
      <w:r>
        <w:rPr>
          <w:rFonts w:ascii="Times New Roman" w:hAnsi="Times New Roman" w:cs="Times New Roman" w:eastAsia="Times New Roman" w:hint="default"/>
        </w:rPr>
        <w:t>3</w:t>
      </w:r>
      <w:r>
        <w:rPr>
          <w:rFonts w:ascii="Times New Roman" w:hAnsi="Times New Roman" w:cs="Times New Roman" w:eastAsia="Times New Roman" w:hint="default"/>
          <w:spacing w:val="8"/>
        </w:rPr>
        <w:t> </w:t>
      </w:r>
      <w:r>
        <w:rPr>
          <w:spacing w:val="-3"/>
        </w:rPr>
        <w:t>名，具体如下：</w:t>
      </w:r>
    </w:p>
    <w:p>
      <w:pPr>
        <w:spacing w:line="240" w:lineRule="auto" w:before="12"/>
        <w:rPr>
          <w:rFonts w:ascii="宋体" w:hAnsi="宋体" w:cs="宋体" w:eastAsia="宋体" w:hint="default"/>
          <w:sz w:val="16"/>
          <w:szCs w:val="16"/>
        </w:rPr>
      </w:pPr>
    </w:p>
    <w:p>
      <w:pPr>
        <w:pStyle w:val="BodyText"/>
        <w:spacing w:line="448" w:lineRule="auto"/>
        <w:ind w:right="1171" w:firstLine="360"/>
        <w:jc w:val="left"/>
      </w:pPr>
      <w:r>
        <w:rPr/>
        <w:t>陈向军先生，公司董事长，中国籍，</w:t>
      </w:r>
      <w:r>
        <w:rPr>
          <w:rFonts w:ascii="Times New Roman" w:hAnsi="Times New Roman" w:cs="Times New Roman" w:eastAsia="Times New Roman" w:hint="default"/>
        </w:rPr>
        <w:t>1964</w:t>
      </w:r>
      <w:r>
        <w:rPr>
          <w:rFonts w:ascii="Times New Roman" w:hAnsi="Times New Roman" w:cs="Times New Roman" w:eastAsia="Times New Roman" w:hint="default"/>
          <w:spacing w:val="1"/>
        </w:rPr>
        <w:t> </w:t>
      </w:r>
      <w:r>
        <w:rPr/>
        <w:t>年出生，研究生学历。</w:t>
      </w:r>
      <w:r>
        <w:rPr>
          <w:rFonts w:ascii="Times New Roman" w:hAnsi="Times New Roman" w:cs="Times New Roman" w:eastAsia="Times New Roman" w:hint="default"/>
        </w:rPr>
        <w:t>2007</w:t>
      </w:r>
      <w:r>
        <w:rPr>
          <w:rFonts w:ascii="Times New Roman" w:hAnsi="Times New Roman" w:cs="Times New Roman" w:eastAsia="Times New Roman" w:hint="default"/>
          <w:spacing w:val="1"/>
        </w:rPr>
        <w:t> </w:t>
      </w:r>
      <w:r>
        <w:rPr/>
        <w:t>年</w:t>
      </w:r>
      <w:r>
        <w:rPr>
          <w:spacing w:val="-50"/>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月至今任公司董事长，</w:t>
      </w: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w:t>
      </w:r>
      <w:r>
        <w:rPr>
          <w:spacing w:val="-44"/>
        </w:rPr>
        <w:t> </w:t>
      </w:r>
      <w:r>
        <w:rPr>
          <w:rFonts w:ascii="Times New Roman" w:hAnsi="Times New Roman" w:cs="Times New Roman" w:eastAsia="Times New Roman" w:hint="default"/>
        </w:rPr>
        <w:t>7</w:t>
      </w:r>
      <w:r>
        <w:rPr>
          <w:rFonts w:ascii="Times New Roman" w:hAnsi="Times New Roman" w:cs="Times New Roman" w:eastAsia="Times New Roman" w:hint="default"/>
          <w:spacing w:val="-5"/>
        </w:rPr>
        <w:t> </w:t>
      </w:r>
      <w:r>
        <w:rPr/>
        <w:t>月起任公</w:t>
      </w:r>
      <w:r>
        <w:rPr>
          <w:w w:val="101"/>
        </w:rPr>
        <w:t> </w:t>
      </w:r>
      <w:r>
        <w:rPr/>
        <w:t>司参股公司华道征信董事长，</w:t>
      </w:r>
      <w:r>
        <w:rPr>
          <w:rFonts w:ascii="Times New Roman" w:hAnsi="Times New Roman" w:cs="Times New Roman" w:eastAsia="Times New Roman" w:hint="default"/>
        </w:rPr>
        <w:t>2018 </w:t>
      </w:r>
      <w:r>
        <w:rPr/>
        <w:t>年 </w:t>
      </w:r>
      <w:r>
        <w:rPr>
          <w:rFonts w:ascii="Times New Roman" w:hAnsi="Times New Roman" w:cs="Times New Roman" w:eastAsia="Times New Roman" w:hint="default"/>
        </w:rPr>
        <w:t>3</w:t>
      </w:r>
      <w:r>
        <w:rPr>
          <w:rFonts w:ascii="Times New Roman" w:hAnsi="Times New Roman" w:cs="Times New Roman" w:eastAsia="Times New Roman" w:hint="default"/>
          <w:spacing w:val="5"/>
        </w:rPr>
        <w:t> </w:t>
      </w:r>
      <w:r>
        <w:rPr>
          <w:spacing w:val="-3"/>
        </w:rPr>
        <w:t>月至今任公司参股公司百行征信董事。</w:t>
      </w:r>
    </w:p>
    <w:p>
      <w:pPr>
        <w:pStyle w:val="BodyText"/>
        <w:spacing w:line="240" w:lineRule="auto" w:before="48"/>
        <w:ind w:left="513" w:right="0"/>
        <w:jc w:val="left"/>
      </w:pPr>
      <w:r>
        <w:rPr/>
        <w:t>李军先生，公司董事、总经理，中国籍，</w:t>
      </w:r>
      <w:r>
        <w:rPr>
          <w:rFonts w:ascii="Times New Roman" w:hAnsi="Times New Roman" w:cs="Times New Roman" w:eastAsia="Times New Roman" w:hint="default"/>
        </w:rPr>
        <w:t>1970 </w:t>
      </w:r>
      <w:r>
        <w:rPr/>
        <w:t>年出生，研究生学历。</w:t>
      </w:r>
      <w:r>
        <w:rPr>
          <w:rFonts w:ascii="Times New Roman" w:hAnsi="Times New Roman" w:cs="Times New Roman" w:eastAsia="Times New Roman" w:hint="default"/>
        </w:rPr>
        <w:t>2007 </w:t>
      </w:r>
      <w:r>
        <w:rPr/>
        <w:t>年 </w:t>
      </w:r>
      <w:r>
        <w:rPr>
          <w:rFonts w:ascii="Times New Roman" w:hAnsi="Times New Roman" w:cs="Times New Roman" w:eastAsia="Times New Roman" w:hint="default"/>
        </w:rPr>
        <w:t>12 </w:t>
      </w:r>
      <w:r>
        <w:rPr>
          <w:spacing w:val="-3"/>
        </w:rPr>
        <w:t>月至今任公司董事、总经理，</w:t>
      </w:r>
      <w:r>
        <w:rPr>
          <w:rFonts w:ascii="Times New Roman" w:hAnsi="Times New Roman" w:cs="Times New Roman" w:eastAsia="Times New Roman" w:hint="default"/>
          <w:spacing w:val="-3"/>
        </w:rPr>
        <w:t>2013</w:t>
      </w:r>
      <w:r>
        <w:rPr>
          <w:rFonts w:ascii="Times New Roman" w:hAnsi="Times New Roman" w:cs="Times New Roman" w:eastAsia="Times New Roman" w:hint="default"/>
          <w:spacing w:val="7"/>
        </w:rPr>
        <w:t> </w:t>
      </w:r>
      <w:r>
        <w:rPr/>
        <w:t>年</w:t>
      </w:r>
    </w:p>
    <w:p>
      <w:pPr>
        <w:spacing w:line="240" w:lineRule="auto" w:before="7"/>
        <w:rPr>
          <w:rFonts w:ascii="宋体" w:hAnsi="宋体" w:cs="宋体" w:eastAsia="宋体" w:hint="default"/>
          <w:sz w:val="16"/>
          <w:szCs w:val="16"/>
        </w:rPr>
      </w:pPr>
    </w:p>
    <w:p>
      <w:pPr>
        <w:pStyle w:val="BodyText"/>
        <w:spacing w:line="240" w:lineRule="auto"/>
        <w:ind w:right="0"/>
        <w:jc w:val="left"/>
      </w:pPr>
      <w:r>
        <w:rPr>
          <w:rFonts w:ascii="Times New Roman" w:hAnsi="Times New Roman" w:cs="Times New Roman" w:eastAsia="Times New Roman" w:hint="default"/>
        </w:rPr>
        <w:t>12 </w:t>
      </w:r>
      <w:r>
        <w:rPr>
          <w:rFonts w:ascii="Times New Roman" w:hAnsi="Times New Roman" w:cs="Times New Roman" w:eastAsia="Times New Roman" w:hint="default"/>
          <w:spacing w:val="7"/>
        </w:rPr>
        <w:t> </w:t>
      </w:r>
      <w:r>
        <w:rPr>
          <w:spacing w:val="-3"/>
        </w:rPr>
        <w:t>月至今任公司参股公司华道征信董事。</w:t>
      </w:r>
    </w:p>
    <w:p>
      <w:pPr>
        <w:spacing w:line="240" w:lineRule="auto" w:before="12"/>
        <w:rPr>
          <w:rFonts w:ascii="宋体" w:hAnsi="宋体" w:cs="宋体" w:eastAsia="宋体" w:hint="default"/>
          <w:sz w:val="16"/>
          <w:szCs w:val="16"/>
        </w:rPr>
      </w:pPr>
    </w:p>
    <w:p>
      <w:pPr>
        <w:pStyle w:val="BodyText"/>
        <w:spacing w:line="448" w:lineRule="auto"/>
        <w:ind w:left="513" w:right="1115"/>
        <w:jc w:val="left"/>
      </w:pPr>
      <w:r>
        <w:rPr/>
        <w:t>张学君女士，公司董事，中国籍，</w:t>
      </w:r>
      <w:r>
        <w:rPr>
          <w:rFonts w:ascii="Times New Roman" w:hAnsi="Times New Roman" w:cs="Times New Roman" w:eastAsia="Times New Roman" w:hint="default"/>
        </w:rPr>
        <w:t>1940</w:t>
      </w:r>
      <w:r>
        <w:rPr>
          <w:rFonts w:ascii="Times New Roman" w:hAnsi="Times New Roman" w:cs="Times New Roman" w:eastAsia="Times New Roman" w:hint="default"/>
          <w:spacing w:val="-6"/>
        </w:rPr>
        <w:t> </w:t>
      </w:r>
      <w:r>
        <w:rPr/>
        <w:t>年出生，大专学历。</w:t>
      </w:r>
      <w:r>
        <w:rPr>
          <w:rFonts w:ascii="Times New Roman" w:hAnsi="Times New Roman" w:cs="Times New Roman" w:eastAsia="Times New Roman" w:hint="default"/>
        </w:rPr>
        <w:t>2000</w:t>
      </w:r>
      <w:r>
        <w:rPr>
          <w:rFonts w:ascii="Times New Roman" w:hAnsi="Times New Roman" w:cs="Times New Roman" w:eastAsia="Times New Roman" w:hint="default"/>
          <w:spacing w:val="-2"/>
        </w:rPr>
        <w:t> </w:t>
      </w:r>
      <w:r>
        <w:rPr/>
        <w:t>年</w:t>
      </w:r>
      <w:r>
        <w:rPr>
          <w:spacing w:val="-47"/>
        </w:rPr>
        <w:t> </w:t>
      </w:r>
      <w:r>
        <w:rPr>
          <w:rFonts w:ascii="Times New Roman" w:hAnsi="Times New Roman" w:cs="Times New Roman" w:eastAsia="Times New Roman" w:hint="default"/>
        </w:rPr>
        <w:t>9</w:t>
      </w:r>
      <w:r>
        <w:rPr>
          <w:rFonts w:ascii="Times New Roman" w:hAnsi="Times New Roman" w:cs="Times New Roman" w:eastAsia="Times New Roman" w:hint="default"/>
          <w:spacing w:val="-2"/>
        </w:rPr>
        <w:t> </w:t>
      </w:r>
      <w:r>
        <w:rPr>
          <w:spacing w:val="-3"/>
        </w:rPr>
        <w:t>月至今任公司董事。</w:t>
      </w:r>
      <w:r>
        <w:rPr>
          <w:spacing w:val="-54"/>
        </w:rPr>
        <w:t> </w:t>
      </w:r>
      <w:r>
        <w:rPr>
          <w:spacing w:val="-54"/>
        </w:rPr>
      </w:r>
      <w:r>
        <w:rPr>
          <w:spacing w:val="-5"/>
        </w:rPr>
        <w:t>何晔女士，公司董事，中国籍，</w:t>
      </w:r>
      <w:r>
        <w:rPr>
          <w:rFonts w:ascii="Times New Roman" w:hAnsi="Times New Roman" w:cs="Times New Roman" w:eastAsia="Times New Roman" w:hint="default"/>
          <w:spacing w:val="-5"/>
        </w:rPr>
        <w:t>1970 </w:t>
      </w:r>
      <w:r>
        <w:rPr>
          <w:spacing w:val="-4"/>
        </w:rPr>
        <w:t>年出生，本科学历。</w:t>
      </w:r>
      <w:r>
        <w:rPr>
          <w:rFonts w:ascii="Times New Roman" w:hAnsi="Times New Roman" w:cs="Times New Roman" w:eastAsia="Times New Roman" w:hint="default"/>
          <w:spacing w:val="-4"/>
        </w:rPr>
        <w:t>2001 </w:t>
      </w:r>
      <w:r>
        <w:rPr/>
        <w:t>年 </w:t>
      </w:r>
      <w:r>
        <w:rPr>
          <w:rFonts w:ascii="Times New Roman" w:hAnsi="Times New Roman" w:cs="Times New Roman" w:eastAsia="Times New Roman" w:hint="default"/>
        </w:rPr>
        <w:t>4 </w:t>
      </w:r>
      <w:r>
        <w:rPr/>
        <w:t>月至 </w:t>
      </w:r>
      <w:r>
        <w:rPr>
          <w:rFonts w:ascii="Times New Roman" w:hAnsi="Times New Roman" w:cs="Times New Roman" w:eastAsia="Times New Roman" w:hint="default"/>
        </w:rPr>
        <w:t>2010 </w:t>
      </w:r>
      <w:r>
        <w:rPr/>
        <w:t>年 </w:t>
      </w:r>
      <w:r>
        <w:rPr>
          <w:rFonts w:ascii="Times New Roman" w:hAnsi="Times New Roman" w:cs="Times New Roman" w:eastAsia="Times New Roman" w:hint="default"/>
        </w:rPr>
        <w:t>3</w:t>
      </w:r>
      <w:r>
        <w:rPr>
          <w:rFonts w:ascii="Times New Roman" w:hAnsi="Times New Roman" w:cs="Times New Roman" w:eastAsia="Times New Roman" w:hint="default"/>
          <w:spacing w:val="-4"/>
        </w:rPr>
        <w:t> </w:t>
      </w:r>
      <w:r>
        <w:rPr>
          <w:spacing w:val="-4"/>
        </w:rPr>
        <w:t>月在联合证券有限责任公司（华泰联</w:t>
      </w:r>
    </w:p>
    <w:p>
      <w:pPr>
        <w:pStyle w:val="BodyText"/>
        <w:spacing w:line="240" w:lineRule="auto" w:before="48"/>
        <w:ind w:right="0"/>
        <w:jc w:val="left"/>
      </w:pPr>
      <w:r>
        <w:rPr>
          <w:spacing w:val="-8"/>
        </w:rPr>
        <w:t>合证券有限责任公司）工作，历任计划财务部职员、基金业务小组组长助理、销售交易部总经理助理、销售交易部副总经理。</w:t>
      </w:r>
    </w:p>
    <w:p>
      <w:pPr>
        <w:spacing w:line="240" w:lineRule="auto" w:before="8"/>
        <w:rPr>
          <w:rFonts w:ascii="宋体" w:hAnsi="宋体" w:cs="宋体" w:eastAsia="宋体" w:hint="default"/>
          <w:sz w:val="17"/>
          <w:szCs w:val="17"/>
        </w:rPr>
      </w:pPr>
    </w:p>
    <w:p>
      <w:pPr>
        <w:pStyle w:val="BodyText"/>
        <w:spacing w:line="240" w:lineRule="auto"/>
        <w:ind w:right="0"/>
        <w:jc w:val="left"/>
      </w:pPr>
      <w:r>
        <w:rPr>
          <w:rFonts w:ascii="Times New Roman" w:hAnsi="Times New Roman" w:cs="Times New Roman" w:eastAsia="Times New Roman" w:hint="default"/>
        </w:rPr>
        <w:t>2007 </w:t>
      </w:r>
      <w:r>
        <w:rPr/>
        <w:t>年 </w:t>
      </w:r>
      <w:r>
        <w:rPr>
          <w:rFonts w:ascii="Times New Roman" w:hAnsi="Times New Roman" w:cs="Times New Roman" w:eastAsia="Times New Roman" w:hint="default"/>
        </w:rPr>
        <w:t>12</w:t>
      </w:r>
      <w:r>
        <w:rPr>
          <w:rFonts w:ascii="Times New Roman" w:hAnsi="Times New Roman" w:cs="Times New Roman" w:eastAsia="Times New Roman" w:hint="default"/>
          <w:spacing w:val="-13"/>
        </w:rPr>
        <w:t> </w:t>
      </w:r>
      <w:r>
        <w:rPr>
          <w:spacing w:val="-3"/>
        </w:rPr>
        <w:t>月至今任公司董事。</w:t>
      </w:r>
    </w:p>
    <w:p>
      <w:pPr>
        <w:spacing w:line="240" w:lineRule="auto" w:before="12"/>
        <w:rPr>
          <w:rFonts w:ascii="宋体" w:hAnsi="宋体" w:cs="宋体" w:eastAsia="宋体" w:hint="default"/>
          <w:sz w:val="16"/>
          <w:szCs w:val="16"/>
        </w:rPr>
      </w:pPr>
    </w:p>
    <w:p>
      <w:pPr>
        <w:pStyle w:val="BodyText"/>
        <w:spacing w:line="240" w:lineRule="auto"/>
        <w:ind w:left="513" w:right="0"/>
        <w:jc w:val="left"/>
      </w:pPr>
      <w:r>
        <w:rPr>
          <w:spacing w:val="-5"/>
        </w:rPr>
        <w:t>郑学定先生，公司独立董事，中国籍，</w:t>
      </w:r>
      <w:r>
        <w:rPr>
          <w:rFonts w:ascii="Times New Roman" w:hAnsi="Times New Roman" w:cs="Times New Roman" w:eastAsia="Times New Roman" w:hint="default"/>
          <w:spacing w:val="-5"/>
        </w:rPr>
        <w:t>1963 </w:t>
      </w:r>
      <w:r>
        <w:rPr>
          <w:spacing w:val="-5"/>
        </w:rPr>
        <w:t>年出生，研究生学历。</w:t>
      </w:r>
      <w:r>
        <w:rPr>
          <w:rFonts w:ascii="Times New Roman" w:hAnsi="Times New Roman" w:cs="Times New Roman" w:eastAsia="Times New Roman" w:hint="default"/>
          <w:spacing w:val="-5"/>
        </w:rPr>
        <w:t>1991 </w:t>
      </w:r>
      <w:r>
        <w:rPr/>
        <w:t>年 </w:t>
      </w:r>
      <w:r>
        <w:rPr>
          <w:rFonts w:ascii="Times New Roman" w:hAnsi="Times New Roman" w:cs="Times New Roman" w:eastAsia="Times New Roman" w:hint="default"/>
        </w:rPr>
        <w:t>12 </w:t>
      </w:r>
      <w:r>
        <w:rPr/>
        <w:t>月至 </w:t>
      </w:r>
      <w:r>
        <w:rPr>
          <w:rFonts w:ascii="Times New Roman" w:hAnsi="Times New Roman" w:cs="Times New Roman" w:eastAsia="Times New Roman" w:hint="default"/>
        </w:rPr>
        <w:t>2005 </w:t>
      </w:r>
      <w:r>
        <w:rPr/>
        <w:t>年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spacing w:val="-3"/>
        </w:rPr>
        <w:t>月任深圳市注册会计师协</w:t>
      </w:r>
    </w:p>
    <w:p>
      <w:pPr>
        <w:spacing w:line="240" w:lineRule="auto" w:before="7"/>
        <w:rPr>
          <w:rFonts w:ascii="宋体" w:hAnsi="宋体" w:cs="宋体" w:eastAsia="宋体" w:hint="default"/>
          <w:sz w:val="16"/>
          <w:szCs w:val="16"/>
        </w:rPr>
      </w:pPr>
    </w:p>
    <w:p>
      <w:pPr>
        <w:pStyle w:val="BodyText"/>
        <w:spacing w:line="453" w:lineRule="auto"/>
        <w:ind w:right="0"/>
        <w:jc w:val="left"/>
      </w:pPr>
      <w:r>
        <w:rPr/>
        <w:t>会副秘书长、秘书长，</w:t>
      </w:r>
      <w:r>
        <w:rPr>
          <w:rFonts w:ascii="Times New Roman" w:hAnsi="Times New Roman" w:cs="Times New Roman" w:eastAsia="Times New Roman" w:hint="default"/>
        </w:rPr>
        <w:t>2006</w:t>
      </w:r>
      <w:r>
        <w:rPr>
          <w:rFonts w:ascii="Times New Roman" w:hAnsi="Times New Roman" w:cs="Times New Roman" w:eastAsia="Times New Roman" w:hint="default"/>
          <w:spacing w:val="9"/>
        </w:rPr>
        <w:t> </w:t>
      </w:r>
      <w:r>
        <w:rPr/>
        <w:t>年</w:t>
      </w:r>
      <w:r>
        <w:rPr>
          <w:spacing w:val="-36"/>
        </w:rPr>
        <w:t> </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t>月至</w:t>
      </w:r>
      <w:r>
        <w:rPr>
          <w:spacing w:val="-43"/>
        </w:rPr>
        <w:t> </w:t>
      </w:r>
      <w:r>
        <w:rPr>
          <w:rFonts w:ascii="Times New Roman" w:hAnsi="Times New Roman" w:cs="Times New Roman" w:eastAsia="Times New Roman" w:hint="default"/>
        </w:rPr>
        <w:t>2011</w:t>
      </w:r>
      <w:r>
        <w:rPr>
          <w:rFonts w:ascii="Times New Roman" w:hAnsi="Times New Roman" w:cs="Times New Roman" w:eastAsia="Times New Roman" w:hint="default"/>
          <w:spacing w:val="2"/>
        </w:rPr>
        <w:t> </w:t>
      </w:r>
      <w:r>
        <w:rPr/>
        <w:t>年</w:t>
      </w:r>
      <w:r>
        <w:rPr>
          <w:spacing w:val="-36"/>
        </w:rPr>
        <w:t> </w:t>
      </w:r>
      <w:r>
        <w:rPr>
          <w:rFonts w:ascii="Times New Roman" w:hAnsi="Times New Roman" w:cs="Times New Roman" w:eastAsia="Times New Roman" w:hint="default"/>
        </w:rPr>
        <w:t>12</w:t>
      </w:r>
      <w:r>
        <w:rPr>
          <w:rFonts w:ascii="Times New Roman" w:hAnsi="Times New Roman" w:cs="Times New Roman" w:eastAsia="Times New Roman" w:hint="default"/>
          <w:spacing w:val="9"/>
        </w:rPr>
        <w:t> </w:t>
      </w:r>
      <w:r>
        <w:rPr>
          <w:spacing w:val="-3"/>
        </w:rPr>
        <w:t>月任开元信德会计师事务所合伙人，</w:t>
      </w:r>
      <w:r>
        <w:rPr>
          <w:rFonts w:ascii="Times New Roman" w:hAnsi="Times New Roman" w:cs="Times New Roman" w:eastAsia="Times New Roman" w:hint="default"/>
          <w:spacing w:val="-3"/>
        </w:rPr>
        <w:t>2012</w:t>
      </w:r>
      <w:r>
        <w:rPr>
          <w:rFonts w:ascii="Times New Roman" w:hAnsi="Times New Roman" w:cs="Times New Roman" w:eastAsia="Times New Roman" w:hint="default"/>
          <w:spacing w:val="9"/>
        </w:rPr>
        <w:t> </w:t>
      </w:r>
      <w:r>
        <w:rPr/>
        <w:t>年</w:t>
      </w:r>
      <w:r>
        <w:rPr>
          <w:spacing w:val="-36"/>
        </w:rPr>
        <w:t> </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spacing w:val="-3"/>
        </w:rPr>
        <w:t>月至今任大华会计师事务所</w:t>
      </w:r>
      <w:r>
        <w:rPr>
          <w:spacing w:val="-86"/>
        </w:rPr>
        <w:t> </w:t>
      </w:r>
      <w:r>
        <w:rPr>
          <w:spacing w:val="-86"/>
        </w:rPr>
      </w:r>
      <w:r>
        <w:rPr>
          <w:spacing w:val="-3"/>
        </w:rPr>
        <w:t>合伙人。深圳市第六届人民代表大会代表、人大常委。</w:t>
      </w:r>
      <w:r>
        <w:rPr>
          <w:rFonts w:ascii="Times New Roman" w:hAnsi="Times New Roman" w:cs="Times New Roman" w:eastAsia="Times New Roman" w:hint="default"/>
          <w:spacing w:val="-3"/>
        </w:rPr>
        <w:t>2014  </w:t>
      </w:r>
      <w:r>
        <w:rPr/>
        <w:t>年 </w:t>
      </w:r>
      <w:r>
        <w:rPr>
          <w:rFonts w:ascii="Times New Roman" w:hAnsi="Times New Roman" w:cs="Times New Roman" w:eastAsia="Times New Roman" w:hint="default"/>
        </w:rPr>
        <w:t>4</w:t>
      </w:r>
      <w:r>
        <w:rPr>
          <w:rFonts w:ascii="Times New Roman" w:hAnsi="Times New Roman" w:cs="Times New Roman" w:eastAsia="Times New Roman" w:hint="default"/>
          <w:spacing w:val="29"/>
        </w:rPr>
        <w:t> </w:t>
      </w:r>
      <w:r>
        <w:rPr>
          <w:spacing w:val="-3"/>
        </w:rPr>
        <w:t>月至今任公司独立董事。</w:t>
      </w:r>
    </w:p>
    <w:p>
      <w:pPr>
        <w:pStyle w:val="BodyText"/>
        <w:spacing w:line="453" w:lineRule="auto" w:before="39"/>
        <w:ind w:right="1129" w:firstLine="360"/>
        <w:jc w:val="left"/>
      </w:pPr>
      <w:r>
        <w:rPr/>
        <w:t>郭斐先生，公司独立董事，中国籍，</w:t>
      </w:r>
      <w:r>
        <w:rPr>
          <w:rFonts w:ascii="Times New Roman" w:hAnsi="Times New Roman" w:cs="Times New Roman" w:eastAsia="Times New Roman" w:hint="default"/>
        </w:rPr>
        <w:t>1966 </w:t>
      </w:r>
      <w:r>
        <w:rPr/>
        <w:t>年出生，本科学历。</w:t>
      </w:r>
      <w:r>
        <w:rPr>
          <w:rFonts w:ascii="Times New Roman" w:hAnsi="Times New Roman" w:cs="Times New Roman" w:eastAsia="Times New Roman" w:hint="default"/>
        </w:rPr>
        <w:t>2007 </w:t>
      </w:r>
      <w:r>
        <w:rPr/>
        <w:t>年 </w:t>
      </w:r>
      <w:r>
        <w:rPr>
          <w:rFonts w:ascii="Times New Roman" w:hAnsi="Times New Roman" w:cs="Times New Roman" w:eastAsia="Times New Roman" w:hint="default"/>
        </w:rPr>
        <w:t>9</w:t>
      </w:r>
      <w:r>
        <w:rPr>
          <w:rFonts w:ascii="Times New Roman" w:hAnsi="Times New Roman" w:cs="Times New Roman" w:eastAsia="Times New Roman" w:hint="default"/>
          <w:spacing w:val="7"/>
        </w:rPr>
        <w:t> </w:t>
      </w:r>
      <w:r>
        <w:rPr>
          <w:spacing w:val="-3"/>
        </w:rPr>
        <w:t>月至今任北京大成（深圳）律师事务所律师、</w:t>
      </w:r>
      <w:r>
        <w:rPr>
          <w:w w:val="101"/>
        </w:rPr>
        <w:t> </w:t>
      </w:r>
      <w:r>
        <w:rPr/>
        <w:t>高级合伙人。</w:t>
      </w:r>
      <w:r>
        <w:rPr>
          <w:rFonts w:ascii="Times New Roman" w:hAnsi="Times New Roman" w:cs="Times New Roman" w:eastAsia="Times New Roman" w:hint="default"/>
        </w:rPr>
        <w:t>2014 </w:t>
      </w:r>
      <w:r>
        <w:rPr/>
        <w:t>年 </w:t>
      </w:r>
      <w:r>
        <w:rPr>
          <w:rFonts w:ascii="Times New Roman" w:hAnsi="Times New Roman" w:cs="Times New Roman" w:eastAsia="Times New Roman" w:hint="default"/>
        </w:rPr>
        <w:t>4</w:t>
      </w:r>
      <w:r>
        <w:rPr>
          <w:rFonts w:ascii="Times New Roman" w:hAnsi="Times New Roman" w:cs="Times New Roman" w:eastAsia="Times New Roman" w:hint="default"/>
          <w:spacing w:val="-9"/>
        </w:rPr>
        <w:t> </w:t>
      </w:r>
      <w:r>
        <w:rPr>
          <w:spacing w:val="-3"/>
        </w:rPr>
        <w:t>月至今任公司独立董事。</w:t>
      </w:r>
    </w:p>
    <w:p>
      <w:pPr>
        <w:pStyle w:val="BodyText"/>
        <w:spacing w:line="240" w:lineRule="auto" w:before="39"/>
        <w:ind w:left="513" w:right="0"/>
        <w:jc w:val="left"/>
        <w:rPr>
          <w:rFonts w:ascii="Times New Roman" w:hAnsi="Times New Roman" w:cs="Times New Roman" w:eastAsia="Times New Roman" w:hint="default"/>
        </w:rPr>
      </w:pPr>
      <w:r>
        <w:rPr>
          <w:spacing w:val="-9"/>
        </w:rPr>
        <w:t>何剑先生，公司独立董事，中国籍，</w:t>
      </w:r>
      <w:r>
        <w:rPr>
          <w:rFonts w:ascii="Times New Roman" w:hAnsi="Times New Roman" w:cs="Times New Roman" w:eastAsia="Times New Roman" w:hint="default"/>
          <w:spacing w:val="-9"/>
        </w:rPr>
        <w:t>1969  </w:t>
      </w:r>
      <w:r>
        <w:rPr>
          <w:spacing w:val="-8"/>
        </w:rPr>
        <w:t>年出生，研究生学历。</w:t>
      </w:r>
      <w:r>
        <w:rPr>
          <w:rFonts w:ascii="Times New Roman" w:hAnsi="Times New Roman" w:cs="Times New Roman" w:eastAsia="Times New Roman" w:hint="default"/>
          <w:spacing w:val="-8"/>
        </w:rPr>
        <w:t>2009  </w:t>
      </w:r>
      <w:r>
        <w:rPr/>
        <w:t>年至 </w:t>
      </w:r>
      <w:r>
        <w:rPr>
          <w:rFonts w:ascii="Times New Roman" w:hAnsi="Times New Roman" w:cs="Times New Roman" w:eastAsia="Times New Roman" w:hint="default"/>
        </w:rPr>
        <w:t>2011</w:t>
      </w:r>
      <w:r>
        <w:rPr>
          <w:rFonts w:ascii="Times New Roman" w:hAnsi="Times New Roman" w:cs="Times New Roman" w:eastAsia="Times New Roman" w:hint="default"/>
          <w:spacing w:val="29"/>
        </w:rPr>
        <w:t> </w:t>
      </w:r>
      <w:r>
        <w:rPr>
          <w:spacing w:val="-5"/>
        </w:rPr>
        <w:t>年任江苏久禧实业有限公司董事长，</w:t>
      </w:r>
      <w:r>
        <w:rPr>
          <w:rFonts w:ascii="Times New Roman" w:hAnsi="Times New Roman" w:cs="Times New Roman" w:eastAsia="Times New Roman" w:hint="default"/>
          <w:spacing w:val="-5"/>
        </w:rPr>
        <w:t>2011</w:t>
      </w:r>
    </w:p>
    <w:p>
      <w:pPr>
        <w:spacing w:after="0" w:line="240" w:lineRule="auto"/>
        <w:jc w:val="left"/>
        <w:rPr>
          <w:rFonts w:ascii="Times New Roman" w:hAnsi="Times New Roman" w:cs="Times New Roman" w:eastAsia="Times New Roman" w:hint="default"/>
        </w:rPr>
        <w:sectPr>
          <w:pgSz w:w="11910" w:h="16840"/>
          <w:pgMar w:header="871" w:footer="1186" w:top="1100" w:bottom="13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5"/>
          <w:szCs w:val="15"/>
        </w:rPr>
      </w:pPr>
    </w:p>
    <w:p>
      <w:pPr>
        <w:pStyle w:val="BodyText"/>
        <w:spacing w:line="240" w:lineRule="auto"/>
        <w:ind w:right="0"/>
        <w:jc w:val="both"/>
      </w:pPr>
      <w:r>
        <w:rPr>
          <w:w w:val="101"/>
        </w:rPr>
        <w:t>年至</w:t>
      </w:r>
      <w:r>
        <w:rPr>
          <w:spacing w:val="-47"/>
        </w:rPr>
        <w:t> </w:t>
      </w:r>
      <w:r>
        <w:rPr>
          <w:rFonts w:ascii="Times New Roman" w:hAnsi="Times New Roman" w:cs="Times New Roman" w:eastAsia="Times New Roman" w:hint="default"/>
          <w:w w:val="101"/>
        </w:rPr>
        <w:t>2012</w:t>
      </w:r>
      <w:r>
        <w:rPr>
          <w:rFonts w:ascii="Times New Roman" w:hAnsi="Times New Roman" w:cs="Times New Roman" w:eastAsia="Times New Roman" w:hint="default"/>
          <w:spacing w:val="-7"/>
        </w:rPr>
        <w:t> </w:t>
      </w:r>
      <w:r>
        <w:rPr>
          <w:w w:val="101"/>
        </w:rPr>
        <w:t>年</w:t>
      </w:r>
      <w:r>
        <w:rPr>
          <w:spacing w:val="-5"/>
          <w:w w:val="101"/>
        </w:rPr>
        <w:t>任</w:t>
      </w:r>
      <w:r>
        <w:rPr>
          <w:w w:val="101"/>
        </w:rPr>
        <w:t>北</w:t>
      </w:r>
      <w:r>
        <w:rPr>
          <w:spacing w:val="-5"/>
          <w:w w:val="101"/>
        </w:rPr>
        <w:t>京</w:t>
      </w:r>
      <w:r>
        <w:rPr>
          <w:w w:val="101"/>
        </w:rPr>
        <w:t>久</w:t>
      </w:r>
      <w:r>
        <w:rPr>
          <w:spacing w:val="-5"/>
          <w:w w:val="101"/>
        </w:rPr>
        <w:t>禧</w:t>
      </w:r>
      <w:r>
        <w:rPr>
          <w:w w:val="101"/>
        </w:rPr>
        <w:t>康</w:t>
      </w:r>
      <w:r>
        <w:rPr>
          <w:spacing w:val="-5"/>
          <w:w w:val="101"/>
        </w:rPr>
        <w:t>源</w:t>
      </w:r>
      <w:r>
        <w:rPr>
          <w:w w:val="101"/>
        </w:rPr>
        <w:t>投</w:t>
      </w:r>
      <w:r>
        <w:rPr>
          <w:spacing w:val="-5"/>
          <w:w w:val="101"/>
        </w:rPr>
        <w:t>资</w:t>
      </w:r>
      <w:r>
        <w:rPr>
          <w:w w:val="101"/>
        </w:rPr>
        <w:t>管</w:t>
      </w:r>
      <w:r>
        <w:rPr>
          <w:spacing w:val="-5"/>
          <w:w w:val="101"/>
        </w:rPr>
        <w:t>理</w:t>
      </w:r>
      <w:r>
        <w:rPr>
          <w:w w:val="101"/>
        </w:rPr>
        <w:t>有</w:t>
      </w:r>
      <w:r>
        <w:rPr>
          <w:spacing w:val="-5"/>
          <w:w w:val="101"/>
        </w:rPr>
        <w:t>限</w:t>
      </w:r>
      <w:r>
        <w:rPr>
          <w:w w:val="101"/>
        </w:rPr>
        <w:t>公</w:t>
      </w:r>
      <w:r>
        <w:rPr>
          <w:spacing w:val="-5"/>
          <w:w w:val="101"/>
        </w:rPr>
        <w:t>司</w:t>
      </w:r>
      <w:r>
        <w:rPr>
          <w:w w:val="101"/>
        </w:rPr>
        <w:t>董</w:t>
      </w:r>
      <w:r>
        <w:rPr>
          <w:spacing w:val="-5"/>
          <w:w w:val="101"/>
        </w:rPr>
        <w:t>事</w:t>
      </w:r>
      <w:r>
        <w:rPr>
          <w:w w:val="101"/>
        </w:rPr>
        <w:t>长</w:t>
      </w:r>
      <w:r>
        <w:rPr>
          <w:spacing w:val="-77"/>
          <w:w w:val="101"/>
        </w:rPr>
        <w:t>、</w:t>
      </w:r>
      <w:r>
        <w:rPr>
          <w:w w:val="101"/>
        </w:rPr>
        <w:t>总</w:t>
      </w:r>
      <w:r>
        <w:rPr>
          <w:spacing w:val="-5"/>
          <w:w w:val="101"/>
        </w:rPr>
        <w:t>经理</w:t>
      </w:r>
      <w:r>
        <w:rPr>
          <w:spacing w:val="-72"/>
          <w:w w:val="101"/>
        </w:rPr>
        <w:t>，</w:t>
      </w:r>
      <w:r>
        <w:rPr>
          <w:rFonts w:ascii="Times New Roman" w:hAnsi="Times New Roman" w:cs="Times New Roman" w:eastAsia="Times New Roman" w:hint="default"/>
          <w:w w:val="101"/>
        </w:rPr>
        <w:t>2013</w:t>
      </w:r>
      <w:r>
        <w:rPr>
          <w:rFonts w:ascii="Times New Roman" w:hAnsi="Times New Roman" w:cs="Times New Roman" w:eastAsia="Times New Roman" w:hint="default"/>
          <w:spacing w:val="-7"/>
        </w:rPr>
        <w:t> </w:t>
      </w:r>
      <w:r>
        <w:rPr>
          <w:w w:val="101"/>
        </w:rPr>
        <w:t>年</w:t>
      </w:r>
      <w:r>
        <w:rPr>
          <w:spacing w:val="-5"/>
          <w:w w:val="101"/>
        </w:rPr>
        <w:t>至</w:t>
      </w:r>
      <w:r>
        <w:rPr>
          <w:w w:val="101"/>
        </w:rPr>
        <w:t>今</w:t>
      </w:r>
      <w:r>
        <w:rPr>
          <w:spacing w:val="-5"/>
          <w:w w:val="101"/>
        </w:rPr>
        <w:t>任</w:t>
      </w:r>
      <w:r>
        <w:rPr>
          <w:w w:val="101"/>
        </w:rPr>
        <w:t>北</w:t>
      </w:r>
      <w:r>
        <w:rPr>
          <w:spacing w:val="-5"/>
          <w:w w:val="101"/>
        </w:rPr>
        <w:t>京</w:t>
      </w:r>
      <w:r>
        <w:rPr>
          <w:w w:val="101"/>
        </w:rPr>
        <w:t>冏</w:t>
      </w:r>
      <w:r>
        <w:rPr>
          <w:spacing w:val="-5"/>
          <w:w w:val="101"/>
        </w:rPr>
        <w:t>鹿</w:t>
      </w:r>
      <w:r>
        <w:rPr>
          <w:w w:val="101"/>
        </w:rPr>
        <w:t>网</w:t>
      </w:r>
      <w:r>
        <w:rPr>
          <w:spacing w:val="-5"/>
          <w:w w:val="101"/>
        </w:rPr>
        <w:t>络</w:t>
      </w:r>
      <w:r>
        <w:rPr>
          <w:w w:val="101"/>
        </w:rPr>
        <w:t>科</w:t>
      </w:r>
      <w:r>
        <w:rPr>
          <w:spacing w:val="-5"/>
          <w:w w:val="101"/>
        </w:rPr>
        <w:t>技</w:t>
      </w:r>
      <w:r>
        <w:rPr>
          <w:w w:val="101"/>
        </w:rPr>
        <w:t>有</w:t>
      </w:r>
      <w:r>
        <w:rPr>
          <w:spacing w:val="-5"/>
          <w:w w:val="101"/>
        </w:rPr>
        <w:t>限</w:t>
      </w:r>
      <w:r>
        <w:rPr>
          <w:w w:val="101"/>
        </w:rPr>
        <w:t>公</w:t>
      </w:r>
      <w:r>
        <w:rPr>
          <w:spacing w:val="-5"/>
          <w:w w:val="101"/>
        </w:rPr>
        <w:t>司</w:t>
      </w:r>
      <w:r>
        <w:rPr>
          <w:w w:val="101"/>
        </w:rPr>
        <w:t>董</w:t>
      </w:r>
      <w:r>
        <w:rPr>
          <w:spacing w:val="-5"/>
          <w:w w:val="101"/>
        </w:rPr>
        <w:t>事</w:t>
      </w:r>
      <w:r>
        <w:rPr>
          <w:w w:val="101"/>
        </w:rPr>
        <w:t>长</w:t>
      </w:r>
      <w:r>
        <w:rPr>
          <w:spacing w:val="-77"/>
          <w:w w:val="101"/>
        </w:rPr>
        <w:t>、</w:t>
      </w:r>
      <w:r>
        <w:rPr>
          <w:w w:val="101"/>
        </w:rPr>
        <w:t>总</w:t>
      </w:r>
      <w:r>
        <w:rPr>
          <w:spacing w:val="-5"/>
          <w:w w:val="101"/>
        </w:rPr>
        <w:t>经</w:t>
      </w:r>
      <w:r>
        <w:rPr>
          <w:w w:val="101"/>
        </w:rPr>
        <w:t>理。</w:t>
      </w:r>
      <w:r>
        <w:rPr/>
      </w:r>
    </w:p>
    <w:p>
      <w:pPr>
        <w:spacing w:line="240" w:lineRule="auto" w:before="7"/>
        <w:rPr>
          <w:rFonts w:ascii="宋体" w:hAnsi="宋体" w:cs="宋体" w:eastAsia="宋体" w:hint="default"/>
          <w:sz w:val="16"/>
          <w:szCs w:val="16"/>
        </w:rPr>
      </w:pPr>
    </w:p>
    <w:p>
      <w:pPr>
        <w:pStyle w:val="BodyText"/>
        <w:spacing w:line="453" w:lineRule="auto"/>
        <w:ind w:left="513" w:right="1116" w:hanging="360"/>
        <w:jc w:val="left"/>
      </w:pP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月至今任公司独立董事。</w:t>
      </w: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spacing w:val="-3"/>
        </w:rPr>
        <w:t>月至今任北京微泡泡商贸有限公司执行董事。</w:t>
      </w:r>
      <w:r>
        <w:rPr>
          <w:spacing w:val="-26"/>
        </w:rPr>
        <w:t> </w:t>
      </w:r>
      <w:r>
        <w:rPr>
          <w:spacing w:val="-26"/>
        </w:rPr>
      </w:r>
      <w:r>
        <w:rPr>
          <w:spacing w:val="-4"/>
        </w:rPr>
        <w:t>刘奕先生，公司董事，中国籍，</w:t>
      </w:r>
      <w:r>
        <w:rPr>
          <w:rFonts w:ascii="Times New Roman" w:hAnsi="Times New Roman" w:cs="Times New Roman" w:eastAsia="Times New Roman" w:hint="default"/>
          <w:spacing w:val="-4"/>
        </w:rPr>
        <w:t>1971  </w:t>
      </w:r>
      <w:r>
        <w:rPr>
          <w:spacing w:val="-4"/>
        </w:rPr>
        <w:t>年出生，研究生学历。</w:t>
      </w:r>
      <w:r>
        <w:rPr>
          <w:rFonts w:ascii="Times New Roman" w:hAnsi="Times New Roman" w:cs="Times New Roman" w:eastAsia="Times New Roman" w:hint="default"/>
          <w:spacing w:val="-4"/>
        </w:rPr>
        <w:t>1998  </w:t>
      </w:r>
      <w:r>
        <w:rPr/>
        <w:t>年 </w:t>
      </w:r>
      <w:r>
        <w:rPr>
          <w:rFonts w:ascii="Times New Roman" w:hAnsi="Times New Roman" w:cs="Times New Roman" w:eastAsia="Times New Roman" w:hint="default"/>
        </w:rPr>
        <w:t>10</w:t>
      </w:r>
      <w:r>
        <w:rPr>
          <w:rFonts w:ascii="Times New Roman" w:hAnsi="Times New Roman" w:cs="Times New Roman" w:eastAsia="Times New Roman" w:hint="default"/>
          <w:spacing w:val="8"/>
        </w:rPr>
        <w:t> </w:t>
      </w:r>
      <w:r>
        <w:rPr>
          <w:spacing w:val="-4"/>
        </w:rPr>
        <w:t>月至今在本公司工作，历任总经理助理、副总经</w:t>
      </w:r>
    </w:p>
    <w:p>
      <w:pPr>
        <w:pStyle w:val="BodyText"/>
        <w:spacing w:line="451" w:lineRule="auto" w:before="39"/>
        <w:ind w:right="1122"/>
        <w:jc w:val="both"/>
      </w:pPr>
      <w:r>
        <w:rPr/>
        <w:t>理。</w:t>
      </w:r>
      <w:r>
        <w:rPr>
          <w:rFonts w:ascii="Times New Roman" w:hAnsi="Times New Roman" w:cs="Times New Roman" w:eastAsia="Times New Roman" w:hint="default"/>
        </w:rPr>
        <w:t>2007</w:t>
      </w:r>
      <w:r>
        <w:rPr>
          <w:rFonts w:ascii="Times New Roman" w:hAnsi="Times New Roman" w:cs="Times New Roman" w:eastAsia="Times New Roman" w:hint="default"/>
          <w:spacing w:val="6"/>
        </w:rPr>
        <w:t> </w:t>
      </w:r>
      <w:r>
        <w:rPr/>
        <w:t>年</w:t>
      </w:r>
      <w:r>
        <w:rPr>
          <w:spacing w:val="-39"/>
        </w:rPr>
        <w:t> </w:t>
      </w:r>
      <w:r>
        <w:rPr>
          <w:rFonts w:ascii="Times New Roman" w:hAnsi="Times New Roman" w:cs="Times New Roman" w:eastAsia="Times New Roman" w:hint="default"/>
        </w:rPr>
        <w:t>12</w:t>
      </w:r>
      <w:r>
        <w:rPr>
          <w:rFonts w:ascii="Times New Roman" w:hAnsi="Times New Roman" w:cs="Times New Roman" w:eastAsia="Times New Roman" w:hint="default"/>
          <w:spacing w:val="6"/>
        </w:rPr>
        <w:t> </w:t>
      </w:r>
      <w:r>
        <w:rPr>
          <w:spacing w:val="-3"/>
        </w:rPr>
        <w:t>月至今任公司副总经理、董事会秘书，</w:t>
      </w:r>
      <w:r>
        <w:rPr>
          <w:rFonts w:ascii="Times New Roman" w:hAnsi="Times New Roman" w:cs="Times New Roman" w:eastAsia="Times New Roman" w:hint="default"/>
          <w:spacing w:val="-3"/>
        </w:rPr>
        <w:t>2015</w:t>
      </w:r>
      <w:r>
        <w:rPr>
          <w:rFonts w:ascii="Times New Roman" w:hAnsi="Times New Roman" w:cs="Times New Roman" w:eastAsia="Times New Roman" w:hint="default"/>
          <w:spacing w:val="6"/>
        </w:rPr>
        <w:t> </w:t>
      </w:r>
      <w:r>
        <w:rPr/>
        <w:t>年</w:t>
      </w:r>
      <w:r>
        <w:rPr>
          <w:spacing w:val="-45"/>
        </w:rPr>
        <w:t> </w:t>
      </w:r>
      <w:r>
        <w:rPr>
          <w:rFonts w:ascii="Times New Roman" w:hAnsi="Times New Roman" w:cs="Times New Roman" w:eastAsia="Times New Roman" w:hint="default"/>
        </w:rPr>
        <w:t>6</w:t>
      </w:r>
      <w:r>
        <w:rPr>
          <w:rFonts w:ascii="Times New Roman" w:hAnsi="Times New Roman" w:cs="Times New Roman" w:eastAsia="Times New Roman" w:hint="default"/>
          <w:spacing w:val="6"/>
        </w:rPr>
        <w:t> </w:t>
      </w:r>
      <w:r>
        <w:rPr/>
        <w:t>月起任公司董事，</w:t>
      </w:r>
      <w:r>
        <w:rPr>
          <w:rFonts w:ascii="Times New Roman" w:hAnsi="Times New Roman" w:cs="Times New Roman" w:eastAsia="Times New Roman" w:hint="default"/>
        </w:rPr>
        <w:t>2016</w:t>
      </w:r>
      <w:r>
        <w:rPr>
          <w:rFonts w:ascii="Times New Roman" w:hAnsi="Times New Roman" w:cs="Times New Roman" w:eastAsia="Times New Roman" w:hint="default"/>
          <w:spacing w:val="6"/>
        </w:rPr>
        <w:t> </w:t>
      </w:r>
      <w:r>
        <w:rPr/>
        <w:t>年</w:t>
      </w:r>
      <w:r>
        <w:rPr>
          <w:spacing w:val="-39"/>
        </w:rPr>
        <w:t> </w:t>
      </w:r>
      <w:r>
        <w:rPr>
          <w:rFonts w:ascii="Times New Roman" w:hAnsi="Times New Roman" w:cs="Times New Roman" w:eastAsia="Times New Roman" w:hint="default"/>
        </w:rPr>
        <w:t>4</w:t>
      </w:r>
      <w:r>
        <w:rPr>
          <w:rFonts w:ascii="Times New Roman" w:hAnsi="Times New Roman" w:cs="Times New Roman" w:eastAsia="Times New Roman" w:hint="default"/>
          <w:spacing w:val="6"/>
        </w:rPr>
        <w:t> </w:t>
      </w:r>
      <w:r>
        <w:rPr/>
        <w:t>月起任公司财务总监。</w:t>
      </w:r>
      <w:r>
        <w:rPr>
          <w:rFonts w:ascii="Times New Roman" w:hAnsi="Times New Roman" w:cs="Times New Roman" w:eastAsia="Times New Roman" w:hint="default"/>
        </w:rPr>
        <w:t>2014 </w:t>
      </w:r>
      <w:r>
        <w:rPr/>
        <w:t>年</w:t>
      </w:r>
      <w:r>
        <w:rPr>
          <w:spacing w:val="-85"/>
        </w:rPr>
        <w:t> </w:t>
      </w:r>
      <w:r>
        <w:rPr>
          <w:rFonts w:ascii="Times New Roman" w:hAnsi="Times New Roman" w:cs="Times New Roman" w:eastAsia="Times New Roman" w:hint="default"/>
        </w:rPr>
        <w:t>7</w:t>
      </w:r>
      <w:r>
        <w:rPr>
          <w:rFonts w:ascii="Times New Roman" w:hAnsi="Times New Roman" w:cs="Times New Roman" w:eastAsia="Times New Roman" w:hint="default"/>
          <w:spacing w:val="18"/>
        </w:rPr>
        <w:t> </w:t>
      </w:r>
      <w:r>
        <w:rPr>
          <w:spacing w:val="-3"/>
        </w:rPr>
        <w:t>月起任公司参股公司华道征信董事，</w:t>
      </w:r>
      <w:r>
        <w:rPr>
          <w:rFonts w:ascii="Times New Roman" w:hAnsi="Times New Roman" w:cs="Times New Roman" w:eastAsia="Times New Roman" w:hint="default"/>
          <w:spacing w:val="-3"/>
        </w:rPr>
        <w:t>2014</w:t>
      </w:r>
      <w:r>
        <w:rPr>
          <w:rFonts w:ascii="Times New Roman" w:hAnsi="Times New Roman" w:cs="Times New Roman" w:eastAsia="Times New Roman" w:hint="default"/>
          <w:spacing w:val="18"/>
        </w:rPr>
        <w:t> </w:t>
      </w:r>
      <w:r>
        <w:rPr/>
        <w:t>年</w:t>
      </w:r>
      <w:r>
        <w:rPr>
          <w:spacing w:val="-27"/>
        </w:rPr>
        <w:t> </w:t>
      </w:r>
      <w:r>
        <w:rPr>
          <w:rFonts w:ascii="Times New Roman" w:hAnsi="Times New Roman" w:cs="Times New Roman" w:eastAsia="Times New Roman" w:hint="default"/>
        </w:rPr>
        <w:t>10</w:t>
      </w:r>
      <w:r>
        <w:rPr>
          <w:rFonts w:ascii="Times New Roman" w:hAnsi="Times New Roman" w:cs="Times New Roman" w:eastAsia="Times New Roman" w:hint="default"/>
          <w:spacing w:val="18"/>
        </w:rPr>
        <w:t> </w:t>
      </w:r>
      <w:r>
        <w:rPr>
          <w:spacing w:val="-4"/>
        </w:rPr>
        <w:t>月起任公司子公司安科创新执行董事，</w:t>
      </w:r>
      <w:r>
        <w:rPr>
          <w:rFonts w:ascii="Times New Roman" w:hAnsi="Times New Roman" w:cs="Times New Roman" w:eastAsia="Times New Roman" w:hint="default"/>
          <w:spacing w:val="-4"/>
        </w:rPr>
        <w:t>2016</w:t>
      </w:r>
      <w:r>
        <w:rPr>
          <w:rFonts w:ascii="Times New Roman" w:hAnsi="Times New Roman" w:cs="Times New Roman" w:eastAsia="Times New Roman" w:hint="default"/>
          <w:spacing w:val="18"/>
        </w:rPr>
        <w:t> </w:t>
      </w:r>
      <w:r>
        <w:rPr/>
        <w:t>年</w:t>
      </w:r>
      <w:r>
        <w:rPr>
          <w:spacing w:val="-27"/>
        </w:rPr>
        <w:t> </w:t>
      </w:r>
      <w:r>
        <w:rPr>
          <w:rFonts w:ascii="Times New Roman" w:hAnsi="Times New Roman" w:cs="Times New Roman" w:eastAsia="Times New Roman" w:hint="default"/>
        </w:rPr>
        <w:t>2</w:t>
      </w:r>
      <w:r>
        <w:rPr>
          <w:rFonts w:ascii="Times New Roman" w:hAnsi="Times New Roman" w:cs="Times New Roman" w:eastAsia="Times New Roman" w:hint="default"/>
          <w:spacing w:val="18"/>
        </w:rPr>
        <w:t> </w:t>
      </w:r>
      <w:r>
        <w:rPr>
          <w:spacing w:val="-3"/>
        </w:rPr>
        <w:t>月起任公司参股公司易安</w:t>
      </w:r>
      <w:r>
        <w:rPr>
          <w:spacing w:val="-82"/>
        </w:rPr>
        <w:t> </w:t>
      </w:r>
      <w:r>
        <w:rPr>
          <w:spacing w:val="-82"/>
        </w:rPr>
      </w:r>
      <w:r>
        <w:rPr/>
        <w:t>保险监事，</w:t>
      </w:r>
      <w:r>
        <w:rPr>
          <w:rFonts w:ascii="Times New Roman" w:hAnsi="Times New Roman" w:cs="Times New Roman" w:eastAsia="Times New Roman" w:hint="default"/>
        </w:rPr>
        <w:t>2017 </w:t>
      </w:r>
      <w:r>
        <w:rPr/>
        <w:t>年 </w:t>
      </w:r>
      <w:r>
        <w:rPr>
          <w:rFonts w:ascii="Times New Roman" w:hAnsi="Times New Roman" w:cs="Times New Roman" w:eastAsia="Times New Roman" w:hint="default"/>
        </w:rPr>
        <w:t>9</w:t>
      </w:r>
      <w:r>
        <w:rPr>
          <w:rFonts w:ascii="Times New Roman" w:hAnsi="Times New Roman" w:cs="Times New Roman" w:eastAsia="Times New Roman" w:hint="default"/>
          <w:spacing w:val="12"/>
        </w:rPr>
        <w:t> </w:t>
      </w:r>
      <w:r>
        <w:rPr>
          <w:spacing w:val="-3"/>
        </w:rPr>
        <w:t>月至今任公司参股公司东亚前海证券监事。</w:t>
      </w:r>
    </w:p>
    <w:p>
      <w:pPr>
        <w:pStyle w:val="BodyText"/>
        <w:spacing w:line="451" w:lineRule="auto" w:before="46"/>
        <w:ind w:right="1127" w:firstLine="360"/>
        <w:jc w:val="both"/>
      </w:pPr>
      <w:r>
        <w:rPr>
          <w:spacing w:val="-8"/>
        </w:rPr>
        <w:t>冯军先生，公司董事，中国籍，</w:t>
      </w:r>
      <w:r>
        <w:rPr>
          <w:rFonts w:ascii="Times New Roman" w:hAnsi="Times New Roman" w:cs="Times New Roman" w:eastAsia="Times New Roman" w:hint="default"/>
          <w:spacing w:val="-8"/>
        </w:rPr>
        <w:t>1971 </w:t>
      </w:r>
      <w:r>
        <w:rPr>
          <w:spacing w:val="-8"/>
        </w:rPr>
        <w:t>年出生，本科学历。</w:t>
      </w:r>
      <w:r>
        <w:rPr>
          <w:rFonts w:ascii="Times New Roman" w:hAnsi="Times New Roman" w:cs="Times New Roman" w:eastAsia="Times New Roman" w:hint="default"/>
          <w:spacing w:val="-8"/>
        </w:rPr>
        <w:t>2015 </w:t>
      </w:r>
      <w:r>
        <w:rPr/>
        <w:t>年 </w:t>
      </w:r>
      <w:r>
        <w:rPr>
          <w:rFonts w:ascii="Times New Roman" w:hAnsi="Times New Roman" w:cs="Times New Roman" w:eastAsia="Times New Roman" w:hint="default"/>
        </w:rPr>
        <w:t>6 </w:t>
      </w:r>
      <w:r>
        <w:rPr>
          <w:spacing w:val="-5"/>
        </w:rPr>
        <w:t>月起任公司董事。</w:t>
      </w:r>
      <w:r>
        <w:rPr>
          <w:rFonts w:ascii="Times New Roman" w:hAnsi="Times New Roman" w:cs="Times New Roman" w:eastAsia="Times New Roman" w:hint="default"/>
          <w:spacing w:val="-5"/>
        </w:rPr>
        <w:t>2001 </w:t>
      </w:r>
      <w:r>
        <w:rPr/>
        <w:t>年 </w:t>
      </w:r>
      <w:r>
        <w:rPr>
          <w:rFonts w:ascii="Times New Roman" w:hAnsi="Times New Roman" w:cs="Times New Roman" w:eastAsia="Times New Roman" w:hint="default"/>
        </w:rPr>
        <w:t>5</w:t>
      </w:r>
      <w:r>
        <w:rPr>
          <w:rFonts w:ascii="Times New Roman" w:hAnsi="Times New Roman" w:cs="Times New Roman" w:eastAsia="Times New Roman" w:hint="default"/>
          <w:spacing w:val="39"/>
        </w:rPr>
        <w:t> </w:t>
      </w:r>
      <w:r>
        <w:rPr>
          <w:spacing w:val="-3"/>
        </w:rPr>
        <w:t>月至今在亿美软通工作，</w:t>
      </w:r>
      <w:r>
        <w:rPr>
          <w:w w:val="101"/>
        </w:rPr>
        <w:t> </w:t>
      </w:r>
      <w:r>
        <w:rPr>
          <w:spacing w:val="-3"/>
        </w:rPr>
        <w:t>历任董事长、董事，现任执行董事兼总经理。</w:t>
      </w:r>
      <w:r>
        <w:rPr>
          <w:rFonts w:ascii="Times New Roman" w:hAnsi="Times New Roman" w:cs="Times New Roman" w:eastAsia="Times New Roman" w:hint="default"/>
          <w:spacing w:val="-3"/>
        </w:rPr>
        <w:t>2015 </w:t>
      </w:r>
      <w:r>
        <w:rPr/>
        <w:t>年 </w:t>
      </w:r>
      <w:r>
        <w:rPr>
          <w:rFonts w:ascii="Times New Roman" w:hAnsi="Times New Roman" w:cs="Times New Roman" w:eastAsia="Times New Roman" w:hint="default"/>
        </w:rPr>
        <w:t>6 </w:t>
      </w:r>
      <w:r>
        <w:rPr/>
        <w:t>月至今任公司董事，</w:t>
      </w:r>
      <w:r>
        <w:rPr>
          <w:rFonts w:ascii="Times New Roman" w:hAnsi="Times New Roman" w:cs="Times New Roman" w:eastAsia="Times New Roman" w:hint="default"/>
        </w:rPr>
        <w:t>2015 </w:t>
      </w:r>
      <w:r>
        <w:rPr/>
        <w:t>年 </w:t>
      </w:r>
      <w:r>
        <w:rPr>
          <w:rFonts w:ascii="Times New Roman" w:hAnsi="Times New Roman" w:cs="Times New Roman" w:eastAsia="Times New Roman" w:hint="default"/>
        </w:rPr>
        <w:t>8 </w:t>
      </w:r>
      <w:r>
        <w:rPr>
          <w:spacing w:val="-3"/>
        </w:rPr>
        <w:t>月至今任公司参股公司华道征信总经</w:t>
      </w:r>
      <w:r>
        <w:rPr>
          <w:spacing w:val="-60"/>
        </w:rPr>
        <w:t> </w:t>
      </w:r>
      <w:r>
        <w:rPr>
          <w:spacing w:val="-60"/>
        </w:rPr>
      </w:r>
      <w:r>
        <w:rPr/>
        <w:t>理，</w:t>
      </w:r>
      <w:r>
        <w:rPr>
          <w:rFonts w:ascii="Times New Roman" w:hAnsi="Times New Roman" w:cs="Times New Roman" w:eastAsia="Times New Roman" w:hint="default"/>
        </w:rPr>
        <w:t>2017  </w:t>
      </w:r>
      <w:r>
        <w:rPr/>
        <w:t>年 </w:t>
      </w:r>
      <w:r>
        <w:rPr>
          <w:rFonts w:ascii="Times New Roman" w:hAnsi="Times New Roman" w:cs="Times New Roman" w:eastAsia="Times New Roman" w:hint="default"/>
        </w:rPr>
        <w:t>9</w:t>
      </w:r>
      <w:r>
        <w:rPr>
          <w:rFonts w:ascii="Times New Roman" w:hAnsi="Times New Roman" w:cs="Times New Roman" w:eastAsia="Times New Roman" w:hint="default"/>
          <w:spacing w:val="-13"/>
        </w:rPr>
        <w:t> </w:t>
      </w:r>
      <w:r>
        <w:rPr>
          <w:spacing w:val="-3"/>
        </w:rPr>
        <w:t>月至今任公司参股公司百可录（北京）科技有限公司董事。</w:t>
      </w:r>
    </w:p>
    <w:p>
      <w:pPr>
        <w:pStyle w:val="BodyText"/>
        <w:spacing w:line="453" w:lineRule="auto" w:before="41"/>
        <w:ind w:left="513" w:right="5144"/>
        <w:jc w:val="left"/>
      </w:pPr>
      <w:r>
        <w:rPr>
          <w:rFonts w:ascii="Times New Roman" w:hAnsi="Times New Roman" w:cs="Times New Roman" w:eastAsia="Times New Roman" w:hint="default"/>
        </w:rPr>
        <w:t>2</w:t>
      </w:r>
      <w:r>
        <w:rPr/>
        <w:t>．监事</w:t>
      </w:r>
      <w:r>
        <w:rPr>
          <w:spacing w:val="-87"/>
        </w:rPr>
        <w:t> </w:t>
      </w:r>
      <w:r>
        <w:rPr>
          <w:spacing w:val="-87"/>
        </w:rPr>
      </w:r>
      <w:r>
        <w:rPr>
          <w:spacing w:val="-3"/>
        </w:rPr>
        <w:t>公司监事会由三名监事组成，其中职工监事一人，具体如下：</w:t>
      </w:r>
    </w:p>
    <w:p>
      <w:pPr>
        <w:pStyle w:val="BodyText"/>
        <w:spacing w:line="240" w:lineRule="auto" w:before="70"/>
        <w:ind w:left="513" w:right="0"/>
        <w:jc w:val="left"/>
      </w:pPr>
      <w:r>
        <w:rPr/>
        <w:t>汪婉欣女士，公司监事会主席，中国籍，</w:t>
      </w:r>
      <w:r>
        <w:rPr>
          <w:rFonts w:ascii="Times New Roman" w:hAnsi="Times New Roman" w:cs="Times New Roman" w:eastAsia="Times New Roman" w:hint="default"/>
        </w:rPr>
        <w:t>1975 </w:t>
      </w:r>
      <w:r>
        <w:rPr/>
        <w:t>年出生，研究生学历。</w:t>
      </w:r>
      <w:r>
        <w:rPr>
          <w:rFonts w:ascii="Times New Roman" w:hAnsi="Times New Roman" w:cs="Times New Roman" w:eastAsia="Times New Roman" w:hint="default"/>
        </w:rPr>
        <w:t>2007 </w:t>
      </w:r>
      <w:r>
        <w:rPr/>
        <w:t>年 </w:t>
      </w:r>
      <w:r>
        <w:rPr>
          <w:rFonts w:ascii="Times New Roman" w:hAnsi="Times New Roman" w:cs="Times New Roman" w:eastAsia="Times New Roman" w:hint="default"/>
        </w:rPr>
        <w:t>12 </w:t>
      </w:r>
      <w:r>
        <w:rPr>
          <w:spacing w:val="-3"/>
        </w:rPr>
        <w:t>月至今任本公司监事会主席。</w:t>
      </w:r>
      <w:r>
        <w:rPr>
          <w:rFonts w:ascii="Times New Roman" w:hAnsi="Times New Roman" w:cs="Times New Roman" w:eastAsia="Times New Roman" w:hint="default"/>
          <w:spacing w:val="-3"/>
        </w:rPr>
        <w:t>2012</w:t>
      </w:r>
      <w:r>
        <w:rPr>
          <w:rFonts w:ascii="Times New Roman" w:hAnsi="Times New Roman" w:cs="Times New Roman" w:eastAsia="Times New Roman" w:hint="default"/>
          <w:spacing w:val="7"/>
        </w:rPr>
        <w:t> </w:t>
      </w:r>
      <w:r>
        <w:rPr/>
        <w:t>年</w:t>
      </w:r>
    </w:p>
    <w:p>
      <w:pPr>
        <w:spacing w:line="240" w:lineRule="auto" w:before="12"/>
        <w:rPr>
          <w:rFonts w:ascii="宋体" w:hAnsi="宋体" w:cs="宋体" w:eastAsia="宋体" w:hint="default"/>
          <w:sz w:val="16"/>
          <w:szCs w:val="16"/>
        </w:rPr>
      </w:pPr>
    </w:p>
    <w:p>
      <w:pPr>
        <w:pStyle w:val="BodyText"/>
        <w:spacing w:line="240" w:lineRule="auto"/>
        <w:ind w:right="0"/>
        <w:jc w:val="both"/>
        <w:rPr>
          <w:rFonts w:ascii="Times New Roman" w:hAnsi="Times New Roman" w:cs="Times New Roman" w:eastAsia="Times New Roman" w:hint="default"/>
        </w:rPr>
      </w:pPr>
      <w:r>
        <w:rPr>
          <w:rFonts w:ascii="Times New Roman" w:hAnsi="Times New Roman" w:cs="Times New Roman" w:eastAsia="Times New Roman" w:hint="default"/>
        </w:rPr>
        <w:t>12</w:t>
      </w:r>
      <w:r>
        <w:rPr>
          <w:rFonts w:ascii="Times New Roman" w:hAnsi="Times New Roman" w:cs="Times New Roman" w:eastAsia="Times New Roman" w:hint="default"/>
          <w:spacing w:val="10"/>
        </w:rPr>
        <w:t> </w:t>
      </w:r>
      <w:r>
        <w:rPr/>
        <w:t>月至</w:t>
      </w:r>
      <w:r>
        <w:rPr>
          <w:spacing w:val="-35"/>
        </w:rPr>
        <w:t> </w:t>
      </w:r>
      <w:r>
        <w:rPr>
          <w:rFonts w:ascii="Times New Roman" w:hAnsi="Times New Roman" w:cs="Times New Roman" w:eastAsia="Times New Roman" w:hint="default"/>
        </w:rPr>
        <w:t>2014</w:t>
      </w:r>
      <w:r>
        <w:rPr>
          <w:rFonts w:ascii="Times New Roman" w:hAnsi="Times New Roman" w:cs="Times New Roman" w:eastAsia="Times New Roman" w:hint="default"/>
          <w:spacing w:val="10"/>
        </w:rPr>
        <w:t> </w:t>
      </w:r>
      <w:r>
        <w:rPr/>
        <w:t>年</w:t>
      </w:r>
      <w:r>
        <w:rPr>
          <w:spacing w:val="-35"/>
        </w:rPr>
        <w:t> </w:t>
      </w:r>
      <w:r>
        <w:rPr>
          <w:rFonts w:ascii="Times New Roman" w:hAnsi="Times New Roman" w:cs="Times New Roman" w:eastAsia="Times New Roman" w:hint="default"/>
        </w:rPr>
        <w:t>3</w:t>
      </w:r>
      <w:r>
        <w:rPr>
          <w:rFonts w:ascii="Times New Roman" w:hAnsi="Times New Roman" w:cs="Times New Roman" w:eastAsia="Times New Roman" w:hint="default"/>
          <w:spacing w:val="10"/>
        </w:rPr>
        <w:t> </w:t>
      </w:r>
      <w:r>
        <w:rPr>
          <w:spacing w:val="-3"/>
        </w:rPr>
        <w:t>月任辉瑞制药有限公司中国合规经理。</w:t>
      </w:r>
      <w:r>
        <w:rPr>
          <w:rFonts w:ascii="Times New Roman" w:hAnsi="Times New Roman" w:cs="Times New Roman" w:eastAsia="Times New Roman" w:hint="default"/>
          <w:spacing w:val="-3"/>
        </w:rPr>
        <w:t>2013</w:t>
      </w:r>
      <w:r>
        <w:rPr>
          <w:rFonts w:ascii="Times New Roman" w:hAnsi="Times New Roman" w:cs="Times New Roman" w:eastAsia="Times New Roman" w:hint="default"/>
          <w:spacing w:val="4"/>
        </w:rPr>
        <w:t> </w:t>
      </w:r>
      <w:r>
        <w:rPr/>
        <w:t>年</w:t>
      </w:r>
      <w:r>
        <w:rPr>
          <w:spacing w:val="-35"/>
        </w:rPr>
        <w:t> </w:t>
      </w:r>
      <w:r>
        <w:rPr>
          <w:rFonts w:ascii="Times New Roman" w:hAnsi="Times New Roman" w:cs="Times New Roman" w:eastAsia="Times New Roman" w:hint="default"/>
        </w:rPr>
        <w:t>10</w:t>
      </w:r>
      <w:r>
        <w:rPr>
          <w:rFonts w:ascii="Times New Roman" w:hAnsi="Times New Roman" w:cs="Times New Roman" w:eastAsia="Times New Roman" w:hint="default"/>
          <w:spacing w:val="10"/>
        </w:rPr>
        <w:t> </w:t>
      </w:r>
      <w:r>
        <w:rPr/>
        <w:t>月至</w:t>
      </w:r>
      <w:r>
        <w:rPr>
          <w:spacing w:val="-35"/>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0"/>
        </w:rPr>
        <w:t> </w:t>
      </w:r>
      <w:r>
        <w:rPr/>
        <w:t>年</w:t>
      </w:r>
      <w:r>
        <w:rPr>
          <w:spacing w:val="-35"/>
        </w:rPr>
        <w:t> </w:t>
      </w:r>
      <w:r>
        <w:rPr>
          <w:rFonts w:ascii="Times New Roman" w:hAnsi="Times New Roman" w:cs="Times New Roman" w:eastAsia="Times New Roman" w:hint="default"/>
          <w:spacing w:val="-3"/>
        </w:rPr>
        <w:t>11</w:t>
      </w:r>
      <w:r>
        <w:rPr>
          <w:rFonts w:ascii="Times New Roman" w:hAnsi="Times New Roman" w:cs="Times New Roman" w:eastAsia="Times New Roman" w:hint="default"/>
          <w:spacing w:val="4"/>
        </w:rPr>
        <w:t> </w:t>
      </w:r>
      <w:r>
        <w:rPr>
          <w:spacing w:val="-3"/>
        </w:rPr>
        <w:t>月任公司参股公司票联金服监事。</w:t>
      </w:r>
      <w:r>
        <w:rPr>
          <w:rFonts w:ascii="Times New Roman" w:hAnsi="Times New Roman" w:cs="Times New Roman" w:eastAsia="Times New Roman" w:hint="default"/>
          <w:spacing w:val="-3"/>
        </w:rPr>
        <w:t>2014</w:t>
      </w:r>
    </w:p>
    <w:p>
      <w:pPr>
        <w:spacing w:line="240" w:lineRule="auto" w:before="10"/>
        <w:rPr>
          <w:rFonts w:ascii="Times New Roman" w:hAnsi="Times New Roman" w:cs="Times New Roman" w:eastAsia="Times New Roman" w:hint="default"/>
          <w:sz w:val="18"/>
          <w:szCs w:val="18"/>
        </w:rPr>
      </w:pPr>
    </w:p>
    <w:p>
      <w:pPr>
        <w:pStyle w:val="BodyText"/>
        <w:spacing w:line="453" w:lineRule="auto"/>
        <w:ind w:right="1029"/>
        <w:jc w:val="left"/>
      </w:pPr>
      <w:r>
        <w:rPr/>
        <w:t>年</w:t>
      </w:r>
      <w:r>
        <w:rPr>
          <w:spacing w:val="-31"/>
        </w:rPr>
        <w:t> </w:t>
      </w:r>
      <w:r>
        <w:rPr>
          <w:rFonts w:ascii="Times New Roman" w:hAnsi="Times New Roman" w:cs="Times New Roman" w:eastAsia="Times New Roman" w:hint="default"/>
        </w:rPr>
        <w:t>4</w:t>
      </w:r>
      <w:r>
        <w:rPr>
          <w:rFonts w:ascii="Times New Roman" w:hAnsi="Times New Roman" w:cs="Times New Roman" w:eastAsia="Times New Roman" w:hint="default"/>
          <w:spacing w:val="14"/>
        </w:rPr>
        <w:t> </w:t>
      </w:r>
      <w:r>
        <w:rPr/>
        <w:t>月至</w:t>
      </w:r>
      <w:r>
        <w:rPr>
          <w:spacing w:val="-31"/>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4"/>
        </w:rPr>
        <w:t> </w:t>
      </w:r>
      <w:r>
        <w:rPr/>
        <w:t>年</w:t>
      </w:r>
      <w:r>
        <w:rPr>
          <w:spacing w:val="-38"/>
        </w:rPr>
        <w:t> </w:t>
      </w:r>
      <w:r>
        <w:rPr>
          <w:rFonts w:ascii="Times New Roman" w:hAnsi="Times New Roman" w:cs="Times New Roman" w:eastAsia="Times New Roman" w:hint="default"/>
        </w:rPr>
        <w:t>10</w:t>
      </w:r>
      <w:r>
        <w:rPr>
          <w:rFonts w:ascii="Times New Roman" w:hAnsi="Times New Roman" w:cs="Times New Roman" w:eastAsia="Times New Roman" w:hint="default"/>
          <w:spacing w:val="14"/>
        </w:rPr>
        <w:t> </w:t>
      </w:r>
      <w:r>
        <w:rPr>
          <w:spacing w:val="-3"/>
        </w:rPr>
        <w:t>月任瓦里安医疗器械贸易（北京）有限公司亚太区区域合规经理。</w:t>
      </w:r>
      <w:r>
        <w:rPr>
          <w:rFonts w:ascii="Times New Roman" w:hAnsi="Times New Roman" w:cs="Times New Roman" w:eastAsia="Times New Roman" w:hint="default"/>
          <w:spacing w:val="-3"/>
        </w:rPr>
        <w:t>2018</w:t>
      </w:r>
      <w:r>
        <w:rPr>
          <w:rFonts w:ascii="Times New Roman" w:hAnsi="Times New Roman" w:cs="Times New Roman" w:eastAsia="Times New Roman" w:hint="default"/>
          <w:spacing w:val="14"/>
        </w:rPr>
        <w:t> </w:t>
      </w:r>
      <w:r>
        <w:rPr/>
        <w:t>年</w:t>
      </w:r>
      <w:r>
        <w:rPr>
          <w:spacing w:val="-31"/>
        </w:rPr>
        <w:t> </w:t>
      </w:r>
      <w:r>
        <w:rPr>
          <w:rFonts w:ascii="Times New Roman" w:hAnsi="Times New Roman" w:cs="Times New Roman" w:eastAsia="Times New Roman" w:hint="default"/>
        </w:rPr>
        <w:t>4</w:t>
      </w:r>
      <w:r>
        <w:rPr>
          <w:rFonts w:ascii="Times New Roman" w:hAnsi="Times New Roman" w:cs="Times New Roman" w:eastAsia="Times New Roman" w:hint="default"/>
          <w:spacing w:val="7"/>
        </w:rPr>
        <w:t> </w:t>
      </w:r>
      <w:r>
        <w:rPr>
          <w:spacing w:val="-3"/>
        </w:rPr>
        <w:t>月至今任齐鲁制药有限公</w:t>
      </w:r>
      <w:r>
        <w:rPr>
          <w:spacing w:val="-84"/>
        </w:rPr>
        <w:t> </w:t>
      </w:r>
      <w:r>
        <w:rPr>
          <w:spacing w:val="-84"/>
        </w:rPr>
      </w:r>
      <w:r>
        <w:rPr/>
        <w:t>司合规总监。</w:t>
      </w:r>
    </w:p>
    <w:p>
      <w:pPr>
        <w:pStyle w:val="BodyText"/>
        <w:spacing w:line="453" w:lineRule="auto" w:before="70"/>
        <w:ind w:right="1132" w:firstLine="360"/>
        <w:jc w:val="both"/>
      </w:pPr>
      <w:r>
        <w:rPr/>
        <w:t>李玟臻女士，公司监事，中国籍，</w:t>
      </w:r>
      <w:r>
        <w:rPr>
          <w:rFonts w:ascii="Times New Roman" w:hAnsi="Times New Roman" w:cs="Times New Roman" w:eastAsia="Times New Roman" w:hint="default"/>
        </w:rPr>
        <w:t>1982 </w:t>
      </w:r>
      <w:r>
        <w:rPr/>
        <w:t>年出生，本科学历。</w:t>
      </w:r>
      <w:r>
        <w:rPr>
          <w:rFonts w:ascii="Times New Roman" w:hAnsi="Times New Roman" w:cs="Times New Roman" w:eastAsia="Times New Roman" w:hint="default"/>
        </w:rPr>
        <w:t>2005 </w:t>
      </w:r>
      <w:r>
        <w:rPr/>
        <w:t>年 </w:t>
      </w:r>
      <w:r>
        <w:rPr>
          <w:rFonts w:ascii="Times New Roman" w:hAnsi="Times New Roman" w:cs="Times New Roman" w:eastAsia="Times New Roman" w:hint="default"/>
        </w:rPr>
        <w:t>4</w:t>
      </w:r>
      <w:r>
        <w:rPr>
          <w:rFonts w:ascii="Times New Roman" w:hAnsi="Times New Roman" w:cs="Times New Roman" w:eastAsia="Times New Roman" w:hint="default"/>
          <w:spacing w:val="10"/>
        </w:rPr>
        <w:t> </w:t>
      </w:r>
      <w:r>
        <w:rPr>
          <w:spacing w:val="-3"/>
        </w:rPr>
        <w:t>月至今在本公司任职，历任市场企划专员、市场</w:t>
      </w:r>
      <w:r>
        <w:rPr>
          <w:w w:val="101"/>
        </w:rPr>
        <w:t> </w:t>
      </w:r>
      <w:r>
        <w:rPr/>
        <w:t>部经理、总经理办公室经理。</w:t>
      </w:r>
      <w:r>
        <w:rPr>
          <w:rFonts w:ascii="Times New Roman" w:hAnsi="Times New Roman" w:cs="Times New Roman" w:eastAsia="Times New Roman" w:hint="default"/>
        </w:rPr>
        <w:t>2012</w:t>
      </w:r>
      <w:r>
        <w:rPr>
          <w:rFonts w:ascii="Times New Roman" w:hAnsi="Times New Roman" w:cs="Times New Roman" w:eastAsia="Times New Roman" w:hint="default"/>
          <w:spacing w:val="8"/>
        </w:rPr>
        <w:t> </w:t>
      </w:r>
      <w:r>
        <w:rPr/>
        <w:t>年</w:t>
      </w:r>
      <w:r>
        <w:rPr>
          <w:spacing w:val="-37"/>
        </w:rPr>
        <w:t> </w:t>
      </w:r>
      <w:r>
        <w:rPr>
          <w:rFonts w:ascii="Times New Roman" w:hAnsi="Times New Roman" w:cs="Times New Roman" w:eastAsia="Times New Roman" w:hint="default"/>
        </w:rPr>
        <w:t>4</w:t>
      </w:r>
      <w:r>
        <w:rPr>
          <w:rFonts w:ascii="Times New Roman" w:hAnsi="Times New Roman" w:cs="Times New Roman" w:eastAsia="Times New Roman" w:hint="default"/>
          <w:spacing w:val="8"/>
        </w:rPr>
        <w:t> </w:t>
      </w:r>
      <w:r>
        <w:rPr/>
        <w:t>月</w:t>
      </w:r>
      <w:r>
        <w:rPr>
          <w:spacing w:val="-42"/>
        </w:rPr>
        <w:t> </w:t>
      </w:r>
      <w:r>
        <w:rPr>
          <w:rFonts w:ascii="Times New Roman" w:hAnsi="Times New Roman" w:cs="Times New Roman" w:eastAsia="Times New Roman" w:hint="default"/>
        </w:rPr>
        <w:t>10</w:t>
      </w:r>
      <w:r>
        <w:rPr>
          <w:rFonts w:ascii="Times New Roman" w:hAnsi="Times New Roman" w:cs="Times New Roman" w:eastAsia="Times New Roman" w:hint="default"/>
          <w:spacing w:val="8"/>
        </w:rPr>
        <w:t> </w:t>
      </w:r>
      <w:r>
        <w:rPr/>
        <w:t>日起任公司监事，</w:t>
      </w:r>
      <w:r>
        <w:rPr>
          <w:rFonts w:ascii="Times New Roman" w:hAnsi="Times New Roman" w:cs="Times New Roman" w:eastAsia="Times New Roman" w:hint="default"/>
        </w:rPr>
        <w:t>2014</w:t>
      </w:r>
      <w:r>
        <w:rPr>
          <w:rFonts w:ascii="Times New Roman" w:hAnsi="Times New Roman" w:cs="Times New Roman" w:eastAsia="Times New Roman" w:hint="default"/>
          <w:spacing w:val="8"/>
        </w:rPr>
        <w:t> </w:t>
      </w:r>
      <w:r>
        <w:rPr/>
        <w:t>年</w:t>
      </w:r>
      <w:r>
        <w:rPr>
          <w:spacing w:val="-37"/>
        </w:rPr>
        <w:t> </w:t>
      </w:r>
      <w:r>
        <w:rPr>
          <w:rFonts w:ascii="Times New Roman" w:hAnsi="Times New Roman" w:cs="Times New Roman" w:eastAsia="Times New Roman" w:hint="default"/>
        </w:rPr>
        <w:t>6</w:t>
      </w:r>
      <w:r>
        <w:rPr>
          <w:rFonts w:ascii="Times New Roman" w:hAnsi="Times New Roman" w:cs="Times New Roman" w:eastAsia="Times New Roman" w:hint="default"/>
          <w:spacing w:val="2"/>
        </w:rPr>
        <w:t> </w:t>
      </w:r>
      <w:r>
        <w:rPr>
          <w:spacing w:val="-3"/>
        </w:rPr>
        <w:t>月起任公司参股公司票联金服行政人事总监。</w:t>
      </w:r>
    </w:p>
    <w:p>
      <w:pPr>
        <w:pStyle w:val="BodyText"/>
        <w:spacing w:line="451" w:lineRule="auto" w:before="39"/>
        <w:ind w:right="1122" w:firstLine="360"/>
        <w:jc w:val="both"/>
      </w:pPr>
      <w:r>
        <w:rPr>
          <w:spacing w:val="-5"/>
        </w:rPr>
        <w:t>安丰森先生，公司职工代表监事，中国籍，</w:t>
      </w:r>
      <w:r>
        <w:rPr>
          <w:rFonts w:ascii="Times New Roman" w:hAnsi="Times New Roman" w:cs="Times New Roman" w:eastAsia="Times New Roman" w:hint="default"/>
          <w:spacing w:val="-5"/>
        </w:rPr>
        <w:t>1986</w:t>
      </w:r>
      <w:r>
        <w:rPr>
          <w:rFonts w:ascii="Times New Roman" w:hAnsi="Times New Roman" w:cs="Times New Roman" w:eastAsia="Times New Roman" w:hint="default"/>
          <w:spacing w:val="13"/>
        </w:rPr>
        <w:t> </w:t>
      </w:r>
      <w:r>
        <w:rPr>
          <w:spacing w:val="-5"/>
        </w:rPr>
        <w:t>年出生，研究生学历。</w:t>
      </w:r>
      <w:r>
        <w:rPr>
          <w:rFonts w:ascii="Times New Roman" w:hAnsi="Times New Roman" w:cs="Times New Roman" w:eastAsia="Times New Roman" w:hint="default"/>
          <w:spacing w:val="-5"/>
        </w:rPr>
        <w:t>2009</w:t>
      </w:r>
      <w:r>
        <w:rPr>
          <w:rFonts w:ascii="Times New Roman" w:hAnsi="Times New Roman" w:cs="Times New Roman" w:eastAsia="Times New Roman" w:hint="default"/>
          <w:spacing w:val="13"/>
        </w:rPr>
        <w:t> </w:t>
      </w:r>
      <w:r>
        <w:rPr/>
        <w:t>年</w:t>
      </w:r>
      <w:r>
        <w:rPr>
          <w:spacing w:val="-32"/>
        </w:rPr>
        <w:t> </w:t>
      </w:r>
      <w:r>
        <w:rPr>
          <w:rFonts w:ascii="Times New Roman" w:hAnsi="Times New Roman" w:cs="Times New Roman" w:eastAsia="Times New Roman" w:hint="default"/>
        </w:rPr>
        <w:t>7</w:t>
      </w:r>
      <w:r>
        <w:rPr>
          <w:rFonts w:ascii="Times New Roman" w:hAnsi="Times New Roman" w:cs="Times New Roman" w:eastAsia="Times New Roman" w:hint="default"/>
          <w:spacing w:val="6"/>
        </w:rPr>
        <w:t> </w:t>
      </w:r>
      <w:r>
        <w:rPr/>
        <w:t>月至</w:t>
      </w:r>
      <w:r>
        <w:rPr>
          <w:spacing w:val="-32"/>
        </w:rPr>
        <w:t> </w:t>
      </w:r>
      <w:r>
        <w:rPr>
          <w:rFonts w:ascii="Times New Roman" w:hAnsi="Times New Roman" w:cs="Times New Roman" w:eastAsia="Times New Roman" w:hint="default"/>
        </w:rPr>
        <w:t>2012</w:t>
      </w:r>
      <w:r>
        <w:rPr>
          <w:rFonts w:ascii="Times New Roman" w:hAnsi="Times New Roman" w:cs="Times New Roman" w:eastAsia="Times New Roman" w:hint="default"/>
          <w:spacing w:val="13"/>
        </w:rPr>
        <w:t> </w:t>
      </w:r>
      <w:r>
        <w:rPr/>
        <w:t>年</w:t>
      </w:r>
      <w:r>
        <w:rPr>
          <w:spacing w:val="-32"/>
        </w:rPr>
        <w:t> </w:t>
      </w:r>
      <w:r>
        <w:rPr>
          <w:rFonts w:ascii="Times New Roman" w:hAnsi="Times New Roman" w:cs="Times New Roman" w:eastAsia="Times New Roman" w:hint="default"/>
        </w:rPr>
        <w:t>8</w:t>
      </w:r>
      <w:r>
        <w:rPr>
          <w:rFonts w:ascii="Times New Roman" w:hAnsi="Times New Roman" w:cs="Times New Roman" w:eastAsia="Times New Roman" w:hint="default"/>
          <w:spacing w:val="6"/>
        </w:rPr>
        <w:t> </w:t>
      </w:r>
      <w:r>
        <w:rPr/>
        <w:t>月任北京外国语大学国</w:t>
      </w:r>
      <w:r>
        <w:rPr>
          <w:w w:val="101"/>
        </w:rPr>
        <w:t> </w:t>
      </w:r>
      <w:r>
        <w:rPr>
          <w:spacing w:val="-3"/>
        </w:rPr>
        <w:t>际交流与合作处亚非事务主管、港澳台事务专员。</w:t>
      </w:r>
      <w:r>
        <w:rPr>
          <w:rFonts w:ascii="Times New Roman" w:hAnsi="Times New Roman" w:cs="Times New Roman" w:eastAsia="Times New Roman" w:hint="default"/>
          <w:spacing w:val="-3"/>
        </w:rPr>
        <w:t>2015</w:t>
      </w:r>
      <w:r>
        <w:rPr>
          <w:rFonts w:ascii="Times New Roman" w:hAnsi="Times New Roman" w:cs="Times New Roman" w:eastAsia="Times New Roman" w:hint="default"/>
          <w:spacing w:val="24"/>
        </w:rPr>
        <w:t> </w:t>
      </w:r>
      <w:r>
        <w:rPr/>
        <w:t>年</w:t>
      </w:r>
      <w:r>
        <w:rPr>
          <w:spacing w:val="-21"/>
        </w:rPr>
        <w:t> </w:t>
      </w:r>
      <w:r>
        <w:rPr>
          <w:rFonts w:ascii="Times New Roman" w:hAnsi="Times New Roman" w:cs="Times New Roman" w:eastAsia="Times New Roman" w:hint="default"/>
        </w:rPr>
        <w:t>7</w:t>
      </w:r>
      <w:r>
        <w:rPr>
          <w:rFonts w:ascii="Times New Roman" w:hAnsi="Times New Roman" w:cs="Times New Roman" w:eastAsia="Times New Roman" w:hint="default"/>
          <w:spacing w:val="24"/>
        </w:rPr>
        <w:t> </w:t>
      </w:r>
      <w:r>
        <w:rPr>
          <w:spacing w:val="-3"/>
        </w:rPr>
        <w:t>月至今在本公司工作，现任总经理办公室负责人。</w:t>
      </w:r>
      <w:r>
        <w:rPr>
          <w:rFonts w:ascii="Times New Roman" w:hAnsi="Times New Roman" w:cs="Times New Roman" w:eastAsia="Times New Roman" w:hint="default"/>
          <w:spacing w:val="-3"/>
        </w:rPr>
        <w:t>2017</w:t>
      </w:r>
      <w:r>
        <w:rPr>
          <w:rFonts w:ascii="Times New Roman" w:hAnsi="Times New Roman" w:cs="Times New Roman" w:eastAsia="Times New Roman" w:hint="default"/>
          <w:spacing w:val="24"/>
        </w:rPr>
        <w:t> </w:t>
      </w:r>
      <w:r>
        <w:rPr/>
        <w:t>年</w:t>
      </w:r>
      <w:r>
        <w:rPr>
          <w:spacing w:val="-21"/>
        </w:rPr>
        <w:t> </w:t>
      </w:r>
      <w:r>
        <w:rPr>
          <w:rFonts w:ascii="Times New Roman" w:hAnsi="Times New Roman" w:cs="Times New Roman" w:eastAsia="Times New Roman" w:hint="default"/>
        </w:rPr>
        <w:t>5</w:t>
      </w:r>
      <w:r>
        <w:rPr>
          <w:rFonts w:ascii="Times New Roman" w:hAnsi="Times New Roman" w:cs="Times New Roman" w:eastAsia="Times New Roman" w:hint="default"/>
          <w:spacing w:val="16"/>
        </w:rPr>
        <w:t> </w:t>
      </w:r>
      <w:r>
        <w:rPr/>
        <w:t>月</w:t>
      </w:r>
      <w:r>
        <w:rPr>
          <w:spacing w:val="-74"/>
        </w:rPr>
        <w:t> </w:t>
      </w:r>
      <w:r>
        <w:rPr/>
        <w:t>至今任公司监事。</w:t>
      </w:r>
    </w:p>
    <w:p>
      <w:pPr>
        <w:pStyle w:val="BodyText"/>
        <w:spacing w:line="240" w:lineRule="auto" w:before="77"/>
        <w:ind w:left="513" w:right="0"/>
        <w:jc w:val="left"/>
      </w:pPr>
      <w:r>
        <w:rPr>
          <w:rFonts w:ascii="Times New Roman" w:hAnsi="Times New Roman" w:cs="Times New Roman" w:eastAsia="Times New Roman" w:hint="default"/>
        </w:rPr>
        <w:t>3</w:t>
      </w:r>
      <w:r>
        <w:rPr/>
        <w:t>．其他高级管理人员</w:t>
      </w:r>
    </w:p>
    <w:p>
      <w:pPr>
        <w:spacing w:line="240" w:lineRule="auto" w:before="7"/>
        <w:rPr>
          <w:rFonts w:ascii="宋体" w:hAnsi="宋体" w:cs="宋体" w:eastAsia="宋体" w:hint="default"/>
          <w:sz w:val="16"/>
          <w:szCs w:val="16"/>
        </w:rPr>
      </w:pPr>
    </w:p>
    <w:p>
      <w:pPr>
        <w:pStyle w:val="BodyText"/>
        <w:spacing w:line="453" w:lineRule="auto"/>
        <w:ind w:right="1132" w:firstLine="360"/>
        <w:jc w:val="both"/>
      </w:pPr>
      <w:r>
        <w:rPr/>
        <w:t>许秋江先生，公司副总经理，中国籍，</w:t>
      </w:r>
      <w:r>
        <w:rPr>
          <w:rFonts w:ascii="Times New Roman" w:hAnsi="Times New Roman" w:cs="Times New Roman" w:eastAsia="Times New Roman" w:hint="default"/>
        </w:rPr>
        <w:t>1973 </w:t>
      </w:r>
      <w:r>
        <w:rPr/>
        <w:t>年出生，大专学历。</w:t>
      </w:r>
      <w:r>
        <w:rPr>
          <w:rFonts w:ascii="Times New Roman" w:hAnsi="Times New Roman" w:cs="Times New Roman" w:eastAsia="Times New Roman" w:hint="default"/>
        </w:rPr>
        <w:t>2002 </w:t>
      </w:r>
      <w:r>
        <w:rPr/>
        <w:t>年 </w:t>
      </w:r>
      <w:r>
        <w:rPr>
          <w:rFonts w:ascii="Times New Roman" w:hAnsi="Times New Roman" w:cs="Times New Roman" w:eastAsia="Times New Roman" w:hint="default"/>
        </w:rPr>
        <w:t>3</w:t>
      </w:r>
      <w:r>
        <w:rPr>
          <w:rFonts w:ascii="Times New Roman" w:hAnsi="Times New Roman" w:cs="Times New Roman" w:eastAsia="Times New Roman" w:hint="default"/>
          <w:spacing w:val="4"/>
        </w:rPr>
        <w:t> </w:t>
      </w:r>
      <w:r>
        <w:rPr>
          <w:spacing w:val="-3"/>
        </w:rPr>
        <w:t>月至今在本公司工作，历任公司财务经理、</w:t>
      </w:r>
      <w:r>
        <w:rPr>
          <w:w w:val="101"/>
        </w:rPr>
        <w:t> </w:t>
      </w:r>
      <w:r>
        <w:rPr/>
        <w:t>财务总监。</w:t>
      </w:r>
      <w:r>
        <w:rPr>
          <w:rFonts w:ascii="Times New Roman" w:hAnsi="Times New Roman" w:cs="Times New Roman" w:eastAsia="Times New Roman" w:hint="default"/>
        </w:rPr>
        <w:t>2007</w:t>
      </w:r>
      <w:r>
        <w:rPr>
          <w:rFonts w:ascii="Times New Roman" w:hAnsi="Times New Roman" w:cs="Times New Roman" w:eastAsia="Times New Roman" w:hint="default"/>
          <w:spacing w:val="4"/>
        </w:rPr>
        <w:t> </w:t>
      </w:r>
      <w:r>
        <w:rPr/>
        <w:t>年</w:t>
      </w:r>
      <w:r>
        <w:rPr>
          <w:spacing w:val="-47"/>
        </w:rPr>
        <w:t> </w:t>
      </w:r>
      <w:r>
        <w:rPr>
          <w:rFonts w:ascii="Times New Roman" w:hAnsi="Times New Roman" w:cs="Times New Roman" w:eastAsia="Times New Roman" w:hint="default"/>
        </w:rPr>
        <w:t>12</w:t>
      </w:r>
      <w:r>
        <w:rPr>
          <w:rFonts w:ascii="Times New Roman" w:hAnsi="Times New Roman" w:cs="Times New Roman" w:eastAsia="Times New Roman" w:hint="default"/>
          <w:spacing w:val="4"/>
        </w:rPr>
        <w:t> </w:t>
      </w:r>
      <w:r>
        <w:rPr/>
        <w:t>月至</w:t>
      </w:r>
      <w:r>
        <w:rPr>
          <w:spacing w:val="-41"/>
        </w:rPr>
        <w:t> </w:t>
      </w:r>
      <w:r>
        <w:rPr>
          <w:rFonts w:ascii="Times New Roman" w:hAnsi="Times New Roman" w:cs="Times New Roman" w:eastAsia="Times New Roman" w:hint="default"/>
        </w:rPr>
        <w:t>2016</w:t>
      </w:r>
      <w:r>
        <w:rPr>
          <w:rFonts w:ascii="Times New Roman" w:hAnsi="Times New Roman" w:cs="Times New Roman" w:eastAsia="Times New Roman" w:hint="default"/>
          <w:spacing w:val="4"/>
        </w:rPr>
        <w:t> </w:t>
      </w:r>
      <w:r>
        <w:rPr/>
        <w:t>年</w:t>
      </w:r>
      <w:r>
        <w:rPr>
          <w:spacing w:val="-41"/>
        </w:rPr>
        <w:t> </w:t>
      </w:r>
      <w:r>
        <w:rPr>
          <w:rFonts w:ascii="Times New Roman" w:hAnsi="Times New Roman" w:cs="Times New Roman" w:eastAsia="Times New Roman" w:hint="default"/>
        </w:rPr>
        <w:t>4</w:t>
      </w:r>
      <w:r>
        <w:rPr>
          <w:rFonts w:ascii="Times New Roman" w:hAnsi="Times New Roman" w:cs="Times New Roman" w:eastAsia="Times New Roman" w:hint="default"/>
          <w:spacing w:val="4"/>
        </w:rPr>
        <w:t> </w:t>
      </w:r>
      <w:r>
        <w:rPr>
          <w:spacing w:val="-3"/>
        </w:rPr>
        <w:t>月任公司财务总监，</w:t>
      </w:r>
      <w:r>
        <w:rPr>
          <w:rFonts w:ascii="Times New Roman" w:hAnsi="Times New Roman" w:cs="Times New Roman" w:eastAsia="Times New Roman" w:hint="default"/>
          <w:spacing w:val="-3"/>
        </w:rPr>
        <w:t>2016</w:t>
      </w:r>
      <w:r>
        <w:rPr>
          <w:rFonts w:ascii="Times New Roman" w:hAnsi="Times New Roman" w:cs="Times New Roman" w:eastAsia="Times New Roman" w:hint="default"/>
          <w:spacing w:val="4"/>
        </w:rPr>
        <w:t> </w:t>
      </w:r>
      <w:r>
        <w:rPr/>
        <w:t>年</w:t>
      </w:r>
      <w:r>
        <w:rPr>
          <w:spacing w:val="-41"/>
        </w:rPr>
        <w:t> </w:t>
      </w:r>
      <w:r>
        <w:rPr>
          <w:rFonts w:ascii="Times New Roman" w:hAnsi="Times New Roman" w:cs="Times New Roman" w:eastAsia="Times New Roman" w:hint="default"/>
        </w:rPr>
        <w:t>4</w:t>
      </w:r>
      <w:r>
        <w:rPr>
          <w:rFonts w:ascii="Times New Roman" w:hAnsi="Times New Roman" w:cs="Times New Roman" w:eastAsia="Times New Roman" w:hint="default"/>
          <w:spacing w:val="4"/>
        </w:rPr>
        <w:t> </w:t>
      </w:r>
      <w:r>
        <w:rPr/>
        <w:t>月起任公司副总经理。</w:t>
      </w:r>
    </w:p>
    <w:p>
      <w:pPr>
        <w:pStyle w:val="BodyText"/>
        <w:spacing w:line="240" w:lineRule="auto"/>
        <w:ind w:right="0"/>
        <w:jc w:val="both"/>
      </w:pPr>
      <w:r>
        <w:rPr>
          <w:spacing w:val="-3"/>
        </w:rPr>
        <w:t>在股东单位任职情况</w:t>
      </w:r>
    </w:p>
    <w:p>
      <w:pPr>
        <w:pStyle w:val="BodyText"/>
        <w:spacing w:line="338" w:lineRule="auto" w:before="120"/>
        <w:ind w:right="8838"/>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3"/>
        </w:rPr>
        <w:t>在其他单位任职情况</w:t>
      </w:r>
    </w:p>
    <w:p>
      <w:pPr>
        <w:pStyle w:val="BodyText"/>
        <w:spacing w:line="240" w:lineRule="auto" w:before="46"/>
        <w:ind w:right="0"/>
        <w:jc w:val="both"/>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7"/>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1201"/>
        <w:gridCol w:w="3193"/>
        <w:gridCol w:w="1061"/>
        <w:gridCol w:w="1196"/>
        <w:gridCol w:w="1325"/>
        <w:gridCol w:w="1594"/>
      </w:tblGrid>
      <w:tr>
        <w:trPr>
          <w:trHeight w:val="716" w:hRule="exact"/>
        </w:trPr>
        <w:tc>
          <w:tcPr>
            <w:tcW w:w="1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57"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51" w:right="0"/>
              <w:jc w:val="left"/>
              <w:rPr>
                <w:rFonts w:ascii="宋体" w:hAnsi="宋体" w:cs="宋体" w:eastAsia="宋体" w:hint="default"/>
                <w:sz w:val="18"/>
                <w:szCs w:val="18"/>
              </w:rPr>
            </w:pPr>
            <w:r>
              <w:rPr>
                <w:rFonts w:ascii="宋体" w:hAnsi="宋体" w:cs="宋体" w:eastAsia="宋体" w:hint="default"/>
                <w:sz w:val="18"/>
                <w:szCs w:val="18"/>
              </w:rPr>
              <w:t>其他单位名称</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76" w:right="70"/>
              <w:jc w:val="left"/>
              <w:rPr>
                <w:rFonts w:ascii="宋体" w:hAnsi="宋体" w:cs="宋体" w:eastAsia="宋体" w:hint="default"/>
                <w:sz w:val="18"/>
                <w:szCs w:val="18"/>
              </w:rPr>
            </w:pPr>
            <w:r>
              <w:rPr>
                <w:rFonts w:ascii="宋体" w:hAnsi="宋体" w:cs="宋体" w:eastAsia="宋体" w:hint="default"/>
                <w:spacing w:val="-2"/>
                <w:sz w:val="18"/>
                <w:szCs w:val="18"/>
              </w:rPr>
              <w:t>在其他单位</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担任的职务</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15"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341" w:right="65" w:hanging="270"/>
              <w:jc w:val="left"/>
              <w:rPr>
                <w:rFonts w:ascii="宋体" w:hAnsi="宋体" w:cs="宋体" w:eastAsia="宋体" w:hint="default"/>
                <w:sz w:val="18"/>
                <w:szCs w:val="18"/>
              </w:rPr>
            </w:pPr>
            <w:r>
              <w:rPr>
                <w:rFonts w:ascii="宋体" w:hAnsi="宋体" w:cs="宋体" w:eastAsia="宋体" w:hint="default"/>
                <w:spacing w:val="-2"/>
                <w:sz w:val="18"/>
                <w:szCs w:val="18"/>
              </w:rPr>
              <w:t>在其他单位是否领</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取报酬津贴</w:t>
            </w:r>
          </w:p>
        </w:tc>
      </w:tr>
      <w:tr>
        <w:trPr>
          <w:trHeight w:val="715"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郑学定</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大华会计师事务所</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合伙人</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bl>
    <w:p>
      <w:pPr>
        <w:spacing w:after="0" w:line="240" w:lineRule="auto"/>
        <w:jc w:val="left"/>
        <w:rPr>
          <w:rFonts w:ascii="宋体" w:hAnsi="宋体" w:cs="宋体" w:eastAsia="宋体" w:hint="default"/>
          <w:sz w:val="18"/>
          <w:szCs w:val="18"/>
        </w:rPr>
        <w:sectPr>
          <w:pgSz w:w="11910" w:h="16840"/>
          <w:pgMar w:header="871" w:footer="1186" w:top="1100" w:bottom="138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48" w:type="dxa"/>
        <w:tblLayout w:type="fixed"/>
        <w:tblCellMar>
          <w:top w:w="0" w:type="dxa"/>
          <w:left w:w="0" w:type="dxa"/>
          <w:bottom w:w="0" w:type="dxa"/>
          <w:right w:w="0" w:type="dxa"/>
        </w:tblCellMar>
        <w:tblLook w:val="01E0"/>
      </w:tblPr>
      <w:tblGrid>
        <w:gridCol w:w="1201"/>
        <w:gridCol w:w="3193"/>
        <w:gridCol w:w="1061"/>
        <w:gridCol w:w="1196"/>
        <w:gridCol w:w="1325"/>
        <w:gridCol w:w="1594"/>
      </w:tblGrid>
      <w:tr>
        <w:trPr>
          <w:trHeight w:val="715"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郑学定</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深圳市建筑科学研究院股份有限公司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711"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郑学定</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国信证券股份有限公司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715"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郑学定</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国银金融租赁股份有限公司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716"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郭斐</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乌鲁木齐安晓股权投资有限公司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4" w:right="123"/>
              <w:jc w:val="left"/>
              <w:rPr>
                <w:rFonts w:ascii="宋体" w:hAnsi="宋体" w:cs="宋体" w:eastAsia="宋体" w:hint="default"/>
                <w:sz w:val="18"/>
                <w:szCs w:val="18"/>
              </w:rPr>
            </w:pPr>
            <w:r>
              <w:rPr>
                <w:rFonts w:ascii="宋体" w:hAnsi="宋体" w:cs="宋体" w:eastAsia="宋体" w:hint="default"/>
                <w:spacing w:val="-2"/>
                <w:sz w:val="18"/>
                <w:szCs w:val="18"/>
              </w:rPr>
              <w:t>执行董事兼</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总经理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7"/>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5"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郭斐</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北京大成（深圳）律师事务所</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12"/>
              <w:jc w:val="left"/>
              <w:rPr>
                <w:rFonts w:ascii="宋体" w:hAnsi="宋体" w:cs="宋体" w:eastAsia="宋体" w:hint="default"/>
                <w:sz w:val="18"/>
                <w:szCs w:val="18"/>
              </w:rPr>
            </w:pPr>
            <w:r>
              <w:rPr>
                <w:rFonts w:ascii="宋体" w:hAnsi="宋体" w:cs="宋体" w:eastAsia="宋体" w:hint="default"/>
                <w:spacing w:val="-14"/>
                <w:w w:val="101"/>
                <w:sz w:val="18"/>
                <w:szCs w:val="18"/>
              </w:rPr>
              <w:t>律师、高级合</w:t>
            </w:r>
            <w:r>
              <w:rPr>
                <w:rFonts w:ascii="宋体" w:hAnsi="宋体" w:cs="宋体" w:eastAsia="宋体" w:hint="default"/>
                <w:w w:val="101"/>
                <w:sz w:val="18"/>
                <w:szCs w:val="18"/>
              </w:rPr>
              <w:t> </w:t>
            </w:r>
            <w:r>
              <w:rPr>
                <w:rFonts w:ascii="宋体" w:hAnsi="宋体" w:cs="宋体" w:eastAsia="宋体" w:hint="default"/>
                <w:sz w:val="18"/>
                <w:szCs w:val="18"/>
              </w:rPr>
              <w:t>伙人</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710"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何剑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北京冏鹿网络科技有限公司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12"/>
              <w:jc w:val="left"/>
              <w:rPr>
                <w:rFonts w:ascii="宋体" w:hAnsi="宋体" w:cs="宋体" w:eastAsia="宋体" w:hint="default"/>
                <w:sz w:val="18"/>
                <w:szCs w:val="18"/>
              </w:rPr>
            </w:pPr>
            <w:r>
              <w:rPr>
                <w:rFonts w:ascii="宋体" w:hAnsi="宋体" w:cs="宋体" w:eastAsia="宋体" w:hint="default"/>
                <w:spacing w:val="-14"/>
                <w:w w:val="101"/>
                <w:sz w:val="18"/>
                <w:szCs w:val="18"/>
              </w:rPr>
              <w:t>董事长、总经</w:t>
            </w:r>
            <w:r>
              <w:rPr>
                <w:rFonts w:ascii="宋体" w:hAnsi="宋体" w:cs="宋体" w:eastAsia="宋体" w:hint="default"/>
                <w:spacing w:val="-90"/>
                <w:w w:val="101"/>
                <w:sz w:val="18"/>
                <w:szCs w:val="18"/>
              </w:rPr>
              <w:t> </w:t>
            </w:r>
            <w:r>
              <w:rPr>
                <w:rFonts w:ascii="宋体" w:hAnsi="宋体" w:cs="宋体" w:eastAsia="宋体" w:hint="default"/>
                <w:spacing w:val="-90"/>
                <w:w w:val="101"/>
                <w:sz w:val="18"/>
                <w:szCs w:val="18"/>
              </w:rPr>
            </w:r>
            <w:r>
              <w:rPr>
                <w:rFonts w:ascii="宋体" w:hAnsi="宋体" w:cs="宋体" w:eastAsia="宋体" w:hint="default"/>
                <w:sz w:val="18"/>
                <w:szCs w:val="18"/>
              </w:rPr>
              <w:t>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716"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何剑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北京微泡泡商贸有限公司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5"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陈向军</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北京华道征信有限公司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7"/>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6"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陈向军</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百行征信有限公司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0"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李军</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深圳票联金融服务有限公司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pacing w:val="-5"/>
                <w:sz w:val="18"/>
                <w:szCs w:val="18"/>
              </w:rPr>
              <w:t>24</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6"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李军</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北京华道征信有限公司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5"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李军</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福建片仔癀银之杰健康管理有限公司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7"/>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pacing w:val="-5"/>
                <w:sz w:val="18"/>
                <w:szCs w:val="18"/>
              </w:rPr>
              <w:t>21</w:t>
            </w:r>
            <w:r>
              <w:rPr>
                <w:rFonts w:ascii="Times New Roman" w:hAnsi="Times New Roman" w:cs="Times New Roman" w:eastAsia="Times New Roman" w:hint="default"/>
                <w:sz w:val="18"/>
                <w:szCs w:val="18"/>
              </w:rPr>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5"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李军</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易安财产保险股份有限公司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pacing w:val="-5"/>
                <w:sz w:val="18"/>
                <w:szCs w:val="18"/>
              </w:rPr>
              <w:t>30</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1"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刘奕</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深圳票联金融服务有限公司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pacing w:val="-5"/>
                <w:sz w:val="18"/>
                <w:szCs w:val="18"/>
              </w:rPr>
              <w:t>24</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5"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刘奕</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北京华道征信有限公司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6"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刘奕</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安科创新（深圳）有限公司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5"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刘奕</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易安财产保险股份有限公司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710"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刘奕</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东亚前海证券有限责任公司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6"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冯军</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北京君言信息技术有限公司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p>
          <w:p>
            <w:pPr>
              <w:pStyle w:val="TableParagraph"/>
              <w:spacing w:line="240" w:lineRule="auto" w:before="6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pacing w:val="-3"/>
                <w:sz w:val="18"/>
                <w:szCs w:val="18"/>
              </w:rPr>
              <w:t>08</w:t>
            </w:r>
          </w:p>
          <w:p>
            <w:pPr>
              <w:pStyle w:val="TableParagraph"/>
              <w:spacing w:line="240" w:lineRule="auto" w:before="62"/>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bl>
    <w:p>
      <w:pPr>
        <w:spacing w:after="0" w:line="240" w:lineRule="auto"/>
        <w:jc w:val="left"/>
        <w:rPr>
          <w:rFonts w:ascii="宋体" w:hAnsi="宋体" w:cs="宋体" w:eastAsia="宋体" w:hint="default"/>
          <w:sz w:val="18"/>
          <w:szCs w:val="18"/>
        </w:rPr>
        <w:sectPr>
          <w:pgSz w:w="11910" w:h="16840"/>
          <w:pgMar w:header="871" w:footer="1186" w:top="1100" w:bottom="138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48" w:type="dxa"/>
        <w:tblLayout w:type="fixed"/>
        <w:tblCellMar>
          <w:top w:w="0" w:type="dxa"/>
          <w:left w:w="0" w:type="dxa"/>
          <w:bottom w:w="0" w:type="dxa"/>
          <w:right w:w="0" w:type="dxa"/>
        </w:tblCellMar>
        <w:tblLook w:val="01E0"/>
      </w:tblPr>
      <w:tblGrid>
        <w:gridCol w:w="1201"/>
        <w:gridCol w:w="3193"/>
        <w:gridCol w:w="1061"/>
        <w:gridCol w:w="1196"/>
        <w:gridCol w:w="1325"/>
        <w:gridCol w:w="1594"/>
      </w:tblGrid>
      <w:tr>
        <w:trPr>
          <w:trHeight w:val="715"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冯军</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九十光年（北京）智能科技有限公司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pacing w:val="-5"/>
                <w:sz w:val="18"/>
                <w:szCs w:val="18"/>
              </w:rPr>
              <w:t>27</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1"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冯军</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福建片仔癀银之杰健康管理有限公司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pacing w:val="-5"/>
                <w:sz w:val="18"/>
                <w:szCs w:val="18"/>
              </w:rPr>
              <w:t>21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5"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冯军</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北京华道征信有限公司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716"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冯军</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北京微智全景信息技术有限公司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7"/>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5"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冯军</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北京创金兴业投资中心（有限合伙）</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0"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冯军</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北京智帆金科信息服务有限公司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pacing w:val="-5"/>
                <w:sz w:val="18"/>
                <w:szCs w:val="18"/>
              </w:rPr>
              <w:t>27</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6"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冯军</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百可录（北京）科技有限公司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5"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冯军</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北京全景网联信息技术有限公司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7"/>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6"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冯军</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北京海鲸科技有限公司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0"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冯军</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北京大画科技有限公司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6"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汪婉欣</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齐鲁制药有限公司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合规总监</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715"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李玟臻</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深圳票联金融服务有限公司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4" w:right="123"/>
              <w:jc w:val="left"/>
              <w:rPr>
                <w:rFonts w:ascii="宋体" w:hAnsi="宋体" w:cs="宋体" w:eastAsia="宋体" w:hint="default"/>
                <w:sz w:val="18"/>
                <w:szCs w:val="18"/>
              </w:rPr>
            </w:pPr>
            <w:r>
              <w:rPr>
                <w:rFonts w:ascii="宋体" w:hAnsi="宋体" w:cs="宋体" w:eastAsia="宋体" w:hint="default"/>
                <w:spacing w:val="-2"/>
                <w:sz w:val="18"/>
                <w:szCs w:val="18"/>
              </w:rPr>
              <w:t>行政人事总</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监</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7"/>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715" w:hRule="exact"/>
        </w:trPr>
        <w:tc>
          <w:tcPr>
            <w:tcW w:w="1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80"/>
              <w:jc w:val="left"/>
              <w:rPr>
                <w:rFonts w:ascii="宋体" w:hAnsi="宋体" w:cs="宋体" w:eastAsia="宋体" w:hint="default"/>
                <w:sz w:val="18"/>
                <w:szCs w:val="18"/>
              </w:rPr>
            </w:pPr>
            <w:r>
              <w:rPr>
                <w:rFonts w:ascii="宋体" w:hAnsi="宋体" w:cs="宋体" w:eastAsia="宋体" w:hint="default"/>
                <w:spacing w:val="-2"/>
                <w:sz w:val="18"/>
                <w:szCs w:val="18"/>
              </w:rPr>
              <w:t>在其他单位任</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职情况的说明</w:t>
            </w:r>
          </w:p>
        </w:tc>
        <w:tc>
          <w:tcPr>
            <w:tcW w:w="8369" w:type="dxa"/>
            <w:gridSpan w:val="5"/>
            <w:tcBorders>
              <w:top w:val="single" w:sz="4" w:space="0" w:color="000000"/>
              <w:left w:val="single" w:sz="12" w:space="0" w:color="D2D2D2"/>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w w:val="101"/>
                <w:sz w:val="18"/>
                <w:szCs w:val="18"/>
              </w:rPr>
              <w:t>无</w:t>
            </w:r>
            <w:r>
              <w:rPr>
                <w:rFonts w:ascii="宋体" w:hAnsi="宋体" w:cs="宋体" w:eastAsia="宋体" w:hint="default"/>
                <w:sz w:val="18"/>
                <w:szCs w:val="18"/>
              </w:rPr>
            </w:r>
          </w:p>
        </w:tc>
      </w:tr>
    </w:tbl>
    <w:p>
      <w:pPr>
        <w:pStyle w:val="BodyText"/>
        <w:spacing w:line="240" w:lineRule="auto" w:before="54"/>
        <w:ind w:right="0"/>
        <w:jc w:val="left"/>
      </w:pPr>
      <w:r>
        <w:rPr>
          <w:spacing w:val="-3"/>
        </w:rPr>
        <w:t>公司现任及报告期内离任董事、监事和高级管理人员近三年证券监管机构处罚的情况</w:t>
      </w:r>
    </w:p>
    <w:p>
      <w:pPr>
        <w:pStyle w:val="BodyText"/>
        <w:spacing w:line="240" w:lineRule="auto" w:before="115"/>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4"/>
        <w:rPr>
          <w:rFonts w:ascii="宋体" w:hAnsi="宋体" w:cs="宋体" w:eastAsia="宋体" w:hint="default"/>
          <w:sz w:val="23"/>
          <w:szCs w:val="23"/>
        </w:rPr>
      </w:pPr>
    </w:p>
    <w:p>
      <w:pPr>
        <w:pStyle w:val="Heading2"/>
        <w:spacing w:line="240" w:lineRule="auto"/>
        <w:ind w:right="0"/>
        <w:jc w:val="left"/>
        <w:rPr>
          <w:b w:val="0"/>
          <w:bCs w:val="0"/>
        </w:rPr>
      </w:pPr>
      <w:bookmarkStart w:name="四、董事、监事、高级管理人员报酬情况" w:id="127"/>
      <w:bookmarkEnd w:id="127"/>
      <w:r>
        <w:rPr>
          <w:b w:val="0"/>
          <w:bCs w:val="0"/>
        </w:rPr>
      </w:r>
      <w:r>
        <w:rPr/>
        <w:t>四、董事、监事、高级管理人员报酬情况</w:t>
      </w:r>
      <w:r>
        <w:rPr>
          <w:b w:val="0"/>
          <w:bCs w:val="0"/>
        </w:rPr>
      </w:r>
    </w:p>
    <w:p>
      <w:pPr>
        <w:spacing w:line="240" w:lineRule="auto" w:before="7"/>
        <w:rPr>
          <w:rFonts w:ascii="宋体" w:hAnsi="宋体" w:cs="宋体" w:eastAsia="宋体" w:hint="default"/>
          <w:b/>
          <w:bCs/>
          <w:sz w:val="27"/>
          <w:szCs w:val="27"/>
        </w:rPr>
      </w:pPr>
    </w:p>
    <w:p>
      <w:pPr>
        <w:pStyle w:val="BodyText"/>
        <w:spacing w:line="240" w:lineRule="auto"/>
        <w:ind w:right="0"/>
        <w:jc w:val="left"/>
      </w:pPr>
      <w:r>
        <w:rPr>
          <w:spacing w:val="-3"/>
        </w:rPr>
        <w:t>董事、监事、高级管理人员报酬的决策程序、确定依据、实际支付情况</w:t>
      </w:r>
    </w:p>
    <w:p>
      <w:pPr>
        <w:spacing w:line="240" w:lineRule="auto" w:before="8"/>
        <w:rPr>
          <w:rFonts w:ascii="宋体" w:hAnsi="宋体" w:cs="宋体" w:eastAsia="宋体" w:hint="default"/>
          <w:sz w:val="7"/>
          <w:szCs w:val="7"/>
        </w:rPr>
      </w:pPr>
    </w:p>
    <w:tbl>
      <w:tblPr>
        <w:tblW w:w="0" w:type="auto"/>
        <w:jc w:val="left"/>
        <w:tblInd w:w="143" w:type="dxa"/>
        <w:tblLayout w:type="fixed"/>
        <w:tblCellMar>
          <w:top w:w="0" w:type="dxa"/>
          <w:left w:w="0" w:type="dxa"/>
          <w:bottom w:w="0" w:type="dxa"/>
          <w:right w:w="0" w:type="dxa"/>
        </w:tblCellMar>
        <w:tblLook w:val="01E0"/>
      </w:tblPr>
      <w:tblGrid>
        <w:gridCol w:w="3832"/>
        <w:gridCol w:w="5738"/>
      </w:tblGrid>
      <w:tr>
        <w:trPr>
          <w:trHeight w:val="1282" w:hRule="exact"/>
        </w:trPr>
        <w:tc>
          <w:tcPr>
            <w:tcW w:w="383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pacing w:val="-3"/>
                <w:sz w:val="18"/>
                <w:szCs w:val="18"/>
              </w:rPr>
              <w:t>董事、监事、高级管理人员报酬的决策程序</w:t>
            </w:r>
          </w:p>
        </w:tc>
        <w:tc>
          <w:tcPr>
            <w:tcW w:w="573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4" w:right="-43"/>
              <w:jc w:val="both"/>
              <w:rPr>
                <w:rFonts w:ascii="宋体" w:hAnsi="宋体" w:cs="宋体" w:eastAsia="宋体" w:hint="default"/>
                <w:sz w:val="18"/>
                <w:szCs w:val="18"/>
              </w:rPr>
            </w:pPr>
            <w:r>
              <w:rPr>
                <w:rFonts w:ascii="宋体" w:hAnsi="宋体" w:cs="宋体" w:eastAsia="宋体" w:hint="default"/>
                <w:spacing w:val="-3"/>
                <w:sz w:val="18"/>
                <w:szCs w:val="18"/>
              </w:rPr>
              <w:t>公司董事、监事报酬由股东大会决定，高级管理人员报酬由董事会决定；</w:t>
            </w:r>
            <w:r>
              <w:rPr>
                <w:rFonts w:ascii="宋体" w:hAnsi="宋体" w:cs="宋体" w:eastAsia="宋体" w:hint="default"/>
                <w:spacing w:val="2"/>
                <w:sz w:val="18"/>
                <w:szCs w:val="18"/>
              </w:rPr>
              <w:t> </w:t>
            </w:r>
            <w:r>
              <w:rPr>
                <w:rFonts w:ascii="宋体" w:hAnsi="宋体" w:cs="宋体" w:eastAsia="宋体" w:hint="default"/>
                <w:spacing w:val="2"/>
                <w:sz w:val="18"/>
                <w:szCs w:val="18"/>
              </w:rPr>
            </w:r>
            <w:r>
              <w:rPr>
                <w:rFonts w:ascii="宋体" w:hAnsi="宋体" w:cs="宋体" w:eastAsia="宋体" w:hint="default"/>
                <w:spacing w:val="-4"/>
                <w:sz w:val="18"/>
                <w:szCs w:val="18"/>
              </w:rPr>
              <w:t>在公司承担职务的董事、监事、高级管理人员报酬由公司支付，董事、监</w:t>
            </w:r>
            <w:r>
              <w:rPr>
                <w:rFonts w:ascii="宋体" w:hAnsi="宋体" w:cs="宋体" w:eastAsia="宋体" w:hint="default"/>
                <w:spacing w:val="-6"/>
                <w:sz w:val="18"/>
                <w:szCs w:val="18"/>
              </w:rPr>
              <w:t> </w:t>
            </w:r>
            <w:r>
              <w:rPr>
                <w:rFonts w:ascii="宋体" w:hAnsi="宋体" w:cs="宋体" w:eastAsia="宋体" w:hint="default"/>
                <w:spacing w:val="-6"/>
                <w:sz w:val="18"/>
                <w:szCs w:val="18"/>
              </w:rPr>
            </w:r>
            <w:r>
              <w:rPr>
                <w:rFonts w:ascii="宋体" w:hAnsi="宋体" w:cs="宋体" w:eastAsia="宋体" w:hint="default"/>
                <w:spacing w:val="-4"/>
                <w:sz w:val="18"/>
                <w:szCs w:val="18"/>
              </w:rPr>
              <w:t>事不另外支付津贴。独立董事津贴依据股东大会决议支付，独立董事会务</w:t>
            </w:r>
            <w:r>
              <w:rPr>
                <w:rFonts w:ascii="宋体" w:hAnsi="宋体" w:cs="宋体" w:eastAsia="宋体" w:hint="default"/>
                <w:spacing w:val="-6"/>
                <w:sz w:val="18"/>
                <w:szCs w:val="18"/>
              </w:rPr>
              <w:t> </w:t>
            </w:r>
            <w:r>
              <w:rPr>
                <w:rFonts w:ascii="宋体" w:hAnsi="宋体" w:cs="宋体" w:eastAsia="宋体" w:hint="default"/>
                <w:spacing w:val="-6"/>
                <w:sz w:val="18"/>
                <w:szCs w:val="18"/>
              </w:rPr>
            </w:r>
            <w:r>
              <w:rPr>
                <w:rFonts w:ascii="宋体" w:hAnsi="宋体" w:cs="宋体" w:eastAsia="宋体" w:hint="default"/>
                <w:sz w:val="18"/>
                <w:szCs w:val="18"/>
              </w:rPr>
              <w:t>费据实报销。</w:t>
            </w:r>
          </w:p>
        </w:tc>
      </w:tr>
      <w:tr>
        <w:trPr>
          <w:trHeight w:val="351" w:hRule="exact"/>
        </w:trPr>
        <w:tc>
          <w:tcPr>
            <w:tcW w:w="383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5"/>
              <w:ind w:left="4" w:right="0"/>
              <w:jc w:val="left"/>
              <w:rPr>
                <w:rFonts w:ascii="宋体" w:hAnsi="宋体" w:cs="宋体" w:eastAsia="宋体" w:hint="default"/>
                <w:sz w:val="18"/>
                <w:szCs w:val="18"/>
              </w:rPr>
            </w:pPr>
            <w:r>
              <w:rPr>
                <w:rFonts w:ascii="宋体" w:hAnsi="宋体" w:cs="宋体" w:eastAsia="宋体" w:hint="default"/>
                <w:spacing w:val="-3"/>
                <w:sz w:val="18"/>
                <w:szCs w:val="18"/>
              </w:rPr>
              <w:t>董事、监事、高级管理人员报酬确定依据</w:t>
            </w:r>
          </w:p>
        </w:tc>
        <w:tc>
          <w:tcPr>
            <w:tcW w:w="57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4" w:right="0"/>
              <w:jc w:val="left"/>
              <w:rPr>
                <w:rFonts w:ascii="宋体" w:hAnsi="宋体" w:cs="宋体" w:eastAsia="宋体" w:hint="default"/>
                <w:sz w:val="18"/>
                <w:szCs w:val="18"/>
              </w:rPr>
            </w:pPr>
            <w:r>
              <w:rPr>
                <w:rFonts w:ascii="宋体" w:hAnsi="宋体" w:cs="宋体" w:eastAsia="宋体" w:hint="default"/>
                <w:w w:val="101"/>
                <w:sz w:val="18"/>
                <w:szCs w:val="18"/>
              </w:rPr>
              <w:t>依</w:t>
            </w:r>
            <w:r>
              <w:rPr>
                <w:rFonts w:ascii="宋体" w:hAnsi="宋体" w:cs="宋体" w:eastAsia="宋体" w:hint="default"/>
                <w:spacing w:val="-5"/>
                <w:w w:val="101"/>
                <w:sz w:val="18"/>
                <w:szCs w:val="18"/>
              </w:rPr>
              <w:t>据</w:t>
            </w:r>
            <w:r>
              <w:rPr>
                <w:rFonts w:ascii="宋体" w:hAnsi="宋体" w:cs="宋体" w:eastAsia="宋体" w:hint="default"/>
                <w:w w:val="101"/>
                <w:sz w:val="18"/>
                <w:szCs w:val="18"/>
              </w:rPr>
              <w:t>公</w:t>
            </w:r>
            <w:r>
              <w:rPr>
                <w:rFonts w:ascii="宋体" w:hAnsi="宋体" w:cs="宋体" w:eastAsia="宋体" w:hint="default"/>
                <w:spacing w:val="-5"/>
                <w:w w:val="101"/>
                <w:sz w:val="18"/>
                <w:szCs w:val="18"/>
              </w:rPr>
              <w:t>司</w:t>
            </w:r>
            <w:r>
              <w:rPr>
                <w:rFonts w:ascii="宋体" w:hAnsi="宋体" w:cs="宋体" w:eastAsia="宋体" w:hint="default"/>
                <w:w w:val="101"/>
                <w:sz w:val="18"/>
                <w:szCs w:val="18"/>
              </w:rPr>
              <w:t>盈</w:t>
            </w:r>
            <w:r>
              <w:rPr>
                <w:rFonts w:ascii="宋体" w:hAnsi="宋体" w:cs="宋体" w:eastAsia="宋体" w:hint="default"/>
                <w:spacing w:val="-5"/>
                <w:w w:val="101"/>
                <w:sz w:val="18"/>
                <w:szCs w:val="18"/>
              </w:rPr>
              <w:t>利</w:t>
            </w:r>
            <w:r>
              <w:rPr>
                <w:rFonts w:ascii="宋体" w:hAnsi="宋体" w:cs="宋体" w:eastAsia="宋体" w:hint="default"/>
                <w:w w:val="101"/>
                <w:sz w:val="18"/>
                <w:szCs w:val="18"/>
              </w:rPr>
              <w:t>水</w:t>
            </w:r>
            <w:r>
              <w:rPr>
                <w:rFonts w:ascii="宋体" w:hAnsi="宋体" w:cs="宋体" w:eastAsia="宋体" w:hint="default"/>
                <w:spacing w:val="-5"/>
                <w:w w:val="101"/>
                <w:sz w:val="18"/>
                <w:szCs w:val="18"/>
              </w:rPr>
              <w:t>平</w:t>
            </w:r>
            <w:r>
              <w:rPr>
                <w:rFonts w:ascii="宋体" w:hAnsi="宋体" w:cs="宋体" w:eastAsia="宋体" w:hint="default"/>
                <w:w w:val="101"/>
                <w:sz w:val="18"/>
                <w:szCs w:val="18"/>
              </w:rPr>
              <w:t>及</w:t>
            </w:r>
            <w:r>
              <w:rPr>
                <w:rFonts w:ascii="宋体" w:hAnsi="宋体" w:cs="宋体" w:eastAsia="宋体" w:hint="default"/>
                <w:spacing w:val="-5"/>
                <w:w w:val="101"/>
                <w:sz w:val="18"/>
                <w:szCs w:val="18"/>
              </w:rPr>
              <w:t>各</w:t>
            </w:r>
            <w:r>
              <w:rPr>
                <w:rFonts w:ascii="宋体" w:hAnsi="宋体" w:cs="宋体" w:eastAsia="宋体" w:hint="default"/>
                <w:w w:val="101"/>
                <w:sz w:val="18"/>
                <w:szCs w:val="18"/>
              </w:rPr>
              <w:t>董事</w:t>
            </w:r>
            <w:r>
              <w:rPr>
                <w:rFonts w:ascii="宋体" w:hAnsi="宋体" w:cs="宋体" w:eastAsia="宋体" w:hint="default"/>
                <w:spacing w:val="-73"/>
                <w:w w:val="101"/>
                <w:sz w:val="18"/>
                <w:szCs w:val="18"/>
              </w:rPr>
              <w:t>、</w:t>
            </w:r>
            <w:r>
              <w:rPr>
                <w:rFonts w:ascii="宋体" w:hAnsi="宋体" w:cs="宋体" w:eastAsia="宋体" w:hint="default"/>
                <w:w w:val="101"/>
                <w:sz w:val="18"/>
                <w:szCs w:val="18"/>
              </w:rPr>
              <w:t>监事</w:t>
            </w:r>
            <w:r>
              <w:rPr>
                <w:rFonts w:ascii="宋体" w:hAnsi="宋体" w:cs="宋体" w:eastAsia="宋体" w:hint="default"/>
                <w:spacing w:val="-73"/>
                <w:w w:val="101"/>
                <w:sz w:val="18"/>
                <w:szCs w:val="18"/>
              </w:rPr>
              <w:t>、</w:t>
            </w:r>
            <w:r>
              <w:rPr>
                <w:rFonts w:ascii="宋体" w:hAnsi="宋体" w:cs="宋体" w:eastAsia="宋体" w:hint="default"/>
                <w:w w:val="101"/>
                <w:sz w:val="18"/>
                <w:szCs w:val="18"/>
              </w:rPr>
              <w:t>高</w:t>
            </w:r>
            <w:r>
              <w:rPr>
                <w:rFonts w:ascii="宋体" w:hAnsi="宋体" w:cs="宋体" w:eastAsia="宋体" w:hint="default"/>
                <w:spacing w:val="-5"/>
                <w:w w:val="101"/>
                <w:sz w:val="18"/>
                <w:szCs w:val="18"/>
              </w:rPr>
              <w:t>级</w:t>
            </w:r>
            <w:r>
              <w:rPr>
                <w:rFonts w:ascii="宋体" w:hAnsi="宋体" w:cs="宋体" w:eastAsia="宋体" w:hint="default"/>
                <w:w w:val="101"/>
                <w:sz w:val="18"/>
                <w:szCs w:val="18"/>
              </w:rPr>
              <w:t>管</w:t>
            </w:r>
            <w:r>
              <w:rPr>
                <w:rFonts w:ascii="宋体" w:hAnsi="宋体" w:cs="宋体" w:eastAsia="宋体" w:hint="default"/>
                <w:spacing w:val="-5"/>
                <w:w w:val="101"/>
                <w:sz w:val="18"/>
                <w:szCs w:val="18"/>
              </w:rPr>
              <w:t>理</w:t>
            </w:r>
            <w:r>
              <w:rPr>
                <w:rFonts w:ascii="宋体" w:hAnsi="宋体" w:cs="宋体" w:eastAsia="宋体" w:hint="default"/>
                <w:w w:val="101"/>
                <w:sz w:val="18"/>
                <w:szCs w:val="18"/>
              </w:rPr>
              <w:t>人</w:t>
            </w:r>
            <w:r>
              <w:rPr>
                <w:rFonts w:ascii="宋体" w:hAnsi="宋体" w:cs="宋体" w:eastAsia="宋体" w:hint="default"/>
                <w:spacing w:val="-5"/>
                <w:w w:val="101"/>
                <w:sz w:val="18"/>
                <w:szCs w:val="18"/>
              </w:rPr>
              <w:t>员</w:t>
            </w:r>
            <w:r>
              <w:rPr>
                <w:rFonts w:ascii="宋体" w:hAnsi="宋体" w:cs="宋体" w:eastAsia="宋体" w:hint="default"/>
                <w:w w:val="101"/>
                <w:sz w:val="18"/>
                <w:szCs w:val="18"/>
              </w:rPr>
              <w:t>的</w:t>
            </w:r>
            <w:r>
              <w:rPr>
                <w:rFonts w:ascii="宋体" w:hAnsi="宋体" w:cs="宋体" w:eastAsia="宋体" w:hint="default"/>
                <w:spacing w:val="-5"/>
                <w:w w:val="101"/>
                <w:sz w:val="18"/>
                <w:szCs w:val="18"/>
              </w:rPr>
              <w:t>分</w:t>
            </w:r>
            <w:r>
              <w:rPr>
                <w:rFonts w:ascii="宋体" w:hAnsi="宋体" w:cs="宋体" w:eastAsia="宋体" w:hint="default"/>
                <w:w w:val="101"/>
                <w:sz w:val="18"/>
                <w:szCs w:val="18"/>
              </w:rPr>
              <w:t>工</w:t>
            </w:r>
            <w:r>
              <w:rPr>
                <w:rFonts w:ascii="宋体" w:hAnsi="宋体" w:cs="宋体" w:eastAsia="宋体" w:hint="default"/>
                <w:spacing w:val="-5"/>
                <w:w w:val="101"/>
                <w:sz w:val="18"/>
                <w:szCs w:val="18"/>
              </w:rPr>
              <w:t>及</w:t>
            </w:r>
            <w:r>
              <w:rPr>
                <w:rFonts w:ascii="宋体" w:hAnsi="宋体" w:cs="宋体" w:eastAsia="宋体" w:hint="default"/>
                <w:w w:val="101"/>
                <w:sz w:val="18"/>
                <w:szCs w:val="18"/>
              </w:rPr>
              <w:t>履</w:t>
            </w:r>
            <w:r>
              <w:rPr>
                <w:rFonts w:ascii="宋体" w:hAnsi="宋体" w:cs="宋体" w:eastAsia="宋体" w:hint="default"/>
                <w:spacing w:val="-5"/>
                <w:w w:val="101"/>
                <w:sz w:val="18"/>
                <w:szCs w:val="18"/>
              </w:rPr>
              <w:t>行</w:t>
            </w:r>
            <w:r>
              <w:rPr>
                <w:rFonts w:ascii="宋体" w:hAnsi="宋体" w:cs="宋体" w:eastAsia="宋体" w:hint="default"/>
                <w:w w:val="101"/>
                <w:sz w:val="18"/>
                <w:szCs w:val="18"/>
              </w:rPr>
              <w:t>情</w:t>
            </w:r>
            <w:r>
              <w:rPr>
                <w:rFonts w:ascii="宋体" w:hAnsi="宋体" w:cs="宋体" w:eastAsia="宋体" w:hint="default"/>
                <w:spacing w:val="-5"/>
                <w:w w:val="101"/>
                <w:sz w:val="18"/>
                <w:szCs w:val="18"/>
              </w:rPr>
              <w:t>况</w:t>
            </w:r>
            <w:r>
              <w:rPr>
                <w:rFonts w:ascii="宋体" w:hAnsi="宋体" w:cs="宋体" w:eastAsia="宋体" w:hint="default"/>
                <w:w w:val="101"/>
                <w:sz w:val="18"/>
                <w:szCs w:val="18"/>
              </w:rPr>
              <w:t>确定</w:t>
            </w:r>
            <w:r>
              <w:rPr>
                <w:rFonts w:ascii="宋体" w:hAnsi="宋体" w:cs="宋体" w:eastAsia="宋体" w:hint="default"/>
                <w:sz w:val="18"/>
                <w:szCs w:val="18"/>
              </w:rPr>
            </w:r>
          </w:p>
        </w:tc>
      </w:tr>
      <w:tr>
        <w:trPr>
          <w:trHeight w:val="341" w:hRule="exact"/>
        </w:trPr>
        <w:tc>
          <w:tcPr>
            <w:tcW w:w="383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pacing w:val="-3"/>
                <w:sz w:val="18"/>
                <w:szCs w:val="18"/>
              </w:rPr>
              <w:t>董事、监事和高级管理人员报酬的实际支付情况</w:t>
            </w:r>
          </w:p>
        </w:tc>
        <w:tc>
          <w:tcPr>
            <w:tcW w:w="57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pacing w:val="-3"/>
                <w:sz w:val="18"/>
                <w:szCs w:val="18"/>
              </w:rPr>
              <w:t>公司现有董事、监事、高级管理人员共</w:t>
            </w:r>
            <w:r>
              <w:rPr>
                <w:rFonts w:ascii="Times New Roman" w:hAnsi="Times New Roman" w:cs="Times New Roman" w:eastAsia="Times New Roman" w:hint="default"/>
                <w:spacing w:val="-3"/>
                <w:sz w:val="18"/>
                <w:szCs w:val="18"/>
              </w:rPr>
              <w:t>13</w:t>
            </w:r>
            <w:r>
              <w:rPr>
                <w:rFonts w:ascii="宋体" w:hAnsi="宋体" w:cs="宋体" w:eastAsia="宋体" w:hint="default"/>
                <w:spacing w:val="-3"/>
                <w:sz w:val="18"/>
                <w:szCs w:val="18"/>
              </w:rPr>
              <w:t>人，</w:t>
            </w:r>
            <w:r>
              <w:rPr>
                <w:rFonts w:ascii="Times New Roman" w:hAnsi="Times New Roman" w:cs="Times New Roman" w:eastAsia="Times New Roman" w:hint="default"/>
                <w:spacing w:val="-3"/>
                <w:sz w:val="18"/>
                <w:szCs w:val="18"/>
              </w:rPr>
              <w:t>2019</w:t>
            </w:r>
            <w:r>
              <w:rPr>
                <w:rFonts w:ascii="宋体" w:hAnsi="宋体" w:cs="宋体" w:eastAsia="宋体" w:hint="default"/>
                <w:spacing w:val="-3"/>
                <w:sz w:val="18"/>
                <w:szCs w:val="18"/>
              </w:rPr>
              <w:t>年实际支付</w:t>
            </w:r>
            <w:r>
              <w:rPr>
                <w:rFonts w:ascii="Times New Roman" w:hAnsi="Times New Roman" w:cs="Times New Roman" w:eastAsia="Times New Roman" w:hint="default"/>
                <w:spacing w:val="-3"/>
                <w:sz w:val="18"/>
                <w:szCs w:val="18"/>
              </w:rPr>
              <w:t>126</w:t>
            </w:r>
            <w:r>
              <w:rPr>
                <w:rFonts w:ascii="宋体" w:hAnsi="宋体" w:cs="宋体" w:eastAsia="宋体" w:hint="default"/>
                <w:spacing w:val="-3"/>
                <w:sz w:val="18"/>
                <w:szCs w:val="18"/>
              </w:rPr>
              <w:t>万元。</w:t>
            </w:r>
          </w:p>
        </w:tc>
      </w:tr>
    </w:tbl>
    <w:p>
      <w:pPr>
        <w:spacing w:line="240" w:lineRule="auto" w:before="10"/>
        <w:rPr>
          <w:rFonts w:ascii="宋体" w:hAnsi="宋体" w:cs="宋体" w:eastAsia="宋体" w:hint="default"/>
          <w:sz w:val="24"/>
          <w:szCs w:val="24"/>
        </w:rPr>
      </w:pPr>
    </w:p>
    <w:p>
      <w:pPr>
        <w:pStyle w:val="BodyText"/>
        <w:spacing w:line="240" w:lineRule="auto" w:before="46"/>
        <w:ind w:right="0"/>
        <w:jc w:val="left"/>
      </w:pPr>
      <w:r>
        <w:rPr>
          <w:spacing w:val="-3"/>
        </w:rPr>
        <w:t>公司报告期内董事、监事和高级管理人员报酬情况</w:t>
      </w:r>
    </w:p>
    <w:p>
      <w:pPr>
        <w:spacing w:after="0" w:line="240" w:lineRule="auto"/>
        <w:jc w:val="left"/>
        <w:sectPr>
          <w:pgSz w:w="11910" w:h="16840"/>
          <w:pgMar w:header="871" w:footer="1186" w:top="1100" w:bottom="1380" w:left="980" w:right="0"/>
        </w:sectPr>
      </w:pPr>
    </w:p>
    <w:p>
      <w:pPr>
        <w:spacing w:line="240" w:lineRule="auto" w:before="3"/>
        <w:rPr>
          <w:rFonts w:ascii="宋体" w:hAnsi="宋体" w:cs="宋体" w:eastAsia="宋体" w:hint="default"/>
          <w:sz w:val="22"/>
          <w:szCs w:val="22"/>
        </w:rPr>
      </w:pPr>
      <w:r>
        <w:rPr/>
        <w:pict>
          <v:shape style="position:absolute;margin-left:187.734329pt;margin-top:226.389984pt;width:74pt;height:15.6pt;mso-position-horizontal-relative:page;mso-position-vertical-relative:page;z-index:-1026184" type="#_x0000_t202" filled="false" stroked="false">
            <v:textbox inset="0,0,0,0">
              <w:txbxContent>
                <w:p>
                  <w:pPr>
                    <w:pStyle w:val="BodyText"/>
                    <w:spacing w:line="240" w:lineRule="auto" w:before="53"/>
                    <w:ind w:left="0" w:right="0"/>
                    <w:jc w:val="left"/>
                  </w:pPr>
                  <w:r>
                    <w:rPr>
                      <w:w w:val="101"/>
                    </w:rPr>
                    <w:t>、</w:t>
                  </w:r>
                  <w:r>
                    <w:rPr/>
                  </w:r>
                </w:p>
              </w:txbxContent>
            </v:textbox>
            <w10:wrap type="none"/>
          </v:shape>
        </w:pict>
      </w:r>
    </w:p>
    <w:p>
      <w:pPr>
        <w:pStyle w:val="BodyText"/>
        <w:spacing w:line="240" w:lineRule="auto" w:before="46"/>
        <w:ind w:left="0" w:right="1122"/>
        <w:jc w:val="right"/>
      </w:pPr>
      <w:r>
        <w:rPr>
          <w:spacing w:val="-2"/>
        </w:rPr>
        <w:t>单位：万元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369"/>
        <w:gridCol w:w="1368"/>
        <w:gridCol w:w="1369"/>
        <w:gridCol w:w="1368"/>
        <w:gridCol w:w="1364"/>
        <w:gridCol w:w="1369"/>
        <w:gridCol w:w="1369"/>
      </w:tblGrid>
      <w:tr>
        <w:trPr>
          <w:trHeight w:val="715"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492"/>
              <w:jc w:val="right"/>
              <w:rPr>
                <w:rFonts w:ascii="宋体" w:hAnsi="宋体" w:cs="宋体" w:eastAsia="宋体" w:hint="default"/>
                <w:sz w:val="18"/>
                <w:szCs w:val="18"/>
              </w:rPr>
            </w:pPr>
            <w:r>
              <w:rPr>
                <w:rFonts w:ascii="宋体" w:hAnsi="宋体" w:cs="宋体" w:eastAsia="宋体" w:hint="default"/>
                <w:sz w:val="18"/>
                <w:szCs w:val="18"/>
              </w:rPr>
              <w:t>姓名</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性别</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年龄</w:t>
            </w:r>
          </w:p>
        </w:tc>
        <w:tc>
          <w:tcPr>
            <w:tcW w:w="1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316"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231" w:right="46" w:hanging="183"/>
              <w:jc w:val="left"/>
              <w:rPr>
                <w:rFonts w:ascii="宋体" w:hAnsi="宋体" w:cs="宋体" w:eastAsia="宋体" w:hint="default"/>
                <w:sz w:val="18"/>
                <w:szCs w:val="18"/>
              </w:rPr>
            </w:pPr>
            <w:r>
              <w:rPr>
                <w:rFonts w:ascii="宋体" w:hAnsi="宋体" w:cs="宋体" w:eastAsia="宋体" w:hint="default"/>
                <w:spacing w:val="-3"/>
                <w:sz w:val="18"/>
                <w:szCs w:val="18"/>
              </w:rPr>
              <w:t>从公司获得的税</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前报酬总额</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230" w:right="46" w:hanging="183"/>
              <w:jc w:val="left"/>
              <w:rPr>
                <w:rFonts w:ascii="宋体" w:hAnsi="宋体" w:cs="宋体" w:eastAsia="宋体" w:hint="default"/>
                <w:sz w:val="18"/>
                <w:szCs w:val="18"/>
              </w:rPr>
            </w:pPr>
            <w:r>
              <w:rPr>
                <w:rFonts w:ascii="宋体" w:hAnsi="宋体" w:cs="宋体" w:eastAsia="宋体" w:hint="default"/>
                <w:spacing w:val="-3"/>
                <w:sz w:val="18"/>
                <w:szCs w:val="18"/>
              </w:rPr>
              <w:t>是否在公司关联</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方获取报酬</w:t>
            </w:r>
          </w:p>
        </w:tc>
      </w:tr>
      <w:tr>
        <w:trPr>
          <w:trHeight w:val="404"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陈向军</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56</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18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李军</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董事、总经理</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50</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18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398"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张学君</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女</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80</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何晔</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女</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50</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4"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冯军</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49</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1027"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刘奕</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70"/>
              <w:jc w:val="both"/>
              <w:rPr>
                <w:rFonts w:ascii="宋体" w:hAnsi="宋体" w:cs="宋体" w:eastAsia="宋体" w:hint="default"/>
                <w:sz w:val="18"/>
                <w:szCs w:val="18"/>
              </w:rPr>
            </w:pPr>
            <w:r>
              <w:rPr>
                <w:rFonts w:ascii="宋体" w:hAnsi="宋体" w:cs="宋体" w:eastAsia="宋体" w:hint="default"/>
                <w:spacing w:val="-8"/>
                <w:sz w:val="18"/>
                <w:szCs w:val="18"/>
              </w:rPr>
              <w:t>董事、副总经理</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3"/>
                <w:sz w:val="18"/>
                <w:szCs w:val="18"/>
              </w:rPr>
              <w:t>董事会秘书、财</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务总监</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ind w:right="-50"/>
              <w:jc w:val="left"/>
              <w:rPr>
                <w:rFonts w:ascii="宋体" w:hAnsi="宋体" w:cs="宋体" w:eastAsia="宋体" w:hint="default"/>
                <w:sz w:val="20"/>
                <w:szCs w:val="20"/>
              </w:rPr>
            </w:pPr>
            <w:r>
              <w:rPr>
                <w:rFonts w:ascii="宋体" w:hAnsi="宋体" w:cs="宋体" w:eastAsia="宋体" w:hint="default"/>
                <w:position w:val="-5"/>
                <w:sz w:val="20"/>
                <w:szCs w:val="20"/>
              </w:rPr>
              <w:pict>
                <v:group style="width:67.95pt;height:15.6pt;mso-position-horizontal-relative:char;mso-position-vertical-relative:line" coordorigin="0,0" coordsize="1359,312">
                  <v:group style="position:absolute;left:0;top:0;width:1359;height:312" coordorigin="0,0" coordsize="1359,312">
                    <v:shape style="position:absolute;left:0;top:0;width:1359;height:312" coordorigin="0,0" coordsize="1359,312" path="m0,312l1359,312,1359,0,0,0,0,312xe" filled="true" fillcolor="#ffffff" stroked="false">
                      <v:path arrowok="t"/>
                      <v:fill type="solid"/>
                    </v:shape>
                  </v:group>
                </v:group>
              </w:pict>
            </w:r>
            <w:r>
              <w:rPr>
                <w:rFonts w:ascii="宋体" w:hAnsi="宋体" w:cs="宋体" w:eastAsia="宋体" w:hint="default"/>
                <w:position w:val="-5"/>
                <w:sz w:val="20"/>
                <w:szCs w:val="20"/>
              </w:rPr>
            </w:r>
          </w:p>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7"/>
                <w:szCs w:val="17"/>
              </w:rPr>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49</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26.4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399"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郑学定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57</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郭斐</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54</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何剑</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49</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汪婉欣</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女</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45</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398"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安丰森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34</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15.6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4"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李玟臻</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w w:val="101"/>
                <w:sz w:val="18"/>
                <w:szCs w:val="18"/>
              </w:rPr>
              <w:t>女</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38</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许秋江</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47</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24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492"/>
              <w:jc w:val="righ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3"/>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1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1369"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96"/>
              <w:ind w:right="10"/>
              <w:jc w:val="right"/>
              <w:rPr>
                <w:rFonts w:ascii="Times New Roman" w:hAnsi="Times New Roman" w:cs="Times New Roman" w:eastAsia="Times New Roman" w:hint="default"/>
                <w:sz w:val="18"/>
                <w:szCs w:val="18"/>
              </w:rPr>
            </w:pPr>
            <w:r>
              <w:rPr>
                <w:rFonts w:ascii="Times New Roman"/>
                <w:sz w:val="18"/>
              </w:rPr>
              <w:t>126</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bl>
    <w:p>
      <w:pPr>
        <w:pStyle w:val="BodyText"/>
        <w:spacing w:line="240" w:lineRule="auto" w:before="53"/>
        <w:ind w:right="0"/>
        <w:jc w:val="left"/>
      </w:pPr>
      <w:r>
        <w:rPr>
          <w:spacing w:val="-3"/>
        </w:rPr>
        <w:t>公司董事、高级管理人员报告期内被授予的股权激励情况</w:t>
      </w:r>
    </w:p>
    <w:p>
      <w:pPr>
        <w:pStyle w:val="BodyText"/>
        <w:spacing w:line="240" w:lineRule="auto" w:before="115"/>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4"/>
        <w:rPr>
          <w:rFonts w:ascii="宋体" w:hAnsi="宋体" w:cs="宋体" w:eastAsia="宋体" w:hint="default"/>
          <w:sz w:val="23"/>
          <w:szCs w:val="23"/>
        </w:rPr>
      </w:pPr>
    </w:p>
    <w:p>
      <w:pPr>
        <w:pStyle w:val="Heading2"/>
        <w:spacing w:line="240" w:lineRule="auto"/>
        <w:ind w:right="0"/>
        <w:jc w:val="left"/>
        <w:rPr>
          <w:b w:val="0"/>
          <w:bCs w:val="0"/>
        </w:rPr>
      </w:pPr>
      <w:bookmarkStart w:name="五、公司员工情况" w:id="128"/>
      <w:bookmarkEnd w:id="128"/>
      <w:r>
        <w:rPr>
          <w:b w:val="0"/>
          <w:bCs w:val="0"/>
        </w:rPr>
      </w:r>
      <w:r>
        <w:rPr/>
        <w:t>五、公司员工情况</w:t>
      </w:r>
      <w:r>
        <w:rPr>
          <w:b w:val="0"/>
          <w:bCs w:val="0"/>
        </w:rPr>
      </w:r>
    </w:p>
    <w:p>
      <w:pPr>
        <w:spacing w:line="240" w:lineRule="auto" w:before="3"/>
        <w:rPr>
          <w:rFonts w:ascii="宋体" w:hAnsi="宋体" w:cs="宋体" w:eastAsia="宋体" w:hint="default"/>
          <w:b/>
          <w:bCs/>
          <w:sz w:val="25"/>
          <w:szCs w:val="25"/>
        </w:rPr>
      </w:pPr>
    </w:p>
    <w:p>
      <w:pPr>
        <w:pStyle w:val="Heading3"/>
        <w:spacing w:line="240" w:lineRule="auto"/>
        <w:ind w:right="0"/>
        <w:jc w:val="left"/>
        <w:rPr>
          <w:b w:val="0"/>
          <w:bCs w:val="0"/>
        </w:rPr>
      </w:pPr>
      <w:bookmarkStart w:name="1、员工数量、专业构成及教育程度" w:id="129"/>
      <w:bookmarkEnd w:id="129"/>
      <w:r>
        <w:rPr>
          <w:b w:val="0"/>
          <w:bCs w:val="0"/>
        </w:rPr>
      </w:r>
      <w:r>
        <w:rPr>
          <w:rFonts w:ascii="Times New Roman" w:hAnsi="Times New Roman" w:cs="Times New Roman" w:eastAsia="Times New Roman" w:hint="default"/>
        </w:rPr>
        <w:t>1</w:t>
      </w:r>
      <w:r>
        <w:rPr/>
        <w:t>、员工数量、专业构成及教育程度</w:t>
      </w:r>
      <w:r>
        <w:rPr>
          <w:b w:val="0"/>
          <w:bCs w:val="0"/>
        </w:rPr>
      </w:r>
    </w:p>
    <w:p>
      <w:pPr>
        <w:spacing w:line="240" w:lineRule="auto" w:before="7"/>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4761"/>
        <w:gridCol w:w="4797"/>
      </w:tblGrid>
      <w:tr>
        <w:trPr>
          <w:trHeight w:val="40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母公司在职员工的数量（人）</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z w:val="18"/>
              </w:rPr>
              <w:t>242</w:t>
            </w:r>
          </w:p>
        </w:tc>
      </w:tr>
      <w:tr>
        <w:trPr>
          <w:trHeight w:val="40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主要子公司在职员工的数量（人）</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z w:val="18"/>
              </w:rPr>
              <w:t>692</w:t>
            </w:r>
          </w:p>
        </w:tc>
      </w:tr>
      <w:tr>
        <w:trPr>
          <w:trHeight w:val="40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在职员工的数量合计（人）</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z w:val="18"/>
              </w:rPr>
              <w:t>934</w:t>
            </w:r>
          </w:p>
        </w:tc>
      </w:tr>
      <w:tr>
        <w:trPr>
          <w:trHeight w:val="398"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当期领取薪酬员工总人数（人）</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z w:val="18"/>
              </w:rPr>
              <w:t>934</w:t>
            </w:r>
          </w:p>
        </w:tc>
      </w:tr>
      <w:tr>
        <w:trPr>
          <w:trHeight w:val="408"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pacing w:val="-3"/>
                <w:sz w:val="18"/>
                <w:szCs w:val="18"/>
              </w:rPr>
              <w:t>母公司及主要子公司需承担费用的离退休职工人数（人）</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394" w:hRule="exact"/>
        </w:trPr>
        <w:tc>
          <w:tcPr>
            <w:tcW w:w="955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专业构成</w:t>
            </w:r>
          </w:p>
        </w:tc>
      </w:tr>
      <w:tr>
        <w:trPr>
          <w:trHeight w:val="408"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6" w:right="0"/>
              <w:jc w:val="center"/>
              <w:rPr>
                <w:rFonts w:ascii="宋体" w:hAnsi="宋体" w:cs="宋体" w:eastAsia="宋体" w:hint="default"/>
                <w:sz w:val="18"/>
                <w:szCs w:val="18"/>
              </w:rPr>
            </w:pPr>
            <w:r>
              <w:rPr>
                <w:rFonts w:ascii="宋体" w:hAnsi="宋体" w:cs="宋体" w:eastAsia="宋体" w:hint="default"/>
                <w:sz w:val="18"/>
                <w:szCs w:val="18"/>
              </w:rPr>
              <w:t>专业构成类别</w:t>
            </w:r>
          </w:p>
        </w:tc>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593" w:right="0"/>
              <w:jc w:val="left"/>
              <w:rPr>
                <w:rFonts w:ascii="宋体" w:hAnsi="宋体" w:cs="宋体" w:eastAsia="宋体" w:hint="default"/>
                <w:sz w:val="18"/>
                <w:szCs w:val="18"/>
              </w:rPr>
            </w:pPr>
            <w:r>
              <w:rPr>
                <w:rFonts w:ascii="宋体" w:hAnsi="宋体" w:cs="宋体" w:eastAsia="宋体" w:hint="default"/>
                <w:spacing w:val="-3"/>
                <w:sz w:val="18"/>
                <w:szCs w:val="18"/>
              </w:rPr>
              <w:t>专业构成人数（人）</w:t>
            </w:r>
          </w:p>
        </w:tc>
      </w:tr>
      <w:tr>
        <w:trPr>
          <w:trHeight w:val="398"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生产人员</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z w:val="18"/>
              </w:rPr>
              <w:t>12</w:t>
            </w:r>
          </w:p>
        </w:tc>
      </w:tr>
      <w:tr>
        <w:trPr>
          <w:trHeight w:val="404"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z w:val="18"/>
                <w:szCs w:val="18"/>
              </w:rPr>
              <w:t>销售人员</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z w:val="18"/>
              </w:rPr>
              <w:t>225</w:t>
            </w:r>
          </w:p>
        </w:tc>
      </w:tr>
      <w:tr>
        <w:trPr>
          <w:trHeight w:val="40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技术人员</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z w:val="18"/>
              </w:rPr>
              <w:t>532</w:t>
            </w:r>
          </w:p>
        </w:tc>
      </w:tr>
    </w:tbl>
    <w:p>
      <w:pPr>
        <w:spacing w:after="0" w:line="240" w:lineRule="auto"/>
        <w:jc w:val="right"/>
        <w:rPr>
          <w:rFonts w:ascii="Times New Roman" w:hAnsi="Times New Roman" w:cs="Times New Roman" w:eastAsia="Times New Roman" w:hint="default"/>
          <w:sz w:val="18"/>
          <w:szCs w:val="18"/>
        </w:rPr>
        <w:sectPr>
          <w:pgSz w:w="11910" w:h="16840"/>
          <w:pgMar w:header="871" w:footer="1186" w:top="1100" w:bottom="1380" w:left="980" w:right="0"/>
        </w:sectPr>
      </w:pPr>
    </w:p>
    <w:p>
      <w:pPr>
        <w:spacing w:line="240" w:lineRule="auto" w:before="8"/>
        <w:rPr>
          <w:rFonts w:ascii="宋体" w:hAnsi="宋体" w:cs="宋体" w:eastAsia="宋体" w:hint="default"/>
          <w:b/>
          <w:bCs/>
          <w:sz w:val="24"/>
          <w:szCs w:val="24"/>
        </w:rPr>
      </w:pPr>
    </w:p>
    <w:tbl>
      <w:tblPr>
        <w:tblW w:w="0" w:type="auto"/>
        <w:jc w:val="left"/>
        <w:tblInd w:w="148" w:type="dxa"/>
        <w:tblLayout w:type="fixed"/>
        <w:tblCellMar>
          <w:top w:w="0" w:type="dxa"/>
          <w:left w:w="0" w:type="dxa"/>
          <w:bottom w:w="0" w:type="dxa"/>
          <w:right w:w="0" w:type="dxa"/>
        </w:tblCellMar>
        <w:tblLook w:val="01E0"/>
      </w:tblPr>
      <w:tblGrid>
        <w:gridCol w:w="4788"/>
        <w:gridCol w:w="4782"/>
      </w:tblGrid>
      <w:tr>
        <w:trPr>
          <w:trHeight w:val="403"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财务人员</w:t>
            </w:r>
          </w:p>
        </w:tc>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z w:val="18"/>
              </w:rPr>
              <w:t>35</w:t>
            </w:r>
          </w:p>
        </w:tc>
      </w:tr>
      <w:tr>
        <w:trPr>
          <w:trHeight w:val="398"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行政人员</w:t>
            </w:r>
          </w:p>
        </w:tc>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z w:val="18"/>
              </w:rPr>
              <w:t>50</w:t>
            </w:r>
          </w:p>
        </w:tc>
      </w:tr>
      <w:tr>
        <w:trPr>
          <w:trHeight w:val="404" w:hRule="exact"/>
        </w:trPr>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其他管理人员</w:t>
            </w:r>
          </w:p>
        </w:tc>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z w:val="18"/>
              </w:rPr>
              <w:t>80</w:t>
            </w:r>
          </w:p>
        </w:tc>
      </w:tr>
      <w:tr>
        <w:trPr>
          <w:trHeight w:val="408"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z w:val="18"/>
              </w:rPr>
              <w:t>934</w:t>
            </w:r>
          </w:p>
        </w:tc>
      </w:tr>
      <w:tr>
        <w:trPr>
          <w:trHeight w:val="394" w:hRule="exact"/>
        </w:trPr>
        <w:tc>
          <w:tcPr>
            <w:tcW w:w="957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 w:right="0"/>
              <w:jc w:val="center"/>
              <w:rPr>
                <w:rFonts w:ascii="宋体" w:hAnsi="宋体" w:cs="宋体" w:eastAsia="宋体" w:hint="default"/>
                <w:sz w:val="18"/>
                <w:szCs w:val="18"/>
              </w:rPr>
            </w:pPr>
            <w:r>
              <w:rPr>
                <w:rFonts w:ascii="宋体" w:hAnsi="宋体" w:cs="宋体" w:eastAsia="宋体" w:hint="default"/>
                <w:sz w:val="18"/>
                <w:szCs w:val="18"/>
              </w:rPr>
              <w:t>教育程度</w:t>
            </w:r>
          </w:p>
        </w:tc>
      </w:tr>
      <w:tr>
        <w:trPr>
          <w:trHeight w:val="403"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教育程度类别</w:t>
            </w:r>
          </w:p>
        </w:tc>
        <w:tc>
          <w:tcPr>
            <w:tcW w:w="4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数量（人）</w:t>
            </w:r>
          </w:p>
        </w:tc>
      </w:tr>
      <w:tr>
        <w:trPr>
          <w:trHeight w:val="404" w:hRule="exact"/>
        </w:trPr>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研究生及以上</w:t>
            </w:r>
          </w:p>
        </w:tc>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z w:val="18"/>
              </w:rPr>
              <w:t>35</w:t>
            </w:r>
          </w:p>
        </w:tc>
      </w:tr>
      <w:tr>
        <w:trPr>
          <w:trHeight w:val="403" w:hRule="exact"/>
        </w:trPr>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本科</w:t>
            </w:r>
          </w:p>
        </w:tc>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z w:val="18"/>
              </w:rPr>
              <w:t>533</w:t>
            </w:r>
          </w:p>
        </w:tc>
      </w:tr>
      <w:tr>
        <w:trPr>
          <w:trHeight w:val="403" w:hRule="exact"/>
        </w:trPr>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大专</w:t>
            </w:r>
          </w:p>
        </w:tc>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z w:val="18"/>
              </w:rPr>
              <w:t>320</w:t>
            </w:r>
          </w:p>
        </w:tc>
      </w:tr>
      <w:tr>
        <w:trPr>
          <w:trHeight w:val="398" w:hRule="exact"/>
        </w:trPr>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z w:val="18"/>
              </w:rPr>
              <w:t>46</w:t>
            </w:r>
          </w:p>
        </w:tc>
      </w:tr>
      <w:tr>
        <w:trPr>
          <w:trHeight w:val="403"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z w:val="18"/>
              </w:rPr>
              <w:t>934</w:t>
            </w:r>
          </w:p>
        </w:tc>
      </w:tr>
    </w:tbl>
    <w:p>
      <w:pPr>
        <w:spacing w:line="240" w:lineRule="auto" w:before="3"/>
        <w:rPr>
          <w:rFonts w:ascii="宋体" w:hAnsi="宋体" w:cs="宋体" w:eastAsia="宋体" w:hint="default"/>
          <w:b/>
          <w:bCs/>
          <w:sz w:val="19"/>
          <w:szCs w:val="19"/>
        </w:rPr>
      </w:pPr>
    </w:p>
    <w:p>
      <w:pPr>
        <w:pStyle w:val="Heading3"/>
        <w:spacing w:line="240" w:lineRule="auto" w:before="36"/>
        <w:ind w:right="0"/>
        <w:jc w:val="left"/>
        <w:rPr>
          <w:b w:val="0"/>
          <w:bCs w:val="0"/>
        </w:rPr>
      </w:pPr>
      <w:bookmarkStart w:name="2、薪酬政策" w:id="130"/>
      <w:bookmarkEnd w:id="130"/>
      <w:r>
        <w:rPr>
          <w:b w:val="0"/>
          <w:bCs w:val="0"/>
        </w:rPr>
      </w:r>
      <w:r>
        <w:rPr>
          <w:rFonts w:ascii="Times New Roman" w:hAnsi="Times New Roman" w:cs="Times New Roman" w:eastAsia="Times New Roman" w:hint="default"/>
        </w:rPr>
        <w:t>2</w:t>
      </w:r>
      <w:r>
        <w:rPr/>
        <w:t>、薪酬政策</w:t>
      </w:r>
      <w:r>
        <w:rPr>
          <w:b w:val="0"/>
          <w:bCs w:val="0"/>
        </w:rPr>
      </w:r>
    </w:p>
    <w:p>
      <w:pPr>
        <w:spacing w:line="240" w:lineRule="auto" w:before="12"/>
        <w:rPr>
          <w:rFonts w:ascii="宋体" w:hAnsi="宋体" w:cs="宋体" w:eastAsia="宋体" w:hint="default"/>
          <w:b/>
          <w:bCs/>
          <w:sz w:val="32"/>
          <w:szCs w:val="32"/>
        </w:rPr>
      </w:pPr>
    </w:p>
    <w:p>
      <w:pPr>
        <w:pStyle w:val="BodyText"/>
        <w:spacing w:line="458" w:lineRule="auto"/>
        <w:ind w:right="1123" w:firstLine="360"/>
        <w:jc w:val="both"/>
      </w:pPr>
      <w:r>
        <w:rPr>
          <w:spacing w:val="-3"/>
        </w:rPr>
        <w:t>公司在遵守国家相关法律法规的基础上，不断完善和健全薪酬体系。员工薪酬由</w:t>
      </w:r>
      <w:r>
        <w:rPr>
          <w:rFonts w:ascii="Times New Roman" w:hAnsi="Times New Roman" w:cs="Times New Roman" w:eastAsia="Times New Roman" w:hint="default"/>
          <w:spacing w:val="-3"/>
        </w:rPr>
        <w:t>“</w:t>
      </w:r>
      <w:r>
        <w:rPr>
          <w:spacing w:val="-3"/>
        </w:rPr>
        <w:t>基本工资</w:t>
      </w:r>
      <w:r>
        <w:rPr>
          <w:rFonts w:ascii="Times New Roman" w:hAnsi="Times New Roman" w:cs="Times New Roman" w:eastAsia="Times New Roman" w:hint="default"/>
          <w:spacing w:val="-3"/>
        </w:rPr>
        <w:t>+</w:t>
      </w:r>
      <w:r>
        <w:rPr>
          <w:spacing w:val="-3"/>
        </w:rPr>
        <w:t>年终奖</w:t>
      </w:r>
      <w:r>
        <w:rPr>
          <w:rFonts w:ascii="Times New Roman" w:hAnsi="Times New Roman" w:cs="Times New Roman" w:eastAsia="Times New Roman" w:hint="default"/>
          <w:spacing w:val="-3"/>
        </w:rPr>
        <w:t>”</w:t>
      </w:r>
      <w:r>
        <w:rPr>
          <w:spacing w:val="-3"/>
        </w:rPr>
        <w:t>两部分组成，基本</w:t>
      </w:r>
      <w:r>
        <w:rPr>
          <w:w w:val="101"/>
        </w:rPr>
        <w:t> </w:t>
      </w:r>
      <w:r>
        <w:rPr>
          <w:spacing w:val="-8"/>
          <w:w w:val="101"/>
        </w:rPr>
        <w:t>工资与员工岗位职级、出勤率、绩效考核等因素关联，年终奖的测算方式为基本工资</w:t>
      </w:r>
      <w:r>
        <w:rPr>
          <w:rFonts w:ascii="Times New Roman" w:hAnsi="Times New Roman" w:cs="Times New Roman" w:eastAsia="Times New Roman" w:hint="default"/>
          <w:spacing w:val="-8"/>
          <w:w w:val="101"/>
        </w:rPr>
        <w:t>*</w:t>
      </w:r>
      <w:r>
        <w:rPr>
          <w:spacing w:val="-8"/>
          <w:w w:val="101"/>
        </w:rPr>
        <w:t>个人年度绩效系数</w:t>
      </w:r>
      <w:r>
        <w:rPr>
          <w:rFonts w:ascii="Times New Roman" w:hAnsi="Times New Roman" w:cs="Times New Roman" w:eastAsia="Times New Roman" w:hint="default"/>
          <w:spacing w:val="-8"/>
          <w:w w:val="101"/>
        </w:rPr>
        <w:t>*</w:t>
      </w:r>
      <w:r>
        <w:rPr>
          <w:spacing w:val="-8"/>
          <w:w w:val="101"/>
        </w:rPr>
        <w:t>公司年度经营系数。</w:t>
      </w:r>
      <w:r>
        <w:rPr>
          <w:spacing w:val="-44"/>
          <w:w w:val="101"/>
        </w:rPr>
        <w:t> </w:t>
      </w:r>
      <w:r>
        <w:rPr>
          <w:spacing w:val="-44"/>
          <w:w w:val="101"/>
        </w:rPr>
      </w:r>
      <w:r>
        <w:rPr>
          <w:spacing w:val="-4"/>
        </w:rPr>
        <w:t>秉承</w:t>
      </w:r>
      <w:r>
        <w:rPr>
          <w:rFonts w:ascii="Times New Roman" w:hAnsi="Times New Roman" w:cs="Times New Roman" w:eastAsia="Times New Roman" w:hint="default"/>
          <w:spacing w:val="-4"/>
        </w:rPr>
        <w:t>“</w:t>
      </w:r>
      <w:r>
        <w:rPr>
          <w:spacing w:val="-4"/>
        </w:rPr>
        <w:t>效率优先、兼顾公平、突出绩效</w:t>
      </w:r>
      <w:r>
        <w:rPr>
          <w:rFonts w:ascii="Times New Roman" w:hAnsi="Times New Roman" w:cs="Times New Roman" w:eastAsia="Times New Roman" w:hint="default"/>
          <w:spacing w:val="-4"/>
        </w:rPr>
        <w:t>”</w:t>
      </w:r>
      <w:r>
        <w:rPr>
          <w:spacing w:val="-4"/>
        </w:rPr>
        <w:t>的薪酬分配原则的基础上，公司凸显人文关怀，为员工提供年度带薪假期、年度健康</w:t>
      </w:r>
      <w:r>
        <w:rPr>
          <w:spacing w:val="64"/>
        </w:rPr>
        <w:t> </w:t>
      </w:r>
      <w:r>
        <w:rPr>
          <w:spacing w:val="64"/>
        </w:rPr>
      </w:r>
      <w:r>
        <w:rPr>
          <w:spacing w:val="-8"/>
        </w:rPr>
        <w:t>体检、免费商业保险等福利政策，保障员工劳逸结合、身心健康；同时，公司还增设多元的福利活动，如结婚、生子、生日、</w:t>
      </w:r>
      <w:r>
        <w:rPr>
          <w:spacing w:val="3"/>
        </w:rPr>
        <w:t> </w:t>
      </w:r>
      <w:r>
        <w:rPr>
          <w:spacing w:val="3"/>
        </w:rPr>
      </w:r>
      <w:r>
        <w:rPr>
          <w:spacing w:val="-3"/>
        </w:rPr>
        <w:t>节日福利，部门活动经费，定期体育活动等，调动员工积极性，增强公司凝聚力，提升公司综合竞争力。</w:t>
      </w:r>
    </w:p>
    <w:p>
      <w:pPr>
        <w:spacing w:line="240" w:lineRule="auto" w:before="0"/>
        <w:rPr>
          <w:rFonts w:ascii="宋体" w:hAnsi="宋体" w:cs="宋体" w:eastAsia="宋体" w:hint="default"/>
          <w:sz w:val="20"/>
          <w:szCs w:val="20"/>
        </w:rPr>
      </w:pPr>
    </w:p>
    <w:p>
      <w:pPr>
        <w:pStyle w:val="Heading3"/>
        <w:spacing w:line="240" w:lineRule="auto"/>
        <w:ind w:right="0"/>
        <w:jc w:val="left"/>
        <w:rPr>
          <w:b w:val="0"/>
          <w:bCs w:val="0"/>
        </w:rPr>
      </w:pPr>
      <w:bookmarkStart w:name="3、培训计划" w:id="131"/>
      <w:bookmarkEnd w:id="131"/>
      <w:r>
        <w:rPr>
          <w:b w:val="0"/>
          <w:bCs w:val="0"/>
        </w:rPr>
      </w:r>
      <w:r>
        <w:rPr>
          <w:rFonts w:ascii="Times New Roman" w:hAnsi="Times New Roman" w:cs="Times New Roman" w:eastAsia="Times New Roman" w:hint="default"/>
        </w:rPr>
        <w:t>3</w:t>
      </w:r>
      <w:r>
        <w:rPr/>
        <w:t>、培训计划</w:t>
      </w:r>
      <w:r>
        <w:rPr>
          <w:b w:val="0"/>
          <w:bCs w:val="0"/>
        </w:rPr>
      </w:r>
    </w:p>
    <w:p>
      <w:pPr>
        <w:spacing w:line="240" w:lineRule="auto" w:before="7"/>
        <w:rPr>
          <w:rFonts w:ascii="宋体" w:hAnsi="宋体" w:cs="宋体" w:eastAsia="宋体" w:hint="default"/>
          <w:b/>
          <w:bCs/>
          <w:sz w:val="32"/>
          <w:szCs w:val="32"/>
        </w:rPr>
      </w:pPr>
    </w:p>
    <w:p>
      <w:pPr>
        <w:pStyle w:val="BodyText"/>
        <w:spacing w:line="477" w:lineRule="auto"/>
        <w:ind w:right="0" w:firstLine="360"/>
        <w:jc w:val="left"/>
      </w:pPr>
      <w:r>
        <w:rPr>
          <w:spacing w:val="-5"/>
        </w:rPr>
        <w:t>员工培训作为现代企业人力资源管理的重要内容备受公司关注，为加强人才队伍建设，提升公司核心竞争力，保证公司</w:t>
      </w:r>
      <w:r>
        <w:rPr>
          <w:w w:val="101"/>
        </w:rPr>
        <w:t> </w:t>
      </w:r>
      <w:r>
        <w:rPr>
          <w:spacing w:val="-4"/>
        </w:rPr>
        <w:t>可持续发展，公司结合发展战略布局、人才需求，制定了科学、系统、规范的培训计划。公司现有的培训体系包括，对新员</w:t>
      </w:r>
      <w:r>
        <w:rPr>
          <w:spacing w:val="40"/>
        </w:rPr>
        <w:t> </w:t>
      </w:r>
      <w:r>
        <w:rPr>
          <w:spacing w:val="40"/>
        </w:rPr>
      </w:r>
      <w:r>
        <w:rPr>
          <w:spacing w:val="-4"/>
        </w:rPr>
        <w:t>工进行的一年多期培训，以企业文化、运作流程、规章制度介绍为主，结合实地参观体验；对客服体系全方位培训，提升产</w:t>
      </w:r>
      <w:r>
        <w:rPr>
          <w:spacing w:val="40"/>
        </w:rPr>
        <w:t> </w:t>
      </w:r>
      <w:r>
        <w:rPr>
          <w:spacing w:val="40"/>
        </w:rPr>
      </w:r>
      <w:r>
        <w:rPr>
          <w:spacing w:val="-4"/>
        </w:rPr>
        <w:t>品技术认知，沟通交流技巧等；对技术体进行系统一宣导，与时俱进探讨新技术发展，进行重难点技术问题答疑及常见问题</w:t>
      </w:r>
      <w:r>
        <w:rPr>
          <w:spacing w:val="40"/>
        </w:rPr>
        <w:t> </w:t>
      </w:r>
      <w:r>
        <w:rPr>
          <w:spacing w:val="40"/>
        </w:rPr>
      </w:r>
      <w:r>
        <w:rPr>
          <w:spacing w:val="-3"/>
        </w:rPr>
        <w:t>排查，热点分析等。对不同阶段不同工作性质的员工进行多元化针对性的培训，有的放矢，提升员工企业认知，职业技能，</w:t>
      </w:r>
      <w:r>
        <w:rPr>
          <w:spacing w:val="75"/>
        </w:rPr>
        <w:t> </w:t>
      </w:r>
      <w:r>
        <w:rPr>
          <w:spacing w:val="75"/>
        </w:rPr>
      </w:r>
      <w:r>
        <w:rPr>
          <w:spacing w:val="-3"/>
        </w:rPr>
        <w:t>增强公司活力。</w:t>
      </w:r>
    </w:p>
    <w:p>
      <w:pPr>
        <w:spacing w:line="240" w:lineRule="auto" w:before="12"/>
        <w:rPr>
          <w:rFonts w:ascii="宋体" w:hAnsi="宋体" w:cs="宋体" w:eastAsia="宋体" w:hint="default"/>
          <w:sz w:val="18"/>
          <w:szCs w:val="18"/>
        </w:rPr>
      </w:pPr>
    </w:p>
    <w:p>
      <w:pPr>
        <w:pStyle w:val="Heading3"/>
        <w:spacing w:line="240" w:lineRule="auto"/>
        <w:ind w:right="0"/>
        <w:jc w:val="left"/>
        <w:rPr>
          <w:b w:val="0"/>
          <w:bCs w:val="0"/>
        </w:rPr>
      </w:pPr>
      <w:bookmarkStart w:name="4、劳务外包情况" w:id="132"/>
      <w:bookmarkEnd w:id="132"/>
      <w:r>
        <w:rPr>
          <w:b w:val="0"/>
          <w:bCs w:val="0"/>
        </w:rPr>
      </w:r>
      <w:r>
        <w:rPr>
          <w:rFonts w:ascii="Times New Roman" w:hAnsi="Times New Roman" w:cs="Times New Roman" w:eastAsia="Times New Roman" w:hint="default"/>
        </w:rPr>
        <w:t>4</w:t>
      </w:r>
      <w:r>
        <w:rPr/>
        <w:t>、劳务外包情况</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after="0" w:line="240" w:lineRule="auto"/>
        <w:jc w:val="left"/>
        <w:sectPr>
          <w:pgSz w:w="11910" w:h="16840"/>
          <w:pgMar w:header="871" w:footer="1186" w:top="1100" w:bottom="138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6"/>
          <w:szCs w:val="16"/>
        </w:rPr>
      </w:pPr>
    </w:p>
    <w:p>
      <w:pPr>
        <w:pStyle w:val="Heading1"/>
        <w:spacing w:line="240" w:lineRule="auto"/>
        <w:ind w:right="1109"/>
        <w:jc w:val="center"/>
        <w:rPr>
          <w:b w:val="0"/>
          <w:bCs w:val="0"/>
        </w:rPr>
      </w:pPr>
      <w:bookmarkStart w:name="第十节 公司治理" w:id="133"/>
      <w:bookmarkEnd w:id="133"/>
      <w:r>
        <w:rPr>
          <w:b w:val="0"/>
          <w:bCs w:val="0"/>
        </w:rPr>
      </w:r>
      <w:bookmarkStart w:name="_bookmark9" w:id="134"/>
      <w:bookmarkEnd w:id="134"/>
      <w:r>
        <w:rPr>
          <w:b w:val="0"/>
          <w:bCs w:val="0"/>
        </w:rPr>
      </w:r>
      <w:r>
        <w:rPr/>
        <w:t>第十节</w:t>
      </w:r>
      <w:r>
        <w:rPr>
          <w:spacing w:val="-1"/>
        </w:rPr>
        <w:t> </w:t>
      </w:r>
      <w:r>
        <w:rPr/>
        <w:t>公司治理</w:t>
      </w:r>
      <w:r>
        <w:rPr>
          <w:b w:val="0"/>
          <w:bCs w:val="0"/>
        </w:rPr>
      </w: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6"/>
          <w:szCs w:val="16"/>
        </w:rPr>
      </w:pPr>
    </w:p>
    <w:p>
      <w:pPr>
        <w:pStyle w:val="Heading2"/>
        <w:spacing w:line="240" w:lineRule="auto" w:before="26"/>
        <w:ind w:right="0"/>
        <w:jc w:val="left"/>
        <w:rPr>
          <w:b w:val="0"/>
          <w:bCs w:val="0"/>
        </w:rPr>
      </w:pPr>
      <w:bookmarkStart w:name="一、公司治理的基本状况" w:id="135"/>
      <w:bookmarkEnd w:id="135"/>
      <w:r>
        <w:rPr>
          <w:b w:val="0"/>
          <w:bCs w:val="0"/>
        </w:rPr>
      </w:r>
      <w:r>
        <w:rPr/>
        <w:t>一、公司治理的基本状况</w:t>
      </w:r>
      <w:r>
        <w:rPr>
          <w:b w:val="0"/>
          <w:bCs w:val="0"/>
        </w:rPr>
      </w:r>
    </w:p>
    <w:p>
      <w:pPr>
        <w:spacing w:line="240" w:lineRule="auto" w:before="6"/>
        <w:rPr>
          <w:rFonts w:ascii="宋体" w:hAnsi="宋体" w:cs="宋体" w:eastAsia="宋体" w:hint="default"/>
          <w:b/>
          <w:bCs/>
          <w:sz w:val="33"/>
          <w:szCs w:val="33"/>
        </w:rPr>
      </w:pPr>
    </w:p>
    <w:p>
      <w:pPr>
        <w:pStyle w:val="BodyText"/>
        <w:spacing w:line="448" w:lineRule="auto"/>
        <w:ind w:left="513" w:right="0"/>
        <w:jc w:val="left"/>
      </w:pPr>
      <w:r>
        <w:rPr>
          <w:rFonts w:ascii="Times New Roman" w:hAnsi="Times New Roman" w:cs="Times New Roman" w:eastAsia="Times New Roman" w:hint="default"/>
        </w:rPr>
        <w:t>1</w:t>
      </w:r>
      <w:r>
        <w:rPr/>
        <w:t>．关于股东与股东大会</w:t>
      </w:r>
      <w:r>
        <w:rPr>
          <w:spacing w:val="-85"/>
        </w:rPr>
        <w:t> </w:t>
      </w:r>
      <w:r>
        <w:rPr>
          <w:spacing w:val="-85"/>
        </w:rPr>
      </w:r>
      <w:r>
        <w:rPr>
          <w:spacing w:val="-11"/>
          <w:w w:val="101"/>
        </w:rPr>
        <w:t>公司严格按照《上市公司股东大会规则》、《公司章程》、《股东大会议事规则》等规定和要求召集、召开股东大会，平等</w:t>
      </w:r>
      <w:r>
        <w:rPr>
          <w:spacing w:val="-11"/>
        </w:rPr>
      </w:r>
    </w:p>
    <w:p>
      <w:pPr>
        <w:pStyle w:val="BodyText"/>
        <w:spacing w:line="240" w:lineRule="auto" w:before="78"/>
        <w:ind w:right="0"/>
        <w:jc w:val="left"/>
      </w:pPr>
      <w:r>
        <w:rPr>
          <w:spacing w:val="-3"/>
        </w:rPr>
        <w:t>对待所有股东，并尽可能为股东参加股东大会提供便利，使其充分行使股东权利。</w:t>
      </w:r>
    </w:p>
    <w:p>
      <w:pPr>
        <w:spacing w:line="240" w:lineRule="auto" w:before="8"/>
        <w:rPr>
          <w:rFonts w:ascii="宋体" w:hAnsi="宋体" w:cs="宋体" w:eastAsia="宋体" w:hint="default"/>
          <w:sz w:val="17"/>
          <w:szCs w:val="17"/>
        </w:rPr>
      </w:pPr>
    </w:p>
    <w:p>
      <w:pPr>
        <w:pStyle w:val="BodyText"/>
        <w:spacing w:line="453" w:lineRule="auto"/>
        <w:ind w:left="513" w:right="0"/>
        <w:jc w:val="left"/>
      </w:pPr>
      <w:r>
        <w:rPr>
          <w:rFonts w:ascii="Times New Roman" w:hAnsi="Times New Roman" w:cs="Times New Roman" w:eastAsia="Times New Roman" w:hint="default"/>
        </w:rPr>
        <w:t>2</w:t>
      </w:r>
      <w:r>
        <w:rPr/>
        <w:t>．关于公司与控股股东</w:t>
      </w:r>
      <w:r>
        <w:rPr>
          <w:spacing w:val="-85"/>
        </w:rPr>
        <w:t> </w:t>
      </w:r>
      <w:r>
        <w:rPr>
          <w:spacing w:val="-85"/>
        </w:rPr>
      </w:r>
      <w:r>
        <w:rPr>
          <w:spacing w:val="-4"/>
        </w:rPr>
        <w:t>公司控股股东严格规范自己的行为，没有超越股东大会直接或间接干预公司的决策和经营活动。公司拥有独立完整的业</w:t>
      </w:r>
    </w:p>
    <w:p>
      <w:pPr>
        <w:pStyle w:val="BodyText"/>
        <w:spacing w:line="240" w:lineRule="auto" w:before="70"/>
        <w:ind w:right="0"/>
        <w:jc w:val="left"/>
      </w:pPr>
      <w:r>
        <w:rPr>
          <w:spacing w:val="-3"/>
        </w:rPr>
        <w:t>务和自主经营能力，在业务、人员、资产、机构、财务上独立于控股股东，公司董事会、监事会和内部机构独立运作。</w:t>
      </w:r>
    </w:p>
    <w:p>
      <w:pPr>
        <w:spacing w:line="240" w:lineRule="auto" w:before="12"/>
        <w:rPr>
          <w:rFonts w:ascii="宋体" w:hAnsi="宋体" w:cs="宋体" w:eastAsia="宋体" w:hint="default"/>
          <w:sz w:val="17"/>
          <w:szCs w:val="17"/>
        </w:rPr>
      </w:pPr>
    </w:p>
    <w:p>
      <w:pPr>
        <w:pStyle w:val="BodyText"/>
        <w:spacing w:line="240" w:lineRule="auto"/>
        <w:ind w:left="513" w:right="0"/>
        <w:jc w:val="left"/>
      </w:pPr>
      <w:r>
        <w:rPr>
          <w:rFonts w:ascii="Times New Roman" w:hAnsi="Times New Roman" w:cs="Times New Roman" w:eastAsia="Times New Roman" w:hint="default"/>
        </w:rPr>
        <w:t>3</w:t>
      </w:r>
      <w:r>
        <w:rPr/>
        <w:t>．关于董事和董事会</w:t>
      </w:r>
    </w:p>
    <w:p>
      <w:pPr>
        <w:spacing w:line="240" w:lineRule="auto" w:before="7"/>
        <w:rPr>
          <w:rFonts w:ascii="宋体" w:hAnsi="宋体" w:cs="宋体" w:eastAsia="宋体" w:hint="default"/>
          <w:sz w:val="16"/>
          <w:szCs w:val="16"/>
        </w:rPr>
      </w:pPr>
    </w:p>
    <w:p>
      <w:pPr>
        <w:pStyle w:val="BodyText"/>
        <w:spacing w:line="463" w:lineRule="auto"/>
        <w:ind w:right="1123" w:firstLine="360"/>
        <w:jc w:val="both"/>
      </w:pPr>
      <w:r>
        <w:rPr/>
        <w:t>公司董事会设董事 </w:t>
      </w:r>
      <w:r>
        <w:rPr>
          <w:rFonts w:ascii="Times New Roman" w:hAnsi="Times New Roman" w:cs="Times New Roman" w:eastAsia="Times New Roman" w:hint="default"/>
        </w:rPr>
        <w:t>9 </w:t>
      </w:r>
      <w:r>
        <w:rPr>
          <w:spacing w:val="-4"/>
        </w:rPr>
        <w:t>名，其中独立董事 </w:t>
      </w:r>
      <w:r>
        <w:rPr>
          <w:rFonts w:ascii="Times New Roman" w:hAnsi="Times New Roman" w:cs="Times New Roman" w:eastAsia="Times New Roman" w:hint="default"/>
        </w:rPr>
        <w:t>3</w:t>
      </w:r>
      <w:r>
        <w:rPr>
          <w:rFonts w:ascii="Times New Roman" w:hAnsi="Times New Roman" w:cs="Times New Roman" w:eastAsia="Times New Roman" w:hint="default"/>
          <w:spacing w:val="6"/>
        </w:rPr>
        <w:t> </w:t>
      </w:r>
      <w:r>
        <w:rPr>
          <w:spacing w:val="-5"/>
        </w:rPr>
        <w:t>名，董事会的人数及人员构成符合法律、法规和《公司章程》的要求。公司董</w:t>
      </w:r>
      <w:r>
        <w:rPr>
          <w:w w:val="101"/>
        </w:rPr>
        <w:t> </w:t>
      </w:r>
      <w:r>
        <w:rPr>
          <w:spacing w:val="-11"/>
          <w:w w:val="101"/>
        </w:rPr>
        <w:t>事能够依据《董事会议事规则》、《独立董事工作制度》、《深圳证券交易所创业板上市公司规范运作指引》等开展工作，出席</w:t>
      </w:r>
      <w:r>
        <w:rPr>
          <w:spacing w:val="-57"/>
          <w:w w:val="101"/>
        </w:rPr>
        <w:t> </w:t>
      </w:r>
      <w:r>
        <w:rPr>
          <w:spacing w:val="-57"/>
          <w:w w:val="101"/>
        </w:rPr>
      </w:r>
      <w:r>
        <w:rPr>
          <w:spacing w:val="-3"/>
        </w:rPr>
        <w:t>董事会和股东大会，勤勉尽责地履行职责和义务，同时积极参加相关培训，熟悉相关法律法规。</w:t>
      </w:r>
    </w:p>
    <w:p>
      <w:pPr>
        <w:pStyle w:val="BodyText"/>
        <w:spacing w:line="240" w:lineRule="auto" w:before="67"/>
        <w:ind w:left="513" w:right="0"/>
        <w:jc w:val="left"/>
      </w:pPr>
      <w:r>
        <w:rPr>
          <w:rFonts w:ascii="Times New Roman" w:hAnsi="Times New Roman" w:cs="Times New Roman" w:eastAsia="Times New Roman" w:hint="default"/>
        </w:rPr>
        <w:t>4</w:t>
      </w:r>
      <w:r>
        <w:rPr/>
        <w:t>．关于监事和监事会</w:t>
      </w:r>
    </w:p>
    <w:p>
      <w:pPr>
        <w:spacing w:line="240" w:lineRule="auto" w:before="7"/>
        <w:rPr>
          <w:rFonts w:ascii="宋体" w:hAnsi="宋体" w:cs="宋体" w:eastAsia="宋体" w:hint="default"/>
          <w:sz w:val="16"/>
          <w:szCs w:val="16"/>
        </w:rPr>
      </w:pPr>
    </w:p>
    <w:p>
      <w:pPr>
        <w:pStyle w:val="BodyText"/>
        <w:spacing w:line="463" w:lineRule="auto"/>
        <w:ind w:right="1124" w:firstLine="360"/>
        <w:jc w:val="both"/>
      </w:pPr>
      <w:r>
        <w:rPr/>
        <w:t>公司监事会设监事 </w:t>
      </w:r>
      <w:r>
        <w:rPr>
          <w:rFonts w:ascii="Times New Roman" w:hAnsi="Times New Roman" w:cs="Times New Roman" w:eastAsia="Times New Roman" w:hint="default"/>
        </w:rPr>
        <w:t>3 </w:t>
      </w:r>
      <w:r>
        <w:rPr>
          <w:spacing w:val="-4"/>
        </w:rPr>
        <w:t>名，其中职工监事 </w:t>
      </w:r>
      <w:r>
        <w:rPr>
          <w:rFonts w:ascii="Times New Roman" w:hAnsi="Times New Roman" w:cs="Times New Roman" w:eastAsia="Times New Roman" w:hint="default"/>
        </w:rPr>
        <w:t>1</w:t>
      </w:r>
      <w:r>
        <w:rPr>
          <w:rFonts w:ascii="Times New Roman" w:hAnsi="Times New Roman" w:cs="Times New Roman" w:eastAsia="Times New Roman" w:hint="default"/>
          <w:spacing w:val="8"/>
        </w:rPr>
        <w:t> </w:t>
      </w:r>
      <w:r>
        <w:rPr>
          <w:spacing w:val="-5"/>
        </w:rPr>
        <w:t>名，监事会的人数和构成符合法律、法规的要求。公司监事能够按照《监事会</w:t>
      </w:r>
      <w:r>
        <w:rPr>
          <w:w w:val="101"/>
        </w:rPr>
        <w:t> </w:t>
      </w:r>
      <w:r>
        <w:rPr>
          <w:spacing w:val="-4"/>
        </w:rPr>
        <w:t>议事规则》的要求，认真履行自己的职责，对公司重大事项、关联交易、财务状况以及董事、高管人员履行职责的合法合规</w:t>
      </w:r>
      <w:r>
        <w:rPr>
          <w:spacing w:val="40"/>
        </w:rPr>
        <w:t> </w:t>
      </w:r>
      <w:r>
        <w:rPr>
          <w:spacing w:val="40"/>
        </w:rPr>
      </w:r>
      <w:r>
        <w:rPr/>
        <w:t>性进行监督。</w:t>
      </w:r>
    </w:p>
    <w:p>
      <w:pPr>
        <w:pStyle w:val="BodyText"/>
        <w:spacing w:line="448" w:lineRule="auto" w:before="67"/>
        <w:ind w:left="513" w:right="0"/>
        <w:jc w:val="left"/>
      </w:pPr>
      <w:r>
        <w:rPr>
          <w:rFonts w:ascii="Times New Roman" w:hAnsi="Times New Roman" w:cs="Times New Roman" w:eastAsia="Times New Roman" w:hint="default"/>
        </w:rPr>
        <w:t>5</w:t>
      </w:r>
      <w:r>
        <w:rPr/>
        <w:t>．关于绩效评价与激励约束机制</w:t>
      </w:r>
      <w:r>
        <w:rPr>
          <w:spacing w:val="-86"/>
        </w:rPr>
        <w:t> </w:t>
      </w:r>
      <w:r>
        <w:rPr>
          <w:spacing w:val="-86"/>
        </w:rPr>
      </w:r>
      <w:r>
        <w:rPr>
          <w:spacing w:val="-8"/>
          <w:w w:val="101"/>
        </w:rPr>
        <w:t>公司正逐步建立和完善公正、透明的董事、监事和经理人员的绩效评价标准和激励约束机制，高层管理人员的聘任公开、</w:t>
      </w:r>
      <w:r>
        <w:rPr>
          <w:spacing w:val="-8"/>
        </w:rPr>
      </w:r>
    </w:p>
    <w:p>
      <w:pPr>
        <w:pStyle w:val="BodyText"/>
        <w:spacing w:line="240" w:lineRule="auto" w:before="79"/>
        <w:ind w:right="0"/>
        <w:jc w:val="left"/>
      </w:pPr>
      <w:r>
        <w:rPr>
          <w:spacing w:val="-3"/>
        </w:rPr>
        <w:t>透明，符合法律法规的规定。</w:t>
      </w:r>
    </w:p>
    <w:p>
      <w:pPr>
        <w:spacing w:line="240" w:lineRule="auto" w:before="8"/>
        <w:rPr>
          <w:rFonts w:ascii="宋体" w:hAnsi="宋体" w:cs="宋体" w:eastAsia="宋体" w:hint="default"/>
          <w:sz w:val="17"/>
          <w:szCs w:val="17"/>
        </w:rPr>
      </w:pPr>
    </w:p>
    <w:p>
      <w:pPr>
        <w:pStyle w:val="BodyText"/>
        <w:spacing w:line="453" w:lineRule="auto"/>
        <w:ind w:left="513" w:right="0"/>
        <w:jc w:val="left"/>
      </w:pPr>
      <w:r>
        <w:rPr>
          <w:rFonts w:ascii="Times New Roman" w:hAnsi="Times New Roman" w:cs="Times New Roman" w:eastAsia="Times New Roman" w:hint="default"/>
          <w:spacing w:val="-3"/>
        </w:rPr>
        <w:t>6</w:t>
      </w:r>
      <w:r>
        <w:rPr>
          <w:spacing w:val="-3"/>
        </w:rPr>
        <w:t>．关于信息披露与透明度</w:t>
      </w:r>
      <w:r>
        <w:rPr>
          <w:spacing w:val="-52"/>
        </w:rPr>
        <w:t> </w:t>
      </w:r>
      <w:r>
        <w:rPr>
          <w:spacing w:val="-52"/>
        </w:rPr>
      </w:r>
      <w:r>
        <w:rPr>
          <w:spacing w:val="-6"/>
          <w:w w:val="101"/>
        </w:rPr>
        <w:t>公司严格按照有关法律法规以及《信息披露管理制度》、《投资者关系管理制度》等的要求，真实、准确、及时、公平、</w:t>
      </w:r>
      <w:r>
        <w:rPr>
          <w:spacing w:val="-6"/>
        </w:rPr>
      </w:r>
    </w:p>
    <w:p>
      <w:pPr>
        <w:pStyle w:val="BodyText"/>
        <w:spacing w:line="463" w:lineRule="auto" w:before="70"/>
        <w:ind w:right="0"/>
        <w:jc w:val="left"/>
      </w:pPr>
      <w:r>
        <w:rPr>
          <w:spacing w:val="-4"/>
        </w:rPr>
        <w:t>完整地披露有关信息；并指定公司董事会秘书负责信息披露工作，协调公司与投资者的关系，接待股东来访，回答投资者咨</w:t>
      </w:r>
      <w:r>
        <w:rPr>
          <w:spacing w:val="40"/>
        </w:rPr>
        <w:t> </w:t>
      </w:r>
      <w:r>
        <w:rPr>
          <w:spacing w:val="40"/>
        </w:rPr>
      </w:r>
      <w:r>
        <w:rPr>
          <w:spacing w:val="-6"/>
          <w:w w:val="101"/>
        </w:rPr>
        <w:t>询；并指定《证券时报》、《上海证券报》和巨潮资讯网（</w:t>
      </w:r>
      <w:hyperlink r:id="rId13">
        <w:r>
          <w:rPr>
            <w:rFonts w:ascii="Times New Roman" w:hAnsi="Times New Roman" w:cs="Times New Roman" w:eastAsia="Times New Roman" w:hint="default"/>
            <w:spacing w:val="-6"/>
            <w:w w:val="101"/>
          </w:rPr>
          <w:t>www.cninfo.com.cn</w:t>
        </w:r>
      </w:hyperlink>
      <w:r>
        <w:rPr>
          <w:spacing w:val="-6"/>
          <w:w w:val="101"/>
        </w:rPr>
        <w:t>）为公司信息披露的指定报纸和网站，确保公</w:t>
      </w:r>
      <w:r>
        <w:rPr>
          <w:spacing w:val="-42"/>
          <w:w w:val="101"/>
        </w:rPr>
        <w:t> </w:t>
      </w:r>
      <w:r>
        <w:rPr>
          <w:spacing w:val="-42"/>
          <w:w w:val="101"/>
        </w:rPr>
      </w:r>
      <w:r>
        <w:rPr>
          <w:spacing w:val="-3"/>
        </w:rPr>
        <w:t>司所有股东能够以平等的机会获得信息。</w:t>
      </w:r>
    </w:p>
    <w:p>
      <w:pPr>
        <w:pStyle w:val="BodyText"/>
        <w:spacing w:line="448" w:lineRule="auto" w:before="67"/>
        <w:ind w:left="513" w:right="0"/>
        <w:jc w:val="left"/>
      </w:pPr>
      <w:r>
        <w:rPr>
          <w:rFonts w:ascii="Times New Roman" w:hAnsi="Times New Roman" w:cs="Times New Roman" w:eastAsia="Times New Roman" w:hint="default"/>
        </w:rPr>
        <w:t>7</w:t>
      </w:r>
      <w:r>
        <w:rPr/>
        <w:t>．关于相关利益者</w:t>
      </w:r>
      <w:r>
        <w:rPr>
          <w:spacing w:val="-85"/>
        </w:rPr>
        <w:t> </w:t>
      </w:r>
      <w:r>
        <w:rPr>
          <w:spacing w:val="-85"/>
        </w:rPr>
      </w:r>
      <w:r>
        <w:rPr>
          <w:spacing w:val="-5"/>
        </w:rPr>
        <w:t>公司充分尊重和维护相关利益者的合法权益，实现社会、股东、公司、员工等各方面利益的协调平衡，诚信对待供应商</w:t>
      </w:r>
    </w:p>
    <w:p>
      <w:pPr>
        <w:pStyle w:val="BodyText"/>
        <w:spacing w:line="240" w:lineRule="auto" w:before="78"/>
        <w:ind w:right="0"/>
        <w:jc w:val="left"/>
      </w:pPr>
      <w:r>
        <w:rPr>
          <w:spacing w:val="-3"/>
        </w:rPr>
        <w:t>和客户，坚持与相关利益者互利共赢的原则，共同推动公司持续、稳健发展。</w:t>
      </w:r>
    </w:p>
    <w:p>
      <w:pPr>
        <w:spacing w:after="0" w:line="240" w:lineRule="auto"/>
        <w:jc w:val="left"/>
        <w:sectPr>
          <w:pgSz w:w="11910" w:h="16840"/>
          <w:pgMar w:header="871" w:footer="1186" w:top="1100" w:bottom="1380" w:left="980" w:right="0"/>
        </w:sectPr>
      </w:pPr>
    </w:p>
    <w:p>
      <w:pPr>
        <w:spacing w:line="240" w:lineRule="auto" w:before="3"/>
        <w:rPr>
          <w:rFonts w:ascii="宋体" w:hAnsi="宋体" w:cs="宋体" w:eastAsia="宋体" w:hint="default"/>
          <w:sz w:val="22"/>
          <w:szCs w:val="22"/>
        </w:rPr>
      </w:pPr>
    </w:p>
    <w:p>
      <w:pPr>
        <w:pStyle w:val="BodyText"/>
        <w:spacing w:line="240" w:lineRule="auto" w:before="46"/>
        <w:ind w:right="0"/>
        <w:jc w:val="left"/>
      </w:pPr>
      <w:r>
        <w:rPr>
          <w:spacing w:val="-3"/>
        </w:rPr>
        <w:t>公司治理的实际状况与中国证监会发布的有关上市公司治理的规范性文件是否存在重大差异</w:t>
      </w:r>
    </w:p>
    <w:p>
      <w:pPr>
        <w:pStyle w:val="BodyText"/>
        <w:spacing w:line="240" w:lineRule="auto" w:before="115"/>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13"/>
        <w:rPr>
          <w:rFonts w:ascii="宋体" w:hAnsi="宋体" w:cs="宋体" w:eastAsia="宋体" w:hint="default"/>
          <w:sz w:val="13"/>
          <w:szCs w:val="13"/>
        </w:rPr>
      </w:pPr>
    </w:p>
    <w:p>
      <w:pPr>
        <w:pStyle w:val="BodyText"/>
        <w:spacing w:line="240" w:lineRule="auto"/>
        <w:ind w:left="513" w:right="0"/>
        <w:jc w:val="left"/>
      </w:pPr>
      <w:r>
        <w:rPr>
          <w:spacing w:val="-3"/>
        </w:rPr>
        <w:t>公司治理的实际状况与中国证监会发布的有关上市公司治理的规范性文件不存在重大差异。</w:t>
      </w:r>
    </w:p>
    <w:p>
      <w:pPr>
        <w:spacing w:line="240" w:lineRule="auto" w:before="0"/>
        <w:rPr>
          <w:rFonts w:ascii="宋体" w:hAnsi="宋体" w:cs="宋体" w:eastAsia="宋体" w:hint="default"/>
          <w:sz w:val="18"/>
          <w:szCs w:val="18"/>
        </w:rPr>
      </w:pPr>
    </w:p>
    <w:p>
      <w:pPr>
        <w:pStyle w:val="Heading2"/>
        <w:spacing w:line="240" w:lineRule="auto" w:before="160"/>
        <w:ind w:right="0"/>
        <w:jc w:val="left"/>
        <w:rPr>
          <w:b w:val="0"/>
          <w:bCs w:val="0"/>
        </w:rPr>
      </w:pPr>
      <w:bookmarkStart w:name="二、公司相对于控股股东在业务、人员、资产、机构、财务等方面的独立情况" w:id="136"/>
      <w:bookmarkEnd w:id="136"/>
      <w:r>
        <w:rPr>
          <w:b w:val="0"/>
          <w:bCs w:val="0"/>
        </w:rPr>
      </w:r>
      <w:r>
        <w:rPr/>
        <w:t>二、公司相对于控股股东在业务、人员、资产、机构、财务等方面的独立情况</w:t>
      </w:r>
      <w:r>
        <w:rPr>
          <w:b w:val="0"/>
          <w:bCs w:val="0"/>
        </w:rPr>
      </w:r>
    </w:p>
    <w:p>
      <w:pPr>
        <w:spacing w:line="240" w:lineRule="auto" w:before="1"/>
        <w:rPr>
          <w:rFonts w:ascii="宋体" w:hAnsi="宋体" w:cs="宋体" w:eastAsia="宋体" w:hint="default"/>
          <w:b/>
          <w:bCs/>
          <w:sz w:val="33"/>
          <w:szCs w:val="33"/>
        </w:rPr>
      </w:pPr>
    </w:p>
    <w:p>
      <w:pPr>
        <w:pStyle w:val="BodyText"/>
        <w:spacing w:line="477" w:lineRule="auto"/>
        <w:ind w:right="1122" w:firstLine="360"/>
        <w:jc w:val="both"/>
      </w:pPr>
      <w:r>
        <w:rPr>
          <w:spacing w:val="-8"/>
          <w:w w:val="101"/>
        </w:rPr>
        <w:t>报告期内，公司严格按照《公司法》、《证券法》等有关法律、法规和《公司章程》的要求规范运作，建立、健全公司法</w:t>
      </w:r>
      <w:r>
        <w:rPr>
          <w:w w:val="101"/>
        </w:rPr>
        <w:t> </w:t>
      </w:r>
      <w:r>
        <w:rPr>
          <w:spacing w:val="-4"/>
        </w:rPr>
        <w:t>人治理结构。公司与控股股东、实际控制人在业务、人员、资产、机构、财务等方面完全分开，具有独立完整的业务及自主</w:t>
      </w:r>
      <w:r>
        <w:rPr>
          <w:spacing w:val="40"/>
        </w:rPr>
        <w:t> </w:t>
      </w:r>
      <w:r>
        <w:rPr>
          <w:spacing w:val="40"/>
        </w:rPr>
      </w:r>
      <w:r>
        <w:rPr/>
        <w:t>经营能力。</w:t>
      </w:r>
    </w:p>
    <w:p>
      <w:pPr>
        <w:pStyle w:val="BodyText"/>
        <w:spacing w:line="448" w:lineRule="auto" w:before="56"/>
        <w:ind w:left="513" w:right="1029"/>
        <w:jc w:val="left"/>
      </w:pPr>
      <w:r>
        <w:rPr>
          <w:rFonts w:ascii="Times New Roman" w:hAnsi="Times New Roman" w:cs="Times New Roman" w:eastAsia="Times New Roman" w:hint="default"/>
        </w:rPr>
        <w:t>1</w:t>
      </w:r>
      <w:r>
        <w:rPr/>
        <w:t>．业务独立</w:t>
      </w:r>
      <w:r>
        <w:rPr>
          <w:spacing w:val="-87"/>
        </w:rPr>
        <w:t> </w:t>
      </w:r>
      <w:r>
        <w:rPr>
          <w:spacing w:val="-87"/>
        </w:rPr>
      </w:r>
      <w:r>
        <w:rPr>
          <w:spacing w:val="-5"/>
        </w:rPr>
        <w:t>公司拥有完整独立的研发、运营、采购和销售系统，具有独立完整的业务体系及面向市场独立经营的能力，不依赖于股</w:t>
      </w:r>
    </w:p>
    <w:p>
      <w:pPr>
        <w:pStyle w:val="BodyText"/>
        <w:spacing w:line="240" w:lineRule="auto" w:before="79"/>
        <w:ind w:right="0"/>
        <w:jc w:val="left"/>
      </w:pPr>
      <w:r>
        <w:rPr>
          <w:spacing w:val="-3"/>
        </w:rPr>
        <w:t>东或其它任何关联方，也不存在与控股股东、实际控制人之间的同业竞争。</w:t>
      </w:r>
    </w:p>
    <w:p>
      <w:pPr>
        <w:spacing w:line="240" w:lineRule="auto" w:before="8"/>
        <w:rPr>
          <w:rFonts w:ascii="宋体" w:hAnsi="宋体" w:cs="宋体" w:eastAsia="宋体" w:hint="default"/>
          <w:sz w:val="17"/>
          <w:szCs w:val="17"/>
        </w:rPr>
      </w:pPr>
    </w:p>
    <w:p>
      <w:pPr>
        <w:pStyle w:val="BodyText"/>
        <w:spacing w:line="453" w:lineRule="auto"/>
        <w:ind w:left="513" w:right="1029"/>
        <w:jc w:val="left"/>
      </w:pPr>
      <w:r>
        <w:rPr>
          <w:rFonts w:ascii="Times New Roman" w:hAnsi="Times New Roman" w:cs="Times New Roman" w:eastAsia="Times New Roman" w:hint="default"/>
        </w:rPr>
        <w:t>2</w:t>
      </w:r>
      <w:r>
        <w:rPr/>
        <w:t>．人员独立</w:t>
      </w:r>
      <w:r>
        <w:rPr>
          <w:spacing w:val="-87"/>
        </w:rPr>
        <w:t> </w:t>
      </w:r>
      <w:r>
        <w:rPr>
          <w:spacing w:val="-87"/>
        </w:rPr>
      </w:r>
      <w:r>
        <w:rPr>
          <w:spacing w:val="-5"/>
        </w:rPr>
        <w:t>公司人员、劳动、人事及工资完全独立。公司的董事、监事、高级管理人员的任职，均按照《公司法》及其他法律、法</w:t>
      </w:r>
    </w:p>
    <w:p>
      <w:pPr>
        <w:pStyle w:val="BodyText"/>
        <w:spacing w:line="480" w:lineRule="auto" w:before="70"/>
        <w:ind w:right="0"/>
        <w:jc w:val="left"/>
      </w:pPr>
      <w:r>
        <w:rPr>
          <w:spacing w:val="-5"/>
          <w:w w:val="101"/>
        </w:rPr>
        <w:t>规、规范性文件、《公司章程》规定的程序进行。公司董事、监事及高级管理人员等均在公司工作并领取薪酬；公司财务人</w:t>
      </w:r>
      <w:r>
        <w:rPr>
          <w:spacing w:val="-43"/>
          <w:w w:val="101"/>
        </w:rPr>
        <w:t> </w:t>
      </w:r>
      <w:r>
        <w:rPr>
          <w:spacing w:val="-43"/>
          <w:w w:val="101"/>
        </w:rPr>
      </w:r>
      <w:r>
        <w:rPr>
          <w:spacing w:val="-3"/>
        </w:rPr>
        <w:t>员没有在控股股东、实际控制人及其控制的其他企业兼职。</w:t>
      </w:r>
    </w:p>
    <w:p>
      <w:pPr>
        <w:pStyle w:val="BodyText"/>
        <w:spacing w:line="453" w:lineRule="auto" w:before="50"/>
        <w:ind w:left="513" w:right="1029"/>
        <w:jc w:val="left"/>
      </w:pPr>
      <w:r>
        <w:rPr>
          <w:rFonts w:ascii="Times New Roman" w:hAnsi="Times New Roman" w:cs="Times New Roman" w:eastAsia="Times New Roman" w:hint="default"/>
        </w:rPr>
        <w:t>3</w:t>
      </w:r>
      <w:r>
        <w:rPr/>
        <w:t>．资产完整</w:t>
      </w:r>
      <w:r>
        <w:rPr>
          <w:spacing w:val="-87"/>
        </w:rPr>
        <w:t> </w:t>
      </w:r>
      <w:r>
        <w:rPr>
          <w:spacing w:val="-87"/>
        </w:rPr>
      </w:r>
      <w:r>
        <w:rPr>
          <w:spacing w:val="-5"/>
          <w:w w:val="101"/>
        </w:rPr>
        <w:t>公司资产完整，与控股股东产权关系界定清晰，拥有独立的经营系统和配套设施以及商标（商标申请权）、专利、专有</w:t>
      </w:r>
      <w:r>
        <w:rPr>
          <w:spacing w:val="-5"/>
        </w:rPr>
      </w:r>
    </w:p>
    <w:p>
      <w:pPr>
        <w:pStyle w:val="BodyText"/>
        <w:spacing w:line="480" w:lineRule="auto" w:before="70"/>
        <w:ind w:right="0"/>
        <w:jc w:val="left"/>
      </w:pPr>
      <w:r>
        <w:rPr>
          <w:spacing w:val="-4"/>
        </w:rPr>
        <w:t>技术、计算机软件著作权等资产。公司对全部资产拥有完整的控制支配权，不存在货币资金或其他资产被股东占用而损害公</w:t>
      </w:r>
      <w:r>
        <w:rPr>
          <w:spacing w:val="43"/>
        </w:rPr>
        <w:t> </w:t>
      </w:r>
      <w:r>
        <w:rPr>
          <w:spacing w:val="43"/>
        </w:rPr>
      </w:r>
      <w:r>
        <w:rPr>
          <w:spacing w:val="-3"/>
        </w:rPr>
        <w:t>司利益的情况，公司资产完整且独立。</w:t>
      </w:r>
    </w:p>
    <w:p>
      <w:pPr>
        <w:pStyle w:val="BodyText"/>
        <w:spacing w:line="453" w:lineRule="auto" w:before="50"/>
        <w:ind w:left="513" w:right="1029"/>
        <w:jc w:val="left"/>
      </w:pPr>
      <w:r>
        <w:rPr>
          <w:rFonts w:ascii="Times New Roman" w:hAnsi="Times New Roman" w:cs="Times New Roman" w:eastAsia="Times New Roman" w:hint="default"/>
        </w:rPr>
        <w:t>4</w:t>
      </w:r>
      <w:r>
        <w:rPr/>
        <w:t>．机构独立</w:t>
      </w:r>
      <w:r>
        <w:rPr>
          <w:spacing w:val="-87"/>
        </w:rPr>
        <w:t> </w:t>
      </w:r>
      <w:r>
        <w:rPr>
          <w:spacing w:val="-87"/>
        </w:rPr>
      </w:r>
      <w:r>
        <w:rPr>
          <w:spacing w:val="-4"/>
        </w:rPr>
        <w:t>本公司具有独立健全的法人治理结构，董事会、监事会等内部机构独立运作，不存在与控股股东及其职能部门之间的从</w:t>
      </w:r>
    </w:p>
    <w:p>
      <w:pPr>
        <w:pStyle w:val="BodyText"/>
        <w:spacing w:line="463" w:lineRule="auto" w:before="70"/>
        <w:ind w:left="513" w:right="1029" w:hanging="360"/>
        <w:jc w:val="left"/>
      </w:pPr>
      <w:r>
        <w:rPr>
          <w:spacing w:val="-8"/>
        </w:rPr>
        <w:t>属关系。各部门独立履行其职责，负责公司的生产经营活动，其履行职能不受控股股东、其他有关部门或单位、个人的干预。</w:t>
      </w:r>
      <w:r>
        <w:rPr>
          <w:spacing w:val="5"/>
        </w:rPr>
        <w:t> </w:t>
      </w:r>
      <w:r>
        <w:rPr>
          <w:spacing w:val="5"/>
        </w:rPr>
      </w:r>
      <w:r>
        <w:rPr>
          <w:rFonts w:ascii="Times New Roman" w:hAnsi="Times New Roman" w:cs="Times New Roman" w:eastAsia="Times New Roman" w:hint="default"/>
        </w:rPr>
        <w:t>5</w:t>
      </w:r>
      <w:r>
        <w:rPr/>
        <w:t>．财务独立</w:t>
      </w:r>
      <w:r>
        <w:rPr>
          <w:w w:val="101"/>
        </w:rPr>
        <w:t> </w:t>
      </w:r>
      <w:r>
        <w:rPr>
          <w:spacing w:val="-4"/>
        </w:rPr>
        <w:t>本公司设有独立的财务部门、财务负责人和财务会计工作人员，建立了独立的财务规章制度和财务核算体系，独立进行</w:t>
      </w:r>
    </w:p>
    <w:p>
      <w:pPr>
        <w:pStyle w:val="BodyText"/>
        <w:spacing w:line="475" w:lineRule="auto" w:before="68"/>
        <w:ind w:right="0"/>
        <w:jc w:val="left"/>
      </w:pPr>
      <w:r>
        <w:rPr>
          <w:spacing w:val="-8"/>
          <w:w w:val="101"/>
        </w:rPr>
        <w:t>财务决策。公司开设了独立的银行账户，依法独立纳税，不存在与股东单位及其关联方共用银行账户的情况，也不存在资金、</w:t>
      </w:r>
      <w:r>
        <w:rPr>
          <w:spacing w:val="-49"/>
          <w:w w:val="101"/>
        </w:rPr>
        <w:t> </w:t>
      </w:r>
      <w:r>
        <w:rPr>
          <w:spacing w:val="-49"/>
          <w:w w:val="101"/>
        </w:rPr>
      </w:r>
      <w:r>
        <w:rPr>
          <w:spacing w:val="-3"/>
        </w:rPr>
        <w:t>资产被股东单位及其关联方非法占用的情况。</w:t>
      </w:r>
    </w:p>
    <w:p>
      <w:pPr>
        <w:spacing w:line="240" w:lineRule="auto" w:before="1"/>
        <w:rPr>
          <w:rFonts w:ascii="宋体" w:hAnsi="宋体" w:cs="宋体" w:eastAsia="宋体" w:hint="default"/>
          <w:sz w:val="17"/>
          <w:szCs w:val="17"/>
        </w:rPr>
      </w:pPr>
    </w:p>
    <w:p>
      <w:pPr>
        <w:pStyle w:val="Heading2"/>
        <w:spacing w:line="240" w:lineRule="auto"/>
        <w:ind w:right="0"/>
        <w:jc w:val="left"/>
        <w:rPr>
          <w:b w:val="0"/>
          <w:bCs w:val="0"/>
        </w:rPr>
      </w:pPr>
      <w:bookmarkStart w:name="三、同业竞争情况" w:id="137"/>
      <w:bookmarkEnd w:id="137"/>
      <w:r>
        <w:rPr>
          <w:b w:val="0"/>
          <w:bCs w:val="0"/>
        </w:rPr>
      </w:r>
      <w:r>
        <w:rPr/>
        <w:t>三、同业竞争情况</w:t>
      </w:r>
      <w:r>
        <w:rPr>
          <w:b w:val="0"/>
          <w:bCs w:val="0"/>
        </w:rPr>
      </w:r>
    </w:p>
    <w:p>
      <w:pPr>
        <w:spacing w:line="240" w:lineRule="auto" w:before="3"/>
        <w:rPr>
          <w:rFonts w:ascii="宋体" w:hAnsi="宋体" w:cs="宋体" w:eastAsia="宋体" w:hint="default"/>
          <w:b/>
          <w:bCs/>
          <w:sz w:val="27"/>
          <w:szCs w:val="27"/>
        </w:rPr>
      </w:pPr>
    </w:p>
    <w:p>
      <w:pPr>
        <w:pStyle w:val="BodyText"/>
        <w:spacing w:line="240" w:lineRule="auto"/>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after="0" w:line="240" w:lineRule="auto"/>
        <w:jc w:val="left"/>
        <w:sectPr>
          <w:pgSz w:w="11910" w:h="16840"/>
          <w:pgMar w:header="871" w:footer="1186" w:top="1100" w:bottom="1380" w:left="980" w:right="0"/>
        </w:sectPr>
      </w:pPr>
    </w:p>
    <w:p>
      <w:pPr>
        <w:spacing w:line="240" w:lineRule="auto" w:before="2"/>
        <w:rPr>
          <w:rFonts w:ascii="宋体" w:hAnsi="宋体" w:cs="宋体" w:eastAsia="宋体" w:hint="default"/>
          <w:sz w:val="19"/>
          <w:szCs w:val="19"/>
        </w:rPr>
      </w:pPr>
    </w:p>
    <w:p>
      <w:pPr>
        <w:pStyle w:val="Heading2"/>
        <w:spacing w:line="240" w:lineRule="auto" w:before="26"/>
        <w:ind w:right="0"/>
        <w:jc w:val="left"/>
        <w:rPr>
          <w:b w:val="0"/>
          <w:bCs w:val="0"/>
        </w:rPr>
      </w:pPr>
      <w:bookmarkStart w:name="四、报告期内召开的年度股东大会和临时股东大会的有关情况" w:id="138"/>
      <w:bookmarkEnd w:id="138"/>
      <w:r>
        <w:rPr>
          <w:b w:val="0"/>
          <w:bCs w:val="0"/>
        </w:rPr>
      </w:r>
      <w:r>
        <w:rPr/>
        <w:t>四、报告期内召开的年度股东大会和临时股东大会的有关情况</w:t>
      </w:r>
      <w:r>
        <w:rPr>
          <w:b w:val="0"/>
          <w:bCs w:val="0"/>
        </w:rPr>
      </w:r>
    </w:p>
    <w:p>
      <w:pPr>
        <w:spacing w:line="240" w:lineRule="auto" w:before="3"/>
        <w:rPr>
          <w:rFonts w:ascii="宋体" w:hAnsi="宋体" w:cs="宋体" w:eastAsia="宋体" w:hint="default"/>
          <w:b/>
          <w:bCs/>
          <w:sz w:val="25"/>
          <w:szCs w:val="25"/>
        </w:rPr>
      </w:pPr>
    </w:p>
    <w:p>
      <w:pPr>
        <w:pStyle w:val="Heading3"/>
        <w:spacing w:line="240" w:lineRule="auto"/>
        <w:ind w:right="0"/>
        <w:jc w:val="left"/>
        <w:rPr>
          <w:b w:val="0"/>
          <w:bCs w:val="0"/>
        </w:rPr>
      </w:pPr>
      <w:bookmarkStart w:name="1、本报告期股东大会情况" w:id="139"/>
      <w:bookmarkEnd w:id="139"/>
      <w:r>
        <w:rPr>
          <w:b w:val="0"/>
          <w:bCs w:val="0"/>
        </w:rPr>
      </w:r>
      <w:r>
        <w:rPr>
          <w:rFonts w:ascii="Times New Roman" w:hAnsi="Times New Roman" w:cs="Times New Roman" w:eastAsia="Times New Roman" w:hint="default"/>
        </w:rPr>
        <w:t>1</w:t>
      </w:r>
      <w:r>
        <w:rPr/>
        <w:t>、本报告期股东大会情况</w:t>
      </w:r>
      <w:r>
        <w:rPr>
          <w:b w:val="0"/>
          <w:bCs w:val="0"/>
        </w:rPr>
      </w:r>
    </w:p>
    <w:p>
      <w:pPr>
        <w:spacing w:line="240" w:lineRule="auto" w:before="12"/>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599"/>
        <w:gridCol w:w="1594"/>
        <w:gridCol w:w="1595"/>
        <w:gridCol w:w="1594"/>
        <w:gridCol w:w="1594"/>
        <w:gridCol w:w="1594"/>
      </w:tblGrid>
      <w:tr>
        <w:trPr>
          <w:trHeight w:val="398" w:hRule="exact"/>
        </w:trPr>
        <w:tc>
          <w:tcPr>
            <w:tcW w:w="1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32" w:right="0"/>
              <w:jc w:val="left"/>
              <w:rPr>
                <w:rFonts w:ascii="宋体" w:hAnsi="宋体" w:cs="宋体" w:eastAsia="宋体" w:hint="default"/>
                <w:sz w:val="18"/>
                <w:szCs w:val="18"/>
              </w:rPr>
            </w:pPr>
            <w:r>
              <w:rPr>
                <w:rFonts w:ascii="宋体" w:hAnsi="宋体" w:cs="宋体" w:eastAsia="宋体" w:hint="default"/>
                <w:sz w:val="18"/>
                <w:szCs w:val="18"/>
              </w:rPr>
              <w:t>会议届次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425"/>
              <w:jc w:val="right"/>
              <w:rPr>
                <w:rFonts w:ascii="宋体" w:hAnsi="宋体" w:cs="宋体" w:eastAsia="宋体" w:hint="default"/>
                <w:sz w:val="18"/>
                <w:szCs w:val="18"/>
              </w:rPr>
            </w:pPr>
            <w:r>
              <w:rPr>
                <w:rFonts w:ascii="宋体" w:hAnsi="宋体" w:cs="宋体" w:eastAsia="宋体" w:hint="default"/>
                <w:spacing w:val="-2"/>
                <w:sz w:val="18"/>
                <w:szCs w:val="18"/>
              </w:rPr>
              <w:t>会议类型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63" w:right="0"/>
              <w:jc w:val="left"/>
              <w:rPr>
                <w:rFonts w:ascii="宋体" w:hAnsi="宋体" w:cs="宋体" w:eastAsia="宋体" w:hint="default"/>
                <w:sz w:val="18"/>
                <w:szCs w:val="18"/>
              </w:rPr>
            </w:pPr>
            <w:r>
              <w:rPr>
                <w:rFonts w:ascii="宋体" w:hAnsi="宋体" w:cs="宋体" w:eastAsia="宋体" w:hint="default"/>
                <w:spacing w:val="-3"/>
                <w:sz w:val="18"/>
                <w:szCs w:val="18"/>
              </w:rPr>
              <w:t>投资者参与比例</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32"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715"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53"/>
              <w:ind w:left="24" w:right="75"/>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5"/>
                <w:sz w:val="18"/>
                <w:szCs w:val="18"/>
              </w:rPr>
              <w:t> </w:t>
            </w:r>
            <w:r>
              <w:rPr>
                <w:rFonts w:ascii="宋体" w:hAnsi="宋体" w:cs="宋体" w:eastAsia="宋体" w:hint="default"/>
                <w:spacing w:val="-3"/>
                <w:sz w:val="18"/>
                <w:szCs w:val="18"/>
              </w:rPr>
              <w:t>年年度股东大</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right="473"/>
              <w:jc w:val="right"/>
              <w:rPr>
                <w:rFonts w:ascii="宋体" w:hAnsi="宋体" w:cs="宋体" w:eastAsia="宋体" w:hint="default"/>
                <w:sz w:val="18"/>
                <w:szCs w:val="18"/>
              </w:rPr>
            </w:pPr>
            <w:r>
              <w:rPr>
                <w:rFonts w:ascii="宋体" w:hAnsi="宋体" w:cs="宋体" w:eastAsia="宋体" w:hint="default"/>
                <w:spacing w:val="-2"/>
                <w:sz w:val="18"/>
                <w:szCs w:val="18"/>
              </w:rPr>
              <w:t>年度股东大会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52.43%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right="4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right="4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123"/>
              <w:ind w:left="23" w:right="0"/>
              <w:jc w:val="left"/>
              <w:rPr>
                <w:rFonts w:ascii="Times New Roman" w:hAnsi="Times New Roman" w:cs="Times New Roman" w:eastAsia="Times New Roman" w:hint="default"/>
                <w:sz w:val="18"/>
                <w:szCs w:val="18"/>
              </w:rPr>
            </w:pPr>
            <w:hyperlink r:id="rId13">
              <w:r>
                <w:rPr>
                  <w:rFonts w:ascii="Times New Roman"/>
                  <w:spacing w:val="-3"/>
                  <w:sz w:val="18"/>
                </w:rPr>
                <w:t>www.cninfo.com.cn</w:t>
              </w:r>
            </w:hyperlink>
          </w:p>
        </w:tc>
      </w:tr>
      <w:tr>
        <w:trPr>
          <w:trHeight w:val="716"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3"/>
              <w:ind w:left="24" w:right="75"/>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5"/>
                <w:sz w:val="18"/>
                <w:szCs w:val="18"/>
              </w:rPr>
              <w:t> </w:t>
            </w:r>
            <w:r>
              <w:rPr>
                <w:rFonts w:ascii="宋体" w:hAnsi="宋体" w:cs="宋体" w:eastAsia="宋体" w:hint="default"/>
                <w:spacing w:val="-3"/>
                <w:sz w:val="18"/>
                <w:szCs w:val="18"/>
              </w:rPr>
              <w:t>年第一次临时</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right="473"/>
              <w:jc w:val="right"/>
              <w:rPr>
                <w:rFonts w:ascii="宋体" w:hAnsi="宋体" w:cs="宋体" w:eastAsia="宋体" w:hint="default"/>
                <w:sz w:val="18"/>
                <w:szCs w:val="18"/>
              </w:rPr>
            </w:pPr>
            <w:r>
              <w:rPr>
                <w:rFonts w:ascii="宋体" w:hAnsi="宋体" w:cs="宋体" w:eastAsia="宋体" w:hint="default"/>
                <w:spacing w:val="-2"/>
                <w:sz w:val="18"/>
                <w:szCs w:val="18"/>
              </w:rPr>
              <w:t>临时股东大会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52.55%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right="4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right="4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119"/>
              <w:ind w:left="23" w:right="0"/>
              <w:jc w:val="left"/>
              <w:rPr>
                <w:rFonts w:ascii="Times New Roman" w:hAnsi="Times New Roman" w:cs="Times New Roman" w:eastAsia="Times New Roman" w:hint="default"/>
                <w:sz w:val="18"/>
                <w:szCs w:val="18"/>
              </w:rPr>
            </w:pPr>
            <w:hyperlink r:id="rId13">
              <w:r>
                <w:rPr>
                  <w:rFonts w:ascii="Times New Roman"/>
                  <w:spacing w:val="-3"/>
                  <w:sz w:val="18"/>
                </w:rPr>
                <w:t>www.cninfo.com.cn</w:t>
              </w:r>
            </w:hyperlink>
          </w:p>
        </w:tc>
      </w:tr>
      <w:tr>
        <w:trPr>
          <w:trHeight w:val="715"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3"/>
              <w:ind w:left="24" w:right="75"/>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5"/>
                <w:sz w:val="18"/>
                <w:szCs w:val="18"/>
              </w:rPr>
              <w:t> </w:t>
            </w:r>
            <w:r>
              <w:rPr>
                <w:rFonts w:ascii="宋体" w:hAnsi="宋体" w:cs="宋体" w:eastAsia="宋体" w:hint="default"/>
                <w:spacing w:val="-3"/>
                <w:sz w:val="18"/>
                <w:szCs w:val="18"/>
              </w:rPr>
              <w:t>年第二次临时</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473"/>
              <w:jc w:val="right"/>
              <w:rPr>
                <w:rFonts w:ascii="宋体" w:hAnsi="宋体" w:cs="宋体" w:eastAsia="宋体" w:hint="default"/>
                <w:sz w:val="18"/>
                <w:szCs w:val="18"/>
              </w:rPr>
            </w:pPr>
            <w:r>
              <w:rPr>
                <w:rFonts w:ascii="宋体" w:hAnsi="宋体" w:cs="宋体" w:eastAsia="宋体" w:hint="default"/>
                <w:spacing w:val="-2"/>
                <w:sz w:val="18"/>
                <w:szCs w:val="18"/>
              </w:rPr>
              <w:t>临时股东大会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52.61%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5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5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118"/>
              <w:ind w:left="23" w:right="0"/>
              <w:jc w:val="left"/>
              <w:rPr>
                <w:rFonts w:ascii="Times New Roman" w:hAnsi="Times New Roman" w:cs="Times New Roman" w:eastAsia="Times New Roman" w:hint="default"/>
                <w:sz w:val="18"/>
                <w:szCs w:val="18"/>
              </w:rPr>
            </w:pPr>
            <w:hyperlink r:id="rId13">
              <w:r>
                <w:rPr>
                  <w:rFonts w:ascii="Times New Roman"/>
                  <w:spacing w:val="-3"/>
                  <w:sz w:val="18"/>
                </w:rPr>
                <w:t>www.cninfo.com.cn</w:t>
              </w:r>
            </w:hyperlink>
          </w:p>
        </w:tc>
      </w:tr>
      <w:tr>
        <w:trPr>
          <w:trHeight w:val="711"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3"/>
              <w:ind w:left="24" w:right="75"/>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5"/>
                <w:sz w:val="18"/>
                <w:szCs w:val="18"/>
              </w:rPr>
              <w:t> </w:t>
            </w:r>
            <w:r>
              <w:rPr>
                <w:rFonts w:ascii="宋体" w:hAnsi="宋体" w:cs="宋体" w:eastAsia="宋体" w:hint="default"/>
                <w:spacing w:val="-3"/>
                <w:sz w:val="18"/>
                <w:szCs w:val="18"/>
              </w:rPr>
              <w:t>年第三次临时</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473"/>
              <w:jc w:val="right"/>
              <w:rPr>
                <w:rFonts w:ascii="宋体" w:hAnsi="宋体" w:cs="宋体" w:eastAsia="宋体" w:hint="default"/>
                <w:sz w:val="18"/>
                <w:szCs w:val="18"/>
              </w:rPr>
            </w:pPr>
            <w:r>
              <w:rPr>
                <w:rFonts w:ascii="宋体" w:hAnsi="宋体" w:cs="宋体" w:eastAsia="宋体" w:hint="default"/>
                <w:spacing w:val="-2"/>
                <w:sz w:val="18"/>
                <w:szCs w:val="18"/>
              </w:rPr>
              <w:t>临时股东大会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17.31%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4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4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118"/>
              <w:ind w:left="23" w:right="0"/>
              <w:jc w:val="left"/>
              <w:rPr>
                <w:rFonts w:ascii="Times New Roman" w:hAnsi="Times New Roman" w:cs="Times New Roman" w:eastAsia="Times New Roman" w:hint="default"/>
                <w:sz w:val="18"/>
                <w:szCs w:val="18"/>
              </w:rPr>
            </w:pPr>
            <w:hyperlink r:id="rId13">
              <w:r>
                <w:rPr>
                  <w:rFonts w:ascii="Times New Roman"/>
                  <w:spacing w:val="-3"/>
                  <w:sz w:val="18"/>
                </w:rPr>
                <w:t>www.cninfo.com.cn</w:t>
              </w:r>
            </w:hyperlink>
          </w:p>
        </w:tc>
      </w:tr>
    </w:tbl>
    <w:p>
      <w:pPr>
        <w:spacing w:line="240" w:lineRule="auto" w:before="3"/>
        <w:rPr>
          <w:rFonts w:ascii="宋体" w:hAnsi="宋体" w:cs="宋体" w:eastAsia="宋体" w:hint="default"/>
          <w:b/>
          <w:bCs/>
          <w:sz w:val="19"/>
          <w:szCs w:val="19"/>
        </w:rPr>
      </w:pPr>
    </w:p>
    <w:p>
      <w:pPr>
        <w:pStyle w:val="Heading3"/>
        <w:spacing w:line="240" w:lineRule="auto" w:before="36"/>
        <w:ind w:right="0"/>
        <w:jc w:val="left"/>
        <w:rPr>
          <w:b w:val="0"/>
          <w:bCs w:val="0"/>
        </w:rPr>
      </w:pPr>
      <w:bookmarkStart w:name="2、表决权恢复的优先股股东请求召开临时股东大会" w:id="140"/>
      <w:bookmarkEnd w:id="140"/>
      <w:r>
        <w:rPr>
          <w:b w:val="0"/>
          <w:bCs w:val="0"/>
        </w:rPr>
      </w:r>
      <w:r>
        <w:rPr>
          <w:rFonts w:ascii="Times New Roman" w:hAnsi="Times New Roman" w:cs="Times New Roman" w:eastAsia="Times New Roman" w:hint="default"/>
        </w:rPr>
        <w:t>2</w:t>
      </w:r>
      <w:r>
        <w:rPr/>
        <w:t>、表决权恢复的优先股股东请求召开临时股东大会</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12"/>
        <w:rPr>
          <w:rFonts w:ascii="宋体" w:hAnsi="宋体" w:cs="宋体" w:eastAsia="宋体" w:hint="default"/>
          <w:sz w:val="22"/>
          <w:szCs w:val="22"/>
        </w:rPr>
      </w:pPr>
    </w:p>
    <w:p>
      <w:pPr>
        <w:pStyle w:val="Heading2"/>
        <w:spacing w:line="240" w:lineRule="auto"/>
        <w:ind w:right="0"/>
        <w:jc w:val="left"/>
        <w:rPr>
          <w:b w:val="0"/>
          <w:bCs w:val="0"/>
        </w:rPr>
      </w:pPr>
      <w:bookmarkStart w:name="五、报告期内独立董事履行职责的情况" w:id="141"/>
      <w:bookmarkEnd w:id="141"/>
      <w:r>
        <w:rPr>
          <w:b w:val="0"/>
          <w:bCs w:val="0"/>
        </w:rPr>
      </w:r>
      <w:r>
        <w:rPr/>
        <w:t>五、报告期内独立董事履行职责的情况</w:t>
      </w:r>
      <w:r>
        <w:rPr>
          <w:b w:val="0"/>
          <w:bCs w:val="0"/>
        </w:rPr>
      </w:r>
    </w:p>
    <w:p>
      <w:pPr>
        <w:spacing w:line="240" w:lineRule="auto" w:before="3"/>
        <w:rPr>
          <w:rFonts w:ascii="宋体" w:hAnsi="宋体" w:cs="宋体" w:eastAsia="宋体" w:hint="default"/>
          <w:b/>
          <w:bCs/>
          <w:sz w:val="25"/>
          <w:szCs w:val="25"/>
        </w:rPr>
      </w:pPr>
    </w:p>
    <w:p>
      <w:pPr>
        <w:pStyle w:val="Heading3"/>
        <w:spacing w:line="240" w:lineRule="auto"/>
        <w:ind w:right="0"/>
        <w:jc w:val="left"/>
        <w:rPr>
          <w:b w:val="0"/>
          <w:bCs w:val="0"/>
        </w:rPr>
      </w:pPr>
      <w:bookmarkStart w:name="1、独立董事出席董事会及股东大会的情况" w:id="142"/>
      <w:bookmarkEnd w:id="142"/>
      <w:r>
        <w:rPr>
          <w:b w:val="0"/>
          <w:bCs w:val="0"/>
        </w:rPr>
      </w:r>
      <w:r>
        <w:rPr>
          <w:rFonts w:ascii="Times New Roman" w:hAnsi="Times New Roman" w:cs="Times New Roman" w:eastAsia="Times New Roman" w:hint="default"/>
        </w:rPr>
        <w:t>1</w:t>
      </w:r>
      <w:r>
        <w:rPr/>
        <w:t>、独立董事出席董事会及股东大会的情况</w:t>
      </w:r>
      <w:r>
        <w:rPr>
          <w:b w:val="0"/>
          <w:bCs w:val="0"/>
        </w:rPr>
      </w:r>
    </w:p>
    <w:p>
      <w:pPr>
        <w:spacing w:line="240" w:lineRule="auto" w:before="11"/>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426"/>
        <w:gridCol w:w="1167"/>
        <w:gridCol w:w="1162"/>
        <w:gridCol w:w="1167"/>
        <w:gridCol w:w="1162"/>
        <w:gridCol w:w="1162"/>
        <w:gridCol w:w="1162"/>
        <w:gridCol w:w="1167"/>
      </w:tblGrid>
      <w:tr>
        <w:trPr>
          <w:trHeight w:val="401" w:hRule="exact"/>
        </w:trPr>
        <w:tc>
          <w:tcPr>
            <w:tcW w:w="9575"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pacing w:val="-3"/>
                <w:sz w:val="18"/>
                <w:szCs w:val="18"/>
              </w:rPr>
              <w:t>独立董事出席董事会及股东大会的情况</w:t>
            </w:r>
          </w:p>
        </w:tc>
      </w:tr>
      <w:tr>
        <w:trPr>
          <w:trHeight w:val="1025" w:hRule="exact"/>
        </w:trPr>
        <w:tc>
          <w:tcPr>
            <w:tcW w:w="1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3"/>
              <w:ind w:left="168" w:right="0"/>
              <w:jc w:val="left"/>
              <w:rPr>
                <w:rFonts w:ascii="宋体" w:hAnsi="宋体" w:cs="宋体" w:eastAsia="宋体" w:hint="default"/>
                <w:sz w:val="18"/>
                <w:szCs w:val="18"/>
              </w:rPr>
            </w:pPr>
            <w:r>
              <w:rPr>
                <w:rFonts w:ascii="宋体" w:hAnsi="宋体" w:cs="宋体" w:eastAsia="宋体" w:hint="default"/>
                <w:sz w:val="18"/>
                <w:szCs w:val="18"/>
              </w:rPr>
              <w:t>独立董事姓名</w:t>
            </w: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b/>
                <w:bCs/>
                <w:sz w:val="16"/>
                <w:szCs w:val="16"/>
              </w:rPr>
            </w:pPr>
          </w:p>
          <w:p>
            <w:pPr>
              <w:pStyle w:val="TableParagraph"/>
              <w:spacing w:line="316" w:lineRule="auto"/>
              <w:ind w:left="38" w:right="31"/>
              <w:jc w:val="left"/>
              <w:rPr>
                <w:rFonts w:ascii="宋体" w:hAnsi="宋体" w:cs="宋体" w:eastAsia="宋体" w:hint="default"/>
                <w:sz w:val="18"/>
                <w:szCs w:val="18"/>
              </w:rPr>
            </w:pPr>
            <w:r>
              <w:rPr>
                <w:rFonts w:ascii="宋体" w:hAnsi="宋体" w:cs="宋体" w:eastAsia="宋体" w:hint="default"/>
                <w:spacing w:val="-2"/>
                <w:sz w:val="18"/>
                <w:szCs w:val="18"/>
              </w:rPr>
              <w:t>本报告期应参</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加董事会次数</w:t>
            </w:r>
          </w:p>
        </w:tc>
        <w:tc>
          <w:tcPr>
            <w:tcW w:w="11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b/>
                <w:bCs/>
                <w:sz w:val="16"/>
                <w:szCs w:val="16"/>
              </w:rPr>
            </w:pPr>
          </w:p>
          <w:p>
            <w:pPr>
              <w:pStyle w:val="TableParagraph"/>
              <w:spacing w:line="316" w:lineRule="auto"/>
              <w:ind w:left="307" w:right="27" w:hanging="269"/>
              <w:jc w:val="left"/>
              <w:rPr>
                <w:rFonts w:ascii="宋体" w:hAnsi="宋体" w:cs="宋体" w:eastAsia="宋体" w:hint="default"/>
                <w:sz w:val="18"/>
                <w:szCs w:val="18"/>
              </w:rPr>
            </w:pPr>
            <w:r>
              <w:rPr>
                <w:rFonts w:ascii="宋体" w:hAnsi="宋体" w:cs="宋体" w:eastAsia="宋体" w:hint="default"/>
                <w:spacing w:val="-2"/>
                <w:sz w:val="18"/>
                <w:szCs w:val="18"/>
              </w:rPr>
              <w:t>现场出席董事</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会次数</w:t>
            </w: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b/>
                <w:bCs/>
                <w:sz w:val="16"/>
                <w:szCs w:val="16"/>
              </w:rPr>
            </w:pPr>
          </w:p>
          <w:p>
            <w:pPr>
              <w:pStyle w:val="TableParagraph"/>
              <w:spacing w:line="316" w:lineRule="auto"/>
              <w:ind w:left="38" w:right="31"/>
              <w:jc w:val="left"/>
              <w:rPr>
                <w:rFonts w:ascii="宋体" w:hAnsi="宋体" w:cs="宋体" w:eastAsia="宋体" w:hint="default"/>
                <w:sz w:val="18"/>
                <w:szCs w:val="18"/>
              </w:rPr>
            </w:pPr>
            <w:r>
              <w:rPr>
                <w:rFonts w:ascii="宋体" w:hAnsi="宋体" w:cs="宋体" w:eastAsia="宋体" w:hint="default"/>
                <w:spacing w:val="-2"/>
                <w:sz w:val="18"/>
                <w:szCs w:val="18"/>
              </w:rPr>
              <w:t>以通讯方式参</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加董事会次数</w:t>
            </w:r>
          </w:p>
        </w:tc>
        <w:tc>
          <w:tcPr>
            <w:tcW w:w="11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b/>
                <w:bCs/>
                <w:sz w:val="16"/>
                <w:szCs w:val="16"/>
              </w:rPr>
            </w:pPr>
          </w:p>
          <w:p>
            <w:pPr>
              <w:pStyle w:val="TableParagraph"/>
              <w:spacing w:line="316" w:lineRule="auto"/>
              <w:ind w:left="307" w:right="27" w:hanging="269"/>
              <w:jc w:val="left"/>
              <w:rPr>
                <w:rFonts w:ascii="宋体" w:hAnsi="宋体" w:cs="宋体" w:eastAsia="宋体" w:hint="default"/>
                <w:sz w:val="18"/>
                <w:szCs w:val="18"/>
              </w:rPr>
            </w:pPr>
            <w:r>
              <w:rPr>
                <w:rFonts w:ascii="宋体" w:hAnsi="宋体" w:cs="宋体" w:eastAsia="宋体" w:hint="default"/>
                <w:spacing w:val="-2"/>
                <w:sz w:val="18"/>
                <w:szCs w:val="18"/>
              </w:rPr>
              <w:t>委托出席董事</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会次数</w:t>
            </w:r>
          </w:p>
        </w:tc>
        <w:tc>
          <w:tcPr>
            <w:tcW w:w="11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b/>
                <w:bCs/>
                <w:sz w:val="16"/>
                <w:szCs w:val="16"/>
              </w:rPr>
            </w:pPr>
          </w:p>
          <w:p>
            <w:pPr>
              <w:pStyle w:val="TableParagraph"/>
              <w:spacing w:line="316" w:lineRule="auto"/>
              <w:ind w:left="489" w:right="27" w:hanging="452"/>
              <w:jc w:val="left"/>
              <w:rPr>
                <w:rFonts w:ascii="宋体" w:hAnsi="宋体" w:cs="宋体" w:eastAsia="宋体" w:hint="default"/>
                <w:sz w:val="18"/>
                <w:szCs w:val="18"/>
              </w:rPr>
            </w:pPr>
            <w:r>
              <w:rPr>
                <w:rFonts w:ascii="宋体" w:hAnsi="宋体" w:cs="宋体" w:eastAsia="宋体" w:hint="default"/>
                <w:spacing w:val="-2"/>
                <w:sz w:val="18"/>
                <w:szCs w:val="18"/>
              </w:rPr>
              <w:t>缺席董事会次</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数</w:t>
            </w:r>
          </w:p>
        </w:tc>
        <w:tc>
          <w:tcPr>
            <w:tcW w:w="11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6"/>
              <w:ind w:left="38" w:right="27"/>
              <w:jc w:val="center"/>
              <w:rPr>
                <w:rFonts w:ascii="宋体" w:hAnsi="宋体" w:cs="宋体" w:eastAsia="宋体" w:hint="default"/>
                <w:sz w:val="18"/>
                <w:szCs w:val="18"/>
              </w:rPr>
            </w:pPr>
            <w:r>
              <w:rPr>
                <w:rFonts w:ascii="宋体" w:hAnsi="宋体" w:cs="宋体" w:eastAsia="宋体" w:hint="default"/>
                <w:spacing w:val="-2"/>
                <w:sz w:val="18"/>
                <w:szCs w:val="18"/>
              </w:rPr>
              <w:t>是否连续两次</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2"/>
                <w:sz w:val="18"/>
                <w:szCs w:val="18"/>
              </w:rPr>
              <w:t>未亲自参加董</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事会会议</w:t>
            </w: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b/>
                <w:bCs/>
                <w:sz w:val="16"/>
                <w:szCs w:val="16"/>
              </w:rPr>
            </w:pPr>
          </w:p>
          <w:p>
            <w:pPr>
              <w:pStyle w:val="TableParagraph"/>
              <w:spacing w:line="316" w:lineRule="auto"/>
              <w:ind w:left="403" w:right="26" w:hanging="360"/>
              <w:jc w:val="left"/>
              <w:rPr>
                <w:rFonts w:ascii="宋体" w:hAnsi="宋体" w:cs="宋体" w:eastAsia="宋体" w:hint="default"/>
                <w:sz w:val="18"/>
                <w:szCs w:val="18"/>
              </w:rPr>
            </w:pPr>
            <w:r>
              <w:rPr>
                <w:rFonts w:ascii="宋体" w:hAnsi="宋体" w:cs="宋体" w:eastAsia="宋体" w:hint="default"/>
                <w:spacing w:val="-2"/>
                <w:sz w:val="18"/>
                <w:szCs w:val="18"/>
              </w:rPr>
              <w:t>出席股东大会</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次数</w:t>
            </w:r>
          </w:p>
        </w:tc>
      </w:tr>
      <w:tr>
        <w:trPr>
          <w:trHeight w:val="403" w:hRule="exact"/>
        </w:trPr>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郑学定</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tc>
      </w:tr>
      <w:tr>
        <w:trPr>
          <w:trHeight w:val="403" w:hRule="exact"/>
        </w:trPr>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郭斐</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404" w:hRule="exact"/>
        </w:trPr>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何剑</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bl>
    <w:p>
      <w:pPr>
        <w:pStyle w:val="BodyText"/>
        <w:spacing w:line="434" w:lineRule="auto" w:before="53"/>
        <w:ind w:left="513" w:right="8069" w:hanging="360"/>
        <w:jc w:val="left"/>
      </w:pPr>
      <w:r>
        <w:rPr>
          <w:spacing w:val="-3"/>
        </w:rPr>
        <w:t>连续两次未亲自出席董事会的说明</w:t>
      </w:r>
      <w:r>
        <w:rPr>
          <w:spacing w:val="-44"/>
        </w:rPr>
        <w:t> </w:t>
      </w:r>
      <w:r>
        <w:rPr>
          <w:spacing w:val="-44"/>
        </w:rPr>
      </w:r>
      <w:r>
        <w:rPr/>
        <w:t>无</w:t>
      </w:r>
    </w:p>
    <w:p>
      <w:pPr>
        <w:spacing w:line="240" w:lineRule="auto" w:before="10"/>
        <w:rPr>
          <w:rFonts w:ascii="宋体" w:hAnsi="宋体" w:cs="宋体" w:eastAsia="宋体" w:hint="default"/>
          <w:sz w:val="21"/>
          <w:szCs w:val="21"/>
        </w:rPr>
      </w:pPr>
    </w:p>
    <w:p>
      <w:pPr>
        <w:pStyle w:val="Heading3"/>
        <w:spacing w:line="240" w:lineRule="auto"/>
        <w:ind w:right="0"/>
        <w:jc w:val="left"/>
        <w:rPr>
          <w:b w:val="0"/>
          <w:bCs w:val="0"/>
        </w:rPr>
      </w:pPr>
      <w:bookmarkStart w:name="2、独立董事对公司有关事项提出异议的情况" w:id="143"/>
      <w:bookmarkEnd w:id="143"/>
      <w:r>
        <w:rPr>
          <w:b w:val="0"/>
          <w:bCs w:val="0"/>
        </w:rPr>
      </w:r>
      <w:r>
        <w:rPr>
          <w:rFonts w:ascii="Times New Roman" w:hAnsi="Times New Roman" w:cs="Times New Roman" w:eastAsia="Times New Roman" w:hint="default"/>
        </w:rPr>
        <w:t>2</w:t>
      </w:r>
      <w:r>
        <w:rPr/>
        <w:t>、独立董事对公司有关事项提出异议的情况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spacing w:val="-3"/>
        </w:rPr>
        <w:t>独立董事对公司有关事项是否提出异议</w:t>
      </w:r>
    </w:p>
    <w:p>
      <w:pPr>
        <w:pStyle w:val="BodyText"/>
        <w:spacing w:line="240" w:lineRule="auto" w:before="115"/>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13"/>
        <w:rPr>
          <w:rFonts w:ascii="宋体" w:hAnsi="宋体" w:cs="宋体" w:eastAsia="宋体" w:hint="default"/>
          <w:sz w:val="13"/>
          <w:szCs w:val="13"/>
        </w:rPr>
      </w:pPr>
    </w:p>
    <w:p>
      <w:pPr>
        <w:pStyle w:val="BodyText"/>
        <w:spacing w:line="240" w:lineRule="auto"/>
        <w:ind w:left="513" w:right="0"/>
        <w:jc w:val="left"/>
      </w:pPr>
      <w:r>
        <w:rPr>
          <w:spacing w:val="-3"/>
        </w:rPr>
        <w:t>报告期内独立董事对公司有关事项未提出异议。</w:t>
      </w:r>
    </w:p>
    <w:p>
      <w:pPr>
        <w:spacing w:after="0" w:line="240" w:lineRule="auto"/>
        <w:jc w:val="left"/>
        <w:sectPr>
          <w:pgSz w:w="11910" w:h="16840"/>
          <w:pgMar w:header="871" w:footer="1186" w:top="1100" w:bottom="1380" w:left="980" w:right="0"/>
        </w:sectPr>
      </w:pPr>
    </w:p>
    <w:p>
      <w:pPr>
        <w:spacing w:line="240" w:lineRule="auto" w:before="0"/>
        <w:rPr>
          <w:rFonts w:ascii="宋体" w:hAnsi="宋体" w:cs="宋体" w:eastAsia="宋体" w:hint="default"/>
          <w:sz w:val="21"/>
          <w:szCs w:val="21"/>
        </w:rPr>
      </w:pPr>
    </w:p>
    <w:p>
      <w:pPr>
        <w:pStyle w:val="Heading3"/>
        <w:spacing w:line="240" w:lineRule="auto" w:before="36"/>
        <w:ind w:right="0"/>
        <w:jc w:val="left"/>
        <w:rPr>
          <w:b w:val="0"/>
          <w:bCs w:val="0"/>
        </w:rPr>
      </w:pPr>
      <w:bookmarkStart w:name="3、独立董事履行职责的其他说明" w:id="144"/>
      <w:bookmarkEnd w:id="144"/>
      <w:r>
        <w:rPr>
          <w:b w:val="0"/>
          <w:bCs w:val="0"/>
        </w:rPr>
      </w:r>
      <w:r>
        <w:rPr>
          <w:rFonts w:ascii="Times New Roman" w:hAnsi="Times New Roman" w:cs="Times New Roman" w:eastAsia="Times New Roman" w:hint="default"/>
        </w:rPr>
        <w:t>3</w:t>
      </w:r>
      <w:r>
        <w:rPr/>
        <w:t>、独立董事履行职责的其他说明</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spacing w:val="-3"/>
        </w:rPr>
        <w:t>独立董事对公司有关建议是否被采纳</w:t>
      </w:r>
    </w:p>
    <w:p>
      <w:pPr>
        <w:pStyle w:val="BodyText"/>
        <w:spacing w:line="338" w:lineRule="auto" w:before="115"/>
        <w:ind w:right="6680"/>
        <w:jc w:val="left"/>
      </w:pP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是</w:t>
      </w:r>
      <w:r>
        <w:rPr>
          <w:spacing w:val="-4"/>
        </w:rPr>
        <w:t> </w:t>
      </w:r>
      <w:r>
        <w:rPr>
          <w:rFonts w:ascii="Times New Roman" w:hAnsi="Times New Roman" w:cs="Times New Roman" w:eastAsia="Times New Roman" w:hint="default"/>
        </w:rPr>
        <w:t>□</w:t>
      </w:r>
      <w:r>
        <w:rPr>
          <w:rFonts w:ascii="Times New Roman" w:hAnsi="Times New Roman" w:cs="Times New Roman" w:eastAsia="Times New Roman" w:hint="default"/>
          <w:spacing w:val="41"/>
        </w:rPr>
        <w:t> </w:t>
      </w:r>
      <w:r>
        <w:rPr/>
        <w:t>否</w:t>
      </w:r>
      <w:r>
        <w:rPr>
          <w:spacing w:val="-83"/>
        </w:rPr>
        <w:t> </w:t>
      </w:r>
      <w:r>
        <w:rPr>
          <w:spacing w:val="-3"/>
        </w:rPr>
        <w:t>独立董事对公司有关建议被采纳或未被采纳的说明</w:t>
      </w:r>
    </w:p>
    <w:p>
      <w:pPr>
        <w:pStyle w:val="BodyText"/>
        <w:spacing w:line="475" w:lineRule="auto" w:before="122"/>
        <w:ind w:right="1124" w:firstLine="360"/>
        <w:jc w:val="both"/>
      </w:pPr>
      <w:r>
        <w:rPr>
          <w:spacing w:val="-5"/>
        </w:rPr>
        <w:t>报告期内，独立董事认真履行职责，本着诚信勤勉义务，利用各自专业上的优势对公司关联交易、对外担保、募集资金</w:t>
      </w:r>
      <w:r>
        <w:rPr>
          <w:w w:val="101"/>
        </w:rPr>
        <w:t> </w:t>
      </w:r>
      <w:r>
        <w:rPr>
          <w:spacing w:val="-4"/>
        </w:rPr>
        <w:t>存放与使用、利润分配、会计政策变更、高管薪酬等重要事项作出独立、客观、公正的判断，发表了独立意见，并根据公司</w:t>
      </w:r>
      <w:r>
        <w:rPr>
          <w:spacing w:val="40"/>
        </w:rPr>
        <w:t> </w:t>
      </w:r>
      <w:r>
        <w:rPr>
          <w:spacing w:val="40"/>
        </w:rPr>
      </w:r>
      <w:r>
        <w:rPr>
          <w:spacing w:val="-4"/>
        </w:rPr>
        <w:t>实际情况，科学审慎决策，给公司的经营管理、规范运作提出了合理的建议并均被得以采纳；为公司未来的健康发展出谋划</w:t>
      </w:r>
      <w:r>
        <w:rPr>
          <w:spacing w:val="40"/>
        </w:rPr>
        <w:t> </w:t>
      </w:r>
      <w:r>
        <w:rPr>
          <w:spacing w:val="40"/>
        </w:rPr>
      </w:r>
      <w:r>
        <w:rPr>
          <w:spacing w:val="-3"/>
        </w:rPr>
        <w:t>策，切实维护了公司和股东尤其是社会公众股东的利益。</w:t>
      </w:r>
    </w:p>
    <w:p>
      <w:pPr>
        <w:spacing w:line="240" w:lineRule="auto" w:before="1"/>
        <w:rPr>
          <w:rFonts w:ascii="宋体" w:hAnsi="宋体" w:cs="宋体" w:eastAsia="宋体" w:hint="default"/>
          <w:sz w:val="17"/>
          <w:szCs w:val="17"/>
        </w:rPr>
      </w:pPr>
    </w:p>
    <w:p>
      <w:pPr>
        <w:pStyle w:val="Heading2"/>
        <w:spacing w:line="240" w:lineRule="auto"/>
        <w:ind w:right="0"/>
        <w:jc w:val="left"/>
        <w:rPr>
          <w:b w:val="0"/>
          <w:bCs w:val="0"/>
        </w:rPr>
      </w:pPr>
      <w:bookmarkStart w:name="六、董事会下设专门委员会在报告期内履行职责情况" w:id="145"/>
      <w:bookmarkEnd w:id="145"/>
      <w:r>
        <w:rPr>
          <w:b w:val="0"/>
          <w:bCs w:val="0"/>
        </w:rPr>
      </w:r>
      <w:r>
        <w:rPr/>
        <w:t>六、董事会下设专门委员会在报告期内履行职责情况</w:t>
      </w:r>
      <w:r>
        <w:rPr>
          <w:b w:val="0"/>
          <w:bCs w:val="0"/>
        </w:rPr>
      </w:r>
    </w:p>
    <w:p>
      <w:pPr>
        <w:spacing w:line="240" w:lineRule="auto" w:before="2"/>
        <w:rPr>
          <w:rFonts w:ascii="宋体" w:hAnsi="宋体" w:cs="宋体" w:eastAsia="宋体" w:hint="default"/>
          <w:b/>
          <w:bCs/>
          <w:sz w:val="33"/>
          <w:szCs w:val="33"/>
        </w:rPr>
      </w:pPr>
    </w:p>
    <w:p>
      <w:pPr>
        <w:pStyle w:val="BodyText"/>
        <w:spacing w:line="480" w:lineRule="auto"/>
        <w:ind w:right="1122" w:firstLine="360"/>
        <w:jc w:val="both"/>
      </w:pPr>
      <w:r>
        <w:rPr>
          <w:spacing w:val="-4"/>
        </w:rPr>
        <w:t>董事会下设审计委员会、薪酬与考核委员会。报告期内，各专业委员会在《公司章程》及工作条例范围内，充分发挥专</w:t>
      </w:r>
      <w:r>
        <w:rPr>
          <w:w w:val="101"/>
        </w:rPr>
        <w:t> </w:t>
      </w:r>
      <w:r>
        <w:rPr>
          <w:spacing w:val="-3"/>
        </w:rPr>
        <w:t>业性，科学决策，审慎监督，切实履行职责，为董事会决策提供专业支持。</w:t>
      </w:r>
    </w:p>
    <w:p>
      <w:pPr>
        <w:pStyle w:val="BodyText"/>
        <w:spacing w:line="240" w:lineRule="auto" w:before="50"/>
        <w:ind w:left="513" w:right="0"/>
        <w:jc w:val="left"/>
      </w:pPr>
      <w:r>
        <w:rPr>
          <w:rFonts w:ascii="Times New Roman" w:hAnsi="Times New Roman" w:cs="Times New Roman" w:eastAsia="Times New Roman" w:hint="default"/>
        </w:rPr>
        <w:t>1.</w:t>
      </w:r>
      <w:r>
        <w:rPr/>
        <w:t>审计委员会</w:t>
      </w:r>
    </w:p>
    <w:p>
      <w:pPr>
        <w:spacing w:line="240" w:lineRule="auto" w:before="12"/>
        <w:rPr>
          <w:rFonts w:ascii="宋体" w:hAnsi="宋体" w:cs="宋体" w:eastAsia="宋体" w:hint="default"/>
          <w:sz w:val="16"/>
          <w:szCs w:val="16"/>
        </w:rPr>
      </w:pPr>
    </w:p>
    <w:p>
      <w:pPr>
        <w:pStyle w:val="BodyText"/>
        <w:spacing w:line="468" w:lineRule="auto"/>
        <w:ind w:right="1124" w:firstLine="360"/>
        <w:jc w:val="both"/>
      </w:pPr>
      <w:r>
        <w:rPr/>
        <w:t>公司董事会审计委员会由 </w:t>
      </w:r>
      <w:r>
        <w:rPr>
          <w:rFonts w:ascii="Times New Roman" w:hAnsi="Times New Roman" w:cs="Times New Roman" w:eastAsia="Times New Roman" w:hint="default"/>
        </w:rPr>
        <w:t>3</w:t>
      </w:r>
      <w:r>
        <w:rPr>
          <w:rFonts w:ascii="Times New Roman" w:hAnsi="Times New Roman" w:cs="Times New Roman" w:eastAsia="Times New Roman" w:hint="default"/>
          <w:spacing w:val="37"/>
        </w:rPr>
        <w:t> </w:t>
      </w:r>
      <w:r>
        <w:rPr>
          <w:spacing w:val="-5"/>
        </w:rPr>
        <w:t>名董事组成，分别为郑学定、郭斐、陈向军，其中郑学定、郭斐为独立董事，会计专业的独</w:t>
      </w:r>
      <w:r>
        <w:rPr>
          <w:w w:val="101"/>
        </w:rPr>
        <w:t> </w:t>
      </w:r>
      <w:r>
        <w:rPr>
          <w:spacing w:val="-8"/>
        </w:rPr>
        <w:t>立董事郑学定担任主任。报告期内，审计委员会严格按照相关法律法规和《公司章程》的规定积极履行职责，定期召开会议，</w:t>
      </w:r>
      <w:r>
        <w:rPr>
          <w:spacing w:val="5"/>
        </w:rPr>
        <w:t> </w:t>
      </w:r>
      <w:r>
        <w:rPr>
          <w:spacing w:val="5"/>
        </w:rPr>
      </w:r>
      <w:r>
        <w:rPr>
          <w:spacing w:val="-4"/>
        </w:rPr>
        <w:t>就公司年度审计报告与会计师进行沟通，对公司的年度审计计划及内部控制制度提出建议，审核公司的财务信息，对重大关</w:t>
      </w:r>
      <w:r>
        <w:rPr>
          <w:spacing w:val="43"/>
        </w:rPr>
        <w:t> </w:t>
      </w:r>
      <w:r>
        <w:rPr>
          <w:spacing w:val="43"/>
        </w:rPr>
      </w:r>
      <w:r>
        <w:rPr>
          <w:spacing w:val="-3"/>
        </w:rPr>
        <w:t>联交易进行审计，监督募集资金的存放及使用情况，并对既往年度审计工作作出总结。</w:t>
      </w:r>
    </w:p>
    <w:p>
      <w:pPr>
        <w:pStyle w:val="BodyText"/>
        <w:spacing w:line="240" w:lineRule="auto" w:before="64"/>
        <w:ind w:left="513" w:right="0"/>
        <w:jc w:val="left"/>
      </w:pPr>
      <w:r>
        <w:rPr>
          <w:spacing w:val="-3"/>
        </w:rPr>
        <w:t>（</w:t>
      </w:r>
      <w:r>
        <w:rPr>
          <w:rFonts w:ascii="Times New Roman" w:hAnsi="Times New Roman" w:cs="Times New Roman" w:eastAsia="Times New Roman" w:hint="default"/>
          <w:spacing w:val="-3"/>
        </w:rPr>
        <w:t>1</w:t>
      </w:r>
      <w:r>
        <w:rPr>
          <w:spacing w:val="-3"/>
        </w:rPr>
        <w:t>）本年度审计委员会会议召开情况</w:t>
      </w:r>
    </w:p>
    <w:p>
      <w:pPr>
        <w:spacing w:line="240" w:lineRule="auto" w:before="7"/>
        <w:rPr>
          <w:rFonts w:ascii="宋体" w:hAnsi="宋体" w:cs="宋体" w:eastAsia="宋体" w:hint="default"/>
          <w:sz w:val="16"/>
          <w:szCs w:val="16"/>
        </w:rPr>
      </w:pPr>
    </w:p>
    <w:p>
      <w:pPr>
        <w:pStyle w:val="BodyText"/>
        <w:spacing w:line="240" w:lineRule="auto"/>
        <w:ind w:left="513" w:right="0"/>
        <w:jc w:val="left"/>
      </w:pPr>
      <w:r>
        <w:rPr>
          <w:spacing w:val="-3"/>
        </w:rPr>
        <w:t>报告期内，审计委员会共召开了 </w:t>
      </w:r>
      <w:r>
        <w:rPr>
          <w:rFonts w:ascii="Times New Roman" w:hAnsi="Times New Roman" w:cs="Times New Roman" w:eastAsia="Times New Roman" w:hint="default"/>
        </w:rPr>
        <w:t>4</w:t>
      </w:r>
      <w:r>
        <w:rPr>
          <w:rFonts w:ascii="Times New Roman" w:hAnsi="Times New Roman" w:cs="Times New Roman" w:eastAsia="Times New Roman" w:hint="default"/>
          <w:spacing w:val="37"/>
        </w:rPr>
        <w:t> </w:t>
      </w:r>
      <w:r>
        <w:rPr>
          <w:spacing w:val="-3"/>
        </w:rPr>
        <w:t>次审计委员会会议，具体情况如下：</w:t>
      </w:r>
    </w:p>
    <w:p>
      <w:pPr>
        <w:spacing w:line="240" w:lineRule="auto" w:before="12"/>
        <w:rPr>
          <w:rFonts w:ascii="宋体" w:hAnsi="宋体" w:cs="宋体" w:eastAsia="宋体" w:hint="default"/>
          <w:sz w:val="16"/>
          <w:szCs w:val="16"/>
        </w:rPr>
      </w:pPr>
    </w:p>
    <w:p>
      <w:pPr>
        <w:pStyle w:val="BodyText"/>
        <w:spacing w:line="451" w:lineRule="auto"/>
        <w:ind w:right="1124" w:firstLine="360"/>
        <w:jc w:val="left"/>
      </w:pPr>
      <w:r>
        <w:rPr>
          <w:rFonts w:ascii="Times New Roman" w:hAnsi="Times New Roman" w:cs="Times New Roman" w:eastAsia="Times New Roman" w:hint="default"/>
          <w:w w:val="101"/>
        </w:rPr>
        <w:t>1</w:t>
      </w:r>
      <w:r>
        <w:rPr>
          <w:w w:val="101"/>
        </w:rPr>
        <w:t>）</w:t>
      </w:r>
      <w:r>
        <w:rPr>
          <w:rFonts w:ascii="Times New Roman" w:hAnsi="Times New Roman" w:cs="Times New Roman" w:eastAsia="Times New Roman" w:hint="default"/>
          <w:w w:val="101"/>
        </w:rPr>
        <w:t>2</w:t>
      </w:r>
      <w:r>
        <w:rPr>
          <w:rFonts w:ascii="Times New Roman" w:hAnsi="Times New Roman" w:cs="Times New Roman" w:eastAsia="Times New Roman" w:hint="default"/>
          <w:spacing w:val="-5"/>
          <w:w w:val="101"/>
        </w:rPr>
        <w:t>0</w:t>
      </w:r>
      <w:r>
        <w:rPr>
          <w:rFonts w:ascii="Times New Roman" w:hAnsi="Times New Roman" w:cs="Times New Roman" w:eastAsia="Times New Roman" w:hint="default"/>
          <w:w w:val="101"/>
        </w:rPr>
        <w:t>19</w:t>
      </w:r>
      <w:r>
        <w:rPr>
          <w:rFonts w:ascii="Times New Roman" w:hAnsi="Times New Roman" w:cs="Times New Roman" w:eastAsia="Times New Roman" w:hint="default"/>
          <w:spacing w:val="-7"/>
        </w:rPr>
        <w:t> </w:t>
      </w:r>
      <w:r>
        <w:rPr>
          <w:w w:val="101"/>
        </w:rPr>
        <w:t>年</w:t>
      </w:r>
      <w:r>
        <w:rPr>
          <w:spacing w:val="-52"/>
        </w:rPr>
        <w:t> </w:t>
      </w:r>
      <w:r>
        <w:rPr>
          <w:rFonts w:ascii="Times New Roman" w:hAnsi="Times New Roman" w:cs="Times New Roman" w:eastAsia="Times New Roman" w:hint="default"/>
          <w:w w:val="101"/>
        </w:rPr>
        <w:t>4</w:t>
      </w:r>
      <w:r>
        <w:rPr>
          <w:rFonts w:ascii="Times New Roman" w:hAnsi="Times New Roman" w:cs="Times New Roman" w:eastAsia="Times New Roman" w:hint="default"/>
          <w:spacing w:val="-7"/>
        </w:rPr>
        <w:t> </w:t>
      </w:r>
      <w:r>
        <w:rPr>
          <w:w w:val="101"/>
        </w:rPr>
        <w:t>月</w:t>
      </w:r>
      <w:r>
        <w:rPr>
          <w:spacing w:val="-52"/>
        </w:rPr>
        <w:t> </w:t>
      </w:r>
      <w:r>
        <w:rPr>
          <w:rFonts w:ascii="Times New Roman" w:hAnsi="Times New Roman" w:cs="Times New Roman" w:eastAsia="Times New Roman" w:hint="default"/>
          <w:w w:val="101"/>
        </w:rPr>
        <w:t>22</w:t>
      </w:r>
      <w:r>
        <w:rPr>
          <w:rFonts w:ascii="Times New Roman" w:hAnsi="Times New Roman" w:cs="Times New Roman" w:eastAsia="Times New Roman" w:hint="default"/>
          <w:spacing w:val="-12"/>
        </w:rPr>
        <w:t> </w:t>
      </w:r>
      <w:r>
        <w:rPr>
          <w:w w:val="101"/>
        </w:rPr>
        <w:t>日</w:t>
      </w:r>
      <w:r>
        <w:rPr>
          <w:spacing w:val="-5"/>
          <w:w w:val="101"/>
        </w:rPr>
        <w:t>，</w:t>
      </w:r>
      <w:r>
        <w:rPr>
          <w:w w:val="101"/>
        </w:rPr>
        <w:t>召</w:t>
      </w:r>
      <w:r>
        <w:rPr>
          <w:spacing w:val="-5"/>
          <w:w w:val="101"/>
        </w:rPr>
        <w:t>开</w:t>
      </w:r>
      <w:r>
        <w:rPr>
          <w:w w:val="101"/>
        </w:rPr>
        <w:t>第</w:t>
      </w:r>
      <w:r>
        <w:rPr>
          <w:spacing w:val="-5"/>
          <w:w w:val="101"/>
        </w:rPr>
        <w:t>四</w:t>
      </w:r>
      <w:r>
        <w:rPr>
          <w:w w:val="101"/>
        </w:rPr>
        <w:t>届</w:t>
      </w:r>
      <w:r>
        <w:rPr>
          <w:spacing w:val="-5"/>
          <w:w w:val="101"/>
        </w:rPr>
        <w:t>审</w:t>
      </w:r>
      <w:r>
        <w:rPr>
          <w:w w:val="101"/>
        </w:rPr>
        <w:t>计</w:t>
      </w:r>
      <w:r>
        <w:rPr>
          <w:spacing w:val="-5"/>
          <w:w w:val="101"/>
        </w:rPr>
        <w:t>委</w:t>
      </w:r>
      <w:r>
        <w:rPr>
          <w:w w:val="101"/>
        </w:rPr>
        <w:t>员</w:t>
      </w:r>
      <w:r>
        <w:rPr>
          <w:spacing w:val="-5"/>
          <w:w w:val="101"/>
        </w:rPr>
        <w:t>会</w:t>
      </w:r>
      <w:r>
        <w:rPr>
          <w:w w:val="101"/>
        </w:rPr>
        <w:t>第</w:t>
      </w:r>
      <w:r>
        <w:rPr>
          <w:spacing w:val="-5"/>
          <w:w w:val="101"/>
        </w:rPr>
        <w:t>七</w:t>
      </w:r>
      <w:r>
        <w:rPr>
          <w:w w:val="101"/>
        </w:rPr>
        <w:t>次</w:t>
      </w:r>
      <w:r>
        <w:rPr>
          <w:spacing w:val="-5"/>
          <w:w w:val="101"/>
        </w:rPr>
        <w:t>会</w:t>
      </w:r>
      <w:r>
        <w:rPr>
          <w:w w:val="101"/>
        </w:rPr>
        <w:t>议</w:t>
      </w:r>
      <w:r>
        <w:rPr>
          <w:spacing w:val="-5"/>
          <w:w w:val="101"/>
        </w:rPr>
        <w:t>，审</w:t>
      </w:r>
      <w:r>
        <w:rPr>
          <w:w w:val="101"/>
        </w:rPr>
        <w:t>议</w:t>
      </w:r>
      <w:r>
        <w:rPr>
          <w:spacing w:val="-5"/>
          <w:w w:val="101"/>
        </w:rPr>
        <w:t>通</w:t>
      </w:r>
      <w:r>
        <w:rPr>
          <w:w w:val="101"/>
        </w:rPr>
        <w:t>过</w:t>
      </w:r>
      <w:r>
        <w:rPr>
          <w:spacing w:val="-5"/>
          <w:w w:val="101"/>
        </w:rPr>
        <w:t>了</w:t>
      </w:r>
      <w:r>
        <w:rPr>
          <w:w w:val="101"/>
        </w:rPr>
        <w:t>公</w:t>
      </w:r>
      <w:r>
        <w:rPr>
          <w:spacing w:val="-5"/>
          <w:w w:val="101"/>
        </w:rPr>
        <w:t>司</w:t>
      </w:r>
      <w:r>
        <w:rPr>
          <w:spacing w:val="1"/>
          <w:w w:val="101"/>
        </w:rPr>
        <w:t>《</w:t>
      </w:r>
      <w:r>
        <w:rPr>
          <w:rFonts w:ascii="Times New Roman" w:hAnsi="Times New Roman" w:cs="Times New Roman" w:eastAsia="Times New Roman" w:hint="default"/>
          <w:w w:val="101"/>
        </w:rPr>
        <w:t>20</w:t>
      </w:r>
      <w:r>
        <w:rPr>
          <w:rFonts w:ascii="Times New Roman" w:hAnsi="Times New Roman" w:cs="Times New Roman" w:eastAsia="Times New Roman" w:hint="default"/>
          <w:spacing w:val="-5"/>
          <w:w w:val="101"/>
        </w:rPr>
        <w:t>1</w:t>
      </w:r>
      <w:r>
        <w:rPr>
          <w:rFonts w:ascii="Times New Roman" w:hAnsi="Times New Roman" w:cs="Times New Roman" w:eastAsia="Times New Roman" w:hint="default"/>
          <w:w w:val="101"/>
        </w:rPr>
        <w:t>8</w:t>
      </w:r>
      <w:r>
        <w:rPr>
          <w:rFonts w:ascii="Times New Roman" w:hAnsi="Times New Roman" w:cs="Times New Roman" w:eastAsia="Times New Roman" w:hint="default"/>
          <w:spacing w:val="-12"/>
        </w:rPr>
        <w:t> </w:t>
      </w:r>
      <w:r>
        <w:rPr>
          <w:w w:val="101"/>
        </w:rPr>
        <w:t>年</w:t>
      </w:r>
      <w:r>
        <w:rPr>
          <w:spacing w:val="-5"/>
          <w:w w:val="101"/>
        </w:rPr>
        <w:t>度</w:t>
      </w:r>
      <w:r>
        <w:rPr>
          <w:w w:val="101"/>
        </w:rPr>
        <w:t>财</w:t>
      </w:r>
      <w:r>
        <w:rPr>
          <w:spacing w:val="-5"/>
          <w:w w:val="101"/>
        </w:rPr>
        <w:t>务</w:t>
      </w:r>
      <w:r>
        <w:rPr>
          <w:w w:val="101"/>
        </w:rPr>
        <w:t>报表</w:t>
      </w:r>
      <w:r>
        <w:rPr>
          <w:spacing w:val="-96"/>
          <w:w w:val="101"/>
        </w:rPr>
        <w:t>》</w:t>
      </w:r>
      <w:r>
        <w:rPr>
          <w:spacing w:val="-92"/>
          <w:w w:val="101"/>
        </w:rPr>
        <w:t>、</w:t>
      </w:r>
      <w:r>
        <w:rPr>
          <w:w w:val="101"/>
        </w:rPr>
        <w:t>《</w:t>
      </w:r>
      <w:r>
        <w:rPr>
          <w:rFonts w:ascii="Times New Roman" w:hAnsi="Times New Roman" w:cs="Times New Roman" w:eastAsia="Times New Roman" w:hint="default"/>
          <w:spacing w:val="-5"/>
          <w:w w:val="101"/>
        </w:rPr>
        <w:t>2</w:t>
      </w:r>
      <w:r>
        <w:rPr>
          <w:rFonts w:ascii="Times New Roman" w:hAnsi="Times New Roman" w:cs="Times New Roman" w:eastAsia="Times New Roman" w:hint="default"/>
          <w:w w:val="101"/>
        </w:rPr>
        <w:t>0</w:t>
      </w:r>
      <w:r>
        <w:rPr>
          <w:rFonts w:ascii="Times New Roman" w:hAnsi="Times New Roman" w:cs="Times New Roman" w:eastAsia="Times New Roman" w:hint="default"/>
          <w:spacing w:val="-5"/>
          <w:w w:val="101"/>
        </w:rPr>
        <w:t>1</w:t>
      </w:r>
      <w:r>
        <w:rPr>
          <w:rFonts w:ascii="Times New Roman" w:hAnsi="Times New Roman" w:cs="Times New Roman" w:eastAsia="Times New Roman" w:hint="default"/>
          <w:w w:val="101"/>
        </w:rPr>
        <w:t>8</w:t>
      </w:r>
      <w:r>
        <w:rPr>
          <w:rFonts w:ascii="Times New Roman" w:hAnsi="Times New Roman" w:cs="Times New Roman" w:eastAsia="Times New Roman" w:hint="default"/>
          <w:spacing w:val="-7"/>
        </w:rPr>
        <w:t> </w:t>
      </w:r>
      <w:r>
        <w:rPr>
          <w:spacing w:val="-5"/>
          <w:w w:val="101"/>
        </w:rPr>
        <w:t>年</w:t>
      </w:r>
      <w:r>
        <w:rPr>
          <w:w w:val="101"/>
        </w:rPr>
        <w:t>募</w:t>
      </w:r>
      <w:r>
        <w:rPr>
          <w:spacing w:val="-5"/>
          <w:w w:val="101"/>
        </w:rPr>
        <w:t>集</w:t>
      </w:r>
      <w:r>
        <w:rPr>
          <w:w w:val="101"/>
        </w:rPr>
        <w:t>资金</w:t>
      </w:r>
      <w:r>
        <w:rPr>
          <w:w w:val="101"/>
        </w:rPr>
        <w:t> 的</w:t>
      </w:r>
      <w:r>
        <w:rPr>
          <w:spacing w:val="-5"/>
          <w:w w:val="101"/>
        </w:rPr>
        <w:t>存</w:t>
      </w:r>
      <w:r>
        <w:rPr>
          <w:w w:val="101"/>
        </w:rPr>
        <w:t>放</w:t>
      </w:r>
      <w:r>
        <w:rPr>
          <w:spacing w:val="-5"/>
          <w:w w:val="101"/>
        </w:rPr>
        <w:t>与</w:t>
      </w:r>
      <w:r>
        <w:rPr>
          <w:w w:val="101"/>
        </w:rPr>
        <w:t>使</w:t>
      </w:r>
      <w:r>
        <w:rPr>
          <w:spacing w:val="-5"/>
          <w:w w:val="101"/>
        </w:rPr>
        <w:t>用</w:t>
      </w:r>
      <w:r>
        <w:rPr>
          <w:w w:val="101"/>
        </w:rPr>
        <w:t>情</w:t>
      </w:r>
      <w:r>
        <w:rPr>
          <w:spacing w:val="-5"/>
          <w:w w:val="101"/>
        </w:rPr>
        <w:t>况</w:t>
      </w:r>
      <w:r>
        <w:rPr>
          <w:w w:val="101"/>
        </w:rPr>
        <w:t>专</w:t>
      </w:r>
      <w:r>
        <w:rPr>
          <w:spacing w:val="-5"/>
          <w:w w:val="101"/>
        </w:rPr>
        <w:t>项</w:t>
      </w:r>
      <w:r>
        <w:rPr>
          <w:w w:val="101"/>
        </w:rPr>
        <w:t>报告</w:t>
      </w:r>
      <w:r>
        <w:rPr>
          <w:spacing w:val="-96"/>
          <w:w w:val="101"/>
        </w:rPr>
        <w:t>》</w:t>
      </w:r>
      <w:r>
        <w:rPr>
          <w:spacing w:val="-92"/>
          <w:w w:val="101"/>
        </w:rPr>
        <w:t>、</w:t>
      </w:r>
      <w:r>
        <w:rPr>
          <w:w w:val="101"/>
        </w:rPr>
        <w:t>《</w:t>
      </w:r>
      <w:r>
        <w:rPr>
          <w:rFonts w:ascii="Times New Roman" w:hAnsi="Times New Roman" w:cs="Times New Roman" w:eastAsia="Times New Roman" w:hint="default"/>
          <w:spacing w:val="-5"/>
          <w:w w:val="101"/>
        </w:rPr>
        <w:t>2</w:t>
      </w:r>
      <w:r>
        <w:rPr>
          <w:rFonts w:ascii="Times New Roman" w:hAnsi="Times New Roman" w:cs="Times New Roman" w:eastAsia="Times New Roman" w:hint="default"/>
          <w:w w:val="101"/>
        </w:rPr>
        <w:t>0</w:t>
      </w:r>
      <w:r>
        <w:rPr>
          <w:rFonts w:ascii="Times New Roman" w:hAnsi="Times New Roman" w:cs="Times New Roman" w:eastAsia="Times New Roman" w:hint="default"/>
          <w:spacing w:val="-5"/>
          <w:w w:val="101"/>
        </w:rPr>
        <w:t>1</w:t>
      </w:r>
      <w:r>
        <w:rPr>
          <w:rFonts w:ascii="Times New Roman" w:hAnsi="Times New Roman" w:cs="Times New Roman" w:eastAsia="Times New Roman" w:hint="default"/>
          <w:w w:val="101"/>
        </w:rPr>
        <w:t>8</w:t>
      </w:r>
      <w:r>
        <w:rPr>
          <w:rFonts w:ascii="Times New Roman" w:hAnsi="Times New Roman" w:cs="Times New Roman" w:eastAsia="Times New Roman" w:hint="default"/>
          <w:spacing w:val="-7"/>
        </w:rPr>
        <w:t> </w:t>
      </w:r>
      <w:r>
        <w:rPr>
          <w:spacing w:val="-5"/>
          <w:w w:val="101"/>
        </w:rPr>
        <w:t>年</w:t>
      </w:r>
      <w:r>
        <w:rPr>
          <w:w w:val="101"/>
        </w:rPr>
        <w:t>度</w:t>
      </w:r>
      <w:r>
        <w:rPr>
          <w:spacing w:val="-5"/>
          <w:w w:val="101"/>
        </w:rPr>
        <w:t>控</w:t>
      </w:r>
      <w:r>
        <w:rPr>
          <w:w w:val="101"/>
        </w:rPr>
        <w:t>股</w:t>
      </w:r>
      <w:r>
        <w:rPr>
          <w:spacing w:val="-5"/>
          <w:w w:val="101"/>
        </w:rPr>
        <w:t>股</w:t>
      </w:r>
      <w:r>
        <w:rPr>
          <w:w w:val="101"/>
        </w:rPr>
        <w:t>东</w:t>
      </w:r>
      <w:r>
        <w:rPr>
          <w:spacing w:val="-5"/>
          <w:w w:val="101"/>
        </w:rPr>
        <w:t>及</w:t>
      </w:r>
      <w:r>
        <w:rPr>
          <w:w w:val="101"/>
        </w:rPr>
        <w:t>其</w:t>
      </w:r>
      <w:r>
        <w:rPr>
          <w:spacing w:val="-5"/>
          <w:w w:val="101"/>
        </w:rPr>
        <w:t>他</w:t>
      </w:r>
      <w:r>
        <w:rPr>
          <w:w w:val="101"/>
        </w:rPr>
        <w:t>关</w:t>
      </w:r>
      <w:r>
        <w:rPr>
          <w:spacing w:val="-5"/>
          <w:w w:val="101"/>
        </w:rPr>
        <w:t>联</w:t>
      </w:r>
      <w:r>
        <w:rPr>
          <w:w w:val="101"/>
        </w:rPr>
        <w:t>方</w:t>
      </w:r>
      <w:r>
        <w:rPr>
          <w:spacing w:val="-5"/>
          <w:w w:val="101"/>
        </w:rPr>
        <w:t>占</w:t>
      </w:r>
      <w:r>
        <w:rPr>
          <w:w w:val="101"/>
        </w:rPr>
        <w:t>用</w:t>
      </w:r>
      <w:r>
        <w:rPr>
          <w:spacing w:val="-5"/>
          <w:w w:val="101"/>
        </w:rPr>
        <w:t>资</w:t>
      </w:r>
      <w:r>
        <w:rPr>
          <w:w w:val="101"/>
        </w:rPr>
        <w:t>金</w:t>
      </w:r>
      <w:r>
        <w:rPr>
          <w:spacing w:val="-5"/>
          <w:w w:val="101"/>
        </w:rPr>
        <w:t>情</w:t>
      </w:r>
      <w:r>
        <w:rPr>
          <w:w w:val="101"/>
        </w:rPr>
        <w:t>况</w:t>
      </w:r>
      <w:r>
        <w:rPr>
          <w:spacing w:val="-5"/>
          <w:w w:val="101"/>
        </w:rPr>
        <w:t>、</w:t>
      </w:r>
      <w:r>
        <w:rPr>
          <w:w w:val="101"/>
        </w:rPr>
        <w:t>公</w:t>
      </w:r>
      <w:r>
        <w:rPr>
          <w:spacing w:val="-5"/>
          <w:w w:val="101"/>
        </w:rPr>
        <w:t>司</w:t>
      </w:r>
      <w:r>
        <w:rPr>
          <w:w w:val="101"/>
        </w:rPr>
        <w:t>对</w:t>
      </w:r>
      <w:r>
        <w:rPr>
          <w:spacing w:val="-5"/>
          <w:w w:val="101"/>
        </w:rPr>
        <w:t>外</w:t>
      </w:r>
      <w:r>
        <w:rPr>
          <w:w w:val="101"/>
        </w:rPr>
        <w:t>担</w:t>
      </w:r>
      <w:r>
        <w:rPr>
          <w:spacing w:val="-5"/>
          <w:w w:val="101"/>
        </w:rPr>
        <w:t>保</w:t>
      </w:r>
      <w:r>
        <w:rPr>
          <w:w w:val="101"/>
        </w:rPr>
        <w:t>事</w:t>
      </w:r>
      <w:r>
        <w:rPr>
          <w:spacing w:val="-5"/>
          <w:w w:val="101"/>
        </w:rPr>
        <w:t>项</w:t>
      </w:r>
      <w:r>
        <w:rPr>
          <w:w w:val="101"/>
        </w:rPr>
        <w:t>的</w:t>
      </w:r>
      <w:r>
        <w:rPr>
          <w:spacing w:val="-5"/>
          <w:w w:val="101"/>
        </w:rPr>
        <w:t>审</w:t>
      </w:r>
      <w:r>
        <w:rPr>
          <w:w w:val="101"/>
        </w:rPr>
        <w:t>计</w:t>
      </w:r>
      <w:r>
        <w:rPr>
          <w:spacing w:val="-5"/>
          <w:w w:val="101"/>
        </w:rPr>
        <w:t>报</w:t>
      </w:r>
      <w:r>
        <w:rPr>
          <w:w w:val="101"/>
        </w:rPr>
        <w:t>告</w:t>
      </w:r>
      <w:r>
        <w:rPr>
          <w:spacing w:val="-92"/>
          <w:w w:val="101"/>
        </w:rPr>
        <w:t>》</w:t>
      </w:r>
      <w:r>
        <w:rPr>
          <w:spacing w:val="-96"/>
          <w:w w:val="101"/>
        </w:rPr>
        <w:t>、</w:t>
      </w:r>
      <w:r>
        <w:rPr>
          <w:spacing w:val="1"/>
          <w:w w:val="101"/>
        </w:rPr>
        <w:t>《</w:t>
      </w:r>
      <w:r>
        <w:rPr>
          <w:rFonts w:ascii="Times New Roman" w:hAnsi="Times New Roman" w:cs="Times New Roman" w:eastAsia="Times New Roman" w:hint="default"/>
          <w:w w:val="101"/>
        </w:rPr>
        <w:t>20</w:t>
      </w:r>
      <w:r>
        <w:rPr>
          <w:rFonts w:ascii="Times New Roman" w:hAnsi="Times New Roman" w:cs="Times New Roman" w:eastAsia="Times New Roman" w:hint="default"/>
          <w:spacing w:val="-5"/>
          <w:w w:val="101"/>
        </w:rPr>
        <w:t>1</w:t>
      </w:r>
      <w:r>
        <w:rPr>
          <w:rFonts w:ascii="Times New Roman" w:hAnsi="Times New Roman" w:cs="Times New Roman" w:eastAsia="Times New Roman" w:hint="default"/>
          <w:w w:val="101"/>
        </w:rPr>
        <w:t>8</w:t>
      </w:r>
      <w:r>
        <w:rPr>
          <w:rFonts w:ascii="Times New Roman" w:hAnsi="Times New Roman" w:cs="Times New Roman" w:eastAsia="Times New Roman" w:hint="default"/>
          <w:spacing w:val="-12"/>
        </w:rPr>
        <w:t> </w:t>
      </w:r>
      <w:r>
        <w:rPr>
          <w:w w:val="101"/>
        </w:rPr>
        <w:t>年 </w:t>
      </w:r>
      <w:r>
        <w:rPr>
          <w:rFonts w:ascii="Times New Roman" w:hAnsi="Times New Roman" w:cs="Times New Roman" w:eastAsia="Times New Roman" w:hint="default"/>
          <w:w w:val="101"/>
        </w:rPr>
        <w:t>4</w:t>
      </w:r>
      <w:r>
        <w:rPr>
          <w:rFonts w:ascii="Times New Roman" w:hAnsi="Times New Roman" w:cs="Times New Roman" w:eastAsia="Times New Roman" w:hint="default"/>
          <w:spacing w:val="-7"/>
        </w:rPr>
        <w:t> </w:t>
      </w:r>
      <w:r>
        <w:rPr>
          <w:spacing w:val="-5"/>
          <w:w w:val="101"/>
        </w:rPr>
        <w:t>季</w:t>
      </w:r>
      <w:r>
        <w:rPr>
          <w:w w:val="101"/>
        </w:rPr>
        <w:t>度</w:t>
      </w:r>
      <w:r>
        <w:rPr>
          <w:spacing w:val="-5"/>
          <w:w w:val="101"/>
        </w:rPr>
        <w:t>货</w:t>
      </w:r>
      <w:r>
        <w:rPr>
          <w:w w:val="101"/>
        </w:rPr>
        <w:t>币</w:t>
      </w:r>
      <w:r>
        <w:rPr>
          <w:spacing w:val="-5"/>
          <w:w w:val="101"/>
        </w:rPr>
        <w:t>资</w:t>
      </w:r>
      <w:r>
        <w:rPr>
          <w:w w:val="101"/>
        </w:rPr>
        <w:t>金</w:t>
      </w:r>
      <w:r>
        <w:rPr>
          <w:spacing w:val="-5"/>
          <w:w w:val="101"/>
        </w:rPr>
        <w:t>专</w:t>
      </w:r>
      <w:r>
        <w:rPr>
          <w:w w:val="101"/>
        </w:rPr>
        <w:t>项</w:t>
      </w:r>
      <w:r>
        <w:rPr>
          <w:spacing w:val="-5"/>
          <w:w w:val="101"/>
        </w:rPr>
        <w:t>审</w:t>
      </w:r>
      <w:r>
        <w:rPr>
          <w:w w:val="101"/>
        </w:rPr>
        <w:t>计</w:t>
      </w:r>
      <w:r>
        <w:rPr>
          <w:spacing w:val="-5"/>
          <w:w w:val="101"/>
        </w:rPr>
        <w:t>报</w:t>
      </w:r>
      <w:r>
        <w:rPr>
          <w:w w:val="101"/>
        </w:rPr>
        <w:t>告</w:t>
      </w:r>
      <w:r>
        <w:rPr>
          <w:spacing w:val="-92"/>
          <w:w w:val="101"/>
        </w:rPr>
        <w:t>》</w:t>
      </w:r>
      <w:r>
        <w:rPr>
          <w:spacing w:val="-96"/>
          <w:w w:val="101"/>
        </w:rPr>
        <w:t>、</w:t>
      </w:r>
      <w:r>
        <w:rPr>
          <w:w w:val="101"/>
        </w:rPr>
        <w:t>《</w:t>
      </w:r>
      <w:r>
        <w:rPr>
          <w:rFonts w:ascii="Times New Roman" w:hAnsi="Times New Roman" w:cs="Times New Roman" w:eastAsia="Times New Roman" w:hint="default"/>
          <w:w w:val="101"/>
        </w:rPr>
        <w:t>2</w:t>
      </w:r>
      <w:r>
        <w:rPr>
          <w:rFonts w:ascii="Times New Roman" w:hAnsi="Times New Roman" w:cs="Times New Roman" w:eastAsia="Times New Roman" w:hint="default"/>
          <w:spacing w:val="-5"/>
          <w:w w:val="101"/>
        </w:rPr>
        <w:t>0</w:t>
      </w:r>
      <w:r>
        <w:rPr>
          <w:rFonts w:ascii="Times New Roman" w:hAnsi="Times New Roman" w:cs="Times New Roman" w:eastAsia="Times New Roman" w:hint="default"/>
          <w:w w:val="101"/>
        </w:rPr>
        <w:t>18</w:t>
      </w:r>
      <w:r>
        <w:rPr>
          <w:rFonts w:ascii="Times New Roman" w:hAnsi="Times New Roman" w:cs="Times New Roman" w:eastAsia="Times New Roman" w:hint="default"/>
          <w:spacing w:val="-12"/>
        </w:rPr>
        <w:t> </w:t>
      </w:r>
      <w:r>
        <w:rPr>
          <w:w w:val="101"/>
        </w:rPr>
        <w:t>年</w:t>
      </w:r>
      <w:r>
        <w:rPr>
          <w:spacing w:val="-5"/>
          <w:w w:val="101"/>
        </w:rPr>
        <w:t>度</w:t>
      </w:r>
      <w:r>
        <w:rPr>
          <w:w w:val="101"/>
        </w:rPr>
        <w:t>内</w:t>
      </w:r>
      <w:r>
        <w:rPr>
          <w:spacing w:val="-5"/>
          <w:w w:val="101"/>
        </w:rPr>
        <w:t>部</w:t>
      </w:r>
      <w:r>
        <w:rPr>
          <w:w w:val="101"/>
        </w:rPr>
        <w:t>控</w:t>
      </w:r>
      <w:r>
        <w:rPr>
          <w:spacing w:val="-5"/>
          <w:w w:val="101"/>
        </w:rPr>
        <w:t>制</w:t>
      </w:r>
      <w:r>
        <w:rPr>
          <w:w w:val="101"/>
        </w:rPr>
        <w:t>自</w:t>
      </w:r>
      <w:r>
        <w:rPr>
          <w:spacing w:val="-5"/>
          <w:w w:val="101"/>
        </w:rPr>
        <w:t>我</w:t>
      </w:r>
      <w:r>
        <w:rPr>
          <w:w w:val="101"/>
        </w:rPr>
        <w:t>评</w:t>
      </w:r>
      <w:r>
        <w:rPr>
          <w:spacing w:val="-5"/>
          <w:w w:val="101"/>
        </w:rPr>
        <w:t>价</w:t>
      </w:r>
      <w:r>
        <w:rPr>
          <w:w w:val="101"/>
        </w:rPr>
        <w:t>报告</w:t>
      </w:r>
      <w:r>
        <w:rPr>
          <w:spacing w:val="-96"/>
          <w:w w:val="101"/>
        </w:rPr>
        <w:t>》</w:t>
      </w:r>
      <w:r>
        <w:rPr>
          <w:spacing w:val="-92"/>
          <w:w w:val="101"/>
        </w:rPr>
        <w:t>、</w:t>
      </w:r>
      <w:r>
        <w:rPr>
          <w:spacing w:val="-5"/>
          <w:w w:val="101"/>
        </w:rPr>
        <w:t>《</w:t>
      </w:r>
      <w:r>
        <w:rPr>
          <w:w w:val="101"/>
        </w:rPr>
        <w:t>关</w:t>
      </w:r>
      <w:r>
        <w:rPr>
          <w:spacing w:val="-5"/>
          <w:w w:val="101"/>
        </w:rPr>
        <w:t>于</w:t>
      </w:r>
      <w:r>
        <w:rPr>
          <w:w w:val="101"/>
        </w:rPr>
        <w:t>续</w:t>
      </w:r>
      <w:r>
        <w:rPr>
          <w:spacing w:val="-5"/>
          <w:w w:val="101"/>
        </w:rPr>
        <w:t>聘</w:t>
      </w:r>
      <w:r>
        <w:rPr>
          <w:w w:val="101"/>
        </w:rPr>
        <w:t>瑞</w:t>
      </w:r>
      <w:r>
        <w:rPr>
          <w:spacing w:val="-5"/>
          <w:w w:val="101"/>
        </w:rPr>
        <w:t>华</w:t>
      </w:r>
      <w:r>
        <w:rPr>
          <w:w w:val="101"/>
        </w:rPr>
        <w:t>会</w:t>
      </w:r>
      <w:r>
        <w:rPr>
          <w:spacing w:val="-5"/>
          <w:w w:val="101"/>
        </w:rPr>
        <w:t>计</w:t>
      </w:r>
      <w:r>
        <w:rPr>
          <w:w w:val="101"/>
        </w:rPr>
        <w:t>师</w:t>
      </w:r>
      <w:r>
        <w:rPr>
          <w:spacing w:val="-5"/>
          <w:w w:val="101"/>
        </w:rPr>
        <w:t>事</w:t>
      </w:r>
      <w:r>
        <w:rPr>
          <w:w w:val="101"/>
        </w:rPr>
        <w:t>务</w:t>
      </w:r>
      <w:r>
        <w:rPr>
          <w:spacing w:val="-5"/>
          <w:w w:val="101"/>
        </w:rPr>
        <w:t>所</w:t>
      </w:r>
      <w:r>
        <w:rPr>
          <w:w w:val="101"/>
        </w:rPr>
        <w:t>审</w:t>
      </w:r>
      <w:r>
        <w:rPr>
          <w:spacing w:val="-5"/>
          <w:w w:val="101"/>
        </w:rPr>
        <w:t>核</w:t>
      </w:r>
      <w:r>
        <w:rPr>
          <w:w w:val="101"/>
        </w:rPr>
        <w:t>意见</w:t>
      </w:r>
      <w:r>
        <w:rPr>
          <w:spacing w:val="-96"/>
          <w:w w:val="101"/>
        </w:rPr>
        <w:t>》</w:t>
      </w:r>
      <w:r>
        <w:rPr>
          <w:spacing w:val="-92"/>
          <w:w w:val="101"/>
        </w:rPr>
        <w:t>、</w:t>
      </w:r>
      <w:r>
        <w:rPr>
          <w:spacing w:val="1"/>
          <w:w w:val="101"/>
        </w:rPr>
        <w:t>《</w:t>
      </w:r>
      <w:r>
        <w:rPr>
          <w:rFonts w:ascii="Times New Roman" w:hAnsi="Times New Roman" w:cs="Times New Roman" w:eastAsia="Times New Roman" w:hint="default"/>
          <w:spacing w:val="-5"/>
          <w:w w:val="101"/>
        </w:rPr>
        <w:t>2</w:t>
      </w:r>
      <w:r>
        <w:rPr>
          <w:rFonts w:ascii="Times New Roman" w:hAnsi="Times New Roman" w:cs="Times New Roman" w:eastAsia="Times New Roman" w:hint="default"/>
          <w:w w:val="101"/>
        </w:rPr>
        <w:t>0</w:t>
      </w:r>
      <w:r>
        <w:rPr>
          <w:rFonts w:ascii="Times New Roman" w:hAnsi="Times New Roman" w:cs="Times New Roman" w:eastAsia="Times New Roman" w:hint="default"/>
          <w:spacing w:val="-5"/>
          <w:w w:val="101"/>
        </w:rPr>
        <w:t>1</w:t>
      </w:r>
      <w:r>
        <w:rPr>
          <w:rFonts w:ascii="Times New Roman" w:hAnsi="Times New Roman" w:cs="Times New Roman" w:eastAsia="Times New Roman" w:hint="default"/>
          <w:w w:val="101"/>
        </w:rPr>
        <w:t>8</w:t>
      </w:r>
      <w:r>
        <w:rPr>
          <w:rFonts w:ascii="Times New Roman" w:hAnsi="Times New Roman" w:cs="Times New Roman" w:eastAsia="Times New Roman" w:hint="default"/>
          <w:spacing w:val="-7"/>
        </w:rPr>
        <w:t> </w:t>
      </w:r>
      <w:r>
        <w:rPr>
          <w:spacing w:val="-5"/>
          <w:w w:val="101"/>
        </w:rPr>
        <w:t>年度 </w:t>
      </w:r>
      <w:r>
        <w:rPr>
          <w:w w:val="101"/>
        </w:rPr>
        <w:t>内</w:t>
      </w:r>
      <w:r>
        <w:rPr>
          <w:spacing w:val="-5"/>
          <w:w w:val="101"/>
        </w:rPr>
        <w:t>部</w:t>
      </w:r>
      <w:r>
        <w:rPr>
          <w:w w:val="101"/>
        </w:rPr>
        <w:t>审</w:t>
      </w:r>
      <w:r>
        <w:rPr>
          <w:spacing w:val="-5"/>
          <w:w w:val="101"/>
        </w:rPr>
        <w:t>计</w:t>
      </w:r>
      <w:r>
        <w:rPr>
          <w:w w:val="101"/>
        </w:rPr>
        <w:t>工</w:t>
      </w:r>
      <w:r>
        <w:rPr>
          <w:spacing w:val="-5"/>
          <w:w w:val="101"/>
        </w:rPr>
        <w:t>作</w:t>
      </w:r>
      <w:r>
        <w:rPr>
          <w:w w:val="101"/>
        </w:rPr>
        <w:t>总</w:t>
      </w:r>
      <w:r>
        <w:rPr>
          <w:spacing w:val="-5"/>
          <w:w w:val="101"/>
        </w:rPr>
        <w:t>结</w:t>
      </w:r>
      <w:r>
        <w:rPr>
          <w:w w:val="101"/>
        </w:rPr>
        <w:t>》</w:t>
      </w:r>
      <w:r>
        <w:rPr>
          <w:spacing w:val="-5"/>
          <w:w w:val="101"/>
        </w:rPr>
        <w:t>及</w:t>
      </w:r>
      <w:r>
        <w:rPr>
          <w:w w:val="101"/>
        </w:rPr>
        <w:t>《</w:t>
      </w:r>
      <w:r>
        <w:rPr>
          <w:rFonts w:ascii="Times New Roman" w:hAnsi="Times New Roman" w:cs="Times New Roman" w:eastAsia="Times New Roman" w:hint="default"/>
          <w:w w:val="101"/>
        </w:rPr>
        <w:t>20</w:t>
      </w:r>
      <w:r>
        <w:rPr>
          <w:rFonts w:ascii="Times New Roman" w:hAnsi="Times New Roman" w:cs="Times New Roman" w:eastAsia="Times New Roman" w:hint="default"/>
          <w:spacing w:val="-5"/>
          <w:w w:val="101"/>
        </w:rPr>
        <w:t>1</w:t>
      </w:r>
      <w:r>
        <w:rPr>
          <w:rFonts w:ascii="Times New Roman" w:hAnsi="Times New Roman" w:cs="Times New Roman" w:eastAsia="Times New Roman" w:hint="default"/>
          <w:w w:val="101"/>
        </w:rPr>
        <w:t>9</w:t>
      </w:r>
      <w:r>
        <w:rPr>
          <w:rFonts w:ascii="Times New Roman" w:hAnsi="Times New Roman" w:cs="Times New Roman" w:eastAsia="Times New Roman" w:hint="default"/>
          <w:spacing w:val="-12"/>
        </w:rPr>
        <w:t> </w:t>
      </w:r>
      <w:r>
        <w:rPr>
          <w:w w:val="101"/>
        </w:rPr>
        <w:t>年</w:t>
      </w:r>
      <w:r>
        <w:rPr>
          <w:spacing w:val="-5"/>
          <w:w w:val="101"/>
        </w:rPr>
        <w:t>度</w:t>
      </w:r>
      <w:r>
        <w:rPr>
          <w:w w:val="101"/>
        </w:rPr>
        <w:t>内</w:t>
      </w:r>
      <w:r>
        <w:rPr>
          <w:spacing w:val="-5"/>
          <w:w w:val="101"/>
        </w:rPr>
        <w:t>部</w:t>
      </w:r>
      <w:r>
        <w:rPr>
          <w:w w:val="101"/>
        </w:rPr>
        <w:t>审</w:t>
      </w:r>
      <w:r>
        <w:rPr>
          <w:spacing w:val="-5"/>
          <w:w w:val="101"/>
        </w:rPr>
        <w:t>计</w:t>
      </w:r>
      <w:r>
        <w:rPr>
          <w:w w:val="101"/>
        </w:rPr>
        <w:t>工</w:t>
      </w:r>
      <w:r>
        <w:rPr>
          <w:spacing w:val="-5"/>
          <w:w w:val="101"/>
        </w:rPr>
        <w:t>作</w:t>
      </w:r>
      <w:r>
        <w:rPr>
          <w:w w:val="101"/>
        </w:rPr>
        <w:t>计划</w:t>
      </w:r>
      <w:r>
        <w:rPr>
          <w:spacing w:val="-96"/>
          <w:w w:val="101"/>
        </w:rPr>
        <w:t>》</w:t>
      </w:r>
      <w:r>
        <w:rPr>
          <w:w w:val="101"/>
        </w:rPr>
        <w:t>。</w:t>
      </w:r>
      <w:r>
        <w:rPr/>
      </w:r>
    </w:p>
    <w:p>
      <w:pPr>
        <w:pStyle w:val="BodyText"/>
        <w:spacing w:line="451" w:lineRule="auto" w:before="46"/>
        <w:ind w:right="1151" w:firstLine="360"/>
        <w:jc w:val="both"/>
      </w:pPr>
      <w:r>
        <w:rPr>
          <w:rFonts w:ascii="Times New Roman" w:hAnsi="Times New Roman" w:cs="Times New Roman" w:eastAsia="Times New Roman" w:hint="default"/>
          <w:w w:val="101"/>
        </w:rPr>
        <w:t>2</w:t>
      </w:r>
      <w:r>
        <w:rPr>
          <w:w w:val="101"/>
        </w:rPr>
        <w:t>）</w:t>
      </w:r>
      <w:r>
        <w:rPr>
          <w:rFonts w:ascii="Times New Roman" w:hAnsi="Times New Roman" w:cs="Times New Roman" w:eastAsia="Times New Roman" w:hint="default"/>
          <w:w w:val="101"/>
        </w:rPr>
        <w:t>2</w:t>
      </w:r>
      <w:r>
        <w:rPr>
          <w:rFonts w:ascii="Times New Roman" w:hAnsi="Times New Roman" w:cs="Times New Roman" w:eastAsia="Times New Roman" w:hint="default"/>
          <w:spacing w:val="-5"/>
          <w:w w:val="101"/>
        </w:rPr>
        <w:t>0</w:t>
      </w:r>
      <w:r>
        <w:rPr>
          <w:rFonts w:ascii="Times New Roman" w:hAnsi="Times New Roman" w:cs="Times New Roman" w:eastAsia="Times New Roman" w:hint="default"/>
          <w:w w:val="101"/>
        </w:rPr>
        <w:t>19</w:t>
      </w:r>
      <w:r>
        <w:rPr>
          <w:rFonts w:ascii="Times New Roman" w:hAnsi="Times New Roman" w:cs="Times New Roman" w:eastAsia="Times New Roman" w:hint="default"/>
          <w:spacing w:val="-7"/>
        </w:rPr>
        <w:t> </w:t>
      </w:r>
      <w:r>
        <w:rPr>
          <w:w w:val="101"/>
        </w:rPr>
        <w:t>年</w:t>
      </w:r>
      <w:r>
        <w:rPr>
          <w:spacing w:val="-52"/>
        </w:rPr>
        <w:t> </w:t>
      </w:r>
      <w:r>
        <w:rPr>
          <w:rFonts w:ascii="Times New Roman" w:hAnsi="Times New Roman" w:cs="Times New Roman" w:eastAsia="Times New Roman" w:hint="default"/>
          <w:w w:val="101"/>
        </w:rPr>
        <w:t>4</w:t>
      </w:r>
      <w:r>
        <w:rPr>
          <w:rFonts w:ascii="Times New Roman" w:hAnsi="Times New Roman" w:cs="Times New Roman" w:eastAsia="Times New Roman" w:hint="default"/>
          <w:spacing w:val="-7"/>
        </w:rPr>
        <w:t> </w:t>
      </w:r>
      <w:r>
        <w:rPr>
          <w:w w:val="101"/>
        </w:rPr>
        <w:t>月</w:t>
      </w:r>
      <w:r>
        <w:rPr>
          <w:spacing w:val="-52"/>
        </w:rPr>
        <w:t> </w:t>
      </w:r>
      <w:r>
        <w:rPr>
          <w:rFonts w:ascii="Times New Roman" w:hAnsi="Times New Roman" w:cs="Times New Roman" w:eastAsia="Times New Roman" w:hint="default"/>
          <w:w w:val="101"/>
        </w:rPr>
        <w:t>26</w:t>
      </w:r>
      <w:r>
        <w:rPr>
          <w:rFonts w:ascii="Times New Roman" w:hAnsi="Times New Roman" w:cs="Times New Roman" w:eastAsia="Times New Roman" w:hint="default"/>
          <w:spacing w:val="-12"/>
        </w:rPr>
        <w:t> </w:t>
      </w:r>
      <w:r>
        <w:rPr>
          <w:w w:val="101"/>
        </w:rPr>
        <w:t>日</w:t>
      </w:r>
      <w:r>
        <w:rPr>
          <w:spacing w:val="-5"/>
          <w:w w:val="101"/>
        </w:rPr>
        <w:t>，</w:t>
      </w:r>
      <w:r>
        <w:rPr>
          <w:w w:val="101"/>
        </w:rPr>
        <w:t>召</w:t>
      </w:r>
      <w:r>
        <w:rPr>
          <w:spacing w:val="-5"/>
          <w:w w:val="101"/>
        </w:rPr>
        <w:t>开</w:t>
      </w:r>
      <w:r>
        <w:rPr>
          <w:w w:val="101"/>
        </w:rPr>
        <w:t>第</w:t>
      </w:r>
      <w:r>
        <w:rPr>
          <w:spacing w:val="-5"/>
          <w:w w:val="101"/>
        </w:rPr>
        <w:t>四</w:t>
      </w:r>
      <w:r>
        <w:rPr>
          <w:w w:val="101"/>
        </w:rPr>
        <w:t>届</w:t>
      </w:r>
      <w:r>
        <w:rPr>
          <w:spacing w:val="-5"/>
          <w:w w:val="101"/>
        </w:rPr>
        <w:t>审</w:t>
      </w:r>
      <w:r>
        <w:rPr>
          <w:w w:val="101"/>
        </w:rPr>
        <w:t>计</w:t>
      </w:r>
      <w:r>
        <w:rPr>
          <w:spacing w:val="-5"/>
          <w:w w:val="101"/>
        </w:rPr>
        <w:t>委</w:t>
      </w:r>
      <w:r>
        <w:rPr>
          <w:w w:val="101"/>
        </w:rPr>
        <w:t>员</w:t>
      </w:r>
      <w:r>
        <w:rPr>
          <w:spacing w:val="-5"/>
          <w:w w:val="101"/>
        </w:rPr>
        <w:t>会</w:t>
      </w:r>
      <w:r>
        <w:rPr>
          <w:w w:val="101"/>
        </w:rPr>
        <w:t>第</w:t>
      </w:r>
      <w:r>
        <w:rPr>
          <w:spacing w:val="-5"/>
          <w:w w:val="101"/>
        </w:rPr>
        <w:t>八</w:t>
      </w:r>
      <w:r>
        <w:rPr>
          <w:w w:val="101"/>
        </w:rPr>
        <w:t>次</w:t>
      </w:r>
      <w:r>
        <w:rPr>
          <w:spacing w:val="-5"/>
          <w:w w:val="101"/>
        </w:rPr>
        <w:t>会</w:t>
      </w:r>
      <w:r>
        <w:rPr>
          <w:w w:val="101"/>
        </w:rPr>
        <w:t>议</w:t>
      </w:r>
      <w:r>
        <w:rPr>
          <w:spacing w:val="-5"/>
          <w:w w:val="101"/>
        </w:rPr>
        <w:t>，审</w:t>
      </w:r>
      <w:r>
        <w:rPr>
          <w:w w:val="101"/>
        </w:rPr>
        <w:t>议</w:t>
      </w:r>
      <w:r>
        <w:rPr>
          <w:spacing w:val="-5"/>
          <w:w w:val="101"/>
        </w:rPr>
        <w:t>通</w:t>
      </w:r>
      <w:r>
        <w:rPr>
          <w:w w:val="101"/>
        </w:rPr>
        <w:t>过</w:t>
      </w:r>
      <w:r>
        <w:rPr>
          <w:spacing w:val="-5"/>
          <w:w w:val="101"/>
        </w:rPr>
        <w:t>了</w:t>
      </w:r>
      <w:r>
        <w:rPr>
          <w:w w:val="101"/>
        </w:rPr>
        <w:t>公</w:t>
      </w:r>
      <w:r>
        <w:rPr>
          <w:spacing w:val="-5"/>
          <w:w w:val="101"/>
        </w:rPr>
        <w:t>司</w:t>
      </w:r>
      <w:r>
        <w:rPr>
          <w:spacing w:val="1"/>
          <w:w w:val="101"/>
        </w:rPr>
        <w:t>《</w:t>
      </w:r>
      <w:r>
        <w:rPr>
          <w:rFonts w:ascii="Times New Roman" w:hAnsi="Times New Roman" w:cs="Times New Roman" w:eastAsia="Times New Roman" w:hint="default"/>
          <w:w w:val="101"/>
        </w:rPr>
        <w:t>20</w:t>
      </w:r>
      <w:r>
        <w:rPr>
          <w:rFonts w:ascii="Times New Roman" w:hAnsi="Times New Roman" w:cs="Times New Roman" w:eastAsia="Times New Roman" w:hint="default"/>
          <w:spacing w:val="-5"/>
          <w:w w:val="101"/>
        </w:rPr>
        <w:t>1</w:t>
      </w:r>
      <w:r>
        <w:rPr>
          <w:rFonts w:ascii="Times New Roman" w:hAnsi="Times New Roman" w:cs="Times New Roman" w:eastAsia="Times New Roman" w:hint="default"/>
          <w:w w:val="101"/>
        </w:rPr>
        <w:t>9</w:t>
      </w:r>
      <w:r>
        <w:rPr>
          <w:rFonts w:ascii="Times New Roman" w:hAnsi="Times New Roman" w:cs="Times New Roman" w:eastAsia="Times New Roman" w:hint="default"/>
          <w:spacing w:val="-7"/>
        </w:rPr>
        <w:t> </w:t>
      </w:r>
      <w:r>
        <w:rPr>
          <w:w w:val="101"/>
        </w:rPr>
        <w:t>年</w:t>
      </w:r>
      <w:r>
        <w:rPr>
          <w:spacing w:val="-51"/>
        </w:rPr>
        <w:t> </w:t>
      </w:r>
      <w:r>
        <w:rPr>
          <w:rFonts w:ascii="Times New Roman" w:hAnsi="Times New Roman" w:cs="Times New Roman" w:eastAsia="Times New Roman" w:hint="default"/>
          <w:w w:val="101"/>
        </w:rPr>
        <w:t>1</w:t>
      </w:r>
      <w:r>
        <w:rPr>
          <w:rFonts w:ascii="Times New Roman" w:hAnsi="Times New Roman" w:cs="Times New Roman" w:eastAsia="Times New Roman" w:hint="default"/>
          <w:spacing w:val="-7"/>
        </w:rPr>
        <w:t> </w:t>
      </w:r>
      <w:r>
        <w:rPr>
          <w:spacing w:val="-5"/>
          <w:w w:val="101"/>
        </w:rPr>
        <w:t>季</w:t>
      </w:r>
      <w:r>
        <w:rPr>
          <w:w w:val="101"/>
        </w:rPr>
        <w:t>度</w:t>
      </w:r>
      <w:r>
        <w:rPr>
          <w:spacing w:val="-5"/>
          <w:w w:val="101"/>
        </w:rPr>
        <w:t>财</w:t>
      </w:r>
      <w:r>
        <w:rPr>
          <w:w w:val="101"/>
        </w:rPr>
        <w:t>务</w:t>
      </w:r>
      <w:r>
        <w:rPr>
          <w:spacing w:val="-5"/>
          <w:w w:val="101"/>
        </w:rPr>
        <w:t>报</w:t>
      </w:r>
      <w:r>
        <w:rPr>
          <w:w w:val="101"/>
        </w:rPr>
        <w:t>表</w:t>
      </w:r>
      <w:r>
        <w:rPr>
          <w:spacing w:val="-92"/>
          <w:w w:val="101"/>
        </w:rPr>
        <w:t>》</w:t>
      </w:r>
      <w:r>
        <w:rPr>
          <w:spacing w:val="-96"/>
          <w:w w:val="101"/>
        </w:rPr>
        <w:t>、</w:t>
      </w:r>
      <w:r>
        <w:rPr>
          <w:w w:val="101"/>
        </w:rPr>
        <w:t>《</w:t>
      </w:r>
      <w:r>
        <w:rPr>
          <w:rFonts w:ascii="Times New Roman" w:hAnsi="Times New Roman" w:cs="Times New Roman" w:eastAsia="Times New Roman" w:hint="default"/>
          <w:w w:val="101"/>
        </w:rPr>
        <w:t>2</w:t>
      </w:r>
      <w:r>
        <w:rPr>
          <w:rFonts w:ascii="Times New Roman" w:hAnsi="Times New Roman" w:cs="Times New Roman" w:eastAsia="Times New Roman" w:hint="default"/>
          <w:spacing w:val="-5"/>
          <w:w w:val="101"/>
        </w:rPr>
        <w:t>0</w:t>
      </w:r>
      <w:r>
        <w:rPr>
          <w:rFonts w:ascii="Times New Roman" w:hAnsi="Times New Roman" w:cs="Times New Roman" w:eastAsia="Times New Roman" w:hint="default"/>
          <w:w w:val="101"/>
        </w:rPr>
        <w:t>19</w:t>
      </w:r>
      <w:r>
        <w:rPr>
          <w:rFonts w:ascii="Times New Roman" w:hAnsi="Times New Roman" w:cs="Times New Roman" w:eastAsia="Times New Roman" w:hint="default"/>
          <w:spacing w:val="-12"/>
        </w:rPr>
        <w:t> </w:t>
      </w:r>
      <w:r>
        <w:rPr>
          <w:w w:val="101"/>
        </w:rPr>
        <w:t>年</w:t>
      </w:r>
      <w:r>
        <w:rPr>
          <w:spacing w:val="-47"/>
        </w:rPr>
        <w:t> </w:t>
      </w:r>
      <w:r>
        <w:rPr>
          <w:rFonts w:ascii="Times New Roman" w:hAnsi="Times New Roman" w:cs="Times New Roman" w:eastAsia="Times New Roman" w:hint="default"/>
          <w:w w:val="101"/>
        </w:rPr>
        <w:t>1</w:t>
      </w:r>
      <w:r>
        <w:rPr>
          <w:rFonts w:ascii="Times New Roman" w:hAnsi="Times New Roman" w:cs="Times New Roman" w:eastAsia="Times New Roman" w:hint="default"/>
          <w:spacing w:val="-12"/>
        </w:rPr>
        <w:t> </w:t>
      </w:r>
      <w:r>
        <w:rPr>
          <w:w w:val="101"/>
        </w:rPr>
        <w:t>季 度</w:t>
      </w:r>
      <w:r>
        <w:rPr>
          <w:spacing w:val="-5"/>
          <w:w w:val="101"/>
        </w:rPr>
        <w:t>募</w:t>
      </w:r>
      <w:r>
        <w:rPr>
          <w:w w:val="101"/>
        </w:rPr>
        <w:t>集</w:t>
      </w:r>
      <w:r>
        <w:rPr>
          <w:spacing w:val="-5"/>
          <w:w w:val="101"/>
        </w:rPr>
        <w:t>资</w:t>
      </w:r>
      <w:r>
        <w:rPr>
          <w:w w:val="101"/>
        </w:rPr>
        <w:t>金</w:t>
      </w:r>
      <w:r>
        <w:rPr>
          <w:spacing w:val="-5"/>
          <w:w w:val="101"/>
        </w:rPr>
        <w:t>存</w:t>
      </w:r>
      <w:r>
        <w:rPr>
          <w:w w:val="101"/>
        </w:rPr>
        <w:t>放</w:t>
      </w:r>
      <w:r>
        <w:rPr>
          <w:spacing w:val="-5"/>
          <w:w w:val="101"/>
        </w:rPr>
        <w:t>与</w:t>
      </w:r>
      <w:r>
        <w:rPr>
          <w:w w:val="101"/>
        </w:rPr>
        <w:t>使</w:t>
      </w:r>
      <w:r>
        <w:rPr>
          <w:spacing w:val="-5"/>
          <w:w w:val="101"/>
        </w:rPr>
        <w:t>用</w:t>
      </w:r>
      <w:r>
        <w:rPr>
          <w:w w:val="101"/>
        </w:rPr>
        <w:t>情</w:t>
      </w:r>
      <w:r>
        <w:rPr>
          <w:spacing w:val="-5"/>
          <w:w w:val="101"/>
        </w:rPr>
        <w:t>况</w:t>
      </w:r>
      <w:r>
        <w:rPr>
          <w:w w:val="101"/>
        </w:rPr>
        <w:t>专</w:t>
      </w:r>
      <w:r>
        <w:rPr>
          <w:spacing w:val="-5"/>
          <w:w w:val="101"/>
        </w:rPr>
        <w:t>项</w:t>
      </w:r>
      <w:r>
        <w:rPr>
          <w:w w:val="101"/>
        </w:rPr>
        <w:t>报告</w:t>
      </w:r>
      <w:r>
        <w:rPr>
          <w:spacing w:val="-96"/>
          <w:w w:val="101"/>
        </w:rPr>
        <w:t>》</w:t>
      </w:r>
      <w:r>
        <w:rPr>
          <w:spacing w:val="-92"/>
          <w:w w:val="101"/>
        </w:rPr>
        <w:t>、</w:t>
      </w:r>
      <w:r>
        <w:rPr>
          <w:w w:val="101"/>
        </w:rPr>
        <w:t>《</w:t>
      </w:r>
      <w:r>
        <w:rPr>
          <w:rFonts w:ascii="Times New Roman" w:hAnsi="Times New Roman" w:cs="Times New Roman" w:eastAsia="Times New Roman" w:hint="default"/>
          <w:spacing w:val="-5"/>
          <w:w w:val="101"/>
        </w:rPr>
        <w:t>2</w:t>
      </w:r>
      <w:r>
        <w:rPr>
          <w:rFonts w:ascii="Times New Roman" w:hAnsi="Times New Roman" w:cs="Times New Roman" w:eastAsia="Times New Roman" w:hint="default"/>
          <w:w w:val="101"/>
        </w:rPr>
        <w:t>0</w:t>
      </w:r>
      <w:r>
        <w:rPr>
          <w:rFonts w:ascii="Times New Roman" w:hAnsi="Times New Roman" w:cs="Times New Roman" w:eastAsia="Times New Roman" w:hint="default"/>
          <w:spacing w:val="-5"/>
          <w:w w:val="101"/>
        </w:rPr>
        <w:t>1</w:t>
      </w:r>
      <w:r>
        <w:rPr>
          <w:rFonts w:ascii="Times New Roman" w:hAnsi="Times New Roman" w:cs="Times New Roman" w:eastAsia="Times New Roman" w:hint="default"/>
          <w:w w:val="101"/>
        </w:rPr>
        <w:t>9</w:t>
      </w:r>
      <w:r>
        <w:rPr>
          <w:rFonts w:ascii="Times New Roman" w:hAnsi="Times New Roman" w:cs="Times New Roman" w:eastAsia="Times New Roman" w:hint="default"/>
          <w:spacing w:val="-7"/>
        </w:rPr>
        <w:t> </w:t>
      </w:r>
      <w:r>
        <w:rPr>
          <w:w w:val="101"/>
        </w:rPr>
        <w:t>年</w:t>
      </w:r>
      <w:r>
        <w:rPr>
          <w:spacing w:val="-47"/>
        </w:rPr>
        <w:t> </w:t>
      </w:r>
      <w:r>
        <w:rPr>
          <w:rFonts w:ascii="Times New Roman" w:hAnsi="Times New Roman" w:cs="Times New Roman" w:eastAsia="Times New Roman" w:hint="default"/>
          <w:w w:val="101"/>
        </w:rPr>
        <w:t>1</w:t>
      </w:r>
      <w:r>
        <w:rPr>
          <w:rFonts w:ascii="Times New Roman" w:hAnsi="Times New Roman" w:cs="Times New Roman" w:eastAsia="Times New Roman" w:hint="default"/>
          <w:spacing w:val="-12"/>
        </w:rPr>
        <w:t> </w:t>
      </w:r>
      <w:r>
        <w:rPr>
          <w:w w:val="101"/>
        </w:rPr>
        <w:t>季</w:t>
      </w:r>
      <w:r>
        <w:rPr>
          <w:spacing w:val="-5"/>
          <w:w w:val="101"/>
        </w:rPr>
        <w:t>度</w:t>
      </w:r>
      <w:r>
        <w:rPr>
          <w:w w:val="101"/>
        </w:rPr>
        <w:t>控</w:t>
      </w:r>
      <w:r>
        <w:rPr>
          <w:spacing w:val="-5"/>
          <w:w w:val="101"/>
        </w:rPr>
        <w:t>股股</w:t>
      </w:r>
      <w:r>
        <w:rPr>
          <w:w w:val="101"/>
        </w:rPr>
        <w:t>东</w:t>
      </w:r>
      <w:r>
        <w:rPr>
          <w:spacing w:val="-5"/>
          <w:w w:val="101"/>
        </w:rPr>
        <w:t>及</w:t>
      </w:r>
      <w:r>
        <w:rPr>
          <w:w w:val="101"/>
        </w:rPr>
        <w:t>其</w:t>
      </w:r>
      <w:r>
        <w:rPr>
          <w:spacing w:val="-5"/>
          <w:w w:val="101"/>
        </w:rPr>
        <w:t>他</w:t>
      </w:r>
      <w:r>
        <w:rPr>
          <w:w w:val="101"/>
        </w:rPr>
        <w:t>关</w:t>
      </w:r>
      <w:r>
        <w:rPr>
          <w:spacing w:val="-5"/>
          <w:w w:val="101"/>
        </w:rPr>
        <w:t>联</w:t>
      </w:r>
      <w:r>
        <w:rPr>
          <w:w w:val="101"/>
        </w:rPr>
        <w:t>方</w:t>
      </w:r>
      <w:r>
        <w:rPr>
          <w:spacing w:val="-5"/>
          <w:w w:val="101"/>
        </w:rPr>
        <w:t>占</w:t>
      </w:r>
      <w:r>
        <w:rPr>
          <w:w w:val="101"/>
        </w:rPr>
        <w:t>用</w:t>
      </w:r>
      <w:r>
        <w:rPr>
          <w:spacing w:val="-5"/>
          <w:w w:val="101"/>
        </w:rPr>
        <w:t>资</w:t>
      </w:r>
      <w:r>
        <w:rPr>
          <w:w w:val="101"/>
        </w:rPr>
        <w:t>金</w:t>
      </w:r>
      <w:r>
        <w:rPr>
          <w:spacing w:val="-5"/>
          <w:w w:val="101"/>
        </w:rPr>
        <w:t>情</w:t>
      </w:r>
      <w:r>
        <w:rPr>
          <w:w w:val="101"/>
        </w:rPr>
        <w:t>况</w:t>
      </w:r>
      <w:r>
        <w:rPr>
          <w:spacing w:val="-5"/>
          <w:w w:val="101"/>
        </w:rPr>
        <w:t>、</w:t>
      </w:r>
      <w:r>
        <w:rPr>
          <w:w w:val="101"/>
        </w:rPr>
        <w:t>公</w:t>
      </w:r>
      <w:r>
        <w:rPr>
          <w:spacing w:val="-5"/>
          <w:w w:val="101"/>
        </w:rPr>
        <w:t>司</w:t>
      </w:r>
      <w:r>
        <w:rPr>
          <w:w w:val="101"/>
        </w:rPr>
        <w:t>对</w:t>
      </w:r>
      <w:r>
        <w:rPr>
          <w:spacing w:val="-5"/>
          <w:w w:val="101"/>
        </w:rPr>
        <w:t>外</w:t>
      </w:r>
      <w:r>
        <w:rPr>
          <w:w w:val="101"/>
        </w:rPr>
        <w:t>担</w:t>
      </w:r>
      <w:r>
        <w:rPr>
          <w:spacing w:val="-5"/>
          <w:w w:val="101"/>
        </w:rPr>
        <w:t>保</w:t>
      </w:r>
      <w:r>
        <w:rPr>
          <w:w w:val="101"/>
        </w:rPr>
        <w:t>事</w:t>
      </w:r>
      <w:r>
        <w:rPr>
          <w:spacing w:val="-5"/>
          <w:w w:val="101"/>
        </w:rPr>
        <w:t>项</w:t>
      </w:r>
      <w:r>
        <w:rPr>
          <w:w w:val="101"/>
        </w:rPr>
        <w:t>的</w:t>
      </w:r>
      <w:r>
        <w:rPr>
          <w:spacing w:val="-5"/>
          <w:w w:val="101"/>
        </w:rPr>
        <w:t>审</w:t>
      </w:r>
      <w:r>
        <w:rPr>
          <w:w w:val="101"/>
        </w:rPr>
        <w:t>计报</w:t>
      </w:r>
      <w:r>
        <w:rPr>
          <w:w w:val="101"/>
        </w:rPr>
        <w:t> 告</w:t>
      </w:r>
      <w:r>
        <w:rPr>
          <w:spacing w:val="-92"/>
          <w:w w:val="101"/>
        </w:rPr>
        <w:t>》</w:t>
      </w:r>
      <w:r>
        <w:rPr>
          <w:spacing w:val="-96"/>
          <w:w w:val="101"/>
        </w:rPr>
        <w:t>、</w:t>
      </w:r>
      <w:r>
        <w:rPr>
          <w:spacing w:val="-1"/>
          <w:w w:val="101"/>
        </w:rPr>
        <w:t>《</w:t>
      </w:r>
      <w:r>
        <w:rPr>
          <w:rFonts w:ascii="Times New Roman" w:hAnsi="Times New Roman" w:cs="Times New Roman" w:eastAsia="Times New Roman" w:hint="default"/>
          <w:w w:val="101"/>
        </w:rPr>
        <w:t>20</w:t>
      </w:r>
      <w:r>
        <w:rPr>
          <w:rFonts w:ascii="Times New Roman" w:hAnsi="Times New Roman" w:cs="Times New Roman" w:eastAsia="Times New Roman" w:hint="default"/>
          <w:spacing w:val="-5"/>
          <w:w w:val="101"/>
        </w:rPr>
        <w:t>1</w:t>
      </w:r>
      <w:r>
        <w:rPr>
          <w:rFonts w:ascii="Times New Roman" w:hAnsi="Times New Roman" w:cs="Times New Roman" w:eastAsia="Times New Roman" w:hint="default"/>
          <w:w w:val="101"/>
        </w:rPr>
        <w:t>9</w:t>
      </w:r>
      <w:r>
        <w:rPr>
          <w:rFonts w:ascii="Times New Roman" w:hAnsi="Times New Roman" w:cs="Times New Roman" w:eastAsia="Times New Roman" w:hint="default"/>
          <w:spacing w:val="-7"/>
        </w:rPr>
        <w:t> </w:t>
      </w:r>
      <w:r>
        <w:rPr>
          <w:w w:val="101"/>
        </w:rPr>
        <w:t>年</w:t>
      </w:r>
      <w:r>
        <w:rPr>
          <w:spacing w:val="-52"/>
        </w:rPr>
        <w:t> </w:t>
      </w:r>
      <w:r>
        <w:rPr>
          <w:rFonts w:ascii="Times New Roman" w:hAnsi="Times New Roman" w:cs="Times New Roman" w:eastAsia="Times New Roman" w:hint="default"/>
          <w:w w:val="101"/>
        </w:rPr>
        <w:t>1</w:t>
      </w:r>
      <w:r>
        <w:rPr>
          <w:rFonts w:ascii="Times New Roman" w:hAnsi="Times New Roman" w:cs="Times New Roman" w:eastAsia="Times New Roman" w:hint="default"/>
          <w:spacing w:val="-7"/>
        </w:rPr>
        <w:t> </w:t>
      </w:r>
      <w:r>
        <w:rPr>
          <w:spacing w:val="-5"/>
          <w:w w:val="101"/>
        </w:rPr>
        <w:t>季</w:t>
      </w:r>
      <w:r>
        <w:rPr>
          <w:w w:val="101"/>
        </w:rPr>
        <w:t>度</w:t>
      </w:r>
      <w:r>
        <w:rPr>
          <w:spacing w:val="-5"/>
          <w:w w:val="101"/>
        </w:rPr>
        <w:t>货</w:t>
      </w:r>
      <w:r>
        <w:rPr>
          <w:w w:val="101"/>
        </w:rPr>
        <w:t>币</w:t>
      </w:r>
      <w:r>
        <w:rPr>
          <w:spacing w:val="-5"/>
          <w:w w:val="101"/>
        </w:rPr>
        <w:t>资</w:t>
      </w:r>
      <w:r>
        <w:rPr>
          <w:w w:val="101"/>
        </w:rPr>
        <w:t>金</w:t>
      </w:r>
      <w:r>
        <w:rPr>
          <w:spacing w:val="-5"/>
          <w:w w:val="101"/>
        </w:rPr>
        <w:t>的</w:t>
      </w:r>
      <w:r>
        <w:rPr>
          <w:w w:val="101"/>
        </w:rPr>
        <w:t>专</w:t>
      </w:r>
      <w:r>
        <w:rPr>
          <w:spacing w:val="-5"/>
          <w:w w:val="101"/>
        </w:rPr>
        <w:t>项</w:t>
      </w:r>
      <w:r>
        <w:rPr>
          <w:w w:val="101"/>
        </w:rPr>
        <w:t>检</w:t>
      </w:r>
      <w:r>
        <w:rPr>
          <w:spacing w:val="-5"/>
          <w:w w:val="101"/>
        </w:rPr>
        <w:t>查</w:t>
      </w:r>
      <w:r>
        <w:rPr>
          <w:w w:val="101"/>
        </w:rPr>
        <w:t>报</w:t>
      </w:r>
      <w:r>
        <w:rPr>
          <w:spacing w:val="-5"/>
          <w:w w:val="101"/>
        </w:rPr>
        <w:t>告</w:t>
      </w:r>
      <w:r>
        <w:rPr>
          <w:spacing w:val="-92"/>
          <w:w w:val="101"/>
        </w:rPr>
        <w:t>》、</w:t>
      </w:r>
      <w:r>
        <w:rPr>
          <w:spacing w:val="-5"/>
          <w:w w:val="101"/>
        </w:rPr>
        <w:t>《</w:t>
      </w:r>
      <w:r>
        <w:rPr>
          <w:rFonts w:ascii="Times New Roman" w:hAnsi="Times New Roman" w:cs="Times New Roman" w:eastAsia="Times New Roman" w:hint="default"/>
          <w:w w:val="101"/>
        </w:rPr>
        <w:t>20</w:t>
      </w:r>
      <w:r>
        <w:rPr>
          <w:rFonts w:ascii="Times New Roman" w:hAnsi="Times New Roman" w:cs="Times New Roman" w:eastAsia="Times New Roman" w:hint="default"/>
          <w:spacing w:val="-5"/>
          <w:w w:val="101"/>
        </w:rPr>
        <w:t>1</w:t>
      </w:r>
      <w:r>
        <w:rPr>
          <w:rFonts w:ascii="Times New Roman" w:hAnsi="Times New Roman" w:cs="Times New Roman" w:eastAsia="Times New Roman" w:hint="default"/>
          <w:w w:val="101"/>
        </w:rPr>
        <w:t>9</w:t>
      </w:r>
      <w:r>
        <w:rPr>
          <w:rFonts w:ascii="Times New Roman" w:hAnsi="Times New Roman" w:cs="Times New Roman" w:eastAsia="Times New Roman" w:hint="default"/>
          <w:spacing w:val="-7"/>
        </w:rPr>
        <w:t> </w:t>
      </w:r>
      <w:r>
        <w:rPr>
          <w:w w:val="101"/>
        </w:rPr>
        <w:t>年</w:t>
      </w:r>
      <w:r>
        <w:rPr>
          <w:spacing w:val="-52"/>
        </w:rPr>
        <w:t> </w:t>
      </w:r>
      <w:r>
        <w:rPr>
          <w:rFonts w:ascii="Times New Roman" w:hAnsi="Times New Roman" w:cs="Times New Roman" w:eastAsia="Times New Roman" w:hint="default"/>
          <w:w w:val="101"/>
        </w:rPr>
        <w:t>1</w:t>
      </w:r>
      <w:r>
        <w:rPr>
          <w:rFonts w:ascii="Times New Roman" w:hAnsi="Times New Roman" w:cs="Times New Roman" w:eastAsia="Times New Roman" w:hint="default"/>
          <w:spacing w:val="-12"/>
        </w:rPr>
        <w:t> </w:t>
      </w:r>
      <w:r>
        <w:rPr>
          <w:w w:val="101"/>
        </w:rPr>
        <w:t>季</w:t>
      </w:r>
      <w:r>
        <w:rPr>
          <w:spacing w:val="-5"/>
          <w:w w:val="101"/>
        </w:rPr>
        <w:t>度</w:t>
      </w:r>
      <w:r>
        <w:rPr>
          <w:w w:val="101"/>
        </w:rPr>
        <w:t>内</w:t>
      </w:r>
      <w:r>
        <w:rPr>
          <w:spacing w:val="-5"/>
          <w:w w:val="101"/>
        </w:rPr>
        <w:t>部</w:t>
      </w:r>
      <w:r>
        <w:rPr>
          <w:w w:val="101"/>
        </w:rPr>
        <w:t>审</w:t>
      </w:r>
      <w:r>
        <w:rPr>
          <w:spacing w:val="-5"/>
          <w:w w:val="101"/>
        </w:rPr>
        <w:t>计</w:t>
      </w:r>
      <w:r>
        <w:rPr>
          <w:w w:val="101"/>
        </w:rPr>
        <w:t>工</w:t>
      </w:r>
      <w:r>
        <w:rPr>
          <w:spacing w:val="-5"/>
          <w:w w:val="101"/>
        </w:rPr>
        <w:t>作</w:t>
      </w:r>
      <w:r>
        <w:rPr>
          <w:w w:val="101"/>
        </w:rPr>
        <w:t>总结</w:t>
      </w:r>
      <w:r>
        <w:rPr>
          <w:spacing w:val="-96"/>
          <w:w w:val="101"/>
        </w:rPr>
        <w:t>》</w:t>
      </w:r>
      <w:r>
        <w:rPr>
          <w:w w:val="101"/>
        </w:rPr>
        <w:t>。</w:t>
      </w:r>
      <w:r>
        <w:rPr/>
      </w:r>
    </w:p>
    <w:p>
      <w:pPr>
        <w:pStyle w:val="BodyText"/>
        <w:spacing w:line="451" w:lineRule="auto" w:before="41"/>
        <w:ind w:right="1151" w:firstLine="360"/>
        <w:jc w:val="both"/>
      </w:pPr>
      <w:r>
        <w:rPr>
          <w:rFonts w:ascii="Times New Roman" w:hAnsi="Times New Roman" w:cs="Times New Roman" w:eastAsia="Times New Roman" w:hint="default"/>
          <w:w w:val="101"/>
        </w:rPr>
        <w:t>3</w:t>
      </w:r>
      <w:r>
        <w:rPr>
          <w:w w:val="101"/>
        </w:rPr>
        <w:t>）</w:t>
      </w:r>
      <w:r>
        <w:rPr>
          <w:rFonts w:ascii="Times New Roman" w:hAnsi="Times New Roman" w:cs="Times New Roman" w:eastAsia="Times New Roman" w:hint="default"/>
          <w:w w:val="101"/>
        </w:rPr>
        <w:t>2</w:t>
      </w:r>
      <w:r>
        <w:rPr>
          <w:rFonts w:ascii="Times New Roman" w:hAnsi="Times New Roman" w:cs="Times New Roman" w:eastAsia="Times New Roman" w:hint="default"/>
          <w:spacing w:val="-5"/>
          <w:w w:val="101"/>
        </w:rPr>
        <w:t>0</w:t>
      </w:r>
      <w:r>
        <w:rPr>
          <w:rFonts w:ascii="Times New Roman" w:hAnsi="Times New Roman" w:cs="Times New Roman" w:eastAsia="Times New Roman" w:hint="default"/>
          <w:w w:val="101"/>
        </w:rPr>
        <w:t>19</w:t>
      </w:r>
      <w:r>
        <w:rPr>
          <w:rFonts w:ascii="Times New Roman" w:hAnsi="Times New Roman" w:cs="Times New Roman" w:eastAsia="Times New Roman" w:hint="default"/>
          <w:spacing w:val="-7"/>
        </w:rPr>
        <w:t> </w:t>
      </w:r>
      <w:r>
        <w:rPr>
          <w:w w:val="101"/>
        </w:rPr>
        <w:t>年</w:t>
      </w:r>
      <w:r>
        <w:rPr>
          <w:spacing w:val="-52"/>
        </w:rPr>
        <w:t> </w:t>
      </w:r>
      <w:r>
        <w:rPr>
          <w:rFonts w:ascii="Times New Roman" w:hAnsi="Times New Roman" w:cs="Times New Roman" w:eastAsia="Times New Roman" w:hint="default"/>
          <w:w w:val="101"/>
        </w:rPr>
        <w:t>8</w:t>
      </w:r>
      <w:r>
        <w:rPr>
          <w:rFonts w:ascii="Times New Roman" w:hAnsi="Times New Roman" w:cs="Times New Roman" w:eastAsia="Times New Roman" w:hint="default"/>
          <w:spacing w:val="-7"/>
        </w:rPr>
        <w:t> </w:t>
      </w:r>
      <w:r>
        <w:rPr>
          <w:w w:val="101"/>
        </w:rPr>
        <w:t>月</w:t>
      </w:r>
      <w:r>
        <w:rPr>
          <w:spacing w:val="-52"/>
        </w:rPr>
        <w:t> </w:t>
      </w:r>
      <w:r>
        <w:rPr>
          <w:rFonts w:ascii="Times New Roman" w:hAnsi="Times New Roman" w:cs="Times New Roman" w:eastAsia="Times New Roman" w:hint="default"/>
          <w:w w:val="101"/>
        </w:rPr>
        <w:t>19</w:t>
      </w:r>
      <w:r>
        <w:rPr>
          <w:rFonts w:ascii="Times New Roman" w:hAnsi="Times New Roman" w:cs="Times New Roman" w:eastAsia="Times New Roman" w:hint="default"/>
          <w:spacing w:val="-12"/>
        </w:rPr>
        <w:t> </w:t>
      </w:r>
      <w:r>
        <w:rPr>
          <w:w w:val="101"/>
        </w:rPr>
        <w:t>日</w:t>
      </w:r>
      <w:r>
        <w:rPr>
          <w:spacing w:val="-5"/>
          <w:w w:val="101"/>
        </w:rPr>
        <w:t>，</w:t>
      </w:r>
      <w:r>
        <w:rPr>
          <w:w w:val="101"/>
        </w:rPr>
        <w:t>召</w:t>
      </w:r>
      <w:r>
        <w:rPr>
          <w:spacing w:val="-5"/>
          <w:w w:val="101"/>
        </w:rPr>
        <w:t>开</w:t>
      </w:r>
      <w:r>
        <w:rPr>
          <w:w w:val="101"/>
        </w:rPr>
        <w:t>第</w:t>
      </w:r>
      <w:r>
        <w:rPr>
          <w:spacing w:val="-5"/>
          <w:w w:val="101"/>
        </w:rPr>
        <w:t>四</w:t>
      </w:r>
      <w:r>
        <w:rPr>
          <w:w w:val="101"/>
        </w:rPr>
        <w:t>届</w:t>
      </w:r>
      <w:r>
        <w:rPr>
          <w:spacing w:val="-5"/>
          <w:w w:val="101"/>
        </w:rPr>
        <w:t>审</w:t>
      </w:r>
      <w:r>
        <w:rPr>
          <w:w w:val="101"/>
        </w:rPr>
        <w:t>计</w:t>
      </w:r>
      <w:r>
        <w:rPr>
          <w:spacing w:val="-5"/>
          <w:w w:val="101"/>
        </w:rPr>
        <w:t>委</w:t>
      </w:r>
      <w:r>
        <w:rPr>
          <w:w w:val="101"/>
        </w:rPr>
        <w:t>员</w:t>
      </w:r>
      <w:r>
        <w:rPr>
          <w:spacing w:val="-5"/>
          <w:w w:val="101"/>
        </w:rPr>
        <w:t>会</w:t>
      </w:r>
      <w:r>
        <w:rPr>
          <w:w w:val="101"/>
        </w:rPr>
        <w:t>第</w:t>
      </w:r>
      <w:r>
        <w:rPr>
          <w:spacing w:val="-5"/>
          <w:w w:val="101"/>
        </w:rPr>
        <w:t>九</w:t>
      </w:r>
      <w:r>
        <w:rPr>
          <w:w w:val="101"/>
        </w:rPr>
        <w:t>次</w:t>
      </w:r>
      <w:r>
        <w:rPr>
          <w:spacing w:val="-5"/>
          <w:w w:val="101"/>
        </w:rPr>
        <w:t>会</w:t>
      </w:r>
      <w:r>
        <w:rPr>
          <w:w w:val="101"/>
        </w:rPr>
        <w:t>议</w:t>
      </w:r>
      <w:r>
        <w:rPr>
          <w:spacing w:val="-5"/>
          <w:w w:val="101"/>
        </w:rPr>
        <w:t>，审</w:t>
      </w:r>
      <w:r>
        <w:rPr>
          <w:w w:val="101"/>
        </w:rPr>
        <w:t>议</w:t>
      </w:r>
      <w:r>
        <w:rPr>
          <w:spacing w:val="-5"/>
          <w:w w:val="101"/>
        </w:rPr>
        <w:t>通</w:t>
      </w:r>
      <w:r>
        <w:rPr>
          <w:w w:val="101"/>
        </w:rPr>
        <w:t>过</w:t>
      </w:r>
      <w:r>
        <w:rPr>
          <w:spacing w:val="-5"/>
          <w:w w:val="101"/>
        </w:rPr>
        <w:t>了</w:t>
      </w:r>
      <w:r>
        <w:rPr>
          <w:w w:val="101"/>
        </w:rPr>
        <w:t>公</w:t>
      </w:r>
      <w:r>
        <w:rPr>
          <w:spacing w:val="-5"/>
          <w:w w:val="101"/>
        </w:rPr>
        <w:t>司</w:t>
      </w:r>
      <w:r>
        <w:rPr>
          <w:spacing w:val="1"/>
          <w:w w:val="101"/>
        </w:rPr>
        <w:t>《</w:t>
      </w:r>
      <w:r>
        <w:rPr>
          <w:rFonts w:ascii="Times New Roman" w:hAnsi="Times New Roman" w:cs="Times New Roman" w:eastAsia="Times New Roman" w:hint="default"/>
          <w:w w:val="101"/>
        </w:rPr>
        <w:t>20</w:t>
      </w:r>
      <w:r>
        <w:rPr>
          <w:rFonts w:ascii="Times New Roman" w:hAnsi="Times New Roman" w:cs="Times New Roman" w:eastAsia="Times New Roman" w:hint="default"/>
          <w:spacing w:val="-5"/>
          <w:w w:val="101"/>
        </w:rPr>
        <w:t>1</w:t>
      </w:r>
      <w:r>
        <w:rPr>
          <w:rFonts w:ascii="Times New Roman" w:hAnsi="Times New Roman" w:cs="Times New Roman" w:eastAsia="Times New Roman" w:hint="default"/>
          <w:w w:val="101"/>
        </w:rPr>
        <w:t>9</w:t>
      </w:r>
      <w:r>
        <w:rPr>
          <w:rFonts w:ascii="Times New Roman" w:hAnsi="Times New Roman" w:cs="Times New Roman" w:eastAsia="Times New Roman" w:hint="default"/>
          <w:spacing w:val="-7"/>
        </w:rPr>
        <w:t> </w:t>
      </w:r>
      <w:r>
        <w:rPr>
          <w:w w:val="101"/>
        </w:rPr>
        <w:t>年</w:t>
      </w:r>
      <w:r>
        <w:rPr>
          <w:spacing w:val="-51"/>
        </w:rPr>
        <w:t> </w:t>
      </w:r>
      <w:r>
        <w:rPr>
          <w:rFonts w:ascii="Times New Roman" w:hAnsi="Times New Roman" w:cs="Times New Roman" w:eastAsia="Times New Roman" w:hint="default"/>
          <w:w w:val="101"/>
        </w:rPr>
        <w:t>2</w:t>
      </w:r>
      <w:r>
        <w:rPr>
          <w:rFonts w:ascii="Times New Roman" w:hAnsi="Times New Roman" w:cs="Times New Roman" w:eastAsia="Times New Roman" w:hint="default"/>
          <w:spacing w:val="-7"/>
        </w:rPr>
        <w:t> </w:t>
      </w:r>
      <w:r>
        <w:rPr>
          <w:spacing w:val="-5"/>
          <w:w w:val="101"/>
        </w:rPr>
        <w:t>季</w:t>
      </w:r>
      <w:r>
        <w:rPr>
          <w:w w:val="101"/>
        </w:rPr>
        <w:t>度</w:t>
      </w:r>
      <w:r>
        <w:rPr>
          <w:spacing w:val="-5"/>
          <w:w w:val="101"/>
        </w:rPr>
        <w:t>财</w:t>
      </w:r>
      <w:r>
        <w:rPr>
          <w:w w:val="101"/>
        </w:rPr>
        <w:t>务</w:t>
      </w:r>
      <w:r>
        <w:rPr>
          <w:spacing w:val="-5"/>
          <w:w w:val="101"/>
        </w:rPr>
        <w:t>报</w:t>
      </w:r>
      <w:r>
        <w:rPr>
          <w:w w:val="101"/>
        </w:rPr>
        <w:t>表</w:t>
      </w:r>
      <w:r>
        <w:rPr>
          <w:spacing w:val="-92"/>
          <w:w w:val="101"/>
        </w:rPr>
        <w:t>》</w:t>
      </w:r>
      <w:r>
        <w:rPr>
          <w:spacing w:val="-96"/>
          <w:w w:val="101"/>
        </w:rPr>
        <w:t>、</w:t>
      </w:r>
      <w:r>
        <w:rPr>
          <w:w w:val="101"/>
        </w:rPr>
        <w:t>《</w:t>
      </w:r>
      <w:r>
        <w:rPr>
          <w:rFonts w:ascii="Times New Roman" w:hAnsi="Times New Roman" w:cs="Times New Roman" w:eastAsia="Times New Roman" w:hint="default"/>
          <w:w w:val="101"/>
        </w:rPr>
        <w:t>2</w:t>
      </w:r>
      <w:r>
        <w:rPr>
          <w:rFonts w:ascii="Times New Roman" w:hAnsi="Times New Roman" w:cs="Times New Roman" w:eastAsia="Times New Roman" w:hint="default"/>
          <w:spacing w:val="-5"/>
          <w:w w:val="101"/>
        </w:rPr>
        <w:t>0</w:t>
      </w:r>
      <w:r>
        <w:rPr>
          <w:rFonts w:ascii="Times New Roman" w:hAnsi="Times New Roman" w:cs="Times New Roman" w:eastAsia="Times New Roman" w:hint="default"/>
          <w:w w:val="101"/>
        </w:rPr>
        <w:t>19</w:t>
      </w:r>
      <w:r>
        <w:rPr>
          <w:rFonts w:ascii="Times New Roman" w:hAnsi="Times New Roman" w:cs="Times New Roman" w:eastAsia="Times New Roman" w:hint="default"/>
          <w:spacing w:val="-12"/>
        </w:rPr>
        <w:t> </w:t>
      </w:r>
      <w:r>
        <w:rPr>
          <w:w w:val="101"/>
        </w:rPr>
        <w:t>年</w:t>
      </w:r>
      <w:r>
        <w:rPr>
          <w:spacing w:val="-47"/>
        </w:rPr>
        <w:t> </w:t>
      </w:r>
      <w:r>
        <w:rPr>
          <w:rFonts w:ascii="Times New Roman" w:hAnsi="Times New Roman" w:cs="Times New Roman" w:eastAsia="Times New Roman" w:hint="default"/>
          <w:w w:val="101"/>
        </w:rPr>
        <w:t>2</w:t>
      </w:r>
      <w:r>
        <w:rPr>
          <w:rFonts w:ascii="Times New Roman" w:hAnsi="Times New Roman" w:cs="Times New Roman" w:eastAsia="Times New Roman" w:hint="default"/>
          <w:spacing w:val="-12"/>
        </w:rPr>
        <w:t> </w:t>
      </w:r>
      <w:r>
        <w:rPr>
          <w:w w:val="101"/>
        </w:rPr>
        <w:t>季 度</w:t>
      </w:r>
      <w:r>
        <w:rPr>
          <w:spacing w:val="-5"/>
          <w:w w:val="101"/>
        </w:rPr>
        <w:t>募</w:t>
      </w:r>
      <w:r>
        <w:rPr>
          <w:w w:val="101"/>
        </w:rPr>
        <w:t>集</w:t>
      </w:r>
      <w:r>
        <w:rPr>
          <w:spacing w:val="-5"/>
          <w:w w:val="101"/>
        </w:rPr>
        <w:t>资</w:t>
      </w:r>
      <w:r>
        <w:rPr>
          <w:w w:val="101"/>
        </w:rPr>
        <w:t>金</w:t>
      </w:r>
      <w:r>
        <w:rPr>
          <w:spacing w:val="-5"/>
          <w:w w:val="101"/>
        </w:rPr>
        <w:t>存</w:t>
      </w:r>
      <w:r>
        <w:rPr>
          <w:w w:val="101"/>
        </w:rPr>
        <w:t>放</w:t>
      </w:r>
      <w:r>
        <w:rPr>
          <w:spacing w:val="-5"/>
          <w:w w:val="101"/>
        </w:rPr>
        <w:t>与</w:t>
      </w:r>
      <w:r>
        <w:rPr>
          <w:w w:val="101"/>
        </w:rPr>
        <w:t>使</w:t>
      </w:r>
      <w:r>
        <w:rPr>
          <w:spacing w:val="-5"/>
          <w:w w:val="101"/>
        </w:rPr>
        <w:t>用</w:t>
      </w:r>
      <w:r>
        <w:rPr>
          <w:w w:val="101"/>
        </w:rPr>
        <w:t>情</w:t>
      </w:r>
      <w:r>
        <w:rPr>
          <w:spacing w:val="-5"/>
          <w:w w:val="101"/>
        </w:rPr>
        <w:t>况</w:t>
      </w:r>
      <w:r>
        <w:rPr>
          <w:w w:val="101"/>
        </w:rPr>
        <w:t>专</w:t>
      </w:r>
      <w:r>
        <w:rPr>
          <w:spacing w:val="-5"/>
          <w:w w:val="101"/>
        </w:rPr>
        <w:t>项</w:t>
      </w:r>
      <w:r>
        <w:rPr>
          <w:w w:val="101"/>
        </w:rPr>
        <w:t>报告</w:t>
      </w:r>
      <w:r>
        <w:rPr>
          <w:spacing w:val="-96"/>
          <w:w w:val="101"/>
        </w:rPr>
        <w:t>》</w:t>
      </w:r>
      <w:r>
        <w:rPr>
          <w:spacing w:val="-92"/>
          <w:w w:val="101"/>
        </w:rPr>
        <w:t>、</w:t>
      </w:r>
      <w:r>
        <w:rPr>
          <w:w w:val="101"/>
        </w:rPr>
        <w:t>《</w:t>
      </w:r>
      <w:r>
        <w:rPr>
          <w:rFonts w:ascii="Times New Roman" w:hAnsi="Times New Roman" w:cs="Times New Roman" w:eastAsia="Times New Roman" w:hint="default"/>
          <w:spacing w:val="-5"/>
          <w:w w:val="101"/>
        </w:rPr>
        <w:t>2</w:t>
      </w:r>
      <w:r>
        <w:rPr>
          <w:rFonts w:ascii="Times New Roman" w:hAnsi="Times New Roman" w:cs="Times New Roman" w:eastAsia="Times New Roman" w:hint="default"/>
          <w:w w:val="101"/>
        </w:rPr>
        <w:t>0</w:t>
      </w:r>
      <w:r>
        <w:rPr>
          <w:rFonts w:ascii="Times New Roman" w:hAnsi="Times New Roman" w:cs="Times New Roman" w:eastAsia="Times New Roman" w:hint="default"/>
          <w:spacing w:val="-5"/>
          <w:w w:val="101"/>
        </w:rPr>
        <w:t>1</w:t>
      </w:r>
      <w:r>
        <w:rPr>
          <w:rFonts w:ascii="Times New Roman" w:hAnsi="Times New Roman" w:cs="Times New Roman" w:eastAsia="Times New Roman" w:hint="default"/>
          <w:w w:val="101"/>
        </w:rPr>
        <w:t>9</w:t>
      </w:r>
      <w:r>
        <w:rPr>
          <w:rFonts w:ascii="Times New Roman" w:hAnsi="Times New Roman" w:cs="Times New Roman" w:eastAsia="Times New Roman" w:hint="default"/>
          <w:spacing w:val="-7"/>
        </w:rPr>
        <w:t> </w:t>
      </w:r>
      <w:r>
        <w:rPr>
          <w:w w:val="101"/>
        </w:rPr>
        <w:t>年</w:t>
      </w:r>
      <w:r>
        <w:rPr>
          <w:spacing w:val="-47"/>
        </w:rPr>
        <w:t> </w:t>
      </w:r>
      <w:r>
        <w:rPr>
          <w:rFonts w:ascii="Times New Roman" w:hAnsi="Times New Roman" w:cs="Times New Roman" w:eastAsia="Times New Roman" w:hint="default"/>
          <w:w w:val="101"/>
        </w:rPr>
        <w:t>2</w:t>
      </w:r>
      <w:r>
        <w:rPr>
          <w:rFonts w:ascii="Times New Roman" w:hAnsi="Times New Roman" w:cs="Times New Roman" w:eastAsia="Times New Roman" w:hint="default"/>
          <w:spacing w:val="-12"/>
        </w:rPr>
        <w:t> </w:t>
      </w:r>
      <w:r>
        <w:rPr>
          <w:w w:val="101"/>
        </w:rPr>
        <w:t>季</w:t>
      </w:r>
      <w:r>
        <w:rPr>
          <w:spacing w:val="-5"/>
          <w:w w:val="101"/>
        </w:rPr>
        <w:t>度</w:t>
      </w:r>
      <w:r>
        <w:rPr>
          <w:w w:val="101"/>
        </w:rPr>
        <w:t>控</w:t>
      </w:r>
      <w:r>
        <w:rPr>
          <w:spacing w:val="-5"/>
          <w:w w:val="101"/>
        </w:rPr>
        <w:t>股股</w:t>
      </w:r>
      <w:r>
        <w:rPr>
          <w:w w:val="101"/>
        </w:rPr>
        <w:t>东</w:t>
      </w:r>
      <w:r>
        <w:rPr>
          <w:spacing w:val="-5"/>
          <w:w w:val="101"/>
        </w:rPr>
        <w:t>及</w:t>
      </w:r>
      <w:r>
        <w:rPr>
          <w:w w:val="101"/>
        </w:rPr>
        <w:t>其</w:t>
      </w:r>
      <w:r>
        <w:rPr>
          <w:spacing w:val="-5"/>
          <w:w w:val="101"/>
        </w:rPr>
        <w:t>他</w:t>
      </w:r>
      <w:r>
        <w:rPr>
          <w:w w:val="101"/>
        </w:rPr>
        <w:t>关</w:t>
      </w:r>
      <w:r>
        <w:rPr>
          <w:spacing w:val="-5"/>
          <w:w w:val="101"/>
        </w:rPr>
        <w:t>联</w:t>
      </w:r>
      <w:r>
        <w:rPr>
          <w:w w:val="101"/>
        </w:rPr>
        <w:t>方</w:t>
      </w:r>
      <w:r>
        <w:rPr>
          <w:spacing w:val="-5"/>
          <w:w w:val="101"/>
        </w:rPr>
        <w:t>占</w:t>
      </w:r>
      <w:r>
        <w:rPr>
          <w:w w:val="101"/>
        </w:rPr>
        <w:t>用</w:t>
      </w:r>
      <w:r>
        <w:rPr>
          <w:spacing w:val="-5"/>
          <w:w w:val="101"/>
        </w:rPr>
        <w:t>资</w:t>
      </w:r>
      <w:r>
        <w:rPr>
          <w:w w:val="101"/>
        </w:rPr>
        <w:t>金</w:t>
      </w:r>
      <w:r>
        <w:rPr>
          <w:spacing w:val="-5"/>
          <w:w w:val="101"/>
        </w:rPr>
        <w:t>情</w:t>
      </w:r>
      <w:r>
        <w:rPr>
          <w:w w:val="101"/>
        </w:rPr>
        <w:t>况</w:t>
      </w:r>
      <w:r>
        <w:rPr>
          <w:spacing w:val="-4"/>
          <w:w w:val="101"/>
        </w:rPr>
        <w:t>、</w:t>
      </w:r>
      <w:r>
        <w:rPr>
          <w:w w:val="101"/>
        </w:rPr>
        <w:t>公</w:t>
      </w:r>
      <w:r>
        <w:rPr>
          <w:spacing w:val="-5"/>
          <w:w w:val="101"/>
        </w:rPr>
        <w:t>司</w:t>
      </w:r>
      <w:r>
        <w:rPr>
          <w:w w:val="101"/>
        </w:rPr>
        <w:t>对</w:t>
      </w:r>
      <w:r>
        <w:rPr>
          <w:spacing w:val="-5"/>
          <w:w w:val="101"/>
        </w:rPr>
        <w:t>外</w:t>
      </w:r>
      <w:r>
        <w:rPr>
          <w:w w:val="101"/>
        </w:rPr>
        <w:t>担</w:t>
      </w:r>
      <w:r>
        <w:rPr>
          <w:spacing w:val="-5"/>
          <w:w w:val="101"/>
        </w:rPr>
        <w:t>保</w:t>
      </w:r>
      <w:r>
        <w:rPr>
          <w:w w:val="101"/>
        </w:rPr>
        <w:t>事</w:t>
      </w:r>
      <w:r>
        <w:rPr>
          <w:spacing w:val="-5"/>
          <w:w w:val="101"/>
        </w:rPr>
        <w:t>项</w:t>
      </w:r>
      <w:r>
        <w:rPr>
          <w:w w:val="101"/>
        </w:rPr>
        <w:t>的</w:t>
      </w:r>
      <w:r>
        <w:rPr>
          <w:spacing w:val="-5"/>
          <w:w w:val="101"/>
        </w:rPr>
        <w:t>审</w:t>
      </w:r>
      <w:r>
        <w:rPr>
          <w:w w:val="101"/>
        </w:rPr>
        <w:t>计报</w:t>
      </w:r>
      <w:r>
        <w:rPr>
          <w:w w:val="101"/>
        </w:rPr>
        <w:t> 告</w:t>
      </w:r>
      <w:r>
        <w:rPr>
          <w:spacing w:val="-92"/>
          <w:w w:val="101"/>
        </w:rPr>
        <w:t>》</w:t>
      </w:r>
      <w:r>
        <w:rPr>
          <w:spacing w:val="-96"/>
          <w:w w:val="101"/>
        </w:rPr>
        <w:t>、</w:t>
      </w:r>
      <w:r>
        <w:rPr>
          <w:spacing w:val="-1"/>
          <w:w w:val="101"/>
        </w:rPr>
        <w:t>《</w:t>
      </w:r>
      <w:r>
        <w:rPr>
          <w:rFonts w:ascii="Times New Roman" w:hAnsi="Times New Roman" w:cs="Times New Roman" w:eastAsia="Times New Roman" w:hint="default"/>
          <w:w w:val="101"/>
        </w:rPr>
        <w:t>20</w:t>
      </w:r>
      <w:r>
        <w:rPr>
          <w:rFonts w:ascii="Times New Roman" w:hAnsi="Times New Roman" w:cs="Times New Roman" w:eastAsia="Times New Roman" w:hint="default"/>
          <w:spacing w:val="-5"/>
          <w:w w:val="101"/>
        </w:rPr>
        <w:t>1</w:t>
      </w:r>
      <w:r>
        <w:rPr>
          <w:rFonts w:ascii="Times New Roman" w:hAnsi="Times New Roman" w:cs="Times New Roman" w:eastAsia="Times New Roman" w:hint="default"/>
          <w:w w:val="101"/>
        </w:rPr>
        <w:t>9</w:t>
      </w:r>
      <w:r>
        <w:rPr>
          <w:rFonts w:ascii="Times New Roman" w:hAnsi="Times New Roman" w:cs="Times New Roman" w:eastAsia="Times New Roman" w:hint="default"/>
          <w:spacing w:val="-7"/>
        </w:rPr>
        <w:t> </w:t>
      </w:r>
      <w:r>
        <w:rPr>
          <w:w w:val="101"/>
        </w:rPr>
        <w:t>年</w:t>
      </w:r>
      <w:r>
        <w:rPr>
          <w:spacing w:val="-52"/>
        </w:rPr>
        <w:t> </w:t>
      </w:r>
      <w:r>
        <w:rPr>
          <w:rFonts w:ascii="Times New Roman" w:hAnsi="Times New Roman" w:cs="Times New Roman" w:eastAsia="Times New Roman" w:hint="default"/>
          <w:w w:val="101"/>
        </w:rPr>
        <w:t>2</w:t>
      </w:r>
      <w:r>
        <w:rPr>
          <w:rFonts w:ascii="Times New Roman" w:hAnsi="Times New Roman" w:cs="Times New Roman" w:eastAsia="Times New Roman" w:hint="default"/>
          <w:spacing w:val="-7"/>
        </w:rPr>
        <w:t> </w:t>
      </w:r>
      <w:r>
        <w:rPr>
          <w:spacing w:val="-5"/>
          <w:w w:val="101"/>
        </w:rPr>
        <w:t>季</w:t>
      </w:r>
      <w:r>
        <w:rPr>
          <w:w w:val="101"/>
        </w:rPr>
        <w:t>度</w:t>
      </w:r>
      <w:r>
        <w:rPr>
          <w:spacing w:val="-5"/>
          <w:w w:val="101"/>
        </w:rPr>
        <w:t>货</w:t>
      </w:r>
      <w:r>
        <w:rPr>
          <w:w w:val="101"/>
        </w:rPr>
        <w:t>币</w:t>
      </w:r>
      <w:r>
        <w:rPr>
          <w:spacing w:val="-5"/>
          <w:w w:val="101"/>
        </w:rPr>
        <w:t>资</w:t>
      </w:r>
      <w:r>
        <w:rPr>
          <w:w w:val="101"/>
        </w:rPr>
        <w:t>金</w:t>
      </w:r>
      <w:r>
        <w:rPr>
          <w:spacing w:val="-5"/>
          <w:w w:val="101"/>
        </w:rPr>
        <w:t>专</w:t>
      </w:r>
      <w:r>
        <w:rPr>
          <w:w w:val="101"/>
        </w:rPr>
        <w:t>项</w:t>
      </w:r>
      <w:r>
        <w:rPr>
          <w:spacing w:val="-5"/>
          <w:w w:val="101"/>
        </w:rPr>
        <w:t>审</w:t>
      </w:r>
      <w:r>
        <w:rPr>
          <w:w w:val="101"/>
        </w:rPr>
        <w:t>计</w:t>
      </w:r>
      <w:r>
        <w:rPr>
          <w:spacing w:val="-5"/>
          <w:w w:val="101"/>
        </w:rPr>
        <w:t>报</w:t>
      </w:r>
      <w:r>
        <w:rPr>
          <w:w w:val="101"/>
        </w:rPr>
        <w:t>告</w:t>
      </w:r>
      <w:r>
        <w:rPr>
          <w:spacing w:val="-92"/>
          <w:w w:val="101"/>
        </w:rPr>
        <w:t>》</w:t>
      </w:r>
      <w:r>
        <w:rPr>
          <w:spacing w:val="-96"/>
          <w:w w:val="101"/>
        </w:rPr>
        <w:t>、</w:t>
      </w:r>
      <w:r>
        <w:rPr>
          <w:w w:val="101"/>
        </w:rPr>
        <w:t>《</w:t>
      </w:r>
      <w:r>
        <w:rPr>
          <w:rFonts w:ascii="Times New Roman" w:hAnsi="Times New Roman" w:cs="Times New Roman" w:eastAsia="Times New Roman" w:hint="default"/>
          <w:w w:val="101"/>
        </w:rPr>
        <w:t>2</w:t>
      </w:r>
      <w:r>
        <w:rPr>
          <w:rFonts w:ascii="Times New Roman" w:hAnsi="Times New Roman" w:cs="Times New Roman" w:eastAsia="Times New Roman" w:hint="default"/>
          <w:spacing w:val="-5"/>
          <w:w w:val="101"/>
        </w:rPr>
        <w:t>0</w:t>
      </w:r>
      <w:r>
        <w:rPr>
          <w:rFonts w:ascii="Times New Roman" w:hAnsi="Times New Roman" w:cs="Times New Roman" w:eastAsia="Times New Roman" w:hint="default"/>
          <w:w w:val="101"/>
        </w:rPr>
        <w:t>19</w:t>
      </w:r>
      <w:r>
        <w:rPr>
          <w:rFonts w:ascii="Times New Roman" w:hAnsi="Times New Roman" w:cs="Times New Roman" w:eastAsia="Times New Roman" w:hint="default"/>
          <w:spacing w:val="-12"/>
        </w:rPr>
        <w:t> </w:t>
      </w:r>
      <w:r>
        <w:rPr>
          <w:w w:val="101"/>
        </w:rPr>
        <w:t>年</w:t>
      </w:r>
      <w:r>
        <w:rPr>
          <w:spacing w:val="-47"/>
        </w:rPr>
        <w:t> </w:t>
      </w:r>
      <w:r>
        <w:rPr>
          <w:rFonts w:ascii="Times New Roman" w:hAnsi="Times New Roman" w:cs="Times New Roman" w:eastAsia="Times New Roman" w:hint="default"/>
          <w:w w:val="101"/>
        </w:rPr>
        <w:t>2</w:t>
      </w:r>
      <w:r>
        <w:rPr>
          <w:rFonts w:ascii="Times New Roman" w:hAnsi="Times New Roman" w:cs="Times New Roman" w:eastAsia="Times New Roman" w:hint="default"/>
          <w:spacing w:val="-11"/>
        </w:rPr>
        <w:t> </w:t>
      </w:r>
      <w:r>
        <w:rPr>
          <w:spacing w:val="-5"/>
          <w:w w:val="101"/>
        </w:rPr>
        <w:t>季</w:t>
      </w:r>
      <w:r>
        <w:rPr>
          <w:w w:val="101"/>
        </w:rPr>
        <w:t>度</w:t>
      </w:r>
      <w:r>
        <w:rPr>
          <w:spacing w:val="-5"/>
          <w:w w:val="101"/>
        </w:rPr>
        <w:t>内</w:t>
      </w:r>
      <w:r>
        <w:rPr>
          <w:w w:val="101"/>
        </w:rPr>
        <w:t>部</w:t>
      </w:r>
      <w:r>
        <w:rPr>
          <w:spacing w:val="-5"/>
          <w:w w:val="101"/>
        </w:rPr>
        <w:t>审</w:t>
      </w:r>
      <w:r>
        <w:rPr>
          <w:w w:val="101"/>
        </w:rPr>
        <w:t>计</w:t>
      </w:r>
      <w:r>
        <w:rPr>
          <w:spacing w:val="-5"/>
          <w:w w:val="101"/>
        </w:rPr>
        <w:t>工</w:t>
      </w:r>
      <w:r>
        <w:rPr>
          <w:w w:val="101"/>
        </w:rPr>
        <w:t>作</w:t>
      </w:r>
      <w:r>
        <w:rPr>
          <w:spacing w:val="-5"/>
          <w:w w:val="101"/>
        </w:rPr>
        <w:t>总</w:t>
      </w:r>
      <w:r>
        <w:rPr>
          <w:w w:val="101"/>
        </w:rPr>
        <w:t>结</w:t>
      </w:r>
      <w:r>
        <w:rPr>
          <w:spacing w:val="-92"/>
          <w:w w:val="101"/>
        </w:rPr>
        <w:t>》</w:t>
      </w:r>
      <w:r>
        <w:rPr>
          <w:w w:val="101"/>
        </w:rPr>
        <w:t>。</w:t>
      </w:r>
      <w:r>
        <w:rPr/>
      </w:r>
    </w:p>
    <w:p>
      <w:pPr>
        <w:pStyle w:val="BodyText"/>
        <w:spacing w:line="240" w:lineRule="auto" w:before="45"/>
        <w:ind w:left="513" w:right="0"/>
        <w:jc w:val="left"/>
      </w:pPr>
      <w:r>
        <w:rPr>
          <w:rFonts w:ascii="Times New Roman" w:hAnsi="Times New Roman" w:cs="Times New Roman" w:eastAsia="Times New Roman" w:hint="default"/>
          <w:w w:val="101"/>
        </w:rPr>
        <w:t>4</w:t>
      </w:r>
      <w:r>
        <w:rPr>
          <w:spacing w:val="-10"/>
          <w:w w:val="101"/>
        </w:rPr>
        <w:t>）</w:t>
      </w:r>
      <w:r>
        <w:rPr>
          <w:rFonts w:ascii="Times New Roman" w:hAnsi="Times New Roman" w:cs="Times New Roman" w:eastAsia="Times New Roman" w:hint="default"/>
          <w:w w:val="101"/>
        </w:rPr>
        <w:t>20</w:t>
      </w:r>
      <w:r>
        <w:rPr>
          <w:rFonts w:ascii="Times New Roman" w:hAnsi="Times New Roman" w:cs="Times New Roman" w:eastAsia="Times New Roman" w:hint="default"/>
          <w:spacing w:val="-5"/>
          <w:w w:val="101"/>
        </w:rPr>
        <w:t>1</w:t>
      </w:r>
      <w:r>
        <w:rPr>
          <w:rFonts w:ascii="Times New Roman" w:hAnsi="Times New Roman" w:cs="Times New Roman" w:eastAsia="Times New Roman" w:hint="default"/>
          <w:w w:val="101"/>
        </w:rPr>
        <w:t>9</w:t>
      </w:r>
      <w:r>
        <w:rPr>
          <w:rFonts w:ascii="Times New Roman" w:hAnsi="Times New Roman" w:cs="Times New Roman" w:eastAsia="Times New Roman" w:hint="default"/>
          <w:spacing w:val="-7"/>
        </w:rPr>
        <w:t> </w:t>
      </w:r>
      <w:r>
        <w:rPr>
          <w:w w:val="101"/>
        </w:rPr>
        <w:t>年</w:t>
      </w:r>
      <w:r>
        <w:rPr>
          <w:spacing w:val="-47"/>
        </w:rPr>
        <w:t> </w:t>
      </w:r>
      <w:r>
        <w:rPr>
          <w:rFonts w:ascii="Times New Roman" w:hAnsi="Times New Roman" w:cs="Times New Roman" w:eastAsia="Times New Roman" w:hint="default"/>
          <w:spacing w:val="-5"/>
          <w:w w:val="101"/>
        </w:rPr>
        <w:t>1</w:t>
      </w:r>
      <w:r>
        <w:rPr>
          <w:rFonts w:ascii="Times New Roman" w:hAnsi="Times New Roman" w:cs="Times New Roman" w:eastAsia="Times New Roman" w:hint="default"/>
          <w:w w:val="101"/>
        </w:rPr>
        <w:t>0</w:t>
      </w:r>
      <w:r>
        <w:rPr>
          <w:rFonts w:ascii="Times New Roman" w:hAnsi="Times New Roman" w:cs="Times New Roman" w:eastAsia="Times New Roman" w:hint="default"/>
          <w:spacing w:val="-7"/>
        </w:rPr>
        <w:t> </w:t>
      </w:r>
      <w:r>
        <w:rPr>
          <w:w w:val="101"/>
        </w:rPr>
        <w:t>月</w:t>
      </w:r>
      <w:r>
        <w:rPr>
          <w:spacing w:val="-47"/>
        </w:rPr>
        <w:t> </w:t>
      </w:r>
      <w:r>
        <w:rPr>
          <w:rFonts w:ascii="Times New Roman" w:hAnsi="Times New Roman" w:cs="Times New Roman" w:eastAsia="Times New Roman" w:hint="default"/>
          <w:spacing w:val="-5"/>
          <w:w w:val="101"/>
        </w:rPr>
        <w:t>2</w:t>
      </w:r>
      <w:r>
        <w:rPr>
          <w:rFonts w:ascii="Times New Roman" w:hAnsi="Times New Roman" w:cs="Times New Roman" w:eastAsia="Times New Roman" w:hint="default"/>
          <w:w w:val="101"/>
        </w:rPr>
        <w:t>8</w:t>
      </w:r>
      <w:r>
        <w:rPr>
          <w:rFonts w:ascii="Times New Roman" w:hAnsi="Times New Roman" w:cs="Times New Roman" w:eastAsia="Times New Roman" w:hint="default"/>
          <w:spacing w:val="-12"/>
        </w:rPr>
        <w:t> </w:t>
      </w:r>
      <w:r>
        <w:rPr>
          <w:w w:val="101"/>
        </w:rPr>
        <w:t>日</w:t>
      </w:r>
      <w:r>
        <w:rPr>
          <w:spacing w:val="-10"/>
          <w:w w:val="101"/>
        </w:rPr>
        <w:t>，</w:t>
      </w:r>
      <w:r>
        <w:rPr>
          <w:spacing w:val="-5"/>
          <w:w w:val="101"/>
        </w:rPr>
        <w:t>召</w:t>
      </w:r>
      <w:r>
        <w:rPr>
          <w:w w:val="101"/>
        </w:rPr>
        <w:t>开</w:t>
      </w:r>
      <w:r>
        <w:rPr>
          <w:spacing w:val="-5"/>
          <w:w w:val="101"/>
        </w:rPr>
        <w:t>第</w:t>
      </w:r>
      <w:r>
        <w:rPr>
          <w:w w:val="101"/>
        </w:rPr>
        <w:t>四</w:t>
      </w:r>
      <w:r>
        <w:rPr>
          <w:spacing w:val="-5"/>
          <w:w w:val="101"/>
        </w:rPr>
        <w:t>届</w:t>
      </w:r>
      <w:r>
        <w:rPr>
          <w:w w:val="101"/>
        </w:rPr>
        <w:t>审</w:t>
      </w:r>
      <w:r>
        <w:rPr>
          <w:spacing w:val="-5"/>
          <w:w w:val="101"/>
        </w:rPr>
        <w:t>计</w:t>
      </w:r>
      <w:r>
        <w:rPr>
          <w:w w:val="101"/>
        </w:rPr>
        <w:t>委</w:t>
      </w:r>
      <w:r>
        <w:rPr>
          <w:spacing w:val="-5"/>
          <w:w w:val="101"/>
        </w:rPr>
        <w:t>员</w:t>
      </w:r>
      <w:r>
        <w:rPr>
          <w:w w:val="101"/>
        </w:rPr>
        <w:t>会</w:t>
      </w:r>
      <w:r>
        <w:rPr>
          <w:spacing w:val="-5"/>
          <w:w w:val="101"/>
        </w:rPr>
        <w:t>第</w:t>
      </w:r>
      <w:r>
        <w:rPr>
          <w:w w:val="101"/>
        </w:rPr>
        <w:t>十</w:t>
      </w:r>
      <w:r>
        <w:rPr>
          <w:spacing w:val="-5"/>
          <w:w w:val="101"/>
        </w:rPr>
        <w:t>次</w:t>
      </w:r>
      <w:r>
        <w:rPr>
          <w:w w:val="101"/>
        </w:rPr>
        <w:t>会议</w:t>
      </w:r>
      <w:r>
        <w:rPr>
          <w:spacing w:val="-15"/>
          <w:w w:val="101"/>
        </w:rPr>
        <w:t>，</w:t>
      </w:r>
      <w:r>
        <w:rPr>
          <w:w w:val="101"/>
        </w:rPr>
        <w:t>审</w:t>
      </w:r>
      <w:r>
        <w:rPr>
          <w:spacing w:val="-5"/>
          <w:w w:val="101"/>
        </w:rPr>
        <w:t>议</w:t>
      </w:r>
      <w:r>
        <w:rPr>
          <w:w w:val="101"/>
        </w:rPr>
        <w:t>通</w:t>
      </w:r>
      <w:r>
        <w:rPr>
          <w:spacing w:val="-5"/>
          <w:w w:val="101"/>
        </w:rPr>
        <w:t>过</w:t>
      </w:r>
      <w:r>
        <w:rPr>
          <w:w w:val="101"/>
        </w:rPr>
        <w:t>了</w:t>
      </w:r>
      <w:r>
        <w:rPr>
          <w:spacing w:val="-5"/>
          <w:w w:val="101"/>
        </w:rPr>
        <w:t>公</w:t>
      </w:r>
      <w:r>
        <w:rPr>
          <w:spacing w:val="-10"/>
          <w:w w:val="101"/>
        </w:rPr>
        <w:t>司</w:t>
      </w:r>
      <w:r>
        <w:rPr>
          <w:spacing w:val="1"/>
          <w:w w:val="101"/>
        </w:rPr>
        <w:t>《</w:t>
      </w:r>
      <w:r>
        <w:rPr>
          <w:rFonts w:ascii="Times New Roman" w:hAnsi="Times New Roman" w:cs="Times New Roman" w:eastAsia="Times New Roman" w:hint="default"/>
          <w:w w:val="101"/>
        </w:rPr>
        <w:t>20</w:t>
      </w:r>
      <w:r>
        <w:rPr>
          <w:rFonts w:ascii="Times New Roman" w:hAnsi="Times New Roman" w:cs="Times New Roman" w:eastAsia="Times New Roman" w:hint="default"/>
          <w:spacing w:val="-5"/>
          <w:w w:val="101"/>
        </w:rPr>
        <w:t>1</w:t>
      </w:r>
      <w:r>
        <w:rPr>
          <w:rFonts w:ascii="Times New Roman" w:hAnsi="Times New Roman" w:cs="Times New Roman" w:eastAsia="Times New Roman" w:hint="default"/>
          <w:w w:val="101"/>
        </w:rPr>
        <w:t>9</w:t>
      </w:r>
      <w:r>
        <w:rPr>
          <w:rFonts w:ascii="Times New Roman" w:hAnsi="Times New Roman" w:cs="Times New Roman" w:eastAsia="Times New Roman" w:hint="default"/>
          <w:spacing w:val="-7"/>
        </w:rPr>
        <w:t> </w:t>
      </w:r>
      <w:r>
        <w:rPr>
          <w:w w:val="101"/>
        </w:rPr>
        <w:t>年</w:t>
      </w:r>
      <w:r>
        <w:rPr>
          <w:spacing w:val="-51"/>
        </w:rPr>
        <w:t> </w:t>
      </w:r>
      <w:r>
        <w:rPr>
          <w:rFonts w:ascii="Times New Roman" w:hAnsi="Times New Roman" w:cs="Times New Roman" w:eastAsia="Times New Roman" w:hint="default"/>
          <w:w w:val="101"/>
        </w:rPr>
        <w:t>3</w:t>
      </w:r>
      <w:r>
        <w:rPr>
          <w:rFonts w:ascii="Times New Roman" w:hAnsi="Times New Roman" w:cs="Times New Roman" w:eastAsia="Times New Roman" w:hint="default"/>
          <w:spacing w:val="-7"/>
        </w:rPr>
        <w:t> </w:t>
      </w:r>
      <w:r>
        <w:rPr>
          <w:spacing w:val="-5"/>
          <w:w w:val="101"/>
        </w:rPr>
        <w:t>季</w:t>
      </w:r>
      <w:r>
        <w:rPr>
          <w:w w:val="101"/>
        </w:rPr>
        <w:t>度</w:t>
      </w:r>
      <w:r>
        <w:rPr>
          <w:spacing w:val="-5"/>
          <w:w w:val="101"/>
        </w:rPr>
        <w:t>财务</w:t>
      </w:r>
      <w:r>
        <w:rPr>
          <w:w w:val="101"/>
        </w:rPr>
        <w:t>报表</w:t>
      </w:r>
      <w:r>
        <w:rPr>
          <w:spacing w:val="-96"/>
          <w:w w:val="101"/>
        </w:rPr>
        <w:t>》</w:t>
      </w:r>
      <w:r>
        <w:rPr>
          <w:spacing w:val="-101"/>
          <w:w w:val="101"/>
        </w:rPr>
        <w:t>、</w:t>
      </w:r>
      <w:r>
        <w:rPr>
          <w:w w:val="101"/>
        </w:rPr>
        <w:t>《</w:t>
      </w:r>
      <w:r>
        <w:rPr>
          <w:spacing w:val="-5"/>
          <w:w w:val="101"/>
        </w:rPr>
        <w:t>关</w:t>
      </w:r>
      <w:r>
        <w:rPr>
          <w:w w:val="101"/>
        </w:rPr>
        <w:t>于</w:t>
      </w:r>
      <w:r>
        <w:rPr>
          <w:spacing w:val="-5"/>
          <w:w w:val="101"/>
        </w:rPr>
        <w:t>变</w:t>
      </w:r>
      <w:r>
        <w:rPr>
          <w:w w:val="101"/>
        </w:rPr>
        <w:t>更会</w:t>
      </w:r>
      <w:r>
        <w:rPr/>
      </w:r>
    </w:p>
    <w:p>
      <w:pPr>
        <w:spacing w:after="0" w:line="240" w:lineRule="auto"/>
        <w:jc w:val="left"/>
        <w:sectPr>
          <w:pgSz w:w="11910" w:h="16840"/>
          <w:pgMar w:header="871" w:footer="1186" w:top="1100" w:bottom="1380" w:left="980" w:right="0"/>
        </w:sectPr>
      </w:pPr>
    </w:p>
    <w:p>
      <w:pPr>
        <w:spacing w:line="240" w:lineRule="auto" w:before="1"/>
        <w:rPr>
          <w:rFonts w:ascii="宋体" w:hAnsi="宋体" w:cs="宋体" w:eastAsia="宋体" w:hint="default"/>
          <w:sz w:val="28"/>
          <w:szCs w:val="28"/>
        </w:rPr>
      </w:pPr>
    </w:p>
    <w:p>
      <w:pPr>
        <w:pStyle w:val="BodyText"/>
        <w:spacing w:line="463" w:lineRule="auto" w:before="46"/>
        <w:ind w:right="1124"/>
        <w:jc w:val="both"/>
      </w:pPr>
      <w:r>
        <w:rPr>
          <w:w w:val="101"/>
        </w:rPr>
        <w:t>计</w:t>
      </w:r>
      <w:r>
        <w:rPr>
          <w:spacing w:val="-5"/>
          <w:w w:val="101"/>
        </w:rPr>
        <w:t>事</w:t>
      </w:r>
      <w:r>
        <w:rPr>
          <w:w w:val="101"/>
        </w:rPr>
        <w:t>务</w:t>
      </w:r>
      <w:r>
        <w:rPr>
          <w:spacing w:val="-5"/>
          <w:w w:val="101"/>
        </w:rPr>
        <w:t>所</w:t>
      </w:r>
      <w:r>
        <w:rPr>
          <w:w w:val="101"/>
        </w:rPr>
        <w:t>的</w:t>
      </w:r>
      <w:r>
        <w:rPr>
          <w:spacing w:val="-5"/>
          <w:w w:val="101"/>
        </w:rPr>
        <w:t>审</w:t>
      </w:r>
      <w:r>
        <w:rPr>
          <w:w w:val="101"/>
        </w:rPr>
        <w:t>核</w:t>
      </w:r>
      <w:r>
        <w:rPr>
          <w:spacing w:val="-5"/>
          <w:w w:val="101"/>
        </w:rPr>
        <w:t>意</w:t>
      </w:r>
      <w:r>
        <w:rPr>
          <w:w w:val="101"/>
        </w:rPr>
        <w:t>见</w:t>
      </w:r>
      <w:r>
        <w:rPr>
          <w:spacing w:val="-92"/>
          <w:w w:val="101"/>
        </w:rPr>
        <w:t>》</w:t>
      </w:r>
      <w:r>
        <w:rPr>
          <w:spacing w:val="-120"/>
          <w:w w:val="101"/>
        </w:rPr>
        <w:t>、</w:t>
      </w:r>
      <w:r>
        <w:rPr>
          <w:spacing w:val="-5"/>
          <w:w w:val="101"/>
        </w:rPr>
        <w:t>《</w:t>
      </w:r>
      <w:r>
        <w:rPr>
          <w:w w:val="101"/>
        </w:rPr>
        <w:t>关</w:t>
      </w:r>
      <w:r>
        <w:rPr>
          <w:spacing w:val="-5"/>
          <w:w w:val="101"/>
        </w:rPr>
        <w:t>于</w:t>
      </w:r>
      <w:r>
        <w:rPr>
          <w:w w:val="101"/>
        </w:rPr>
        <w:t>对</w:t>
      </w:r>
      <w:r>
        <w:rPr>
          <w:spacing w:val="-5"/>
          <w:w w:val="101"/>
        </w:rPr>
        <w:t>外</w:t>
      </w:r>
      <w:r>
        <w:rPr>
          <w:w w:val="101"/>
        </w:rPr>
        <w:t>投</w:t>
      </w:r>
      <w:r>
        <w:rPr>
          <w:spacing w:val="-5"/>
          <w:w w:val="101"/>
        </w:rPr>
        <w:t>资</w:t>
      </w:r>
      <w:r>
        <w:rPr>
          <w:w w:val="101"/>
        </w:rPr>
        <w:t>的</w:t>
      </w:r>
      <w:r>
        <w:rPr>
          <w:spacing w:val="-5"/>
          <w:w w:val="101"/>
        </w:rPr>
        <w:t>专</w:t>
      </w:r>
      <w:r>
        <w:rPr>
          <w:w w:val="101"/>
        </w:rPr>
        <w:t>项</w:t>
      </w:r>
      <w:r>
        <w:rPr>
          <w:spacing w:val="-5"/>
          <w:w w:val="101"/>
        </w:rPr>
        <w:t>报</w:t>
      </w:r>
      <w:r>
        <w:rPr>
          <w:w w:val="101"/>
        </w:rPr>
        <w:t>告</w:t>
      </w:r>
      <w:r>
        <w:rPr>
          <w:spacing w:val="-92"/>
          <w:w w:val="101"/>
        </w:rPr>
        <w:t>》</w:t>
      </w:r>
      <w:r>
        <w:rPr>
          <w:spacing w:val="-125"/>
          <w:w w:val="101"/>
        </w:rPr>
        <w:t>、</w:t>
      </w:r>
      <w:r>
        <w:rPr>
          <w:w w:val="101"/>
        </w:rPr>
        <w:t>《</w:t>
      </w:r>
      <w:r>
        <w:rPr>
          <w:spacing w:val="-5"/>
          <w:w w:val="101"/>
        </w:rPr>
        <w:t>关</w:t>
      </w:r>
      <w:r>
        <w:rPr>
          <w:w w:val="101"/>
        </w:rPr>
        <w:t>于</w:t>
      </w:r>
      <w:r>
        <w:rPr>
          <w:spacing w:val="-5"/>
          <w:w w:val="101"/>
        </w:rPr>
        <w:t>控</w:t>
      </w:r>
      <w:r>
        <w:rPr>
          <w:w w:val="101"/>
        </w:rPr>
        <w:t>股</w:t>
      </w:r>
      <w:r>
        <w:rPr>
          <w:spacing w:val="-5"/>
          <w:w w:val="101"/>
        </w:rPr>
        <w:t>股</w:t>
      </w:r>
      <w:r>
        <w:rPr>
          <w:w w:val="101"/>
        </w:rPr>
        <w:t>东</w:t>
      </w:r>
      <w:r>
        <w:rPr>
          <w:spacing w:val="-5"/>
          <w:w w:val="101"/>
        </w:rPr>
        <w:t>及</w:t>
      </w:r>
      <w:r>
        <w:rPr>
          <w:w w:val="101"/>
        </w:rPr>
        <w:t>其</w:t>
      </w:r>
      <w:r>
        <w:rPr>
          <w:spacing w:val="-5"/>
          <w:w w:val="101"/>
        </w:rPr>
        <w:t>他</w:t>
      </w:r>
      <w:r>
        <w:rPr>
          <w:w w:val="101"/>
        </w:rPr>
        <w:t>关</w:t>
      </w:r>
      <w:r>
        <w:rPr>
          <w:spacing w:val="-5"/>
          <w:w w:val="101"/>
        </w:rPr>
        <w:t>联</w:t>
      </w:r>
      <w:r>
        <w:rPr>
          <w:w w:val="101"/>
        </w:rPr>
        <w:t>方</w:t>
      </w:r>
      <w:r>
        <w:rPr>
          <w:spacing w:val="-5"/>
          <w:w w:val="101"/>
        </w:rPr>
        <w:t>占</w:t>
      </w:r>
      <w:r>
        <w:rPr>
          <w:w w:val="101"/>
        </w:rPr>
        <w:t>用</w:t>
      </w:r>
      <w:r>
        <w:rPr>
          <w:spacing w:val="-5"/>
          <w:w w:val="101"/>
        </w:rPr>
        <w:t>资</w:t>
      </w:r>
      <w:r>
        <w:rPr>
          <w:w w:val="101"/>
        </w:rPr>
        <w:t>金</w:t>
      </w:r>
      <w:r>
        <w:rPr>
          <w:spacing w:val="-5"/>
          <w:w w:val="101"/>
        </w:rPr>
        <w:t>情</w:t>
      </w:r>
      <w:r>
        <w:rPr>
          <w:w w:val="101"/>
        </w:rPr>
        <w:t>况</w:t>
      </w:r>
      <w:r>
        <w:rPr>
          <w:spacing w:val="-29"/>
          <w:w w:val="101"/>
        </w:rPr>
        <w:t>、</w:t>
      </w:r>
      <w:r>
        <w:rPr>
          <w:spacing w:val="-5"/>
          <w:w w:val="101"/>
        </w:rPr>
        <w:t>公</w:t>
      </w:r>
      <w:r>
        <w:rPr>
          <w:w w:val="101"/>
        </w:rPr>
        <w:t>司</w:t>
      </w:r>
      <w:r>
        <w:rPr>
          <w:spacing w:val="-5"/>
          <w:w w:val="101"/>
        </w:rPr>
        <w:t>对</w:t>
      </w:r>
      <w:r>
        <w:rPr>
          <w:w w:val="101"/>
        </w:rPr>
        <w:t>外</w:t>
      </w:r>
      <w:r>
        <w:rPr>
          <w:spacing w:val="-5"/>
          <w:w w:val="101"/>
        </w:rPr>
        <w:t>担</w:t>
      </w:r>
      <w:r>
        <w:rPr>
          <w:w w:val="101"/>
        </w:rPr>
        <w:t>保</w:t>
      </w:r>
      <w:r>
        <w:rPr>
          <w:spacing w:val="-5"/>
          <w:w w:val="101"/>
        </w:rPr>
        <w:t>事</w:t>
      </w:r>
      <w:r>
        <w:rPr>
          <w:w w:val="101"/>
        </w:rPr>
        <w:t>项</w:t>
      </w:r>
      <w:r>
        <w:rPr>
          <w:spacing w:val="-5"/>
          <w:w w:val="101"/>
        </w:rPr>
        <w:t>的</w:t>
      </w:r>
      <w:r>
        <w:rPr>
          <w:w w:val="101"/>
        </w:rPr>
        <w:t>审计</w:t>
      </w:r>
      <w:r>
        <w:rPr>
          <w:w w:val="101"/>
        </w:rPr>
        <w:t> 报告</w:t>
      </w:r>
      <w:r>
        <w:rPr>
          <w:spacing w:val="-96"/>
          <w:w w:val="101"/>
        </w:rPr>
        <w:t>》</w:t>
      </w:r>
      <w:r>
        <w:rPr>
          <w:spacing w:val="-92"/>
          <w:w w:val="101"/>
        </w:rPr>
        <w:t>、</w:t>
      </w:r>
      <w:r>
        <w:rPr>
          <w:spacing w:val="-5"/>
          <w:w w:val="101"/>
        </w:rPr>
        <w:t>《</w:t>
      </w:r>
      <w:r>
        <w:rPr>
          <w:w w:val="101"/>
        </w:rPr>
        <w:t>关于</w:t>
      </w:r>
      <w:r>
        <w:rPr>
          <w:spacing w:val="-47"/>
        </w:rPr>
        <w:t> </w:t>
      </w:r>
      <w:r>
        <w:rPr>
          <w:rFonts w:ascii="Times New Roman" w:hAnsi="Times New Roman" w:cs="Times New Roman" w:eastAsia="Times New Roman" w:hint="default"/>
          <w:w w:val="101"/>
        </w:rPr>
        <w:t>20</w:t>
      </w:r>
      <w:r>
        <w:rPr>
          <w:rFonts w:ascii="Times New Roman" w:hAnsi="Times New Roman" w:cs="Times New Roman" w:eastAsia="Times New Roman" w:hint="default"/>
          <w:spacing w:val="-5"/>
          <w:w w:val="101"/>
        </w:rPr>
        <w:t>1</w:t>
      </w:r>
      <w:r>
        <w:rPr>
          <w:rFonts w:ascii="Times New Roman" w:hAnsi="Times New Roman" w:cs="Times New Roman" w:eastAsia="Times New Roman" w:hint="default"/>
          <w:w w:val="101"/>
        </w:rPr>
        <w:t>9</w:t>
      </w:r>
      <w:r>
        <w:rPr>
          <w:rFonts w:ascii="Times New Roman" w:hAnsi="Times New Roman" w:cs="Times New Roman" w:eastAsia="Times New Roman" w:hint="default"/>
          <w:spacing w:val="-7"/>
        </w:rPr>
        <w:t> </w:t>
      </w:r>
      <w:r>
        <w:rPr>
          <w:w w:val="101"/>
        </w:rPr>
        <w:t>年</w:t>
      </w:r>
      <w:r>
        <w:rPr>
          <w:spacing w:val="-52"/>
        </w:rPr>
        <w:t> </w:t>
      </w:r>
      <w:r>
        <w:rPr>
          <w:rFonts w:ascii="Times New Roman" w:hAnsi="Times New Roman" w:cs="Times New Roman" w:eastAsia="Times New Roman" w:hint="default"/>
          <w:w w:val="101"/>
        </w:rPr>
        <w:t>3</w:t>
      </w:r>
      <w:r>
        <w:rPr>
          <w:rFonts w:ascii="Times New Roman" w:hAnsi="Times New Roman" w:cs="Times New Roman" w:eastAsia="Times New Roman" w:hint="default"/>
          <w:spacing w:val="-12"/>
        </w:rPr>
        <w:t> </w:t>
      </w:r>
      <w:r>
        <w:rPr>
          <w:w w:val="101"/>
        </w:rPr>
        <w:t>季</w:t>
      </w:r>
      <w:r>
        <w:rPr>
          <w:spacing w:val="-5"/>
          <w:w w:val="101"/>
        </w:rPr>
        <w:t>度</w:t>
      </w:r>
      <w:r>
        <w:rPr>
          <w:w w:val="101"/>
        </w:rPr>
        <w:t>募</w:t>
      </w:r>
      <w:r>
        <w:rPr>
          <w:spacing w:val="-5"/>
          <w:w w:val="101"/>
        </w:rPr>
        <w:t>集</w:t>
      </w:r>
      <w:r>
        <w:rPr>
          <w:w w:val="101"/>
        </w:rPr>
        <w:t>资</w:t>
      </w:r>
      <w:r>
        <w:rPr>
          <w:spacing w:val="-5"/>
          <w:w w:val="101"/>
        </w:rPr>
        <w:t>金</w:t>
      </w:r>
      <w:r>
        <w:rPr>
          <w:w w:val="101"/>
        </w:rPr>
        <w:t>的</w:t>
      </w:r>
      <w:r>
        <w:rPr>
          <w:spacing w:val="-5"/>
          <w:w w:val="101"/>
        </w:rPr>
        <w:t>存</w:t>
      </w:r>
      <w:r>
        <w:rPr>
          <w:w w:val="101"/>
        </w:rPr>
        <w:t>放</w:t>
      </w:r>
      <w:r>
        <w:rPr>
          <w:spacing w:val="-5"/>
          <w:w w:val="101"/>
        </w:rPr>
        <w:t>与</w:t>
      </w:r>
      <w:r>
        <w:rPr>
          <w:w w:val="101"/>
        </w:rPr>
        <w:t>使</w:t>
      </w:r>
      <w:r>
        <w:rPr>
          <w:spacing w:val="-5"/>
          <w:w w:val="101"/>
        </w:rPr>
        <w:t>用</w:t>
      </w:r>
      <w:r>
        <w:rPr>
          <w:w w:val="101"/>
        </w:rPr>
        <w:t>情</w:t>
      </w:r>
      <w:r>
        <w:rPr>
          <w:spacing w:val="-5"/>
          <w:w w:val="101"/>
        </w:rPr>
        <w:t>况</w:t>
      </w:r>
      <w:r>
        <w:rPr>
          <w:w w:val="101"/>
        </w:rPr>
        <w:t>专</w:t>
      </w:r>
      <w:r>
        <w:rPr>
          <w:spacing w:val="-5"/>
          <w:w w:val="101"/>
        </w:rPr>
        <w:t>项</w:t>
      </w:r>
      <w:r>
        <w:rPr>
          <w:w w:val="101"/>
        </w:rPr>
        <w:t>报告</w:t>
      </w:r>
      <w:r>
        <w:rPr>
          <w:spacing w:val="-96"/>
          <w:w w:val="101"/>
        </w:rPr>
        <w:t>》</w:t>
      </w:r>
      <w:r>
        <w:rPr>
          <w:spacing w:val="-92"/>
          <w:w w:val="101"/>
        </w:rPr>
        <w:t>、</w:t>
      </w:r>
      <w:r>
        <w:rPr>
          <w:w w:val="101"/>
        </w:rPr>
        <w:t>《</w:t>
      </w:r>
      <w:r>
        <w:rPr>
          <w:rFonts w:ascii="Times New Roman" w:hAnsi="Times New Roman" w:cs="Times New Roman" w:eastAsia="Times New Roman" w:hint="default"/>
          <w:spacing w:val="-5"/>
          <w:w w:val="101"/>
        </w:rPr>
        <w:t>2</w:t>
      </w:r>
      <w:r>
        <w:rPr>
          <w:rFonts w:ascii="Times New Roman" w:hAnsi="Times New Roman" w:cs="Times New Roman" w:eastAsia="Times New Roman" w:hint="default"/>
          <w:w w:val="101"/>
        </w:rPr>
        <w:t>0</w:t>
      </w:r>
      <w:r>
        <w:rPr>
          <w:rFonts w:ascii="Times New Roman" w:hAnsi="Times New Roman" w:cs="Times New Roman" w:eastAsia="Times New Roman" w:hint="default"/>
          <w:spacing w:val="-5"/>
          <w:w w:val="101"/>
        </w:rPr>
        <w:t>1</w:t>
      </w:r>
      <w:r>
        <w:rPr>
          <w:rFonts w:ascii="Times New Roman" w:hAnsi="Times New Roman" w:cs="Times New Roman" w:eastAsia="Times New Roman" w:hint="default"/>
          <w:w w:val="101"/>
        </w:rPr>
        <w:t>9</w:t>
      </w:r>
      <w:r>
        <w:rPr>
          <w:rFonts w:ascii="Times New Roman" w:hAnsi="Times New Roman" w:cs="Times New Roman" w:eastAsia="Times New Roman" w:hint="default"/>
          <w:spacing w:val="-7"/>
        </w:rPr>
        <w:t> </w:t>
      </w:r>
      <w:r>
        <w:rPr>
          <w:w w:val="101"/>
        </w:rPr>
        <w:t>年</w:t>
      </w:r>
      <w:r>
        <w:rPr>
          <w:spacing w:val="-47"/>
        </w:rPr>
        <w:t> </w:t>
      </w:r>
      <w:r>
        <w:rPr>
          <w:rFonts w:ascii="Times New Roman" w:hAnsi="Times New Roman" w:cs="Times New Roman" w:eastAsia="Times New Roman" w:hint="default"/>
          <w:w w:val="101"/>
        </w:rPr>
        <w:t>3</w:t>
      </w:r>
      <w:r>
        <w:rPr>
          <w:rFonts w:ascii="Times New Roman" w:hAnsi="Times New Roman" w:cs="Times New Roman" w:eastAsia="Times New Roman" w:hint="default"/>
          <w:spacing w:val="-12"/>
        </w:rPr>
        <w:t> </w:t>
      </w:r>
      <w:r>
        <w:rPr>
          <w:w w:val="101"/>
        </w:rPr>
        <w:t>季</w:t>
      </w:r>
      <w:r>
        <w:rPr>
          <w:spacing w:val="-5"/>
          <w:w w:val="101"/>
        </w:rPr>
        <w:t>度</w:t>
      </w:r>
      <w:r>
        <w:rPr>
          <w:w w:val="101"/>
        </w:rPr>
        <w:t>货</w:t>
      </w:r>
      <w:r>
        <w:rPr>
          <w:spacing w:val="-5"/>
          <w:w w:val="101"/>
        </w:rPr>
        <w:t>币</w:t>
      </w:r>
      <w:r>
        <w:rPr>
          <w:w w:val="101"/>
        </w:rPr>
        <w:t>资</w:t>
      </w:r>
      <w:r>
        <w:rPr>
          <w:spacing w:val="-5"/>
          <w:w w:val="101"/>
        </w:rPr>
        <w:t>金</w:t>
      </w:r>
      <w:r>
        <w:rPr>
          <w:w w:val="101"/>
        </w:rPr>
        <w:t>的</w:t>
      </w:r>
      <w:r>
        <w:rPr>
          <w:spacing w:val="-5"/>
          <w:w w:val="101"/>
        </w:rPr>
        <w:t>专</w:t>
      </w:r>
      <w:r>
        <w:rPr>
          <w:w w:val="101"/>
        </w:rPr>
        <w:t>项</w:t>
      </w:r>
      <w:r>
        <w:rPr>
          <w:spacing w:val="-5"/>
          <w:w w:val="101"/>
        </w:rPr>
        <w:t>检</w:t>
      </w:r>
      <w:r>
        <w:rPr>
          <w:w w:val="101"/>
        </w:rPr>
        <w:t>查</w:t>
      </w:r>
      <w:r>
        <w:rPr>
          <w:spacing w:val="-5"/>
          <w:w w:val="101"/>
        </w:rPr>
        <w:t>报</w:t>
      </w:r>
      <w:r>
        <w:rPr>
          <w:w w:val="101"/>
        </w:rPr>
        <w:t>告</w:t>
      </w:r>
      <w:r>
        <w:rPr>
          <w:spacing w:val="-92"/>
          <w:w w:val="101"/>
        </w:rPr>
        <w:t>》</w:t>
      </w:r>
      <w:r>
        <w:rPr>
          <w:spacing w:val="-96"/>
          <w:w w:val="101"/>
        </w:rPr>
        <w:t>、</w:t>
      </w:r>
      <w:r>
        <w:rPr>
          <w:w w:val="101"/>
        </w:rPr>
        <w:t>《</w:t>
      </w:r>
      <w:r>
        <w:rPr>
          <w:rFonts w:ascii="Times New Roman" w:hAnsi="Times New Roman" w:cs="Times New Roman" w:eastAsia="Times New Roman" w:hint="default"/>
          <w:w w:val="101"/>
        </w:rPr>
        <w:t>2</w:t>
      </w:r>
      <w:r>
        <w:rPr>
          <w:rFonts w:ascii="Times New Roman" w:hAnsi="Times New Roman" w:cs="Times New Roman" w:eastAsia="Times New Roman" w:hint="default"/>
          <w:spacing w:val="-5"/>
          <w:w w:val="101"/>
        </w:rPr>
        <w:t>0</w:t>
      </w:r>
      <w:r>
        <w:rPr>
          <w:rFonts w:ascii="Times New Roman" w:hAnsi="Times New Roman" w:cs="Times New Roman" w:eastAsia="Times New Roman" w:hint="default"/>
          <w:w w:val="101"/>
        </w:rPr>
        <w:t>19</w:t>
      </w:r>
      <w:r>
        <w:rPr>
          <w:rFonts w:ascii="Times New Roman" w:hAnsi="Times New Roman" w:cs="Times New Roman" w:eastAsia="Times New Roman" w:hint="default"/>
          <w:spacing w:val="-12"/>
        </w:rPr>
        <w:t> </w:t>
      </w:r>
      <w:r>
        <w:rPr>
          <w:w w:val="101"/>
        </w:rPr>
        <w:t>年</w:t>
      </w:r>
      <w:r>
        <w:rPr>
          <w:spacing w:val="-47"/>
        </w:rPr>
        <w:t> </w:t>
      </w:r>
      <w:r>
        <w:rPr>
          <w:rFonts w:ascii="Times New Roman" w:hAnsi="Times New Roman" w:cs="Times New Roman" w:eastAsia="Times New Roman" w:hint="default"/>
          <w:w w:val="101"/>
        </w:rPr>
        <w:t>3 </w:t>
      </w:r>
      <w:r>
        <w:rPr>
          <w:w w:val="101"/>
        </w:rPr>
        <w:t>季</w:t>
      </w:r>
      <w:r>
        <w:rPr>
          <w:spacing w:val="-5"/>
          <w:w w:val="101"/>
        </w:rPr>
        <w:t>度</w:t>
      </w:r>
      <w:r>
        <w:rPr>
          <w:w w:val="101"/>
        </w:rPr>
        <w:t>内</w:t>
      </w:r>
      <w:r>
        <w:rPr>
          <w:spacing w:val="-5"/>
          <w:w w:val="101"/>
        </w:rPr>
        <w:t>部</w:t>
      </w:r>
      <w:r>
        <w:rPr>
          <w:w w:val="101"/>
        </w:rPr>
        <w:t>审</w:t>
      </w:r>
      <w:r>
        <w:rPr>
          <w:spacing w:val="-5"/>
          <w:w w:val="101"/>
        </w:rPr>
        <w:t>计</w:t>
      </w:r>
      <w:r>
        <w:rPr>
          <w:w w:val="101"/>
        </w:rPr>
        <w:t>工</w:t>
      </w:r>
      <w:r>
        <w:rPr>
          <w:spacing w:val="-5"/>
          <w:w w:val="101"/>
        </w:rPr>
        <w:t>作</w:t>
      </w:r>
      <w:r>
        <w:rPr>
          <w:w w:val="101"/>
        </w:rPr>
        <w:t>总结</w:t>
      </w:r>
      <w:r>
        <w:rPr>
          <w:spacing w:val="-96"/>
          <w:w w:val="101"/>
        </w:rPr>
        <w:t>》</w:t>
      </w:r>
      <w:r>
        <w:rPr>
          <w:w w:val="101"/>
        </w:rPr>
        <w:t>。</w:t>
      </w:r>
      <w:r>
        <w:rPr/>
      </w:r>
    </w:p>
    <w:p>
      <w:pPr>
        <w:pStyle w:val="BodyText"/>
        <w:spacing w:line="240" w:lineRule="auto" w:before="62"/>
        <w:ind w:left="513" w:right="0"/>
        <w:jc w:val="left"/>
      </w:pPr>
      <w:r>
        <w:rPr/>
        <w:t>（</w:t>
      </w:r>
      <w:r>
        <w:rPr>
          <w:rFonts w:ascii="Times New Roman" w:hAnsi="Times New Roman" w:cs="Times New Roman" w:eastAsia="Times New Roman" w:hint="default"/>
        </w:rPr>
        <w:t>2</w:t>
      </w:r>
      <w:r>
        <w:rPr/>
        <w:t>）对公司 </w:t>
      </w:r>
      <w:r>
        <w:rPr>
          <w:rFonts w:ascii="Times New Roman" w:hAnsi="Times New Roman" w:cs="Times New Roman" w:eastAsia="Times New Roman" w:hint="default"/>
        </w:rPr>
        <w:t>2019</w:t>
      </w:r>
      <w:r>
        <w:rPr>
          <w:rFonts w:ascii="Times New Roman" w:hAnsi="Times New Roman" w:cs="Times New Roman" w:eastAsia="Times New Roman" w:hint="default"/>
          <w:spacing w:val="-11"/>
        </w:rPr>
        <w:t> </w:t>
      </w:r>
      <w:r>
        <w:rPr>
          <w:spacing w:val="-3"/>
        </w:rPr>
        <w:t>年度财务报告审计的工作情况</w:t>
      </w:r>
    </w:p>
    <w:p>
      <w:pPr>
        <w:spacing w:line="240" w:lineRule="auto" w:before="12"/>
        <w:rPr>
          <w:rFonts w:ascii="宋体" w:hAnsi="宋体" w:cs="宋体" w:eastAsia="宋体" w:hint="default"/>
          <w:sz w:val="16"/>
          <w:szCs w:val="16"/>
        </w:rPr>
      </w:pPr>
    </w:p>
    <w:p>
      <w:pPr>
        <w:pStyle w:val="BodyText"/>
        <w:spacing w:line="240" w:lineRule="auto"/>
        <w:ind w:left="513" w:right="0"/>
        <w:jc w:val="left"/>
      </w:pPr>
      <w:r>
        <w:rPr>
          <w:rFonts w:ascii="Times New Roman" w:hAnsi="Times New Roman" w:cs="Times New Roman" w:eastAsia="Times New Roman" w:hint="default"/>
        </w:rPr>
        <w:t>1</w:t>
      </w:r>
      <w:r>
        <w:rPr/>
        <w:t>）确定总体审计计划</w:t>
      </w:r>
    </w:p>
    <w:p>
      <w:pPr>
        <w:spacing w:line="240" w:lineRule="auto" w:before="7"/>
        <w:rPr>
          <w:rFonts w:ascii="宋体" w:hAnsi="宋体" w:cs="宋体" w:eastAsia="宋体" w:hint="default"/>
          <w:sz w:val="16"/>
          <w:szCs w:val="16"/>
        </w:rPr>
      </w:pPr>
    </w:p>
    <w:p>
      <w:pPr>
        <w:pStyle w:val="BodyText"/>
        <w:spacing w:line="470" w:lineRule="auto"/>
        <w:ind w:right="1124" w:firstLine="360"/>
        <w:jc w:val="both"/>
      </w:pPr>
      <w:r>
        <w:rPr>
          <w:rFonts w:ascii="Times New Roman" w:hAnsi="Times New Roman" w:cs="Times New Roman" w:eastAsia="Times New Roman" w:hint="default"/>
          <w:w w:val="101"/>
        </w:rPr>
        <w:t>2020</w:t>
      </w:r>
      <w:r>
        <w:rPr>
          <w:rFonts w:ascii="Times New Roman" w:hAnsi="Times New Roman" w:cs="Times New Roman" w:eastAsia="Times New Roman" w:hint="default"/>
          <w:spacing w:val="-11"/>
          <w:w w:val="101"/>
        </w:rPr>
        <w:t> </w:t>
      </w:r>
      <w:r>
        <w:rPr>
          <w:w w:val="101"/>
        </w:rPr>
        <w:t>年</w:t>
      </w:r>
      <w:r>
        <w:rPr>
          <w:spacing w:val="-47"/>
          <w:w w:val="101"/>
        </w:rPr>
        <w:t> </w:t>
      </w:r>
      <w:r>
        <w:rPr>
          <w:rFonts w:ascii="Times New Roman" w:hAnsi="Times New Roman" w:cs="Times New Roman" w:eastAsia="Times New Roman" w:hint="default"/>
          <w:w w:val="101"/>
        </w:rPr>
        <w:t>2</w:t>
      </w:r>
      <w:r>
        <w:rPr>
          <w:rFonts w:ascii="Times New Roman" w:hAnsi="Times New Roman" w:cs="Times New Roman" w:eastAsia="Times New Roman" w:hint="default"/>
          <w:spacing w:val="-7"/>
          <w:w w:val="101"/>
        </w:rPr>
        <w:t> </w:t>
      </w:r>
      <w:r>
        <w:rPr>
          <w:w w:val="101"/>
        </w:rPr>
        <w:t>月</w:t>
      </w:r>
      <w:r>
        <w:rPr>
          <w:spacing w:val="-53"/>
          <w:w w:val="101"/>
        </w:rPr>
        <w:t> </w:t>
      </w:r>
      <w:r>
        <w:rPr>
          <w:rFonts w:ascii="Times New Roman" w:hAnsi="Times New Roman" w:cs="Times New Roman" w:eastAsia="Times New Roman" w:hint="default"/>
          <w:w w:val="101"/>
        </w:rPr>
        <w:t>26</w:t>
      </w:r>
      <w:r>
        <w:rPr>
          <w:rFonts w:ascii="Times New Roman" w:hAnsi="Times New Roman" w:cs="Times New Roman" w:eastAsia="Times New Roman" w:hint="default"/>
          <w:spacing w:val="-12"/>
          <w:w w:val="101"/>
        </w:rPr>
        <w:t> </w:t>
      </w:r>
      <w:r>
        <w:rPr>
          <w:spacing w:val="-5"/>
          <w:w w:val="101"/>
        </w:rPr>
        <w:t>日，审计委员会组织公司内部审计部门与中汇会计师事务所（特殊普通合伙），对</w:t>
      </w:r>
      <w:r>
        <w:rPr>
          <w:spacing w:val="-46"/>
          <w:w w:val="101"/>
        </w:rPr>
        <w:t> </w:t>
      </w:r>
      <w:r>
        <w:rPr>
          <w:rFonts w:ascii="Times New Roman" w:hAnsi="Times New Roman" w:cs="Times New Roman" w:eastAsia="Times New Roman" w:hint="default"/>
          <w:spacing w:val="-2"/>
          <w:w w:val="101"/>
        </w:rPr>
        <w:t>2019</w:t>
      </w:r>
      <w:r>
        <w:rPr>
          <w:rFonts w:ascii="Times New Roman" w:hAnsi="Times New Roman" w:cs="Times New Roman" w:eastAsia="Times New Roman" w:hint="default"/>
          <w:spacing w:val="-12"/>
          <w:w w:val="101"/>
        </w:rPr>
        <w:t> </w:t>
      </w:r>
      <w:r>
        <w:rPr>
          <w:spacing w:val="-3"/>
          <w:w w:val="101"/>
        </w:rPr>
        <w:t>年年度报告中财</w:t>
      </w:r>
      <w:r>
        <w:rPr>
          <w:w w:val="101"/>
        </w:rPr>
        <w:t> </w:t>
      </w:r>
      <w:r>
        <w:rPr>
          <w:spacing w:val="-4"/>
        </w:rPr>
        <w:t>务报告及相关专项报告进行沟通交流，中汇会计师事务所的会计师介绍了公司年度审计工作安排，确定了与治理层、管理层</w:t>
      </w:r>
      <w:r>
        <w:rPr>
          <w:spacing w:val="43"/>
        </w:rPr>
        <w:t> </w:t>
      </w:r>
      <w:r>
        <w:rPr>
          <w:spacing w:val="43"/>
        </w:rPr>
      </w:r>
      <w:r>
        <w:rPr>
          <w:spacing w:val="-4"/>
        </w:rPr>
        <w:t>的沟通时间安排，本次审计范围及时间安排，对公司及子公司的财务规范运作提出了相应的建议。审计委员会与中汇会计师</w:t>
      </w:r>
      <w:r>
        <w:rPr>
          <w:spacing w:val="43"/>
        </w:rPr>
        <w:t> </w:t>
      </w:r>
      <w:r>
        <w:rPr>
          <w:spacing w:val="43"/>
        </w:rPr>
      </w:r>
      <w:r>
        <w:rPr>
          <w:spacing w:val="-4"/>
        </w:rPr>
        <w:t>事务所会计师就预审事项进行了沟通，确定了本次审计工作的重点，对审计报告的具体内容提出建议，并初步沟通了关键审</w:t>
      </w:r>
      <w:r>
        <w:rPr>
          <w:spacing w:val="43"/>
        </w:rPr>
        <w:t> </w:t>
      </w:r>
      <w:r>
        <w:rPr>
          <w:spacing w:val="43"/>
        </w:rPr>
      </w:r>
      <w:r>
        <w:rPr/>
        <w:t>计事项。</w:t>
      </w:r>
    </w:p>
    <w:p>
      <w:pPr>
        <w:pStyle w:val="BodyText"/>
        <w:spacing w:line="240" w:lineRule="auto" w:before="62"/>
        <w:ind w:left="513" w:right="0"/>
        <w:jc w:val="left"/>
      </w:pPr>
      <w:r>
        <w:rPr>
          <w:rFonts w:ascii="Times New Roman" w:hAnsi="Times New Roman" w:cs="Times New Roman" w:eastAsia="Times New Roman" w:hint="default"/>
        </w:rPr>
        <w:t>2</w:t>
      </w:r>
      <w:r>
        <w:rPr/>
        <w:t>）审核公司财务信息</w:t>
      </w:r>
    </w:p>
    <w:p>
      <w:pPr>
        <w:spacing w:line="240" w:lineRule="auto" w:before="7"/>
        <w:rPr>
          <w:rFonts w:ascii="宋体" w:hAnsi="宋体" w:cs="宋体" w:eastAsia="宋体" w:hint="default"/>
          <w:sz w:val="16"/>
          <w:szCs w:val="16"/>
        </w:rPr>
      </w:pPr>
    </w:p>
    <w:p>
      <w:pPr>
        <w:pStyle w:val="BodyText"/>
        <w:spacing w:line="460" w:lineRule="auto"/>
        <w:ind w:right="1123" w:firstLine="360"/>
        <w:jc w:val="both"/>
      </w:pPr>
      <w:r>
        <w:rPr>
          <w:spacing w:val="-2"/>
          <w:w w:val="101"/>
        </w:rPr>
        <w:t>报告期内，审计委员会召开的</w:t>
      </w:r>
      <w:r>
        <w:rPr>
          <w:spacing w:val="-51"/>
          <w:w w:val="101"/>
        </w:rPr>
        <w:t> </w:t>
      </w:r>
      <w:r>
        <w:rPr>
          <w:rFonts w:ascii="Times New Roman" w:hAnsi="Times New Roman" w:cs="Times New Roman" w:eastAsia="Times New Roman" w:hint="default"/>
          <w:w w:val="101"/>
        </w:rPr>
        <w:t>4</w:t>
      </w:r>
      <w:r>
        <w:rPr>
          <w:rFonts w:ascii="Times New Roman" w:hAnsi="Times New Roman" w:cs="Times New Roman" w:eastAsia="Times New Roman" w:hint="default"/>
          <w:spacing w:val="-6"/>
          <w:w w:val="101"/>
        </w:rPr>
        <w:t> </w:t>
      </w:r>
      <w:r>
        <w:rPr>
          <w:spacing w:val="-3"/>
          <w:w w:val="101"/>
        </w:rPr>
        <w:t>次会议分别审议通过了公司《</w:t>
      </w:r>
      <w:r>
        <w:rPr>
          <w:rFonts w:ascii="Times New Roman" w:hAnsi="Times New Roman" w:cs="Times New Roman" w:eastAsia="Times New Roman" w:hint="default"/>
          <w:spacing w:val="-3"/>
          <w:w w:val="101"/>
        </w:rPr>
        <w:t>2018</w:t>
      </w:r>
      <w:r>
        <w:rPr>
          <w:rFonts w:ascii="Times New Roman" w:hAnsi="Times New Roman" w:cs="Times New Roman" w:eastAsia="Times New Roman" w:hint="default"/>
          <w:spacing w:val="-12"/>
          <w:w w:val="101"/>
        </w:rPr>
        <w:t> </w:t>
      </w:r>
      <w:r>
        <w:rPr>
          <w:spacing w:val="-16"/>
          <w:w w:val="101"/>
        </w:rPr>
        <w:t>年度财务报表》、《</w:t>
      </w:r>
      <w:r>
        <w:rPr>
          <w:rFonts w:ascii="Times New Roman" w:hAnsi="Times New Roman" w:cs="Times New Roman" w:eastAsia="Times New Roman" w:hint="default"/>
          <w:spacing w:val="-16"/>
          <w:w w:val="101"/>
        </w:rPr>
        <w:t>2019</w:t>
      </w:r>
      <w:r>
        <w:rPr>
          <w:rFonts w:ascii="Times New Roman" w:hAnsi="Times New Roman" w:cs="Times New Roman" w:eastAsia="Times New Roman" w:hint="default"/>
          <w:spacing w:val="-6"/>
          <w:w w:val="101"/>
        </w:rPr>
        <w:t> </w:t>
      </w:r>
      <w:r>
        <w:rPr>
          <w:w w:val="101"/>
        </w:rPr>
        <w:t>年</w:t>
      </w:r>
      <w:r>
        <w:rPr>
          <w:spacing w:val="-52"/>
          <w:w w:val="101"/>
        </w:rPr>
        <w:t> </w:t>
      </w:r>
      <w:r>
        <w:rPr>
          <w:rFonts w:ascii="Times New Roman" w:hAnsi="Times New Roman" w:cs="Times New Roman" w:eastAsia="Times New Roman" w:hint="default"/>
          <w:w w:val="101"/>
        </w:rPr>
        <w:t>1</w:t>
      </w:r>
      <w:r>
        <w:rPr>
          <w:rFonts w:ascii="Times New Roman" w:hAnsi="Times New Roman" w:cs="Times New Roman" w:eastAsia="Times New Roman" w:hint="default"/>
          <w:spacing w:val="-6"/>
          <w:w w:val="101"/>
        </w:rPr>
        <w:t> </w:t>
      </w:r>
      <w:r>
        <w:rPr>
          <w:spacing w:val="-16"/>
          <w:w w:val="101"/>
        </w:rPr>
        <w:t>季度财务报表》、《</w:t>
      </w:r>
      <w:r>
        <w:rPr>
          <w:rFonts w:ascii="Times New Roman" w:hAnsi="Times New Roman" w:cs="Times New Roman" w:eastAsia="Times New Roman" w:hint="default"/>
          <w:spacing w:val="-16"/>
          <w:w w:val="101"/>
        </w:rPr>
        <w:t>2019</w:t>
      </w:r>
      <w:r>
        <w:rPr>
          <w:rFonts w:ascii="Times New Roman" w:hAnsi="Times New Roman" w:cs="Times New Roman" w:eastAsia="Times New Roman" w:hint="default"/>
          <w:w w:val="101"/>
        </w:rPr>
        <w:t> </w:t>
      </w:r>
      <w:r>
        <w:rPr>
          <w:w w:val="101"/>
        </w:rPr>
        <w:t>年</w:t>
      </w:r>
      <w:r>
        <w:rPr>
          <w:spacing w:val="-45"/>
          <w:w w:val="101"/>
        </w:rPr>
        <w:t> </w:t>
      </w:r>
      <w:r>
        <w:rPr>
          <w:rFonts w:ascii="Times New Roman" w:hAnsi="Times New Roman" w:cs="Times New Roman" w:eastAsia="Times New Roman" w:hint="default"/>
          <w:w w:val="101"/>
        </w:rPr>
        <w:t>2</w:t>
      </w:r>
      <w:r>
        <w:rPr>
          <w:rFonts w:ascii="Times New Roman" w:hAnsi="Times New Roman" w:cs="Times New Roman" w:eastAsia="Times New Roman" w:hint="default"/>
          <w:spacing w:val="-5"/>
          <w:w w:val="101"/>
        </w:rPr>
        <w:t> </w:t>
      </w:r>
      <w:r>
        <w:rPr>
          <w:spacing w:val="-16"/>
          <w:w w:val="101"/>
        </w:rPr>
        <w:t>季度财务报表》、《</w:t>
      </w:r>
      <w:r>
        <w:rPr>
          <w:rFonts w:ascii="Times New Roman" w:hAnsi="Times New Roman" w:cs="Times New Roman" w:eastAsia="Times New Roman" w:hint="default"/>
          <w:spacing w:val="-16"/>
          <w:w w:val="101"/>
        </w:rPr>
        <w:t>2019</w:t>
      </w:r>
      <w:r>
        <w:rPr>
          <w:rFonts w:ascii="Times New Roman" w:hAnsi="Times New Roman" w:cs="Times New Roman" w:eastAsia="Times New Roman" w:hint="default"/>
          <w:spacing w:val="-11"/>
          <w:w w:val="101"/>
        </w:rPr>
        <w:t> </w:t>
      </w:r>
      <w:r>
        <w:rPr>
          <w:w w:val="101"/>
        </w:rPr>
        <w:t>年</w:t>
      </w:r>
      <w:r>
        <w:rPr>
          <w:spacing w:val="-45"/>
          <w:w w:val="101"/>
        </w:rPr>
        <w:t> </w:t>
      </w:r>
      <w:r>
        <w:rPr>
          <w:rFonts w:ascii="Times New Roman" w:hAnsi="Times New Roman" w:cs="Times New Roman" w:eastAsia="Times New Roman" w:hint="default"/>
          <w:w w:val="101"/>
        </w:rPr>
        <w:t>3</w:t>
      </w:r>
      <w:r>
        <w:rPr>
          <w:rFonts w:ascii="Times New Roman" w:hAnsi="Times New Roman" w:cs="Times New Roman" w:eastAsia="Times New Roman" w:hint="default"/>
          <w:spacing w:val="-11"/>
          <w:w w:val="101"/>
        </w:rPr>
        <w:t> </w:t>
      </w:r>
      <w:r>
        <w:rPr>
          <w:spacing w:val="-3"/>
          <w:w w:val="101"/>
        </w:rPr>
        <w:t>季度财务报表》及募集资金存放及使用情况、控股股东及其他关联方占用资金情况、公司</w:t>
      </w:r>
      <w:r>
        <w:rPr>
          <w:spacing w:val="-84"/>
          <w:w w:val="101"/>
        </w:rPr>
        <w:t> </w:t>
      </w:r>
      <w:r>
        <w:rPr>
          <w:spacing w:val="-84"/>
          <w:w w:val="101"/>
        </w:rPr>
      </w:r>
      <w:r>
        <w:rPr>
          <w:spacing w:val="-4"/>
        </w:rPr>
        <w:t>对外担保事项等的专项报告，认为：公司财务报表依照公司会计政策编制、会计政策运用恰当，会计估计合理，符合新企业</w:t>
      </w:r>
      <w:r>
        <w:rPr>
          <w:spacing w:val="40"/>
        </w:rPr>
        <w:t> </w:t>
      </w:r>
      <w:r>
        <w:rPr>
          <w:spacing w:val="40"/>
        </w:rPr>
      </w:r>
      <w:r>
        <w:rPr>
          <w:spacing w:val="-3"/>
        </w:rPr>
        <w:t>会计准则及财政部发布的有关规定要求。</w:t>
      </w:r>
    </w:p>
    <w:p>
      <w:pPr>
        <w:pStyle w:val="BodyText"/>
        <w:spacing w:line="453" w:lineRule="auto" w:before="64"/>
        <w:ind w:left="513" w:right="0"/>
        <w:jc w:val="left"/>
      </w:pPr>
      <w:r>
        <w:rPr>
          <w:rFonts w:ascii="Times New Roman" w:hAnsi="Times New Roman" w:cs="Times New Roman" w:eastAsia="Times New Roman" w:hint="default"/>
          <w:spacing w:val="-3"/>
        </w:rPr>
        <w:t>3</w:t>
      </w:r>
      <w:r>
        <w:rPr>
          <w:spacing w:val="-3"/>
        </w:rPr>
        <w:t>）监督公司的内部审计制度及其实施</w:t>
      </w:r>
      <w:r>
        <w:rPr>
          <w:spacing w:val="-35"/>
        </w:rPr>
        <w:t> </w:t>
      </w:r>
      <w:r>
        <w:rPr>
          <w:spacing w:val="-35"/>
        </w:rPr>
      </w:r>
      <w:r>
        <w:rPr>
          <w:spacing w:val="-4"/>
        </w:rPr>
        <w:t>报告期内，董事会审计委员会对公司内部控制制度进行检查和评估后，认为：公司现有的内部控制制度较为完善、合理</w:t>
      </w:r>
    </w:p>
    <w:p>
      <w:pPr>
        <w:pStyle w:val="BodyText"/>
        <w:spacing w:line="477" w:lineRule="auto" w:before="70"/>
        <w:ind w:right="1124"/>
        <w:jc w:val="both"/>
      </w:pPr>
      <w:r>
        <w:rPr>
          <w:spacing w:val="-4"/>
        </w:rPr>
        <w:t>及有效，基本符合我国有关法规和证券监管部门的要求和公司内部控制的设定与执行，符合目前公司经营实际情况需要，在</w:t>
      </w:r>
      <w:r>
        <w:rPr>
          <w:spacing w:val="43"/>
        </w:rPr>
        <w:t> </w:t>
      </w:r>
      <w:r>
        <w:rPr>
          <w:spacing w:val="43"/>
        </w:rPr>
      </w:r>
      <w:r>
        <w:rPr>
          <w:spacing w:val="-4"/>
        </w:rPr>
        <w:t>企业管理的关键环节发挥了较好的控制与防范作用。公司的内部控制在整体上是有效的，为公司防范风险、规范运作提供了</w:t>
      </w:r>
      <w:r>
        <w:rPr>
          <w:spacing w:val="43"/>
        </w:rPr>
        <w:t> </w:t>
      </w:r>
      <w:r>
        <w:rPr>
          <w:spacing w:val="43"/>
        </w:rPr>
      </w:r>
      <w:r>
        <w:rPr>
          <w:spacing w:val="-3"/>
        </w:rPr>
        <w:t>强有力的保障，推动公司稳健发展。</w:t>
      </w:r>
    </w:p>
    <w:p>
      <w:pPr>
        <w:pStyle w:val="BodyText"/>
        <w:spacing w:line="240" w:lineRule="auto" w:before="57"/>
        <w:ind w:left="513" w:right="0"/>
        <w:jc w:val="left"/>
      </w:pPr>
      <w:r>
        <w:rPr>
          <w:rFonts w:ascii="Times New Roman" w:hAnsi="Times New Roman" w:cs="Times New Roman" w:eastAsia="Times New Roman" w:hint="default"/>
          <w:spacing w:val="-3"/>
        </w:rPr>
        <w:t>4</w:t>
      </w:r>
      <w:r>
        <w:rPr>
          <w:spacing w:val="-3"/>
        </w:rPr>
        <w:t>）对外部审计机构的工作进行评价</w:t>
      </w:r>
    </w:p>
    <w:p>
      <w:pPr>
        <w:spacing w:line="240" w:lineRule="auto" w:before="7"/>
        <w:rPr>
          <w:rFonts w:ascii="宋体" w:hAnsi="宋体" w:cs="宋体" w:eastAsia="宋体" w:hint="default"/>
          <w:sz w:val="16"/>
          <w:szCs w:val="16"/>
        </w:rPr>
      </w:pPr>
    </w:p>
    <w:p>
      <w:pPr>
        <w:pStyle w:val="BodyText"/>
        <w:spacing w:line="240" w:lineRule="auto"/>
        <w:ind w:left="513" w:right="0"/>
        <w:jc w:val="left"/>
      </w:pPr>
      <w:r>
        <w:rPr>
          <w:spacing w:val="-3"/>
        </w:rPr>
        <w:t>对中汇会计师事务所（特殊普通合伙）在 </w:t>
      </w:r>
      <w:r>
        <w:rPr>
          <w:rFonts w:ascii="Times New Roman" w:hAnsi="Times New Roman" w:cs="Times New Roman" w:eastAsia="Times New Roman" w:hint="default"/>
        </w:rPr>
        <w:t>2019  </w:t>
      </w:r>
      <w:r>
        <w:rPr>
          <w:rFonts w:ascii="Times New Roman" w:hAnsi="Times New Roman" w:cs="Times New Roman" w:eastAsia="Times New Roman" w:hint="default"/>
          <w:spacing w:val="4"/>
        </w:rPr>
        <w:t> </w:t>
      </w:r>
      <w:r>
        <w:rPr>
          <w:spacing w:val="-3"/>
        </w:rPr>
        <w:t>年度对公司提供的审计服务进行评估，认为：中汇会计师事务所（特殊</w:t>
      </w:r>
    </w:p>
    <w:p>
      <w:pPr>
        <w:spacing w:line="240" w:lineRule="auto" w:before="12"/>
        <w:rPr>
          <w:rFonts w:ascii="宋体" w:hAnsi="宋体" w:cs="宋体" w:eastAsia="宋体" w:hint="default"/>
          <w:sz w:val="16"/>
          <w:szCs w:val="16"/>
        </w:rPr>
      </w:pPr>
    </w:p>
    <w:p>
      <w:pPr>
        <w:pStyle w:val="BodyText"/>
        <w:spacing w:line="240" w:lineRule="auto"/>
        <w:ind w:right="0"/>
        <w:jc w:val="both"/>
        <w:rPr>
          <w:rFonts w:ascii="Times New Roman" w:hAnsi="Times New Roman" w:cs="Times New Roman" w:eastAsia="Times New Roman" w:hint="default"/>
        </w:rPr>
      </w:pPr>
      <w:r>
        <w:rPr>
          <w:spacing w:val="-3"/>
        </w:rPr>
        <w:t>普通合伙）在对公司 </w:t>
      </w:r>
      <w:r>
        <w:rPr>
          <w:rFonts w:ascii="Times New Roman" w:hAnsi="Times New Roman" w:cs="Times New Roman" w:eastAsia="Times New Roman" w:hint="default"/>
        </w:rPr>
        <w:t>2019 </w:t>
      </w:r>
      <w:r>
        <w:rPr>
          <w:spacing w:val="-3"/>
        </w:rPr>
        <w:t>年度会计报表审计过程中尽职、尽责，按照中国注册会计师审计准则要求，按时完成了公司</w:t>
      </w:r>
      <w:r>
        <w:rPr>
          <w:spacing w:val="22"/>
        </w:rPr>
        <w:t> </w:t>
      </w:r>
      <w:r>
        <w:rPr>
          <w:rFonts w:ascii="Times New Roman" w:hAnsi="Times New Roman" w:cs="Times New Roman" w:eastAsia="Times New Roman" w:hint="default"/>
        </w:rPr>
        <w:t>2019</w:t>
      </w:r>
    </w:p>
    <w:p>
      <w:pPr>
        <w:spacing w:line="240" w:lineRule="auto" w:before="9"/>
        <w:rPr>
          <w:rFonts w:ascii="Times New Roman" w:hAnsi="Times New Roman" w:cs="Times New Roman" w:eastAsia="Times New Roman" w:hint="default"/>
          <w:sz w:val="18"/>
          <w:szCs w:val="18"/>
        </w:rPr>
      </w:pPr>
    </w:p>
    <w:p>
      <w:pPr>
        <w:pStyle w:val="BodyText"/>
        <w:spacing w:line="240" w:lineRule="auto"/>
        <w:ind w:right="0"/>
        <w:jc w:val="both"/>
      </w:pPr>
      <w:r>
        <w:rPr>
          <w:spacing w:val="-3"/>
        </w:rPr>
        <w:t>年年报审计工作，表现了良好的职业规范和精神，客观、公正的对公司会计报表发表了意见。</w:t>
      </w:r>
    </w:p>
    <w:p>
      <w:pPr>
        <w:spacing w:line="240" w:lineRule="auto" w:before="13"/>
        <w:rPr>
          <w:rFonts w:ascii="宋体" w:hAnsi="宋体" w:cs="宋体" w:eastAsia="宋体" w:hint="default"/>
          <w:sz w:val="17"/>
          <w:szCs w:val="17"/>
        </w:rPr>
      </w:pPr>
    </w:p>
    <w:p>
      <w:pPr>
        <w:pStyle w:val="BodyText"/>
        <w:spacing w:line="240" w:lineRule="auto"/>
        <w:ind w:left="513" w:right="0"/>
        <w:jc w:val="left"/>
      </w:pPr>
      <w:r>
        <w:rPr>
          <w:rFonts w:ascii="Times New Roman" w:hAnsi="Times New Roman" w:cs="Times New Roman" w:eastAsia="Times New Roman" w:hint="default"/>
        </w:rPr>
        <w:t>2.</w:t>
      </w:r>
      <w:r>
        <w:rPr/>
        <w:t>薪酬与考核委员会</w:t>
      </w:r>
    </w:p>
    <w:p>
      <w:pPr>
        <w:spacing w:line="240" w:lineRule="auto" w:before="7"/>
        <w:rPr>
          <w:rFonts w:ascii="宋体" w:hAnsi="宋体" w:cs="宋体" w:eastAsia="宋体" w:hint="default"/>
          <w:sz w:val="16"/>
          <w:szCs w:val="16"/>
        </w:rPr>
      </w:pPr>
    </w:p>
    <w:p>
      <w:pPr>
        <w:pStyle w:val="BodyText"/>
        <w:spacing w:line="453" w:lineRule="auto"/>
        <w:ind w:right="0" w:firstLine="360"/>
        <w:jc w:val="left"/>
      </w:pPr>
      <w:r>
        <w:rPr>
          <w:spacing w:val="-3"/>
        </w:rPr>
        <w:t>公司董事会薪酬与考核委员会由 </w:t>
      </w:r>
      <w:r>
        <w:rPr>
          <w:rFonts w:ascii="Times New Roman" w:hAnsi="Times New Roman" w:cs="Times New Roman" w:eastAsia="Times New Roman" w:hint="default"/>
        </w:rPr>
        <w:t>3</w:t>
      </w:r>
      <w:r>
        <w:rPr>
          <w:rFonts w:ascii="Times New Roman" w:hAnsi="Times New Roman" w:cs="Times New Roman" w:eastAsia="Times New Roman" w:hint="default"/>
          <w:spacing w:val="18"/>
        </w:rPr>
        <w:t> </w:t>
      </w:r>
      <w:r>
        <w:rPr>
          <w:spacing w:val="-5"/>
        </w:rPr>
        <w:t>名董事组成，分别为郭斐、何剑、张学君，其中郭斐、何剑为独立董事，法律专业的</w:t>
      </w:r>
      <w:r>
        <w:rPr>
          <w:w w:val="101"/>
        </w:rPr>
        <w:t> </w:t>
      </w:r>
      <w:r>
        <w:rPr>
          <w:spacing w:val="-3"/>
        </w:rPr>
        <w:t>独立董事郭斐担任主任。</w:t>
      </w:r>
    </w:p>
    <w:p>
      <w:pPr>
        <w:pStyle w:val="BodyText"/>
        <w:spacing w:line="240" w:lineRule="auto" w:before="70"/>
        <w:ind w:left="513" w:right="0"/>
        <w:jc w:val="left"/>
      </w:pPr>
      <w:r>
        <w:rPr>
          <w:w w:val="101"/>
        </w:rPr>
        <w:t>薪</w:t>
      </w:r>
      <w:r>
        <w:rPr>
          <w:spacing w:val="-5"/>
          <w:w w:val="101"/>
        </w:rPr>
        <w:t>酬</w:t>
      </w:r>
      <w:r>
        <w:rPr>
          <w:w w:val="101"/>
        </w:rPr>
        <w:t>与</w:t>
      </w:r>
      <w:r>
        <w:rPr>
          <w:spacing w:val="-5"/>
          <w:w w:val="101"/>
        </w:rPr>
        <w:t>考</w:t>
      </w:r>
      <w:r>
        <w:rPr>
          <w:w w:val="101"/>
        </w:rPr>
        <w:t>核</w:t>
      </w:r>
      <w:r>
        <w:rPr>
          <w:spacing w:val="-5"/>
          <w:w w:val="101"/>
        </w:rPr>
        <w:t>委</w:t>
      </w:r>
      <w:r>
        <w:rPr>
          <w:w w:val="101"/>
        </w:rPr>
        <w:t>员</w:t>
      </w:r>
      <w:r>
        <w:rPr>
          <w:spacing w:val="-5"/>
          <w:w w:val="101"/>
        </w:rPr>
        <w:t>会</w:t>
      </w:r>
      <w:r>
        <w:rPr>
          <w:w w:val="101"/>
        </w:rPr>
        <w:t>严</w:t>
      </w:r>
      <w:r>
        <w:rPr>
          <w:spacing w:val="-5"/>
          <w:w w:val="101"/>
        </w:rPr>
        <w:t>格</w:t>
      </w:r>
      <w:r>
        <w:rPr>
          <w:w w:val="101"/>
        </w:rPr>
        <w:t>遵</w:t>
      </w:r>
      <w:r>
        <w:rPr>
          <w:spacing w:val="-5"/>
          <w:w w:val="101"/>
        </w:rPr>
        <w:t>照</w:t>
      </w:r>
      <w:r>
        <w:rPr>
          <w:w w:val="101"/>
        </w:rPr>
        <w:t>根</w:t>
      </w:r>
      <w:r>
        <w:rPr>
          <w:spacing w:val="-5"/>
          <w:w w:val="101"/>
        </w:rPr>
        <w:t>据</w:t>
      </w:r>
      <w:r>
        <w:rPr>
          <w:w w:val="101"/>
        </w:rPr>
        <w:t>中</w:t>
      </w:r>
      <w:r>
        <w:rPr>
          <w:spacing w:val="-5"/>
          <w:w w:val="101"/>
        </w:rPr>
        <w:t>国</w:t>
      </w:r>
      <w:r>
        <w:rPr>
          <w:w w:val="101"/>
        </w:rPr>
        <w:t>证</w:t>
      </w:r>
      <w:r>
        <w:rPr>
          <w:spacing w:val="-5"/>
          <w:w w:val="101"/>
        </w:rPr>
        <w:t>监</w:t>
      </w:r>
      <w:r>
        <w:rPr>
          <w:w w:val="101"/>
        </w:rPr>
        <w:t>会</w:t>
      </w:r>
      <w:r>
        <w:rPr>
          <w:spacing w:val="-5"/>
          <w:w w:val="101"/>
        </w:rPr>
        <w:t>、</w:t>
      </w:r>
      <w:r>
        <w:rPr>
          <w:w w:val="101"/>
        </w:rPr>
        <w:t>深</w:t>
      </w:r>
      <w:r>
        <w:rPr>
          <w:spacing w:val="-5"/>
          <w:w w:val="101"/>
        </w:rPr>
        <w:t>圳</w:t>
      </w:r>
      <w:r>
        <w:rPr>
          <w:w w:val="101"/>
        </w:rPr>
        <w:t>证</w:t>
      </w:r>
      <w:r>
        <w:rPr>
          <w:spacing w:val="-5"/>
          <w:w w:val="101"/>
        </w:rPr>
        <w:t>券</w:t>
      </w:r>
      <w:r>
        <w:rPr>
          <w:w w:val="101"/>
        </w:rPr>
        <w:t>交</w:t>
      </w:r>
      <w:r>
        <w:rPr>
          <w:spacing w:val="-5"/>
          <w:w w:val="101"/>
        </w:rPr>
        <w:t>易所</w:t>
      </w:r>
      <w:r>
        <w:rPr>
          <w:w w:val="101"/>
        </w:rPr>
        <w:t>的</w:t>
      </w:r>
      <w:r>
        <w:rPr>
          <w:spacing w:val="-5"/>
          <w:w w:val="101"/>
        </w:rPr>
        <w:t>有</w:t>
      </w:r>
      <w:r>
        <w:rPr>
          <w:w w:val="101"/>
        </w:rPr>
        <w:t>关</w:t>
      </w:r>
      <w:r>
        <w:rPr>
          <w:spacing w:val="-5"/>
          <w:w w:val="101"/>
        </w:rPr>
        <w:t>规</w:t>
      </w:r>
      <w:r>
        <w:rPr>
          <w:w w:val="101"/>
        </w:rPr>
        <w:t>定</w:t>
      </w:r>
      <w:r>
        <w:rPr>
          <w:spacing w:val="-5"/>
          <w:w w:val="101"/>
        </w:rPr>
        <w:t>及</w:t>
      </w:r>
      <w:r>
        <w:rPr>
          <w:w w:val="101"/>
        </w:rPr>
        <w:t>公</w:t>
      </w:r>
      <w:r>
        <w:rPr>
          <w:spacing w:val="-5"/>
          <w:w w:val="101"/>
        </w:rPr>
        <w:t>司</w:t>
      </w:r>
      <w:r>
        <w:rPr>
          <w:w w:val="101"/>
        </w:rPr>
        <w:t>《</w:t>
      </w:r>
      <w:r>
        <w:rPr>
          <w:spacing w:val="-5"/>
          <w:w w:val="101"/>
        </w:rPr>
        <w:t>薪</w:t>
      </w:r>
      <w:r>
        <w:rPr>
          <w:w w:val="101"/>
        </w:rPr>
        <w:t>酬</w:t>
      </w:r>
      <w:r>
        <w:rPr>
          <w:spacing w:val="-5"/>
          <w:w w:val="101"/>
        </w:rPr>
        <w:t>与</w:t>
      </w:r>
      <w:r>
        <w:rPr>
          <w:w w:val="101"/>
        </w:rPr>
        <w:t>考</w:t>
      </w:r>
      <w:r>
        <w:rPr>
          <w:spacing w:val="-5"/>
          <w:w w:val="101"/>
        </w:rPr>
        <w:t>核</w:t>
      </w:r>
      <w:r>
        <w:rPr>
          <w:w w:val="101"/>
        </w:rPr>
        <w:t>委</w:t>
      </w:r>
      <w:r>
        <w:rPr>
          <w:spacing w:val="-5"/>
          <w:w w:val="101"/>
        </w:rPr>
        <w:t>员</w:t>
      </w:r>
      <w:r>
        <w:rPr>
          <w:w w:val="101"/>
        </w:rPr>
        <w:t>会</w:t>
      </w:r>
      <w:r>
        <w:rPr>
          <w:spacing w:val="-5"/>
          <w:w w:val="101"/>
        </w:rPr>
        <w:t>工</w:t>
      </w:r>
      <w:r>
        <w:rPr>
          <w:w w:val="101"/>
        </w:rPr>
        <w:t>作</w:t>
      </w:r>
      <w:r>
        <w:rPr>
          <w:spacing w:val="-5"/>
          <w:w w:val="101"/>
        </w:rPr>
        <w:t>细</w:t>
      </w:r>
      <w:r>
        <w:rPr>
          <w:w w:val="101"/>
        </w:rPr>
        <w:t>则</w:t>
      </w:r>
      <w:r>
        <w:rPr>
          <w:spacing w:val="-92"/>
          <w:w w:val="101"/>
        </w:rPr>
        <w:t>》</w:t>
      </w:r>
      <w:r>
        <w:rPr>
          <w:spacing w:val="-5"/>
          <w:w w:val="101"/>
        </w:rPr>
        <w:t>，</w:t>
      </w:r>
      <w:r>
        <w:rPr>
          <w:w w:val="101"/>
        </w:rPr>
        <w:t>切实</w:t>
      </w:r>
      <w:r>
        <w:rPr/>
      </w:r>
    </w:p>
    <w:p>
      <w:pPr>
        <w:pStyle w:val="BodyText"/>
        <w:spacing w:line="460" w:lineRule="atLeast" w:before="10"/>
        <w:ind w:right="1122"/>
        <w:jc w:val="both"/>
      </w:pPr>
      <w:r>
        <w:rPr>
          <w:spacing w:val="-4"/>
        </w:rPr>
        <w:t>履行职责，主要负责制定公司董事及高级管理人员的考核标准并进行考核，制定、审查公司董事及高级管理人员的薪酬政策</w:t>
      </w:r>
      <w:r>
        <w:rPr>
          <w:spacing w:val="45"/>
        </w:rPr>
        <w:t> </w:t>
      </w:r>
      <w:r>
        <w:rPr>
          <w:spacing w:val="45"/>
        </w:rPr>
      </w:r>
      <w:r>
        <w:rPr>
          <w:spacing w:val="-3"/>
        </w:rPr>
        <w:t>与方案，并指导董事会完善公司薪酬体系。</w:t>
      </w:r>
    </w:p>
    <w:p>
      <w:pPr>
        <w:spacing w:after="0" w:line="460" w:lineRule="atLeast"/>
        <w:jc w:val="both"/>
        <w:sectPr>
          <w:pgSz w:w="11910" w:h="16840"/>
          <w:pgMar w:header="871" w:footer="1186" w:top="1100" w:bottom="1380" w:left="980" w:right="0"/>
        </w:sectPr>
      </w:pPr>
    </w:p>
    <w:p>
      <w:pPr>
        <w:spacing w:line="240" w:lineRule="auto" w:before="1"/>
        <w:rPr>
          <w:rFonts w:ascii="宋体" w:hAnsi="宋体" w:cs="宋体" w:eastAsia="宋体" w:hint="default"/>
          <w:sz w:val="28"/>
          <w:szCs w:val="28"/>
        </w:rPr>
      </w:pPr>
    </w:p>
    <w:p>
      <w:pPr>
        <w:pStyle w:val="BodyText"/>
        <w:spacing w:line="240" w:lineRule="auto" w:before="46"/>
        <w:ind w:left="513" w:right="0"/>
        <w:jc w:val="left"/>
      </w:pPr>
      <w:r>
        <w:rPr>
          <w:spacing w:val="-3"/>
        </w:rPr>
        <w:t>报告期内，薪酬与考核委员会共召开了 </w:t>
      </w:r>
      <w:r>
        <w:rPr>
          <w:rFonts w:ascii="Times New Roman" w:hAnsi="Times New Roman" w:cs="Times New Roman" w:eastAsia="Times New Roman" w:hint="default"/>
        </w:rPr>
        <w:t>1 </w:t>
      </w:r>
      <w:r>
        <w:rPr>
          <w:rFonts w:ascii="Times New Roman" w:hAnsi="Times New Roman" w:cs="Times New Roman" w:eastAsia="Times New Roman" w:hint="default"/>
          <w:spacing w:val="10"/>
        </w:rPr>
        <w:t> </w:t>
      </w:r>
      <w:r>
        <w:rPr>
          <w:spacing w:val="-3"/>
        </w:rPr>
        <w:t>次薪酬与考核委员会会议，具体情况如下：</w:t>
      </w:r>
    </w:p>
    <w:p>
      <w:pPr>
        <w:spacing w:line="240" w:lineRule="auto" w:before="7"/>
        <w:rPr>
          <w:rFonts w:ascii="宋体" w:hAnsi="宋体" w:cs="宋体" w:eastAsia="宋体" w:hint="default"/>
          <w:sz w:val="16"/>
          <w:szCs w:val="16"/>
        </w:rPr>
      </w:pPr>
    </w:p>
    <w:p>
      <w:pPr>
        <w:pStyle w:val="BodyText"/>
        <w:spacing w:line="453" w:lineRule="auto"/>
        <w:ind w:right="1029" w:firstLine="360"/>
        <w:jc w:val="left"/>
      </w:pPr>
      <w:r>
        <w:rPr>
          <w:rFonts w:ascii="Times New Roman" w:hAnsi="Times New Roman" w:cs="Times New Roman" w:eastAsia="Times New Roman" w:hint="default"/>
        </w:rPr>
        <w:t>1.2019</w:t>
      </w:r>
      <w:r>
        <w:rPr>
          <w:rFonts w:ascii="Times New Roman" w:hAnsi="Times New Roman" w:cs="Times New Roman" w:eastAsia="Times New Roman" w:hint="default"/>
          <w:spacing w:val="4"/>
        </w:rPr>
        <w:t> </w:t>
      </w:r>
      <w:r>
        <w:rPr/>
        <w:t>年</w:t>
      </w:r>
      <w:r>
        <w:rPr>
          <w:spacing w:val="-27"/>
        </w:rPr>
        <w:t> </w:t>
      </w:r>
      <w:r>
        <w:rPr>
          <w:rFonts w:ascii="Times New Roman" w:hAnsi="Times New Roman" w:cs="Times New Roman" w:eastAsia="Times New Roman" w:hint="default"/>
        </w:rPr>
        <w:t>4</w:t>
      </w:r>
      <w:r>
        <w:rPr>
          <w:rFonts w:ascii="Times New Roman" w:hAnsi="Times New Roman" w:cs="Times New Roman" w:eastAsia="Times New Roman" w:hint="default"/>
          <w:spacing w:val="10"/>
        </w:rPr>
        <w:t> </w:t>
      </w:r>
      <w:r>
        <w:rPr/>
        <w:t>月</w:t>
      </w:r>
      <w:r>
        <w:rPr>
          <w:spacing w:val="-35"/>
        </w:rPr>
        <w:t> </w:t>
      </w:r>
      <w:r>
        <w:rPr>
          <w:rFonts w:ascii="Times New Roman" w:hAnsi="Times New Roman" w:cs="Times New Roman" w:eastAsia="Times New Roman" w:hint="default"/>
        </w:rPr>
        <w:t>22</w:t>
      </w:r>
      <w:r>
        <w:rPr>
          <w:rFonts w:ascii="Times New Roman" w:hAnsi="Times New Roman" w:cs="Times New Roman" w:eastAsia="Times New Roman" w:hint="default"/>
          <w:spacing w:val="3"/>
        </w:rPr>
        <w:t> </w:t>
      </w:r>
      <w:r>
        <w:rPr>
          <w:spacing w:val="-4"/>
        </w:rPr>
        <w:t>日，在第四届董事会薪酬与考核委员会第三次会议上，审议通过了《关于公司高级管理人员</w:t>
      </w:r>
      <w:r>
        <w:rPr>
          <w:spacing w:val="-26"/>
        </w:rPr>
        <w:t> </w:t>
      </w:r>
      <w:r>
        <w:rPr>
          <w:rFonts w:ascii="Times New Roman" w:hAnsi="Times New Roman" w:cs="Times New Roman" w:eastAsia="Times New Roman" w:hint="default"/>
          <w:spacing w:val="-3"/>
        </w:rPr>
        <w:t>2019</w:t>
      </w:r>
      <w:r>
        <w:rPr>
          <w:rFonts w:ascii="Times New Roman" w:hAnsi="Times New Roman" w:cs="Times New Roman" w:eastAsia="Times New Roman" w:hint="default"/>
          <w:spacing w:val="10"/>
        </w:rPr>
        <w:t> </w:t>
      </w:r>
      <w:r>
        <w:rPr>
          <w:spacing w:val="-5"/>
        </w:rPr>
        <w:t>年度</w:t>
      </w:r>
      <w:r>
        <w:rPr>
          <w:spacing w:val="-5"/>
          <w:w w:val="101"/>
        </w:rPr>
        <w:t> </w:t>
      </w:r>
      <w:r>
        <w:rPr>
          <w:spacing w:val="-15"/>
          <w:w w:val="101"/>
        </w:rPr>
        <w:t>薪酬的议案》。</w:t>
      </w:r>
      <w:r>
        <w:rPr>
          <w:spacing w:val="-15"/>
        </w:rPr>
      </w:r>
    </w:p>
    <w:p>
      <w:pPr>
        <w:spacing w:line="240" w:lineRule="auto" w:before="13"/>
        <w:rPr>
          <w:rFonts w:ascii="宋体" w:hAnsi="宋体" w:cs="宋体" w:eastAsia="宋体" w:hint="default"/>
          <w:sz w:val="17"/>
          <w:szCs w:val="17"/>
        </w:rPr>
      </w:pPr>
    </w:p>
    <w:p>
      <w:pPr>
        <w:pStyle w:val="Heading2"/>
        <w:spacing w:line="240" w:lineRule="auto"/>
        <w:ind w:right="0"/>
        <w:jc w:val="both"/>
        <w:rPr>
          <w:b w:val="0"/>
          <w:bCs w:val="0"/>
        </w:rPr>
      </w:pPr>
      <w:bookmarkStart w:name="七、监事会工作情况" w:id="146"/>
      <w:bookmarkEnd w:id="146"/>
      <w:r>
        <w:rPr>
          <w:b w:val="0"/>
          <w:bCs w:val="0"/>
        </w:rPr>
      </w:r>
      <w:r>
        <w:rPr/>
        <w:t>七、监事会工作情况</w:t>
      </w:r>
      <w:r>
        <w:rPr>
          <w:b w:val="0"/>
          <w:bCs w:val="0"/>
        </w:rPr>
      </w:r>
    </w:p>
    <w:p>
      <w:pPr>
        <w:spacing w:line="240" w:lineRule="auto" w:before="7"/>
        <w:rPr>
          <w:rFonts w:ascii="宋体" w:hAnsi="宋体" w:cs="宋体" w:eastAsia="宋体" w:hint="default"/>
          <w:b/>
          <w:bCs/>
          <w:sz w:val="27"/>
          <w:szCs w:val="27"/>
        </w:rPr>
      </w:pPr>
    </w:p>
    <w:p>
      <w:pPr>
        <w:pStyle w:val="BodyText"/>
        <w:spacing w:line="240" w:lineRule="auto"/>
        <w:ind w:right="0"/>
        <w:jc w:val="both"/>
      </w:pPr>
      <w:r>
        <w:rPr>
          <w:spacing w:val="-3"/>
        </w:rPr>
        <w:t>监事会在报告期内的监督活动中发现公司是否存在风险</w:t>
      </w:r>
    </w:p>
    <w:p>
      <w:pPr>
        <w:pStyle w:val="BodyText"/>
        <w:spacing w:line="240" w:lineRule="auto" w:before="115"/>
        <w:ind w:right="0"/>
        <w:jc w:val="both"/>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8"/>
        <w:rPr>
          <w:rFonts w:ascii="宋体" w:hAnsi="宋体" w:cs="宋体" w:eastAsia="宋体" w:hint="default"/>
          <w:sz w:val="13"/>
          <w:szCs w:val="13"/>
        </w:rPr>
      </w:pPr>
    </w:p>
    <w:p>
      <w:pPr>
        <w:pStyle w:val="BodyText"/>
        <w:spacing w:line="240" w:lineRule="auto"/>
        <w:ind w:left="513" w:right="0"/>
        <w:jc w:val="left"/>
      </w:pPr>
      <w:r>
        <w:rPr>
          <w:spacing w:val="-3"/>
        </w:rPr>
        <w:t>公司监事会对报告期内的监督事项无异议。</w:t>
      </w: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12"/>
          <w:szCs w:val="12"/>
        </w:rPr>
      </w:pPr>
    </w:p>
    <w:p>
      <w:pPr>
        <w:pStyle w:val="Heading2"/>
        <w:spacing w:line="240" w:lineRule="auto"/>
        <w:ind w:right="0"/>
        <w:jc w:val="both"/>
        <w:rPr>
          <w:b w:val="0"/>
          <w:bCs w:val="0"/>
        </w:rPr>
      </w:pPr>
      <w:bookmarkStart w:name="八、高级管理人员的考评及激励情况" w:id="147"/>
      <w:bookmarkEnd w:id="147"/>
      <w:r>
        <w:rPr>
          <w:b w:val="0"/>
          <w:bCs w:val="0"/>
        </w:rPr>
      </w:r>
      <w:r>
        <w:rPr/>
        <w:t>八、高级管理人员的考评及激励情况</w:t>
      </w:r>
      <w:r>
        <w:rPr>
          <w:b w:val="0"/>
          <w:bCs w:val="0"/>
        </w:rPr>
      </w:r>
    </w:p>
    <w:p>
      <w:pPr>
        <w:spacing w:line="240" w:lineRule="auto" w:before="2"/>
        <w:rPr>
          <w:rFonts w:ascii="宋体" w:hAnsi="宋体" w:cs="宋体" w:eastAsia="宋体" w:hint="default"/>
          <w:b/>
          <w:bCs/>
          <w:sz w:val="33"/>
          <w:szCs w:val="33"/>
        </w:rPr>
      </w:pPr>
    </w:p>
    <w:p>
      <w:pPr>
        <w:pStyle w:val="BodyText"/>
        <w:spacing w:line="480" w:lineRule="auto"/>
        <w:ind w:right="1119" w:firstLine="360"/>
        <w:jc w:val="left"/>
      </w:pPr>
      <w:r>
        <w:rPr>
          <w:spacing w:val="-5"/>
          <w:w w:val="101"/>
        </w:rPr>
        <w:t>根据《公司法》、公司《董事、监事和高级管理人员薪酬管理制度》的有关规定，结合公司实际经营情况及同行业整体</w:t>
      </w:r>
      <w:r>
        <w:rPr>
          <w:w w:val="101"/>
        </w:rPr>
        <w:t> </w:t>
      </w:r>
      <w:r>
        <w:rPr>
          <w:spacing w:val="-3"/>
        </w:rPr>
        <w:t>薪酬水平，经公司董事会薪酬与考核委员会提议，</w:t>
      </w:r>
      <w:r>
        <w:rPr>
          <w:rFonts w:ascii="Times New Roman" w:hAnsi="Times New Roman" w:cs="Times New Roman" w:eastAsia="Times New Roman" w:hint="default"/>
          <w:spacing w:val="-3"/>
        </w:rPr>
        <w:t>2019  </w:t>
      </w:r>
      <w:r>
        <w:rPr/>
        <w:t>年 </w:t>
      </w:r>
      <w:r>
        <w:rPr>
          <w:rFonts w:ascii="Times New Roman" w:hAnsi="Times New Roman" w:cs="Times New Roman" w:eastAsia="Times New Roman" w:hint="default"/>
        </w:rPr>
        <w:t>4 </w:t>
      </w:r>
      <w:r>
        <w:rPr/>
        <w:t>月 </w:t>
      </w:r>
      <w:r>
        <w:rPr>
          <w:rFonts w:ascii="Times New Roman" w:hAnsi="Times New Roman" w:cs="Times New Roman" w:eastAsia="Times New Roman" w:hint="default"/>
        </w:rPr>
        <w:t>22</w:t>
      </w:r>
      <w:r>
        <w:rPr>
          <w:rFonts w:ascii="Times New Roman" w:hAnsi="Times New Roman" w:cs="Times New Roman" w:eastAsia="Times New Roman" w:hint="default"/>
          <w:spacing w:val="-19"/>
        </w:rPr>
        <w:t> </w:t>
      </w:r>
      <w:r>
        <w:rPr>
          <w:spacing w:val="-3"/>
        </w:rPr>
        <w:t>日第四届董事会第十六次会议审议通过了《关于公司高级</w:t>
      </w:r>
    </w:p>
    <w:p>
      <w:pPr>
        <w:pStyle w:val="BodyText"/>
        <w:spacing w:line="468" w:lineRule="auto" w:before="17"/>
        <w:ind w:right="1122"/>
        <w:jc w:val="both"/>
      </w:pPr>
      <w:r>
        <w:rPr>
          <w:spacing w:val="-2"/>
          <w:w w:val="101"/>
        </w:rPr>
        <w:t>管理人员</w:t>
      </w:r>
      <w:r>
        <w:rPr>
          <w:spacing w:val="-45"/>
          <w:w w:val="101"/>
        </w:rPr>
        <w:t> </w:t>
      </w:r>
      <w:r>
        <w:rPr>
          <w:rFonts w:ascii="Times New Roman" w:hAnsi="Times New Roman" w:cs="Times New Roman" w:eastAsia="Times New Roman" w:hint="default"/>
          <w:spacing w:val="-2"/>
          <w:w w:val="101"/>
        </w:rPr>
        <w:t>2019</w:t>
      </w:r>
      <w:r>
        <w:rPr>
          <w:rFonts w:ascii="Times New Roman" w:hAnsi="Times New Roman" w:cs="Times New Roman" w:eastAsia="Times New Roman" w:hint="default"/>
          <w:spacing w:val="-10"/>
          <w:w w:val="101"/>
        </w:rPr>
        <w:t> </w:t>
      </w:r>
      <w:r>
        <w:rPr>
          <w:spacing w:val="-6"/>
          <w:w w:val="101"/>
        </w:rPr>
        <w:t>年度薪酬的议案》。公司高级管理人员的年薪分为基本年薪和绩效奖金两部分，基本年薪按照月度发放，绩效</w:t>
      </w:r>
      <w:r>
        <w:rPr>
          <w:spacing w:val="-89"/>
          <w:w w:val="101"/>
        </w:rPr>
        <w:t> </w:t>
      </w:r>
      <w:r>
        <w:rPr>
          <w:spacing w:val="-89"/>
          <w:w w:val="101"/>
        </w:rPr>
      </w:r>
      <w:r>
        <w:rPr>
          <w:spacing w:val="-4"/>
        </w:rPr>
        <w:t>奖金在次年发放。薪酬与考核委员会负责监督薪酬制度的执行情况，并审查高级管理人员的年度履职情况。公司建立了与现</w:t>
      </w:r>
      <w:r>
        <w:rPr>
          <w:spacing w:val="43"/>
        </w:rPr>
        <w:t> </w:t>
      </w:r>
      <w:r>
        <w:rPr>
          <w:spacing w:val="43"/>
        </w:rPr>
      </w:r>
      <w:r>
        <w:rPr>
          <w:spacing w:val="-4"/>
        </w:rPr>
        <w:t>代企业制度相适应的激励约束机制，积极调动高级管理人员的积极性、主动性和创造性。报告期内，公司高级管理人员积极</w:t>
      </w:r>
      <w:r>
        <w:rPr>
          <w:spacing w:val="41"/>
        </w:rPr>
        <w:t> </w:t>
      </w:r>
      <w:r>
        <w:rPr>
          <w:spacing w:val="41"/>
        </w:rPr>
      </w:r>
      <w:r>
        <w:rPr>
          <w:spacing w:val="-3"/>
        </w:rPr>
        <w:t>落实公司股东大会和董事会相关决议，认真履行职责。</w:t>
      </w:r>
    </w:p>
    <w:p>
      <w:pPr>
        <w:spacing w:line="240" w:lineRule="auto" w:before="2"/>
        <w:rPr>
          <w:rFonts w:ascii="宋体" w:hAnsi="宋体" w:cs="宋体" w:eastAsia="宋体" w:hint="default"/>
          <w:sz w:val="17"/>
          <w:szCs w:val="17"/>
        </w:rPr>
      </w:pPr>
    </w:p>
    <w:p>
      <w:pPr>
        <w:pStyle w:val="Heading2"/>
        <w:spacing w:line="240" w:lineRule="auto"/>
        <w:ind w:right="0"/>
        <w:jc w:val="both"/>
        <w:rPr>
          <w:b w:val="0"/>
          <w:bCs w:val="0"/>
        </w:rPr>
      </w:pPr>
      <w:bookmarkStart w:name="九、内部控制评价报告" w:id="148"/>
      <w:bookmarkEnd w:id="148"/>
      <w:r>
        <w:rPr>
          <w:b w:val="0"/>
          <w:bCs w:val="0"/>
        </w:rPr>
      </w:r>
      <w:r>
        <w:rPr/>
        <w:t>九、内部控制评价报告</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both"/>
        <w:rPr>
          <w:b w:val="0"/>
          <w:bCs w:val="0"/>
        </w:rPr>
      </w:pPr>
      <w:bookmarkStart w:name="1、报告期内发现的内部控制重大缺陷的具体情况" w:id="149"/>
      <w:bookmarkEnd w:id="149"/>
      <w:r>
        <w:rPr>
          <w:b w:val="0"/>
          <w:bCs w:val="0"/>
        </w:rPr>
      </w:r>
      <w:r>
        <w:rPr>
          <w:rFonts w:ascii="Times New Roman" w:hAnsi="Times New Roman" w:cs="Times New Roman" w:eastAsia="Times New Roman" w:hint="default"/>
        </w:rPr>
        <w:t>1</w:t>
      </w:r>
      <w:r>
        <w:rPr/>
        <w:t>、报告期内发现的内部控制重大缺陷的具体情况</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right="0"/>
        <w:jc w:val="both"/>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8"/>
        <w:rPr>
          <w:rFonts w:ascii="宋体" w:hAnsi="宋体" w:cs="宋体" w:eastAsia="宋体" w:hint="default"/>
          <w:sz w:val="25"/>
          <w:szCs w:val="25"/>
        </w:rPr>
      </w:pPr>
    </w:p>
    <w:p>
      <w:pPr>
        <w:pStyle w:val="Heading3"/>
        <w:spacing w:line="240" w:lineRule="auto"/>
        <w:ind w:right="0"/>
        <w:jc w:val="both"/>
        <w:rPr>
          <w:b w:val="0"/>
          <w:bCs w:val="0"/>
        </w:rPr>
      </w:pPr>
      <w:bookmarkStart w:name="2、内控自我评价报告" w:id="150"/>
      <w:bookmarkEnd w:id="150"/>
      <w:r>
        <w:rPr>
          <w:b w:val="0"/>
          <w:bCs w:val="0"/>
        </w:rPr>
      </w:r>
      <w:r>
        <w:rPr>
          <w:rFonts w:ascii="Times New Roman" w:hAnsi="Times New Roman" w:cs="Times New Roman" w:eastAsia="Times New Roman" w:hint="default"/>
        </w:rPr>
        <w:t>2</w:t>
      </w:r>
      <w:r>
        <w:rPr/>
        <w:t>、内控自我评价报告</w:t>
      </w:r>
      <w:r>
        <w:rPr>
          <w:b w:val="0"/>
          <w:bCs w:val="0"/>
        </w:rPr>
      </w:r>
    </w:p>
    <w:p>
      <w:pPr>
        <w:spacing w:line="240" w:lineRule="auto" w:before="11"/>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3176"/>
        <w:gridCol w:w="3333"/>
        <w:gridCol w:w="3049"/>
      </w:tblGrid>
      <w:tr>
        <w:trPr>
          <w:trHeight w:val="398" w:hRule="exact"/>
        </w:trPr>
        <w:tc>
          <w:tcPr>
            <w:tcW w:w="3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内部控制评价报告全文披露日期</w:t>
            </w:r>
          </w:p>
        </w:tc>
        <w:tc>
          <w:tcPr>
            <w:tcW w:w="638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53"/>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r>
      <w:tr>
        <w:trPr>
          <w:trHeight w:val="403" w:hRule="exact"/>
        </w:trPr>
        <w:tc>
          <w:tcPr>
            <w:tcW w:w="3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内部控制评价报告全文披露索引</w:t>
            </w:r>
          </w:p>
        </w:tc>
        <w:tc>
          <w:tcPr>
            <w:tcW w:w="638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53"/>
              <w:ind w:left="21" w:right="0"/>
              <w:jc w:val="left"/>
              <w:rPr>
                <w:rFonts w:ascii="宋体" w:hAnsi="宋体" w:cs="宋体" w:eastAsia="宋体" w:hint="default"/>
                <w:sz w:val="18"/>
                <w:szCs w:val="18"/>
              </w:rPr>
            </w:pPr>
            <w:r>
              <w:rPr>
                <w:rFonts w:ascii="宋体" w:hAnsi="宋体" w:cs="宋体" w:eastAsia="宋体" w:hint="default"/>
                <w:spacing w:val="-3"/>
                <w:sz w:val="18"/>
                <w:szCs w:val="18"/>
              </w:rPr>
              <w:t>巨潮资讯网（</w:t>
            </w:r>
            <w:hyperlink r:id="rId13">
              <w:r>
                <w:rPr>
                  <w:rFonts w:ascii="Times New Roman" w:hAnsi="Times New Roman" w:cs="Times New Roman" w:eastAsia="Times New Roman" w:hint="default"/>
                  <w:spacing w:val="-3"/>
                  <w:sz w:val="18"/>
                  <w:szCs w:val="18"/>
                </w:rPr>
                <w:t>www.cninfo.com.cn</w:t>
              </w:r>
            </w:hyperlink>
            <w:r>
              <w:rPr>
                <w:rFonts w:ascii="宋体" w:hAnsi="宋体" w:cs="宋体" w:eastAsia="宋体" w:hint="default"/>
                <w:spacing w:val="-3"/>
                <w:sz w:val="18"/>
                <w:szCs w:val="18"/>
              </w:rPr>
              <w:t>）</w:t>
            </w:r>
          </w:p>
        </w:tc>
      </w:tr>
      <w:tr>
        <w:trPr>
          <w:trHeight w:val="716" w:hRule="exact"/>
        </w:trPr>
        <w:tc>
          <w:tcPr>
            <w:tcW w:w="3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11" w:right="89"/>
              <w:jc w:val="left"/>
              <w:rPr>
                <w:rFonts w:ascii="宋体" w:hAnsi="宋体" w:cs="宋体" w:eastAsia="宋体" w:hint="default"/>
                <w:sz w:val="18"/>
                <w:szCs w:val="18"/>
              </w:rPr>
            </w:pPr>
            <w:r>
              <w:rPr>
                <w:rFonts w:ascii="宋体" w:hAnsi="宋体" w:cs="宋体" w:eastAsia="宋体" w:hint="default"/>
                <w:spacing w:val="-3"/>
                <w:sz w:val="18"/>
                <w:szCs w:val="18"/>
              </w:rPr>
              <w:t>纳入评价范围单位资产总额占公司合并</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财务报表资产总额的比例</w:t>
            </w:r>
          </w:p>
        </w:tc>
        <w:tc>
          <w:tcPr>
            <w:tcW w:w="638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2"/>
                <w:sz w:val="18"/>
              </w:rPr>
              <w:t>100.00%</w:t>
            </w:r>
          </w:p>
        </w:tc>
      </w:tr>
      <w:tr>
        <w:trPr>
          <w:trHeight w:val="713" w:hRule="exact"/>
        </w:trPr>
        <w:tc>
          <w:tcPr>
            <w:tcW w:w="3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 w:right="89"/>
              <w:jc w:val="left"/>
              <w:rPr>
                <w:rFonts w:ascii="宋体" w:hAnsi="宋体" w:cs="宋体" w:eastAsia="宋体" w:hint="default"/>
                <w:sz w:val="18"/>
                <w:szCs w:val="18"/>
              </w:rPr>
            </w:pPr>
            <w:r>
              <w:rPr>
                <w:rFonts w:ascii="宋体" w:hAnsi="宋体" w:cs="宋体" w:eastAsia="宋体" w:hint="default"/>
                <w:spacing w:val="-3"/>
                <w:sz w:val="18"/>
                <w:szCs w:val="18"/>
              </w:rPr>
              <w:t>纳入评价范围单位营业收入占公司合并</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财务报表营业收入的比例</w:t>
            </w:r>
          </w:p>
        </w:tc>
        <w:tc>
          <w:tcPr>
            <w:tcW w:w="638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2"/>
                <w:sz w:val="18"/>
              </w:rPr>
              <w:t>100.00%</w:t>
            </w:r>
          </w:p>
        </w:tc>
      </w:tr>
      <w:tr>
        <w:trPr>
          <w:trHeight w:val="396" w:hRule="exact"/>
        </w:trPr>
        <w:tc>
          <w:tcPr>
            <w:tcW w:w="955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5"/>
              <w:jc w:val="center"/>
              <w:rPr>
                <w:rFonts w:ascii="宋体" w:hAnsi="宋体" w:cs="宋体" w:eastAsia="宋体" w:hint="default"/>
                <w:sz w:val="18"/>
                <w:szCs w:val="18"/>
              </w:rPr>
            </w:pPr>
            <w:r>
              <w:rPr>
                <w:rFonts w:ascii="宋体" w:hAnsi="宋体" w:cs="宋体" w:eastAsia="宋体" w:hint="default"/>
                <w:sz w:val="18"/>
                <w:szCs w:val="18"/>
              </w:rPr>
              <w:t>缺陷认定标准</w:t>
            </w:r>
          </w:p>
        </w:tc>
      </w:tr>
      <w:tr>
        <w:trPr>
          <w:trHeight w:val="409" w:hRule="exact"/>
        </w:trPr>
        <w:tc>
          <w:tcPr>
            <w:tcW w:w="3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3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4" w:right="0"/>
              <w:jc w:val="center"/>
              <w:rPr>
                <w:rFonts w:ascii="宋体" w:hAnsi="宋体" w:cs="宋体" w:eastAsia="宋体" w:hint="default"/>
                <w:sz w:val="18"/>
                <w:szCs w:val="18"/>
              </w:rPr>
            </w:pPr>
            <w:r>
              <w:rPr>
                <w:rFonts w:ascii="宋体" w:hAnsi="宋体" w:cs="宋体" w:eastAsia="宋体" w:hint="default"/>
                <w:sz w:val="18"/>
                <w:szCs w:val="18"/>
              </w:rPr>
              <w:t>财务报告</w:t>
            </w:r>
          </w:p>
        </w:tc>
        <w:tc>
          <w:tcPr>
            <w:tcW w:w="30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5" w:right="0"/>
              <w:jc w:val="center"/>
              <w:rPr>
                <w:rFonts w:ascii="宋体" w:hAnsi="宋体" w:cs="宋体" w:eastAsia="宋体" w:hint="default"/>
                <w:sz w:val="18"/>
                <w:szCs w:val="18"/>
              </w:rPr>
            </w:pPr>
            <w:r>
              <w:rPr>
                <w:rFonts w:ascii="宋体" w:hAnsi="宋体" w:cs="宋体" w:eastAsia="宋体" w:hint="default"/>
                <w:sz w:val="18"/>
                <w:szCs w:val="18"/>
              </w:rPr>
              <w:t>非财务报告</w:t>
            </w:r>
          </w:p>
        </w:tc>
      </w:tr>
      <w:tr>
        <w:trPr>
          <w:trHeight w:val="163" w:hRule="exact"/>
        </w:trPr>
        <w:tc>
          <w:tcPr>
            <w:tcW w:w="3176" w:type="dxa"/>
            <w:tcBorders>
              <w:top w:val="single" w:sz="4" w:space="0" w:color="000000"/>
              <w:left w:val="single" w:sz="4" w:space="0" w:color="000000"/>
              <w:bottom w:val="nil" w:sz="6" w:space="0" w:color="auto"/>
              <w:right w:val="single" w:sz="4" w:space="0" w:color="000000"/>
            </w:tcBorders>
            <w:shd w:val="clear" w:color="auto" w:fill="D2D2D2"/>
          </w:tcPr>
          <w:p>
            <w:pPr/>
          </w:p>
        </w:tc>
        <w:tc>
          <w:tcPr>
            <w:tcW w:w="3333" w:type="dxa"/>
            <w:vMerge w:val="restart"/>
            <w:tcBorders>
              <w:top w:val="single" w:sz="4" w:space="0" w:color="000000"/>
              <w:left w:val="single" w:sz="10" w:space="0" w:color="D2D2D2"/>
              <w:right w:val="single" w:sz="4" w:space="0" w:color="000000"/>
            </w:tcBorders>
          </w:tcPr>
          <w:p>
            <w:pPr>
              <w:pStyle w:val="TableParagraph"/>
              <w:spacing w:line="357" w:lineRule="auto" w:before="53"/>
              <w:ind w:left="21" w:right="18"/>
              <w:jc w:val="left"/>
              <w:rPr>
                <w:rFonts w:ascii="宋体" w:hAnsi="宋体" w:cs="宋体" w:eastAsia="宋体" w:hint="default"/>
                <w:sz w:val="18"/>
                <w:szCs w:val="18"/>
              </w:rPr>
            </w:pPr>
            <w:r>
              <w:rPr>
                <w:rFonts w:ascii="宋体" w:hAnsi="宋体" w:cs="宋体" w:eastAsia="宋体" w:hint="default"/>
                <w:sz w:val="18"/>
                <w:szCs w:val="18"/>
              </w:rPr>
              <w:t>一、重大缺陷</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董事、监事和高级管理人员舞弊；对已经</w:t>
            </w:r>
          </w:p>
        </w:tc>
        <w:tc>
          <w:tcPr>
            <w:tcW w:w="3049" w:type="dxa"/>
            <w:vMerge w:val="restart"/>
            <w:tcBorders>
              <w:top w:val="single" w:sz="4" w:space="0" w:color="000000"/>
              <w:left w:val="single" w:sz="4" w:space="0" w:color="000000"/>
              <w:right w:val="single" w:sz="4" w:space="0" w:color="000000"/>
            </w:tcBorders>
          </w:tcPr>
          <w:p>
            <w:pPr>
              <w:pStyle w:val="TableParagraph"/>
              <w:spacing w:line="316" w:lineRule="auto" w:before="73"/>
              <w:ind w:left="23" w:right="12"/>
              <w:jc w:val="left"/>
              <w:rPr>
                <w:rFonts w:ascii="宋体" w:hAnsi="宋体" w:cs="宋体" w:eastAsia="宋体" w:hint="default"/>
                <w:sz w:val="18"/>
                <w:szCs w:val="18"/>
              </w:rPr>
            </w:pPr>
            <w:r>
              <w:rPr>
                <w:rFonts w:ascii="宋体" w:hAnsi="宋体" w:cs="宋体" w:eastAsia="宋体" w:hint="default"/>
                <w:spacing w:val="-3"/>
                <w:sz w:val="18"/>
                <w:szCs w:val="18"/>
              </w:rPr>
              <w:t>非财务报告缺陷认定主要以缺陷对业</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7"/>
                <w:sz w:val="18"/>
                <w:szCs w:val="18"/>
              </w:rPr>
              <w:t>务流程有效性的影响程度、发生的可能</w:t>
            </w:r>
          </w:p>
        </w:tc>
      </w:tr>
      <w:tr>
        <w:trPr>
          <w:trHeight w:val="389" w:hRule="exact"/>
        </w:trPr>
        <w:tc>
          <w:tcPr>
            <w:tcW w:w="317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定性标准</w:t>
            </w:r>
          </w:p>
        </w:tc>
        <w:tc>
          <w:tcPr>
            <w:tcW w:w="3333" w:type="dxa"/>
            <w:vMerge/>
            <w:tcBorders>
              <w:left w:val="single" w:sz="10" w:space="0" w:color="D2D2D2"/>
              <w:right w:val="single" w:sz="4" w:space="0" w:color="000000"/>
            </w:tcBorders>
          </w:tcPr>
          <w:p>
            <w:pPr/>
          </w:p>
        </w:tc>
        <w:tc>
          <w:tcPr>
            <w:tcW w:w="3049" w:type="dxa"/>
            <w:vMerge/>
            <w:tcBorders>
              <w:left w:val="single" w:sz="4" w:space="0" w:color="000000"/>
              <w:right w:val="single" w:sz="4" w:space="0" w:color="000000"/>
            </w:tcBorders>
          </w:tcPr>
          <w:p>
            <w:pPr/>
          </w:p>
        </w:tc>
      </w:tr>
      <w:tr>
        <w:trPr>
          <w:trHeight w:val="163" w:hRule="exact"/>
        </w:trPr>
        <w:tc>
          <w:tcPr>
            <w:tcW w:w="3176" w:type="dxa"/>
            <w:tcBorders>
              <w:top w:val="nil" w:sz="6" w:space="0" w:color="auto"/>
              <w:left w:val="single" w:sz="4" w:space="0" w:color="000000"/>
              <w:bottom w:val="single" w:sz="4" w:space="0" w:color="000000"/>
              <w:right w:val="single" w:sz="4" w:space="0" w:color="000000"/>
            </w:tcBorders>
            <w:shd w:val="clear" w:color="auto" w:fill="D2D2D2"/>
          </w:tcPr>
          <w:p>
            <w:pPr/>
          </w:p>
        </w:tc>
        <w:tc>
          <w:tcPr>
            <w:tcW w:w="3333" w:type="dxa"/>
            <w:vMerge/>
            <w:tcBorders>
              <w:left w:val="single" w:sz="10" w:space="0" w:color="D2D2D2"/>
              <w:bottom w:val="single" w:sz="4" w:space="0" w:color="000000"/>
              <w:right w:val="single" w:sz="4" w:space="0" w:color="000000"/>
            </w:tcBorders>
          </w:tcPr>
          <w:p>
            <w:pPr/>
          </w:p>
        </w:tc>
        <w:tc>
          <w:tcPr>
            <w:tcW w:w="3049" w:type="dxa"/>
            <w:vMerge/>
            <w:tcBorders>
              <w:left w:val="single" w:sz="4" w:space="0" w:color="000000"/>
              <w:bottom w:val="single" w:sz="4" w:space="0" w:color="000000"/>
              <w:right w:val="single" w:sz="4" w:space="0" w:color="000000"/>
            </w:tcBorders>
          </w:tcPr>
          <w:p>
            <w:pPr/>
          </w:p>
        </w:tc>
      </w:tr>
    </w:tbl>
    <w:p>
      <w:pPr>
        <w:spacing w:after="0"/>
        <w:sectPr>
          <w:pgSz w:w="11910" w:h="16840"/>
          <w:pgMar w:header="871" w:footer="1186" w:top="1100" w:bottom="1380" w:left="98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5"/>
          <w:szCs w:val="15"/>
        </w:rPr>
      </w:pPr>
    </w:p>
    <w:p>
      <w:pPr>
        <w:pStyle w:val="BodyText"/>
        <w:spacing w:line="240" w:lineRule="auto" w:before="46"/>
        <w:ind w:left="0" w:right="1151"/>
        <w:jc w:val="right"/>
      </w:pPr>
      <w:r>
        <w:rPr/>
        <w:pict>
          <v:shape style="position:absolute;margin-left:56.424pt;margin-top:-229.428314pt;width:479.25pt;height:636.450pt;mso-position-horizontal-relative:page;mso-position-vertical-relative:paragraph;z-index:148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193"/>
                    <w:gridCol w:w="3328"/>
                    <w:gridCol w:w="3049"/>
                  </w:tblGrid>
                  <w:tr>
                    <w:trPr>
                      <w:trHeight w:val="5829" w:hRule="exact"/>
                    </w:trPr>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2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3" w:right="17"/>
                          <w:jc w:val="both"/>
                          <w:rPr>
                            <w:rFonts w:ascii="宋体" w:hAnsi="宋体" w:cs="宋体" w:eastAsia="宋体" w:hint="default"/>
                            <w:sz w:val="18"/>
                            <w:szCs w:val="18"/>
                          </w:rPr>
                        </w:pPr>
                        <w:r>
                          <w:rPr>
                            <w:rFonts w:ascii="宋体" w:hAnsi="宋体" w:cs="宋体" w:eastAsia="宋体" w:hint="default"/>
                            <w:spacing w:val="-1"/>
                            <w:sz w:val="18"/>
                            <w:szCs w:val="18"/>
                          </w:rPr>
                          <w:t>公告的财务报告出现的重大差错进行错报</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1"/>
                            <w:sz w:val="18"/>
                            <w:szCs w:val="18"/>
                          </w:rPr>
                          <w:t>更正；监管部门责令公司对以前年度财务</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报告存在的差错进行改正；</w:t>
                        </w:r>
                        <w:r>
                          <w:rPr>
                            <w:rFonts w:ascii="宋体" w:hAnsi="宋体" w:cs="宋体" w:eastAsia="宋体" w:hint="default"/>
                            <w:spacing w:val="-40"/>
                            <w:sz w:val="18"/>
                            <w:szCs w:val="18"/>
                          </w:rPr>
                          <w:t> </w:t>
                        </w:r>
                        <w:r>
                          <w:rPr>
                            <w:rFonts w:ascii="宋体" w:hAnsi="宋体" w:cs="宋体" w:eastAsia="宋体" w:hint="default"/>
                            <w:sz w:val="18"/>
                            <w:szCs w:val="18"/>
                          </w:rPr>
                          <w:t>注册会计师发</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pacing w:val="-1"/>
                            <w:sz w:val="18"/>
                            <w:szCs w:val="18"/>
                          </w:rPr>
                          <w:t>现财务报告存在重大错报，而内部控制在</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1"/>
                            <w:sz w:val="18"/>
                            <w:szCs w:val="18"/>
                          </w:rPr>
                          <w:t>运行过程中未能发现该错报；审计委员会</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1"/>
                            <w:sz w:val="18"/>
                            <w:szCs w:val="18"/>
                          </w:rPr>
                          <w:t>以及内部审计部门对财务报告内部控制监</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z w:val="18"/>
                            <w:szCs w:val="18"/>
                          </w:rPr>
                          <w:t>督无效。</w:t>
                        </w:r>
                      </w:p>
                      <w:p>
                        <w:pPr>
                          <w:pStyle w:val="TableParagraph"/>
                          <w:spacing w:line="338" w:lineRule="auto" w:before="55"/>
                          <w:ind w:left="23" w:right="46"/>
                          <w:jc w:val="left"/>
                          <w:rPr>
                            <w:rFonts w:ascii="宋体" w:hAnsi="宋体" w:cs="宋体" w:eastAsia="宋体" w:hint="default"/>
                            <w:sz w:val="18"/>
                            <w:szCs w:val="18"/>
                          </w:rPr>
                        </w:pPr>
                        <w:r>
                          <w:rPr>
                            <w:rFonts w:ascii="宋体" w:hAnsi="宋体" w:cs="宋体" w:eastAsia="宋体" w:hint="default"/>
                            <w:sz w:val="18"/>
                            <w:szCs w:val="18"/>
                          </w:rPr>
                          <w:t>二、重要缺陷</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3"/>
                            <w:sz w:val="18"/>
                            <w:szCs w:val="18"/>
                          </w:rPr>
                          <w:t>未依照公认会计准则选择和应用会计政</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策；对于非常规或特殊交易的账务处理没</w:t>
                        </w:r>
                      </w:p>
                      <w:p>
                        <w:pPr>
                          <w:pStyle w:val="TableParagraph"/>
                          <w:spacing w:line="319" w:lineRule="auto" w:before="2"/>
                          <w:ind w:left="23" w:right="46"/>
                          <w:jc w:val="both"/>
                          <w:rPr>
                            <w:rFonts w:ascii="宋体" w:hAnsi="宋体" w:cs="宋体" w:eastAsia="宋体" w:hint="default"/>
                            <w:sz w:val="18"/>
                            <w:szCs w:val="18"/>
                          </w:rPr>
                        </w:pPr>
                        <w:r>
                          <w:rPr>
                            <w:rFonts w:ascii="宋体" w:hAnsi="宋体" w:cs="宋体" w:eastAsia="宋体" w:hint="default"/>
                            <w:spacing w:val="-3"/>
                            <w:sz w:val="18"/>
                            <w:szCs w:val="18"/>
                          </w:rPr>
                          <w:t>有建立相应的控制机制或没有实施且没有</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pacing w:val="-3"/>
                            <w:sz w:val="18"/>
                            <w:szCs w:val="18"/>
                          </w:rPr>
                          <w:t>相应的补偿性控制；对于期末财务报告过</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pacing w:val="-3"/>
                            <w:sz w:val="18"/>
                            <w:szCs w:val="18"/>
                          </w:rPr>
                          <w:t>程的控制存在一项或多项缺陷且不能合理</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pacing w:val="-3"/>
                            <w:sz w:val="18"/>
                            <w:szCs w:val="18"/>
                          </w:rPr>
                          <w:t>保证编制的财务报表达到真实、准确的目</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z w:val="18"/>
                            <w:szCs w:val="18"/>
                          </w:rPr>
                          <w:t>标。</w:t>
                        </w:r>
                      </w:p>
                      <w:p>
                        <w:pPr>
                          <w:pStyle w:val="TableParagraph"/>
                          <w:spacing w:line="338" w:lineRule="auto" w:before="55"/>
                          <w:ind w:left="23" w:right="46"/>
                          <w:jc w:val="left"/>
                          <w:rPr>
                            <w:rFonts w:ascii="宋体" w:hAnsi="宋体" w:cs="宋体" w:eastAsia="宋体" w:hint="default"/>
                            <w:sz w:val="18"/>
                            <w:szCs w:val="18"/>
                          </w:rPr>
                        </w:pPr>
                        <w:r>
                          <w:rPr>
                            <w:rFonts w:ascii="宋体" w:hAnsi="宋体" w:cs="宋体" w:eastAsia="宋体" w:hint="default"/>
                            <w:sz w:val="18"/>
                            <w:szCs w:val="18"/>
                          </w:rPr>
                          <w:t>三、一般缺陷</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3"/>
                            <w:sz w:val="18"/>
                            <w:szCs w:val="18"/>
                          </w:rPr>
                          <w:t>除上述重大缺陷、重要缺陷之外的其他控</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z w:val="18"/>
                            <w:szCs w:val="18"/>
                          </w:rPr>
                          <w:t>制缺陷。</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15"/>
                          <w:ind w:left="23" w:right="1928"/>
                          <w:jc w:val="left"/>
                          <w:rPr>
                            <w:rFonts w:ascii="宋体" w:hAnsi="宋体" w:cs="宋体" w:eastAsia="宋体" w:hint="default"/>
                            <w:sz w:val="18"/>
                            <w:szCs w:val="18"/>
                          </w:rPr>
                        </w:pPr>
                        <w:r>
                          <w:rPr>
                            <w:rFonts w:ascii="宋体" w:hAnsi="宋体" w:cs="宋体" w:eastAsia="宋体" w:hint="default"/>
                            <w:sz w:val="18"/>
                            <w:szCs w:val="18"/>
                          </w:rPr>
                          <w:t>性作判断：</w:t>
                        </w:r>
                        <w:r>
                          <w:rPr>
                            <w:rFonts w:ascii="宋体" w:hAnsi="宋体" w:cs="宋体" w:eastAsia="宋体" w:hint="default"/>
                            <w:w w:val="101"/>
                            <w:sz w:val="18"/>
                            <w:szCs w:val="18"/>
                          </w:rPr>
                          <w:t> </w:t>
                        </w:r>
                        <w:r>
                          <w:rPr>
                            <w:rFonts w:ascii="宋体" w:hAnsi="宋体" w:cs="宋体" w:eastAsia="宋体" w:hint="default"/>
                            <w:spacing w:val="-2"/>
                            <w:sz w:val="18"/>
                            <w:szCs w:val="18"/>
                          </w:rPr>
                          <w:t>一、重大缺陷</w:t>
                        </w:r>
                      </w:p>
                      <w:p>
                        <w:pPr>
                          <w:pStyle w:val="TableParagraph"/>
                          <w:spacing w:line="319" w:lineRule="auto" w:before="26"/>
                          <w:ind w:left="23" w:right="12"/>
                          <w:jc w:val="both"/>
                          <w:rPr>
                            <w:rFonts w:ascii="宋体" w:hAnsi="宋体" w:cs="宋体" w:eastAsia="宋体" w:hint="default"/>
                            <w:sz w:val="18"/>
                            <w:szCs w:val="18"/>
                          </w:rPr>
                        </w:pPr>
                        <w:r>
                          <w:rPr>
                            <w:rFonts w:ascii="宋体" w:hAnsi="宋体" w:cs="宋体" w:eastAsia="宋体" w:hint="default"/>
                            <w:spacing w:val="-7"/>
                            <w:sz w:val="18"/>
                            <w:szCs w:val="18"/>
                          </w:rPr>
                          <w:t>如果缺陷发生的可能性高，会严重降低</w:t>
                        </w:r>
                        <w:r>
                          <w:rPr>
                            <w:rFonts w:ascii="宋体" w:hAnsi="宋体" w:cs="宋体" w:eastAsia="宋体" w:hint="default"/>
                            <w:spacing w:val="-34"/>
                            <w:sz w:val="18"/>
                            <w:szCs w:val="18"/>
                          </w:rPr>
                          <w:t> </w:t>
                        </w:r>
                        <w:r>
                          <w:rPr>
                            <w:rFonts w:ascii="宋体" w:hAnsi="宋体" w:cs="宋体" w:eastAsia="宋体" w:hint="default"/>
                            <w:spacing w:val="-34"/>
                            <w:sz w:val="18"/>
                            <w:szCs w:val="18"/>
                          </w:rPr>
                        </w:r>
                        <w:r>
                          <w:rPr>
                            <w:rFonts w:ascii="宋体" w:hAnsi="宋体" w:cs="宋体" w:eastAsia="宋体" w:hint="default"/>
                            <w:spacing w:val="-7"/>
                            <w:sz w:val="18"/>
                            <w:szCs w:val="18"/>
                          </w:rPr>
                          <w:t>工作效率或效果、或严重加大效果的不</w:t>
                        </w:r>
                        <w:r>
                          <w:rPr>
                            <w:rFonts w:ascii="宋体" w:hAnsi="宋体" w:cs="宋体" w:eastAsia="宋体" w:hint="default"/>
                            <w:spacing w:val="-34"/>
                            <w:sz w:val="18"/>
                            <w:szCs w:val="18"/>
                          </w:rPr>
                          <w:t> </w:t>
                        </w:r>
                        <w:r>
                          <w:rPr>
                            <w:rFonts w:ascii="宋体" w:hAnsi="宋体" w:cs="宋体" w:eastAsia="宋体" w:hint="default"/>
                            <w:spacing w:val="-34"/>
                            <w:sz w:val="18"/>
                            <w:szCs w:val="18"/>
                          </w:rPr>
                        </w:r>
                        <w:r>
                          <w:rPr>
                            <w:rFonts w:ascii="宋体" w:hAnsi="宋体" w:cs="宋体" w:eastAsia="宋体" w:hint="default"/>
                            <w:spacing w:val="-7"/>
                            <w:sz w:val="18"/>
                            <w:szCs w:val="18"/>
                          </w:rPr>
                          <w:t>确定性、或使之严重偏离预期目标为重</w:t>
                        </w:r>
                        <w:r>
                          <w:rPr>
                            <w:rFonts w:ascii="宋体" w:hAnsi="宋体" w:cs="宋体" w:eastAsia="宋体" w:hint="default"/>
                            <w:spacing w:val="-34"/>
                            <w:sz w:val="18"/>
                            <w:szCs w:val="18"/>
                          </w:rPr>
                          <w:t> </w:t>
                        </w:r>
                        <w:r>
                          <w:rPr>
                            <w:rFonts w:ascii="宋体" w:hAnsi="宋体" w:cs="宋体" w:eastAsia="宋体" w:hint="default"/>
                            <w:spacing w:val="-34"/>
                            <w:sz w:val="18"/>
                            <w:szCs w:val="18"/>
                          </w:rPr>
                        </w:r>
                        <w:r>
                          <w:rPr>
                            <w:rFonts w:ascii="宋体" w:hAnsi="宋体" w:cs="宋体" w:eastAsia="宋体" w:hint="default"/>
                            <w:sz w:val="18"/>
                            <w:szCs w:val="18"/>
                          </w:rPr>
                          <w:t>大缺陷。</w:t>
                        </w:r>
                      </w:p>
                      <w:p>
                        <w:pPr>
                          <w:pStyle w:val="TableParagraph"/>
                          <w:spacing w:line="336" w:lineRule="auto" w:before="55"/>
                          <w:ind w:left="23" w:right="12"/>
                          <w:jc w:val="left"/>
                          <w:rPr>
                            <w:rFonts w:ascii="宋体" w:hAnsi="宋体" w:cs="宋体" w:eastAsia="宋体" w:hint="default"/>
                            <w:sz w:val="18"/>
                            <w:szCs w:val="18"/>
                          </w:rPr>
                        </w:pPr>
                        <w:r>
                          <w:rPr>
                            <w:rFonts w:ascii="宋体" w:hAnsi="宋体" w:cs="宋体" w:eastAsia="宋体" w:hint="default"/>
                            <w:sz w:val="18"/>
                            <w:szCs w:val="18"/>
                          </w:rPr>
                          <w:t>二、重要缺陷</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6"/>
                            <w:w w:val="101"/>
                            <w:sz w:val="18"/>
                            <w:szCs w:val="18"/>
                          </w:rPr>
                          <w:t>如果缺陷发生的可能性较高，会显著降</w:t>
                        </w:r>
                        <w:r>
                          <w:rPr>
                            <w:rFonts w:ascii="宋体" w:hAnsi="宋体" w:cs="宋体" w:eastAsia="宋体" w:hint="default"/>
                            <w:w w:val="101"/>
                            <w:sz w:val="18"/>
                            <w:szCs w:val="18"/>
                          </w:rPr>
                          <w:t> </w:t>
                        </w:r>
                        <w:r>
                          <w:rPr>
                            <w:rFonts w:ascii="宋体" w:hAnsi="宋体" w:cs="宋体" w:eastAsia="宋体" w:hint="default"/>
                            <w:spacing w:val="-6"/>
                            <w:w w:val="101"/>
                            <w:sz w:val="18"/>
                            <w:szCs w:val="18"/>
                          </w:rPr>
                          <w:t>低工作效率或效果、或显著加大效果的</w:t>
                        </w:r>
                        <w:r>
                          <w:rPr>
                            <w:rFonts w:ascii="宋体" w:hAnsi="宋体" w:cs="宋体" w:eastAsia="宋体" w:hint="default"/>
                            <w:spacing w:val="-6"/>
                            <w:sz w:val="18"/>
                            <w:szCs w:val="18"/>
                          </w:rPr>
                        </w:r>
                      </w:p>
                      <w:p>
                        <w:pPr>
                          <w:pStyle w:val="TableParagraph"/>
                          <w:spacing w:line="321" w:lineRule="auto" w:before="4"/>
                          <w:ind w:left="23" w:right="13"/>
                          <w:jc w:val="left"/>
                          <w:rPr>
                            <w:rFonts w:ascii="宋体" w:hAnsi="宋体" w:cs="宋体" w:eastAsia="宋体" w:hint="default"/>
                            <w:sz w:val="18"/>
                            <w:szCs w:val="18"/>
                          </w:rPr>
                        </w:pPr>
                        <w:r>
                          <w:rPr>
                            <w:rFonts w:ascii="宋体" w:hAnsi="宋体" w:cs="宋体" w:eastAsia="宋体" w:hint="default"/>
                            <w:spacing w:val="-6"/>
                            <w:w w:val="101"/>
                            <w:sz w:val="18"/>
                            <w:szCs w:val="18"/>
                          </w:rPr>
                          <w:t>不确定性、或使之显著偏离预期目标为</w:t>
                        </w:r>
                        <w:r>
                          <w:rPr>
                            <w:rFonts w:ascii="宋体" w:hAnsi="宋体" w:cs="宋体" w:eastAsia="宋体" w:hint="default"/>
                            <w:w w:val="101"/>
                            <w:sz w:val="18"/>
                            <w:szCs w:val="18"/>
                          </w:rPr>
                          <w:t> </w:t>
                        </w:r>
                        <w:r>
                          <w:rPr>
                            <w:rFonts w:ascii="宋体" w:hAnsi="宋体" w:cs="宋体" w:eastAsia="宋体" w:hint="default"/>
                            <w:sz w:val="18"/>
                            <w:szCs w:val="18"/>
                          </w:rPr>
                          <w:t>重要缺陷。</w:t>
                        </w:r>
                      </w:p>
                      <w:p>
                        <w:pPr>
                          <w:pStyle w:val="TableParagraph"/>
                          <w:spacing w:line="331" w:lineRule="auto" w:before="58"/>
                          <w:ind w:left="23" w:right="13"/>
                          <w:jc w:val="left"/>
                          <w:rPr>
                            <w:rFonts w:ascii="宋体" w:hAnsi="宋体" w:cs="宋体" w:eastAsia="宋体" w:hint="default"/>
                            <w:sz w:val="18"/>
                            <w:szCs w:val="18"/>
                          </w:rPr>
                        </w:pPr>
                        <w:r>
                          <w:rPr>
                            <w:rFonts w:ascii="宋体" w:hAnsi="宋体" w:cs="宋体" w:eastAsia="宋体" w:hint="default"/>
                            <w:sz w:val="18"/>
                            <w:szCs w:val="18"/>
                          </w:rPr>
                          <w:t>三、一般缺陷</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6"/>
                            <w:w w:val="101"/>
                            <w:sz w:val="18"/>
                            <w:szCs w:val="18"/>
                          </w:rPr>
                          <w:t>如果缺陷发生的可能性较小，会降低工</w:t>
                        </w:r>
                        <w:r>
                          <w:rPr>
                            <w:rFonts w:ascii="宋体" w:hAnsi="宋体" w:cs="宋体" w:eastAsia="宋体" w:hint="default"/>
                            <w:w w:val="101"/>
                            <w:sz w:val="18"/>
                            <w:szCs w:val="18"/>
                          </w:rPr>
                          <w:t> </w:t>
                        </w:r>
                        <w:r>
                          <w:rPr>
                            <w:rFonts w:ascii="宋体" w:hAnsi="宋体" w:cs="宋体" w:eastAsia="宋体" w:hint="default"/>
                            <w:spacing w:val="3"/>
                            <w:sz w:val="18"/>
                            <w:szCs w:val="18"/>
                          </w:rPr>
                          <w:t>作效率或效果、或加大效果的不确定</w:t>
                        </w:r>
                        <w:r>
                          <w:rPr>
                            <w:rFonts w:ascii="宋体" w:hAnsi="宋体" w:cs="宋体" w:eastAsia="宋体" w:hint="default"/>
                            <w:spacing w:val="-30"/>
                            <w:sz w:val="18"/>
                            <w:szCs w:val="18"/>
                          </w:rPr>
                          <w:t> </w:t>
                        </w:r>
                        <w:r>
                          <w:rPr>
                            <w:rFonts w:ascii="宋体" w:hAnsi="宋体" w:cs="宋体" w:eastAsia="宋体" w:hint="default"/>
                            <w:spacing w:val="-30"/>
                            <w:sz w:val="18"/>
                            <w:szCs w:val="18"/>
                          </w:rPr>
                        </w:r>
                        <w:r>
                          <w:rPr>
                            <w:rFonts w:ascii="宋体" w:hAnsi="宋体" w:cs="宋体" w:eastAsia="宋体" w:hint="default"/>
                            <w:spacing w:val="-3"/>
                            <w:sz w:val="18"/>
                            <w:szCs w:val="18"/>
                          </w:rPr>
                          <w:t>性、或使之偏离预期目标为一般缺陷</w:t>
                        </w:r>
                      </w:p>
                    </w:tc>
                  </w:tr>
                  <w:tr>
                    <w:trPr>
                      <w:trHeight w:val="5281" w:hRule="exact"/>
                    </w:trPr>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left="24" w:right="0"/>
                          <w:jc w:val="left"/>
                          <w:rPr>
                            <w:rFonts w:ascii="宋体" w:hAnsi="宋体" w:cs="宋体" w:eastAsia="宋体" w:hint="default"/>
                            <w:sz w:val="18"/>
                            <w:szCs w:val="18"/>
                          </w:rPr>
                        </w:pPr>
                        <w:r>
                          <w:rPr>
                            <w:rFonts w:ascii="宋体" w:hAnsi="宋体" w:cs="宋体" w:eastAsia="宋体" w:hint="default"/>
                            <w:sz w:val="18"/>
                            <w:szCs w:val="18"/>
                          </w:rPr>
                          <w:t>定量标准</w:t>
                        </w:r>
                      </w:p>
                    </w:tc>
                    <w:tc>
                      <w:tcPr>
                        <w:tcW w:w="3328" w:type="dxa"/>
                        <w:tcBorders>
                          <w:top w:val="single" w:sz="4" w:space="0" w:color="000000"/>
                          <w:left w:val="single" w:sz="4" w:space="0" w:color="000000"/>
                          <w:bottom w:val="single" w:sz="4" w:space="0" w:color="000000"/>
                          <w:right w:val="single" w:sz="10" w:space="0" w:color="FFFFF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一、重大缺陷</w:t>
                        </w:r>
                      </w:p>
                      <w:p>
                        <w:pPr>
                          <w:pStyle w:val="TableParagraph"/>
                          <w:spacing w:line="302" w:lineRule="auto" w:before="110"/>
                          <w:ind w:left="23" w:right="-41"/>
                          <w:jc w:val="both"/>
                          <w:rPr>
                            <w:rFonts w:ascii="宋体" w:hAnsi="宋体" w:cs="宋体" w:eastAsia="宋体" w:hint="default"/>
                            <w:sz w:val="18"/>
                            <w:szCs w:val="18"/>
                          </w:rPr>
                        </w:pPr>
                        <w:r>
                          <w:rPr>
                            <w:rFonts w:ascii="宋体" w:hAnsi="宋体" w:cs="宋体" w:eastAsia="宋体" w:hint="default"/>
                            <w:sz w:val="18"/>
                            <w:szCs w:val="18"/>
                          </w:rPr>
                          <w:t>错报金额</w:t>
                        </w:r>
                        <w:r>
                          <w:rPr>
                            <w:rFonts w:ascii="Times New Roman" w:hAnsi="Times New Roman" w:cs="Times New Roman" w:eastAsia="Times New Roman" w:hint="default"/>
                            <w:sz w:val="18"/>
                            <w:szCs w:val="18"/>
                          </w:rPr>
                          <w:t>&gt;</w:t>
                        </w:r>
                        <w:r>
                          <w:rPr>
                            <w:rFonts w:ascii="宋体" w:hAnsi="宋体" w:cs="宋体" w:eastAsia="宋体" w:hint="default"/>
                            <w:sz w:val="18"/>
                            <w:szCs w:val="18"/>
                          </w:rPr>
                          <w:t>资产总额的 </w:t>
                        </w:r>
                        <w:r>
                          <w:rPr>
                            <w:rFonts w:ascii="Times New Roman" w:hAnsi="Times New Roman" w:cs="Times New Roman" w:eastAsia="Times New Roman" w:hint="default"/>
                            <w:sz w:val="18"/>
                            <w:szCs w:val="18"/>
                          </w:rPr>
                          <w:t>5%</w:t>
                        </w:r>
                        <w:r>
                          <w:rPr>
                            <w:rFonts w:ascii="宋体" w:hAnsi="宋体" w:cs="宋体" w:eastAsia="宋体" w:hint="default"/>
                            <w:sz w:val="18"/>
                            <w:szCs w:val="18"/>
                          </w:rPr>
                          <w:t>；错报金额</w:t>
                        </w:r>
                        <w:r>
                          <w:rPr>
                            <w:rFonts w:ascii="Times New Roman" w:hAnsi="Times New Roman" w:cs="Times New Roman" w:eastAsia="Times New Roman" w:hint="default"/>
                            <w:sz w:val="18"/>
                            <w:szCs w:val="18"/>
                          </w:rPr>
                          <w:t>&gt;</w:t>
                        </w:r>
                        <w:r>
                          <w:rPr>
                            <w:rFonts w:ascii="宋体" w:hAnsi="宋体" w:cs="宋体" w:eastAsia="宋体" w:hint="default"/>
                            <w:sz w:val="18"/>
                            <w:szCs w:val="18"/>
                          </w:rPr>
                          <w:t>收</w:t>
                        </w:r>
                        <w:r>
                          <w:rPr>
                            <w:rFonts w:ascii="宋体" w:hAnsi="宋体" w:cs="宋体" w:eastAsia="宋体" w:hint="default"/>
                            <w:spacing w:val="-58"/>
                            <w:sz w:val="18"/>
                            <w:szCs w:val="18"/>
                          </w:rPr>
                          <w:t> </w:t>
                        </w:r>
                        <w:r>
                          <w:rPr>
                            <w:rFonts w:ascii="宋体" w:hAnsi="宋体" w:cs="宋体" w:eastAsia="宋体" w:hint="default"/>
                            <w:sz w:val="18"/>
                            <w:szCs w:val="18"/>
                          </w:rPr>
                          <w:t>入总额的</w:t>
                        </w:r>
                        <w:r>
                          <w:rPr>
                            <w:rFonts w:ascii="宋体" w:hAnsi="宋体" w:cs="宋体" w:eastAsia="宋体" w:hint="default"/>
                            <w:spacing w:val="-27"/>
                            <w:sz w:val="18"/>
                            <w:szCs w:val="18"/>
                          </w:rPr>
                          <w:t> </w:t>
                        </w:r>
                        <w:r>
                          <w:rPr>
                            <w:rFonts w:ascii="Times New Roman" w:hAnsi="Times New Roman" w:cs="Times New Roman" w:eastAsia="Times New Roman" w:hint="default"/>
                            <w:spacing w:val="-4"/>
                            <w:sz w:val="18"/>
                            <w:szCs w:val="18"/>
                          </w:rPr>
                          <w:t>5%</w:t>
                        </w:r>
                        <w:r>
                          <w:rPr>
                            <w:rFonts w:ascii="宋体" w:hAnsi="宋体" w:cs="宋体" w:eastAsia="宋体" w:hint="default"/>
                            <w:spacing w:val="-4"/>
                            <w:sz w:val="18"/>
                            <w:szCs w:val="18"/>
                          </w:rPr>
                          <w:t>；错报金额</w:t>
                        </w:r>
                        <w:r>
                          <w:rPr>
                            <w:rFonts w:ascii="Times New Roman" w:hAnsi="Times New Roman" w:cs="Times New Roman" w:eastAsia="Times New Roman" w:hint="default"/>
                            <w:spacing w:val="-4"/>
                            <w:sz w:val="18"/>
                            <w:szCs w:val="18"/>
                          </w:rPr>
                          <w:t>&gt;</w:t>
                        </w:r>
                        <w:r>
                          <w:rPr>
                            <w:rFonts w:ascii="宋体" w:hAnsi="宋体" w:cs="宋体" w:eastAsia="宋体" w:hint="default"/>
                            <w:spacing w:val="-4"/>
                            <w:sz w:val="18"/>
                            <w:szCs w:val="18"/>
                          </w:rPr>
                          <w:t>利润总额的</w:t>
                        </w:r>
                        <w:r>
                          <w:rPr>
                            <w:rFonts w:ascii="宋体" w:hAnsi="宋体" w:cs="宋体" w:eastAsia="宋体" w:hint="default"/>
                            <w:spacing w:val="-27"/>
                            <w:sz w:val="18"/>
                            <w:szCs w:val="18"/>
                          </w:rPr>
                          <w:t> </w:t>
                        </w:r>
                        <w:r>
                          <w:rPr>
                            <w:rFonts w:ascii="Times New Roman" w:hAnsi="Times New Roman" w:cs="Times New Roman" w:eastAsia="Times New Roman" w:hint="default"/>
                            <w:spacing w:val="-15"/>
                            <w:sz w:val="18"/>
                            <w:szCs w:val="18"/>
                          </w:rPr>
                          <w:t>5%</w:t>
                        </w:r>
                        <w:r>
                          <w:rPr>
                            <w:rFonts w:ascii="宋体" w:hAnsi="宋体" w:cs="宋体" w:eastAsia="宋体" w:hint="default"/>
                            <w:spacing w:val="-15"/>
                            <w:sz w:val="18"/>
                            <w:szCs w:val="18"/>
                          </w:rPr>
                          <w:t>，</w:t>
                        </w:r>
                        <w:r>
                          <w:rPr>
                            <w:rFonts w:ascii="宋体" w:hAnsi="宋体" w:cs="宋体" w:eastAsia="宋体" w:hint="default"/>
                            <w:spacing w:val="-79"/>
                            <w:sz w:val="18"/>
                            <w:szCs w:val="18"/>
                          </w:rPr>
                          <w:t> </w:t>
                        </w:r>
                        <w:r>
                          <w:rPr>
                            <w:rFonts w:ascii="宋体" w:hAnsi="宋体" w:cs="宋体" w:eastAsia="宋体" w:hint="default"/>
                            <w:sz w:val="18"/>
                            <w:szCs w:val="18"/>
                          </w:rPr>
                          <w:t>且绝对金额超过</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二、重要缺陷</w:t>
                        </w:r>
                      </w:p>
                      <w:p>
                        <w:pPr>
                          <w:pStyle w:val="TableParagraph"/>
                          <w:spacing w:line="302" w:lineRule="auto" w:before="110"/>
                          <w:ind w:left="23" w:right="9"/>
                          <w:jc w:val="left"/>
                          <w:rPr>
                            <w:rFonts w:ascii="宋体" w:hAnsi="宋体" w:cs="宋体" w:eastAsia="宋体" w:hint="default"/>
                            <w:sz w:val="18"/>
                            <w:szCs w:val="18"/>
                          </w:rPr>
                        </w:pPr>
                        <w:r>
                          <w:rPr>
                            <w:rFonts w:ascii="宋体" w:hAnsi="宋体" w:cs="宋体" w:eastAsia="宋体" w:hint="default"/>
                            <w:sz w:val="18"/>
                            <w:szCs w:val="18"/>
                          </w:rPr>
                          <w:t>资产总额的</w:t>
                        </w:r>
                        <w:r>
                          <w:rPr>
                            <w:rFonts w:ascii="宋体" w:hAnsi="宋体" w:cs="宋体" w:eastAsia="宋体" w:hint="default"/>
                            <w:spacing w:val="-42"/>
                            <w:sz w:val="18"/>
                            <w:szCs w:val="18"/>
                          </w:rPr>
                          <w:t> </w:t>
                        </w: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错报金额</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资产总额的</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Times New Roman" w:hAnsi="Times New Roman" w:cs="Times New Roman" w:eastAsia="Times New Roman" w:hint="default"/>
                            <w:sz w:val="18"/>
                            <w:szCs w:val="18"/>
                          </w:rPr>
                          <w:t>5%</w:t>
                        </w:r>
                        <w:r>
                          <w:rPr>
                            <w:rFonts w:ascii="宋体" w:hAnsi="宋体" w:cs="宋体" w:eastAsia="宋体" w:hint="default"/>
                            <w:sz w:val="18"/>
                            <w:szCs w:val="18"/>
                          </w:rPr>
                          <w:t>；收入总额的</w:t>
                        </w:r>
                        <w:r>
                          <w:rPr>
                            <w:rFonts w:ascii="宋体" w:hAnsi="宋体" w:cs="宋体" w:eastAsia="宋体" w:hint="default"/>
                            <w:spacing w:val="-31"/>
                            <w:sz w:val="18"/>
                            <w:szCs w:val="18"/>
                          </w:rPr>
                          <w:t> </w:t>
                        </w: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错报金额</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收入总额</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的</w:t>
                        </w:r>
                        <w:r>
                          <w:rPr>
                            <w:rFonts w:ascii="宋体" w:hAnsi="宋体" w:cs="宋体" w:eastAsia="宋体" w:hint="default"/>
                            <w:spacing w:val="-26"/>
                            <w:sz w:val="18"/>
                            <w:szCs w:val="18"/>
                          </w:rPr>
                          <w:t> </w:t>
                        </w:r>
                        <w:r>
                          <w:rPr>
                            <w:rFonts w:ascii="Times New Roman" w:hAnsi="Times New Roman" w:cs="Times New Roman" w:eastAsia="Times New Roman" w:hint="default"/>
                            <w:spacing w:val="-5"/>
                            <w:sz w:val="18"/>
                            <w:szCs w:val="18"/>
                          </w:rPr>
                          <w:t>5%</w:t>
                        </w:r>
                        <w:r>
                          <w:rPr>
                            <w:rFonts w:ascii="宋体" w:hAnsi="宋体" w:cs="宋体" w:eastAsia="宋体" w:hint="default"/>
                            <w:spacing w:val="-5"/>
                            <w:sz w:val="18"/>
                            <w:szCs w:val="18"/>
                          </w:rPr>
                          <w:t>；利润总额的</w:t>
                        </w:r>
                        <w:r>
                          <w:rPr>
                            <w:rFonts w:ascii="宋体" w:hAnsi="宋体" w:cs="宋体" w:eastAsia="宋体" w:hint="default"/>
                            <w:spacing w:val="-26"/>
                            <w:sz w:val="18"/>
                            <w:szCs w:val="18"/>
                          </w:rPr>
                          <w:t> </w:t>
                        </w: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错报金额</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利润总</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额的</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，且绝对金额超过</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p>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三、一般缺陷</w:t>
                        </w:r>
                      </w:p>
                      <w:p>
                        <w:pPr>
                          <w:pStyle w:val="TableParagraph"/>
                          <w:spacing w:line="302" w:lineRule="auto" w:before="115"/>
                          <w:ind w:left="23" w:right="9"/>
                          <w:jc w:val="left"/>
                          <w:rPr>
                            <w:rFonts w:ascii="宋体" w:hAnsi="宋体" w:cs="宋体" w:eastAsia="宋体" w:hint="default"/>
                            <w:sz w:val="18"/>
                            <w:szCs w:val="18"/>
                          </w:rPr>
                        </w:pPr>
                        <w:r>
                          <w:rPr>
                            <w:rFonts w:ascii="宋体" w:hAnsi="宋体" w:cs="宋体" w:eastAsia="宋体" w:hint="default"/>
                            <w:sz w:val="18"/>
                            <w:szCs w:val="18"/>
                          </w:rPr>
                          <w:t>资产总额的</w:t>
                        </w:r>
                        <w:r>
                          <w:rPr>
                            <w:rFonts w:ascii="宋体" w:hAnsi="宋体" w:cs="宋体" w:eastAsia="宋体" w:hint="default"/>
                            <w:spacing w:val="-42"/>
                            <w:sz w:val="18"/>
                            <w:szCs w:val="18"/>
                          </w:rPr>
                          <w:t> </w:t>
                        </w:r>
                        <w:r>
                          <w:rPr>
                            <w:rFonts w:ascii="Times New Roman" w:hAnsi="Times New Roman" w:cs="Times New Roman" w:eastAsia="Times New Roman" w:hint="default"/>
                            <w:spacing w:val="-3"/>
                            <w:sz w:val="18"/>
                            <w:szCs w:val="18"/>
                          </w:rPr>
                          <w:t>2%&lt;</w:t>
                        </w:r>
                        <w:r>
                          <w:rPr>
                            <w:rFonts w:ascii="宋体" w:hAnsi="宋体" w:cs="宋体" w:eastAsia="宋体" w:hint="default"/>
                            <w:spacing w:val="-3"/>
                            <w:sz w:val="18"/>
                            <w:szCs w:val="18"/>
                          </w:rPr>
                          <w:t>错报金额</w:t>
                        </w:r>
                        <w:r>
                          <w:rPr>
                            <w:rFonts w:ascii="Times New Roman" w:hAnsi="Times New Roman" w:cs="Times New Roman" w:eastAsia="Times New Roman" w:hint="default"/>
                            <w:spacing w:val="-3"/>
                            <w:sz w:val="18"/>
                            <w:szCs w:val="18"/>
                          </w:rPr>
                          <w:t>&lt;</w:t>
                        </w:r>
                        <w:r>
                          <w:rPr>
                            <w:rFonts w:ascii="宋体" w:hAnsi="宋体" w:cs="宋体" w:eastAsia="宋体" w:hint="default"/>
                            <w:spacing w:val="-3"/>
                            <w:sz w:val="18"/>
                            <w:szCs w:val="18"/>
                          </w:rPr>
                          <w:t>资产总额的</w:t>
                        </w:r>
                        <w:r>
                          <w:rPr>
                            <w:rFonts w:ascii="宋体" w:hAnsi="宋体" w:cs="宋体" w:eastAsia="宋体" w:hint="default"/>
                            <w:spacing w:val="-52"/>
                            <w:sz w:val="18"/>
                            <w:szCs w:val="18"/>
                          </w:rPr>
                          <w:t> </w:t>
                        </w:r>
                        <w:r>
                          <w:rPr>
                            <w:rFonts w:ascii="宋体" w:hAnsi="宋体" w:cs="宋体" w:eastAsia="宋体" w:hint="default"/>
                            <w:spacing w:val="-52"/>
                            <w:sz w:val="18"/>
                            <w:szCs w:val="18"/>
                          </w:rPr>
                        </w:r>
                        <w:r>
                          <w:rPr>
                            <w:rFonts w:ascii="Times New Roman" w:hAnsi="Times New Roman" w:cs="Times New Roman" w:eastAsia="Times New Roman" w:hint="default"/>
                            <w:sz w:val="18"/>
                            <w:szCs w:val="18"/>
                          </w:rPr>
                          <w:t>3%</w:t>
                        </w:r>
                        <w:r>
                          <w:rPr>
                            <w:rFonts w:ascii="宋体" w:hAnsi="宋体" w:cs="宋体" w:eastAsia="宋体" w:hint="default"/>
                            <w:sz w:val="18"/>
                            <w:szCs w:val="18"/>
                          </w:rPr>
                          <w:t>；收入总额的</w:t>
                        </w:r>
                        <w:r>
                          <w:rPr>
                            <w:rFonts w:ascii="宋体" w:hAnsi="宋体" w:cs="宋体" w:eastAsia="宋体" w:hint="default"/>
                            <w:spacing w:val="-28"/>
                            <w:sz w:val="18"/>
                            <w:szCs w:val="18"/>
                          </w:rPr>
                          <w:t> </w:t>
                        </w:r>
                        <w:r>
                          <w:rPr>
                            <w:rFonts w:ascii="Times New Roman" w:hAnsi="Times New Roman" w:cs="Times New Roman" w:eastAsia="Times New Roman" w:hint="default"/>
                            <w:spacing w:val="-3"/>
                            <w:sz w:val="18"/>
                            <w:szCs w:val="18"/>
                          </w:rPr>
                          <w:t>2%&lt;</w:t>
                        </w:r>
                        <w:r>
                          <w:rPr>
                            <w:rFonts w:ascii="宋体" w:hAnsi="宋体" w:cs="宋体" w:eastAsia="宋体" w:hint="default"/>
                            <w:spacing w:val="-3"/>
                            <w:sz w:val="18"/>
                            <w:szCs w:val="18"/>
                          </w:rPr>
                          <w:t>错报金额</w:t>
                        </w:r>
                        <w:r>
                          <w:rPr>
                            <w:rFonts w:ascii="Times New Roman" w:hAnsi="Times New Roman" w:cs="Times New Roman" w:eastAsia="Times New Roman" w:hint="default"/>
                            <w:spacing w:val="-3"/>
                            <w:sz w:val="18"/>
                            <w:szCs w:val="18"/>
                          </w:rPr>
                          <w:t>&lt;</w:t>
                        </w:r>
                        <w:r>
                          <w:rPr>
                            <w:rFonts w:ascii="宋体" w:hAnsi="宋体" w:cs="宋体" w:eastAsia="宋体" w:hint="default"/>
                            <w:spacing w:val="-3"/>
                            <w:sz w:val="18"/>
                            <w:szCs w:val="18"/>
                          </w:rPr>
                          <w:t>收入总额</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的</w:t>
                        </w:r>
                        <w:r>
                          <w:rPr>
                            <w:rFonts w:ascii="宋体" w:hAnsi="宋体" w:cs="宋体" w:eastAsia="宋体" w:hint="default"/>
                            <w:spacing w:val="-27"/>
                            <w:sz w:val="18"/>
                            <w:szCs w:val="18"/>
                          </w:rPr>
                          <w:t> </w:t>
                        </w:r>
                        <w:r>
                          <w:rPr>
                            <w:rFonts w:ascii="Times New Roman" w:hAnsi="Times New Roman" w:cs="Times New Roman" w:eastAsia="Times New Roman" w:hint="default"/>
                            <w:spacing w:val="-5"/>
                            <w:sz w:val="18"/>
                            <w:szCs w:val="18"/>
                          </w:rPr>
                          <w:t>3%</w:t>
                        </w:r>
                        <w:r>
                          <w:rPr>
                            <w:rFonts w:ascii="宋体" w:hAnsi="宋体" w:cs="宋体" w:eastAsia="宋体" w:hint="default"/>
                            <w:spacing w:val="-5"/>
                            <w:sz w:val="18"/>
                            <w:szCs w:val="18"/>
                          </w:rPr>
                          <w:t>；利润总额的</w:t>
                        </w:r>
                        <w:r>
                          <w:rPr>
                            <w:rFonts w:ascii="宋体" w:hAnsi="宋体" w:cs="宋体" w:eastAsia="宋体" w:hint="default"/>
                            <w:spacing w:val="-27"/>
                            <w:sz w:val="18"/>
                            <w:szCs w:val="18"/>
                          </w:rPr>
                          <w:t> </w:t>
                        </w:r>
                        <w:r>
                          <w:rPr>
                            <w:rFonts w:ascii="Times New Roman" w:hAnsi="Times New Roman" w:cs="Times New Roman" w:eastAsia="Times New Roman" w:hint="default"/>
                            <w:spacing w:val="-3"/>
                            <w:sz w:val="18"/>
                            <w:szCs w:val="18"/>
                          </w:rPr>
                          <w:t>2%&lt;</w:t>
                        </w:r>
                        <w:r>
                          <w:rPr>
                            <w:rFonts w:ascii="宋体" w:hAnsi="宋体" w:cs="宋体" w:eastAsia="宋体" w:hint="default"/>
                            <w:spacing w:val="-3"/>
                            <w:sz w:val="18"/>
                            <w:szCs w:val="18"/>
                          </w:rPr>
                          <w:t>错报金额</w:t>
                        </w:r>
                        <w:r>
                          <w:rPr>
                            <w:rFonts w:ascii="Times New Roman" w:hAnsi="Times New Roman" w:cs="Times New Roman" w:eastAsia="Times New Roman" w:hint="default"/>
                            <w:spacing w:val="-3"/>
                            <w:sz w:val="18"/>
                            <w:szCs w:val="18"/>
                          </w:rPr>
                          <w:t>&lt;</w:t>
                        </w:r>
                        <w:r>
                          <w:rPr>
                            <w:rFonts w:ascii="宋体" w:hAnsi="宋体" w:cs="宋体" w:eastAsia="宋体" w:hint="default"/>
                            <w:spacing w:val="-3"/>
                            <w:sz w:val="18"/>
                            <w:szCs w:val="18"/>
                          </w:rPr>
                          <w:t>利润总</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额的</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，且绝对金额超过</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p>
                    </w:tc>
                    <w:tc>
                      <w:tcPr>
                        <w:tcW w:w="3049" w:type="dxa"/>
                        <w:tcBorders>
                          <w:top w:val="single" w:sz="4" w:space="0" w:color="000000"/>
                          <w:left w:val="single" w:sz="10" w:space="0" w:color="FFFFFF"/>
                          <w:bottom w:val="single" w:sz="4" w:space="0" w:color="000000"/>
                          <w:right w:val="single" w:sz="4" w:space="0" w:color="000000"/>
                        </w:tcBorders>
                      </w:tcPr>
                      <w:p>
                        <w:pPr>
                          <w:pStyle w:val="TableParagraph"/>
                          <w:spacing w:line="240" w:lineRule="auto" w:before="53"/>
                          <w:ind w:left="16" w:right="0"/>
                          <w:jc w:val="both"/>
                          <w:rPr>
                            <w:rFonts w:ascii="宋体" w:hAnsi="宋体" w:cs="宋体" w:eastAsia="宋体" w:hint="default"/>
                            <w:sz w:val="18"/>
                            <w:szCs w:val="18"/>
                          </w:rPr>
                        </w:pPr>
                        <w:r>
                          <w:rPr>
                            <w:rFonts w:ascii="宋体" w:hAnsi="宋体" w:cs="宋体" w:eastAsia="宋体" w:hint="default"/>
                            <w:sz w:val="18"/>
                            <w:szCs w:val="18"/>
                          </w:rPr>
                          <w:t>一、重大缺陷</w:t>
                        </w:r>
                      </w:p>
                      <w:p>
                        <w:pPr>
                          <w:pStyle w:val="TableParagraph"/>
                          <w:spacing w:line="302" w:lineRule="auto" w:before="110"/>
                          <w:ind w:left="16" w:right="10"/>
                          <w:jc w:val="both"/>
                          <w:rPr>
                            <w:rFonts w:ascii="宋体" w:hAnsi="宋体" w:cs="宋体" w:eastAsia="宋体" w:hint="default"/>
                            <w:sz w:val="18"/>
                            <w:szCs w:val="18"/>
                          </w:rPr>
                        </w:pPr>
                        <w:r>
                          <w:rPr>
                            <w:rFonts w:ascii="宋体" w:hAnsi="宋体" w:cs="宋体" w:eastAsia="宋体" w:hint="default"/>
                            <w:sz w:val="18"/>
                            <w:szCs w:val="18"/>
                          </w:rPr>
                          <w:t>错报金额</w:t>
                        </w:r>
                        <w:r>
                          <w:rPr>
                            <w:rFonts w:ascii="Times New Roman" w:hAnsi="Times New Roman" w:cs="Times New Roman" w:eastAsia="Times New Roman" w:hint="default"/>
                            <w:sz w:val="18"/>
                            <w:szCs w:val="18"/>
                          </w:rPr>
                          <w:t>&gt;</w:t>
                        </w:r>
                        <w:r>
                          <w:rPr>
                            <w:rFonts w:ascii="宋体" w:hAnsi="宋体" w:cs="宋体" w:eastAsia="宋体" w:hint="default"/>
                            <w:sz w:val="18"/>
                            <w:szCs w:val="18"/>
                          </w:rPr>
                          <w:t>资产总额的</w:t>
                        </w:r>
                        <w:r>
                          <w:rPr>
                            <w:rFonts w:ascii="宋体" w:hAnsi="宋体" w:cs="宋体" w:eastAsia="宋体" w:hint="default"/>
                            <w:spacing w:val="-33"/>
                            <w:sz w:val="18"/>
                            <w:szCs w:val="18"/>
                          </w:rPr>
                          <w:t> </w:t>
                        </w:r>
                        <w:r>
                          <w:rPr>
                            <w:rFonts w:ascii="Times New Roman" w:hAnsi="Times New Roman" w:cs="Times New Roman" w:eastAsia="Times New Roman" w:hint="default"/>
                            <w:spacing w:val="-4"/>
                            <w:sz w:val="18"/>
                            <w:szCs w:val="18"/>
                          </w:rPr>
                          <w:t>5%</w:t>
                        </w:r>
                        <w:r>
                          <w:rPr>
                            <w:rFonts w:ascii="宋体" w:hAnsi="宋体" w:cs="宋体" w:eastAsia="宋体" w:hint="default"/>
                            <w:spacing w:val="-4"/>
                            <w:sz w:val="18"/>
                            <w:szCs w:val="18"/>
                          </w:rPr>
                          <w:t>；错报金额</w:t>
                        </w:r>
                        <w:r>
                          <w:rPr>
                            <w:rFonts w:ascii="Times New Roman" w:hAnsi="Times New Roman" w:cs="Times New Roman" w:eastAsia="Times New Roman" w:hint="default"/>
                            <w:spacing w:val="-4"/>
                            <w:sz w:val="18"/>
                            <w:szCs w:val="18"/>
                          </w:rPr>
                          <w:t>&gt;</w:t>
                        </w:r>
                        <w:r>
                          <w:rPr>
                            <w:rFonts w:ascii="Times New Roman" w:hAnsi="Times New Roman" w:cs="Times New Roman" w:eastAsia="Times New Roman" w:hint="default"/>
                            <w:spacing w:val="-37"/>
                            <w:sz w:val="18"/>
                            <w:szCs w:val="18"/>
                          </w:rPr>
                          <w:t> </w:t>
                        </w:r>
                        <w:r>
                          <w:rPr>
                            <w:rFonts w:ascii="宋体" w:hAnsi="宋体" w:cs="宋体" w:eastAsia="宋体" w:hint="default"/>
                            <w:sz w:val="18"/>
                            <w:szCs w:val="18"/>
                          </w:rPr>
                          <w:t>收入总额的</w:t>
                        </w:r>
                        <w:r>
                          <w:rPr>
                            <w:rFonts w:ascii="宋体" w:hAnsi="宋体" w:cs="宋体" w:eastAsia="宋体" w:hint="default"/>
                            <w:spacing w:val="3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；错报金额</w:t>
                        </w:r>
                        <w:r>
                          <w:rPr>
                            <w:rFonts w:ascii="Times New Roman" w:hAnsi="Times New Roman" w:cs="Times New Roman" w:eastAsia="Times New Roman" w:hint="default"/>
                            <w:sz w:val="18"/>
                            <w:szCs w:val="18"/>
                          </w:rPr>
                          <w:t>&gt;</w:t>
                        </w:r>
                        <w:r>
                          <w:rPr>
                            <w:rFonts w:ascii="宋体" w:hAnsi="宋体" w:cs="宋体" w:eastAsia="宋体" w:hint="default"/>
                            <w:sz w:val="18"/>
                            <w:szCs w:val="18"/>
                          </w:rPr>
                          <w:t>利润总额</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的</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，且绝对金额超过</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500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万元。</w:t>
                        </w:r>
                      </w:p>
                      <w:p>
                        <w:pPr>
                          <w:pStyle w:val="TableParagraph"/>
                          <w:spacing w:line="240" w:lineRule="auto" w:before="54"/>
                          <w:ind w:left="16" w:right="0"/>
                          <w:jc w:val="both"/>
                          <w:rPr>
                            <w:rFonts w:ascii="宋体" w:hAnsi="宋体" w:cs="宋体" w:eastAsia="宋体" w:hint="default"/>
                            <w:sz w:val="18"/>
                            <w:szCs w:val="18"/>
                          </w:rPr>
                        </w:pPr>
                        <w:r>
                          <w:rPr>
                            <w:rFonts w:ascii="宋体" w:hAnsi="宋体" w:cs="宋体" w:eastAsia="宋体" w:hint="default"/>
                            <w:sz w:val="18"/>
                            <w:szCs w:val="18"/>
                          </w:rPr>
                          <w:t>二、重要缺陷</w:t>
                        </w:r>
                      </w:p>
                      <w:p>
                        <w:pPr>
                          <w:pStyle w:val="TableParagraph"/>
                          <w:spacing w:line="302" w:lineRule="auto" w:before="110"/>
                          <w:ind w:left="16" w:right="12"/>
                          <w:jc w:val="both"/>
                          <w:rPr>
                            <w:rFonts w:ascii="宋体" w:hAnsi="宋体" w:cs="宋体" w:eastAsia="宋体" w:hint="default"/>
                            <w:sz w:val="18"/>
                            <w:szCs w:val="18"/>
                          </w:rPr>
                        </w:pPr>
                        <w:r>
                          <w:rPr>
                            <w:rFonts w:ascii="宋体" w:hAnsi="宋体" w:cs="宋体" w:eastAsia="宋体" w:hint="default"/>
                            <w:sz w:val="18"/>
                            <w:szCs w:val="18"/>
                          </w:rPr>
                          <w:t>资产总额的</w:t>
                        </w:r>
                        <w:r>
                          <w:rPr>
                            <w:rFonts w:ascii="宋体" w:hAnsi="宋体" w:cs="宋体" w:eastAsia="宋体" w:hint="default"/>
                            <w:spacing w:val="-28"/>
                            <w:sz w:val="18"/>
                            <w:szCs w:val="18"/>
                          </w:rPr>
                          <w:t> </w:t>
                        </w: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错报金额</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资产总额的</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Times New Roman" w:hAnsi="Times New Roman" w:cs="Times New Roman" w:eastAsia="Times New Roman" w:hint="default"/>
                            <w:spacing w:val="-11"/>
                            <w:sz w:val="18"/>
                            <w:szCs w:val="18"/>
                          </w:rPr>
                          <w:t>5%</w:t>
                        </w:r>
                        <w:r>
                          <w:rPr>
                            <w:rFonts w:ascii="宋体" w:hAnsi="宋体" w:cs="宋体" w:eastAsia="宋体" w:hint="default"/>
                            <w:spacing w:val="-11"/>
                            <w:sz w:val="18"/>
                            <w:szCs w:val="18"/>
                          </w:rPr>
                          <w:t>；收入总额的 </w:t>
                        </w: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错报金额</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收入总</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额的 </w:t>
                        </w:r>
                        <w:r>
                          <w:rPr>
                            <w:rFonts w:ascii="Times New Roman" w:hAnsi="Times New Roman" w:cs="Times New Roman" w:eastAsia="Times New Roman" w:hint="default"/>
                            <w:sz w:val="18"/>
                            <w:szCs w:val="18"/>
                          </w:rPr>
                          <w:t>5%</w:t>
                        </w:r>
                        <w:r>
                          <w:rPr>
                            <w:rFonts w:ascii="宋体" w:hAnsi="宋体" w:cs="宋体" w:eastAsia="宋体" w:hint="default"/>
                            <w:sz w:val="18"/>
                            <w:szCs w:val="18"/>
                          </w:rPr>
                          <w:t>；利润总额的</w:t>
                        </w:r>
                        <w:r>
                          <w:rPr>
                            <w:rFonts w:ascii="宋体" w:hAnsi="宋体" w:cs="宋体" w:eastAsia="宋体" w:hint="default"/>
                            <w:spacing w:val="-24"/>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错报金额</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101"/>
                            <w:sz w:val="18"/>
                            <w:szCs w:val="18"/>
                          </w:rPr>
                          <w:t> </w:t>
                        </w:r>
                        <w:r>
                          <w:rPr>
                            <w:rFonts w:ascii="宋体" w:hAnsi="宋体" w:cs="宋体" w:eastAsia="宋体" w:hint="default"/>
                            <w:sz w:val="18"/>
                            <w:szCs w:val="18"/>
                          </w:rPr>
                          <w:t>利润总额的</w:t>
                        </w:r>
                        <w:r>
                          <w:rPr>
                            <w:rFonts w:ascii="宋体" w:hAnsi="宋体" w:cs="宋体" w:eastAsia="宋体" w:hint="default"/>
                            <w:spacing w:val="-17"/>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，且绝对金额超过</w:t>
                        </w:r>
                        <w:r>
                          <w:rPr>
                            <w:rFonts w:ascii="宋体" w:hAnsi="宋体" w:cs="宋体" w:eastAsia="宋体" w:hint="default"/>
                            <w:spacing w:val="-17"/>
                            <w:sz w:val="18"/>
                            <w:szCs w:val="18"/>
                          </w:rPr>
                          <w:t> </w:t>
                        </w:r>
                        <w:r>
                          <w:rPr>
                            <w:rFonts w:ascii="Times New Roman" w:hAnsi="Times New Roman" w:cs="Times New Roman" w:eastAsia="Times New Roman" w:hint="default"/>
                            <w:sz w:val="18"/>
                            <w:szCs w:val="18"/>
                          </w:rPr>
                          <w:t>300</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万元。</w:t>
                        </w:r>
                      </w:p>
                      <w:p>
                        <w:pPr>
                          <w:pStyle w:val="TableParagraph"/>
                          <w:spacing w:line="240" w:lineRule="auto" w:before="68"/>
                          <w:ind w:left="16" w:right="0"/>
                          <w:jc w:val="both"/>
                          <w:rPr>
                            <w:rFonts w:ascii="宋体" w:hAnsi="宋体" w:cs="宋体" w:eastAsia="宋体" w:hint="default"/>
                            <w:sz w:val="18"/>
                            <w:szCs w:val="18"/>
                          </w:rPr>
                        </w:pPr>
                        <w:r>
                          <w:rPr>
                            <w:rFonts w:ascii="宋体" w:hAnsi="宋体" w:cs="宋体" w:eastAsia="宋体" w:hint="default"/>
                            <w:sz w:val="18"/>
                            <w:szCs w:val="18"/>
                          </w:rPr>
                          <w:t>三、一般缺陷</w:t>
                        </w:r>
                      </w:p>
                      <w:p>
                        <w:pPr>
                          <w:pStyle w:val="TableParagraph"/>
                          <w:spacing w:line="302" w:lineRule="auto" w:before="115"/>
                          <w:ind w:left="16" w:right="10"/>
                          <w:jc w:val="both"/>
                          <w:rPr>
                            <w:rFonts w:ascii="宋体" w:hAnsi="宋体" w:cs="宋体" w:eastAsia="宋体" w:hint="default"/>
                            <w:sz w:val="18"/>
                            <w:szCs w:val="18"/>
                          </w:rPr>
                        </w:pPr>
                        <w:r>
                          <w:rPr>
                            <w:rFonts w:ascii="宋体" w:hAnsi="宋体" w:cs="宋体" w:eastAsia="宋体" w:hint="default"/>
                            <w:sz w:val="18"/>
                            <w:szCs w:val="18"/>
                          </w:rPr>
                          <w:t>资产总额的</w:t>
                        </w:r>
                        <w:r>
                          <w:rPr>
                            <w:rFonts w:ascii="宋体" w:hAnsi="宋体" w:cs="宋体" w:eastAsia="宋体" w:hint="default"/>
                            <w:spacing w:val="-34"/>
                            <w:sz w:val="18"/>
                            <w:szCs w:val="18"/>
                          </w:rPr>
                          <w:t> </w:t>
                        </w:r>
                        <w:r>
                          <w:rPr>
                            <w:rFonts w:ascii="Times New Roman" w:hAnsi="Times New Roman" w:cs="Times New Roman" w:eastAsia="Times New Roman" w:hint="default"/>
                            <w:spacing w:val="-3"/>
                            <w:sz w:val="18"/>
                            <w:szCs w:val="18"/>
                          </w:rPr>
                          <w:t>2%&lt;</w:t>
                        </w:r>
                        <w:r>
                          <w:rPr>
                            <w:rFonts w:ascii="宋体" w:hAnsi="宋体" w:cs="宋体" w:eastAsia="宋体" w:hint="default"/>
                            <w:spacing w:val="-3"/>
                            <w:sz w:val="18"/>
                            <w:szCs w:val="18"/>
                          </w:rPr>
                          <w:t>错报金额</w:t>
                        </w:r>
                        <w:r>
                          <w:rPr>
                            <w:rFonts w:ascii="Times New Roman" w:hAnsi="Times New Roman" w:cs="Times New Roman" w:eastAsia="Times New Roman" w:hint="default"/>
                            <w:spacing w:val="-3"/>
                            <w:sz w:val="18"/>
                            <w:szCs w:val="18"/>
                          </w:rPr>
                          <w:t>&lt;</w:t>
                        </w:r>
                        <w:r>
                          <w:rPr>
                            <w:rFonts w:ascii="宋体" w:hAnsi="宋体" w:cs="宋体" w:eastAsia="宋体" w:hint="default"/>
                            <w:spacing w:val="-3"/>
                            <w:sz w:val="18"/>
                            <w:szCs w:val="18"/>
                          </w:rPr>
                          <w:t>资产总额的</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Times New Roman" w:hAnsi="Times New Roman" w:cs="Times New Roman" w:eastAsia="Times New Roman" w:hint="default"/>
                            <w:spacing w:val="-11"/>
                            <w:w w:val="101"/>
                            <w:sz w:val="18"/>
                            <w:szCs w:val="18"/>
                          </w:rPr>
                          <w:t>3%</w:t>
                        </w:r>
                        <w:r>
                          <w:rPr>
                            <w:rFonts w:ascii="宋体" w:hAnsi="宋体" w:cs="宋体" w:eastAsia="宋体" w:hint="default"/>
                            <w:spacing w:val="-11"/>
                            <w:w w:val="101"/>
                            <w:sz w:val="18"/>
                            <w:szCs w:val="18"/>
                          </w:rPr>
                          <w:t>；收入总额的</w:t>
                        </w:r>
                        <w:r>
                          <w:rPr>
                            <w:rFonts w:ascii="宋体" w:hAnsi="宋体" w:cs="宋体" w:eastAsia="宋体" w:hint="default"/>
                            <w:spacing w:val="-43"/>
                            <w:w w:val="101"/>
                            <w:sz w:val="18"/>
                            <w:szCs w:val="18"/>
                          </w:rPr>
                          <w:t> </w:t>
                        </w:r>
                        <w:r>
                          <w:rPr>
                            <w:rFonts w:ascii="Times New Roman" w:hAnsi="Times New Roman" w:cs="Times New Roman" w:eastAsia="Times New Roman" w:hint="default"/>
                            <w:spacing w:val="-3"/>
                            <w:w w:val="101"/>
                            <w:sz w:val="18"/>
                            <w:szCs w:val="18"/>
                          </w:rPr>
                          <w:t>2%&lt;</w:t>
                        </w:r>
                        <w:r>
                          <w:rPr>
                            <w:rFonts w:ascii="宋体" w:hAnsi="宋体" w:cs="宋体" w:eastAsia="宋体" w:hint="default"/>
                            <w:spacing w:val="-3"/>
                            <w:w w:val="101"/>
                            <w:sz w:val="18"/>
                            <w:szCs w:val="18"/>
                          </w:rPr>
                          <w:t>错报金额</w:t>
                        </w:r>
                        <w:r>
                          <w:rPr>
                            <w:rFonts w:ascii="Times New Roman" w:hAnsi="Times New Roman" w:cs="Times New Roman" w:eastAsia="Times New Roman" w:hint="default"/>
                            <w:spacing w:val="-3"/>
                            <w:w w:val="101"/>
                            <w:sz w:val="18"/>
                            <w:szCs w:val="18"/>
                          </w:rPr>
                          <w:t>&lt;</w:t>
                        </w:r>
                        <w:r>
                          <w:rPr>
                            <w:rFonts w:ascii="宋体" w:hAnsi="宋体" w:cs="宋体" w:eastAsia="宋体" w:hint="default"/>
                            <w:spacing w:val="-3"/>
                            <w:w w:val="101"/>
                            <w:sz w:val="18"/>
                            <w:szCs w:val="18"/>
                          </w:rPr>
                          <w:t>收入总</w:t>
                        </w:r>
                        <w:r>
                          <w:rPr>
                            <w:rFonts w:ascii="宋体" w:hAnsi="宋体" w:cs="宋体" w:eastAsia="宋体" w:hint="default"/>
                            <w:spacing w:val="-88"/>
                            <w:w w:val="101"/>
                            <w:sz w:val="18"/>
                            <w:szCs w:val="18"/>
                          </w:rPr>
                          <w:t> </w:t>
                        </w:r>
                        <w:r>
                          <w:rPr>
                            <w:rFonts w:ascii="宋体" w:hAnsi="宋体" w:cs="宋体" w:eastAsia="宋体" w:hint="default"/>
                            <w:spacing w:val="-88"/>
                            <w:w w:val="101"/>
                            <w:sz w:val="18"/>
                            <w:szCs w:val="18"/>
                          </w:rPr>
                        </w:r>
                        <w:r>
                          <w:rPr>
                            <w:rFonts w:ascii="宋体" w:hAnsi="宋体" w:cs="宋体" w:eastAsia="宋体" w:hint="default"/>
                            <w:sz w:val="18"/>
                            <w:szCs w:val="18"/>
                          </w:rPr>
                          <w:t>额的 </w:t>
                        </w: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；利润总额的 </w:t>
                        </w:r>
                        <w:r>
                          <w:rPr>
                            <w:rFonts w:ascii="Times New Roman" w:hAnsi="Times New Roman" w:cs="Times New Roman" w:eastAsia="Times New Roman" w:hint="default"/>
                            <w:sz w:val="18"/>
                            <w:szCs w:val="18"/>
                          </w:rPr>
                          <w:t>2%&lt;</w:t>
                        </w:r>
                        <w:r>
                          <w:rPr>
                            <w:rFonts w:ascii="宋体" w:hAnsi="宋体" w:cs="宋体" w:eastAsia="宋体" w:hint="default"/>
                            <w:sz w:val="18"/>
                            <w:szCs w:val="18"/>
                          </w:rPr>
                          <w:t>错报金额</w:t>
                        </w:r>
                        <w:r>
                          <w:rPr>
                            <w:rFonts w:ascii="Times New Roman" w:hAnsi="Times New Roman" w:cs="Times New Roman" w:eastAsia="Times New Roman" w:hint="default"/>
                            <w:sz w:val="18"/>
                            <w:szCs w:val="18"/>
                          </w:rPr>
                          <w:t>&lt;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利润总额的</w:t>
                        </w:r>
                        <w:r>
                          <w:rPr>
                            <w:rFonts w:ascii="宋体" w:hAnsi="宋体" w:cs="宋体" w:eastAsia="宋体" w:hint="default"/>
                            <w:spacing w:val="-18"/>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，且绝对金额超过</w:t>
                        </w:r>
                        <w:r>
                          <w:rPr>
                            <w:rFonts w:ascii="宋体" w:hAnsi="宋体" w:cs="宋体" w:eastAsia="宋体" w:hint="default"/>
                            <w:spacing w:val="-18"/>
                            <w:sz w:val="18"/>
                            <w:szCs w:val="18"/>
                          </w:rPr>
                          <w:t> </w:t>
                        </w:r>
                        <w:r>
                          <w:rPr>
                            <w:rFonts w:ascii="Times New Roman" w:hAnsi="Times New Roman" w:cs="Times New Roman" w:eastAsia="Times New Roman" w:hint="default"/>
                            <w:sz w:val="18"/>
                            <w:szCs w:val="18"/>
                          </w:rPr>
                          <w:t>200</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万元。</w:t>
                        </w: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2"/>
                            <w:szCs w:val="22"/>
                          </w:rPr>
                        </w:pPr>
                      </w:p>
                    </w:tc>
                  </w:tr>
                  <w:tr>
                    <w:trPr>
                      <w:trHeight w:val="404" w:hRule="exact"/>
                    </w:trPr>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pacing w:val="-3"/>
                            <w:sz w:val="18"/>
                            <w:szCs w:val="18"/>
                          </w:rPr>
                          <w:t>财务报告重大缺陷数量（个）</w:t>
                        </w:r>
                      </w:p>
                    </w:tc>
                    <w:tc>
                      <w:tcPr>
                        <w:tcW w:w="63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403" w:hRule="exact"/>
                    </w:trPr>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非财务报告重大缺陷数量（个）</w:t>
                        </w:r>
                      </w:p>
                    </w:tc>
                    <w:tc>
                      <w:tcPr>
                        <w:tcW w:w="63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398" w:hRule="exact"/>
                    </w:trPr>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财务报告重要缺陷数量（个）</w:t>
                        </w:r>
                      </w:p>
                    </w:tc>
                    <w:tc>
                      <w:tcPr>
                        <w:tcW w:w="63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403" w:hRule="exact"/>
                    </w:trPr>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非财务报告重要缺陷数量（个）</w:t>
                        </w:r>
                      </w:p>
                    </w:tc>
                    <w:tc>
                      <w:tcPr>
                        <w:tcW w:w="63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bl>
                <w:p>
                  <w:pPr/>
                </w:p>
              </w:txbxContent>
            </v:textbox>
            <w10:wrap type="none"/>
          </v:shape>
        </w:pict>
      </w:r>
      <w:r>
        <w:rPr>
          <w:w w:val="101"/>
        </w:rPr>
        <w:t>。</w:t>
      </w:r>
      <w:r>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1"/>
          <w:szCs w:val="11"/>
        </w:rPr>
      </w:pPr>
    </w:p>
    <w:p>
      <w:pPr>
        <w:spacing w:line="355" w:lineRule="exact"/>
        <w:ind w:left="6702" w:right="0" w:firstLine="0"/>
        <w:rPr>
          <w:rFonts w:ascii="宋体" w:hAnsi="宋体" w:cs="宋体" w:eastAsia="宋体" w:hint="default"/>
          <w:sz w:val="20"/>
          <w:szCs w:val="20"/>
        </w:rPr>
      </w:pPr>
      <w:r>
        <w:rPr>
          <w:rFonts w:ascii="宋体" w:hAnsi="宋体" w:cs="宋体" w:eastAsia="宋体" w:hint="default"/>
          <w:position w:val="-6"/>
          <w:sz w:val="20"/>
          <w:szCs w:val="20"/>
        </w:rPr>
        <w:pict>
          <v:group style="width:149.85pt;height:17.8pt;mso-position-horizontal-relative:char;mso-position-vertical-relative:line" coordorigin="0,0" coordsize="2997,356">
            <v:group style="position:absolute;left:0;top:0;width:2997;height:356" coordorigin="0,0" coordsize="2997,356">
              <v:shape style="position:absolute;left:0;top:0;width:2997;height:356" coordorigin="0,0" coordsize="2997,356" path="m0,355l2996,355,2996,0,0,0,0,355xe" filled="true" fillcolor="#ffffff" stroked="false">
                <v:path arrowok="t"/>
                <v:fill type="solid"/>
              </v:shape>
            </v:group>
          </v:group>
        </w:pict>
      </w:r>
      <w:r>
        <w:rPr>
          <w:rFonts w:ascii="宋体" w:hAnsi="宋体" w:cs="宋体" w:eastAsia="宋体" w:hint="default"/>
          <w:position w:val="-6"/>
          <w:sz w:val="20"/>
          <w:szCs w:val="20"/>
        </w:rPr>
      </w:r>
    </w:p>
    <w:p>
      <w:pPr>
        <w:spacing w:after="0" w:line="355" w:lineRule="exact"/>
        <w:rPr>
          <w:rFonts w:ascii="宋体" w:hAnsi="宋体" w:cs="宋体" w:eastAsia="宋体" w:hint="default"/>
          <w:sz w:val="20"/>
          <w:szCs w:val="20"/>
        </w:rPr>
        <w:sectPr>
          <w:pgSz w:w="11910" w:h="16840"/>
          <w:pgMar w:header="871" w:footer="1186" w:top="1100" w:bottom="1380" w:left="980" w:right="0"/>
        </w:sectPr>
      </w:pPr>
    </w:p>
    <w:p>
      <w:pPr>
        <w:spacing w:line="240" w:lineRule="auto" w:before="7"/>
        <w:rPr>
          <w:rFonts w:ascii="宋体" w:hAnsi="宋体" w:cs="宋体" w:eastAsia="宋体" w:hint="default"/>
          <w:sz w:val="19"/>
          <w:szCs w:val="19"/>
        </w:rPr>
      </w:pPr>
    </w:p>
    <w:p>
      <w:pPr>
        <w:pStyle w:val="Heading2"/>
        <w:spacing w:line="240" w:lineRule="auto" w:before="26"/>
        <w:ind w:right="0"/>
        <w:jc w:val="left"/>
        <w:rPr>
          <w:b w:val="0"/>
          <w:bCs w:val="0"/>
        </w:rPr>
      </w:pPr>
      <w:bookmarkStart w:name="十、内部控制审计报告或鉴证报告" w:id="151"/>
      <w:bookmarkEnd w:id="151"/>
      <w:r>
        <w:rPr>
          <w:b w:val="0"/>
          <w:bCs w:val="0"/>
        </w:rPr>
      </w:r>
      <w:r>
        <w:rPr/>
        <w:t>十、内部控制审计报告或鉴证报告</w:t>
      </w:r>
      <w:r>
        <w:rPr>
          <w:b w:val="0"/>
          <w:bCs w:val="0"/>
        </w:rPr>
      </w:r>
    </w:p>
    <w:p>
      <w:pPr>
        <w:spacing w:line="240" w:lineRule="auto" w:before="1"/>
        <w:rPr>
          <w:rFonts w:ascii="宋体" w:hAnsi="宋体" w:cs="宋体" w:eastAsia="宋体" w:hint="default"/>
          <w:b/>
          <w:bCs/>
          <w:sz w:val="33"/>
          <w:szCs w:val="33"/>
        </w:rPr>
      </w:pPr>
    </w:p>
    <w:p>
      <w:pPr>
        <w:pStyle w:val="BodyText"/>
        <w:spacing w:line="240" w:lineRule="auto"/>
        <w:ind w:left="513" w:right="0"/>
        <w:jc w:val="left"/>
      </w:pPr>
      <w:r>
        <w:rPr/>
        <w:t>不适用</w:t>
      </w:r>
    </w:p>
    <w:p>
      <w:pPr>
        <w:spacing w:after="0" w:line="240" w:lineRule="auto"/>
        <w:jc w:val="left"/>
        <w:sectPr>
          <w:pgSz w:w="11910" w:h="16840"/>
          <w:pgMar w:header="871" w:footer="1186" w:top="1100" w:bottom="138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6"/>
          <w:szCs w:val="16"/>
        </w:rPr>
      </w:pPr>
    </w:p>
    <w:p>
      <w:pPr>
        <w:pStyle w:val="Heading1"/>
        <w:spacing w:line="240" w:lineRule="auto"/>
        <w:ind w:left="2967" w:right="0"/>
        <w:jc w:val="left"/>
        <w:rPr>
          <w:b w:val="0"/>
          <w:bCs w:val="0"/>
        </w:rPr>
      </w:pPr>
      <w:bookmarkStart w:name="第十一节 公司债券相关情况" w:id="152"/>
      <w:bookmarkEnd w:id="152"/>
      <w:r>
        <w:rPr>
          <w:b w:val="0"/>
          <w:bCs w:val="0"/>
        </w:rPr>
      </w:r>
      <w:bookmarkStart w:name="_bookmark10" w:id="153"/>
      <w:bookmarkEnd w:id="153"/>
      <w:r>
        <w:rPr>
          <w:b w:val="0"/>
          <w:bCs w:val="0"/>
        </w:rPr>
      </w:r>
      <w:r>
        <w:rPr/>
        <w:t>第十一节</w:t>
      </w:r>
      <w:r>
        <w:rPr>
          <w:spacing w:val="1"/>
        </w:rPr>
        <w:t> </w:t>
      </w:r>
      <w:r>
        <w:rPr/>
        <w:t>公司债券相关情况</w:t>
      </w:r>
      <w:r>
        <w:rPr>
          <w:b w:val="0"/>
          <w:bCs w:val="0"/>
        </w:rPr>
      </w:r>
    </w:p>
    <w:p>
      <w:pPr>
        <w:spacing w:line="240" w:lineRule="auto" w:before="12"/>
        <w:rPr>
          <w:rFonts w:ascii="宋体" w:hAnsi="宋体" w:cs="宋体" w:eastAsia="宋体" w:hint="default"/>
          <w:b/>
          <w:bCs/>
          <w:sz w:val="42"/>
          <w:szCs w:val="42"/>
        </w:rPr>
      </w:pPr>
    </w:p>
    <w:p>
      <w:pPr>
        <w:pStyle w:val="BodyText"/>
        <w:spacing w:line="357" w:lineRule="auto"/>
        <w:ind w:right="2115"/>
        <w:jc w:val="left"/>
      </w:pPr>
      <w:r>
        <w:rPr>
          <w:spacing w:val="-3"/>
        </w:rPr>
        <w:t>公司是否存在公开发行并在证券交易所上市，且在年度报告批准报出日未到期或到期未能全额兑付的公司债券</w:t>
      </w:r>
      <w:r>
        <w:rPr>
          <w:spacing w:val="49"/>
        </w:rPr>
        <w:t> </w:t>
      </w:r>
      <w:r>
        <w:rPr>
          <w:spacing w:val="49"/>
        </w:rPr>
      </w:r>
      <w:r>
        <w:rPr/>
        <w:t>否</w:t>
      </w:r>
    </w:p>
    <w:p>
      <w:pPr>
        <w:spacing w:after="0" w:line="357" w:lineRule="auto"/>
        <w:jc w:val="left"/>
        <w:sectPr>
          <w:pgSz w:w="11910" w:h="16840"/>
          <w:pgMar w:header="871" w:footer="1186" w:top="1100" w:bottom="138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6"/>
          <w:szCs w:val="16"/>
        </w:rPr>
      </w:pPr>
    </w:p>
    <w:p>
      <w:pPr>
        <w:pStyle w:val="Heading1"/>
        <w:spacing w:line="240" w:lineRule="auto"/>
        <w:ind w:left="3606" w:right="0"/>
        <w:jc w:val="left"/>
        <w:rPr>
          <w:b w:val="0"/>
          <w:bCs w:val="0"/>
        </w:rPr>
      </w:pPr>
      <w:bookmarkStart w:name="第十二节 财务报告" w:id="154"/>
      <w:bookmarkEnd w:id="154"/>
      <w:r>
        <w:rPr>
          <w:b w:val="0"/>
          <w:bCs w:val="0"/>
        </w:rPr>
      </w:r>
      <w:bookmarkStart w:name="_bookmark11" w:id="155"/>
      <w:bookmarkEnd w:id="155"/>
      <w:r>
        <w:rPr>
          <w:b w:val="0"/>
          <w:bCs w:val="0"/>
        </w:rPr>
      </w:r>
      <w:r>
        <w:rPr/>
        <w:t>第十二节</w:t>
      </w:r>
      <w:r>
        <w:rPr>
          <w:spacing w:val="-1"/>
        </w:rPr>
        <w:t> </w:t>
      </w:r>
      <w:r>
        <w:rPr/>
        <w:t>财务报告</w:t>
      </w:r>
      <w:r>
        <w:rPr>
          <w:b w:val="0"/>
          <w:bCs w:val="0"/>
        </w:rPr>
      </w: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6"/>
          <w:szCs w:val="16"/>
        </w:rPr>
      </w:pPr>
    </w:p>
    <w:p>
      <w:pPr>
        <w:pStyle w:val="Heading2"/>
        <w:spacing w:line="240" w:lineRule="auto" w:before="26"/>
        <w:ind w:right="0"/>
        <w:jc w:val="left"/>
        <w:rPr>
          <w:b w:val="0"/>
          <w:bCs w:val="0"/>
        </w:rPr>
      </w:pPr>
      <w:bookmarkStart w:name="一、审计报告" w:id="156"/>
      <w:bookmarkEnd w:id="156"/>
      <w:r>
        <w:rPr>
          <w:b w:val="0"/>
          <w:bCs w:val="0"/>
        </w:rPr>
      </w:r>
      <w:r>
        <w:rPr/>
        <w:t>一、审计报告</w:t>
      </w:r>
      <w:r>
        <w:rPr>
          <w:b w:val="0"/>
          <w:bCs w:val="0"/>
        </w:rPr>
      </w:r>
    </w:p>
    <w:p>
      <w:pPr>
        <w:spacing w:line="240" w:lineRule="auto" w:before="5"/>
        <w:rPr>
          <w:rFonts w:ascii="宋体" w:hAnsi="宋体" w:cs="宋体" w:eastAsia="宋体" w:hint="default"/>
          <w:b/>
          <w:bCs/>
          <w:sz w:val="26"/>
          <w:szCs w:val="26"/>
        </w:rPr>
      </w:pPr>
    </w:p>
    <w:tbl>
      <w:tblPr>
        <w:tblW w:w="0" w:type="auto"/>
        <w:jc w:val="left"/>
        <w:tblInd w:w="148" w:type="dxa"/>
        <w:tblLayout w:type="fixed"/>
        <w:tblCellMar>
          <w:top w:w="0" w:type="dxa"/>
          <w:left w:w="0" w:type="dxa"/>
          <w:bottom w:w="0" w:type="dxa"/>
          <w:right w:w="0" w:type="dxa"/>
        </w:tblCellMar>
        <w:tblLook w:val="01E0"/>
      </w:tblPr>
      <w:tblGrid>
        <w:gridCol w:w="4783"/>
        <w:gridCol w:w="4787"/>
      </w:tblGrid>
      <w:tr>
        <w:trPr>
          <w:trHeight w:val="398"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8" w:right="0"/>
              <w:jc w:val="left"/>
              <w:rPr>
                <w:rFonts w:ascii="宋体" w:hAnsi="宋体" w:cs="宋体" w:eastAsia="宋体" w:hint="default"/>
                <w:sz w:val="18"/>
                <w:szCs w:val="18"/>
              </w:rPr>
            </w:pPr>
            <w:r>
              <w:rPr>
                <w:rFonts w:ascii="宋体" w:hAnsi="宋体" w:cs="宋体" w:eastAsia="宋体" w:hint="default"/>
                <w:sz w:val="18"/>
                <w:szCs w:val="18"/>
              </w:rPr>
              <w:t>标准的无保留意见</w:t>
            </w:r>
          </w:p>
        </w:tc>
      </w:tr>
      <w:tr>
        <w:trPr>
          <w:trHeight w:val="404"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8" w:right="0"/>
              <w:jc w:val="left"/>
              <w:rPr>
                <w:rFonts w:ascii="宋体" w:hAnsi="宋体" w:cs="宋体" w:eastAsia="宋体" w:hint="default"/>
                <w:sz w:val="18"/>
                <w:szCs w:val="18"/>
              </w:rPr>
            </w:pPr>
            <w:r>
              <w:rPr>
                <w:rFonts w:ascii="宋体" w:hAnsi="宋体" w:cs="宋体" w:eastAsia="宋体" w:hint="default"/>
                <w:spacing w:val="-3"/>
                <w:sz w:val="18"/>
                <w:szCs w:val="18"/>
              </w:rPr>
              <w:t>中汇会计师事务所（特殊普通合伙）</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8" w:right="0"/>
              <w:jc w:val="left"/>
              <w:rPr>
                <w:rFonts w:ascii="宋体" w:hAnsi="宋体" w:cs="宋体" w:eastAsia="宋体" w:hint="default"/>
                <w:sz w:val="18"/>
                <w:szCs w:val="18"/>
              </w:rPr>
            </w:pPr>
            <w:r>
              <w:rPr>
                <w:rFonts w:ascii="宋体" w:hAnsi="宋体" w:cs="宋体" w:eastAsia="宋体" w:hint="default"/>
                <w:sz w:val="18"/>
                <w:szCs w:val="18"/>
              </w:rPr>
              <w:t>中汇会审</w:t>
            </w:r>
            <w:r>
              <w:rPr>
                <w:rFonts w:ascii="Times New Roman" w:hAnsi="Times New Roman" w:cs="Times New Roman" w:eastAsia="Times New Roman" w:hint="default"/>
                <w:sz w:val="18"/>
                <w:szCs w:val="18"/>
              </w:rPr>
              <w:t>[2020]2731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p>
        </w:tc>
      </w:tr>
      <w:tr>
        <w:trPr>
          <w:trHeight w:val="398"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注册会计师姓名</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8" w:right="0"/>
              <w:jc w:val="left"/>
              <w:rPr>
                <w:rFonts w:ascii="宋体" w:hAnsi="宋体" w:cs="宋体" w:eastAsia="宋体" w:hint="default"/>
                <w:sz w:val="18"/>
                <w:szCs w:val="18"/>
              </w:rPr>
            </w:pPr>
            <w:r>
              <w:rPr>
                <w:rFonts w:ascii="宋体" w:hAnsi="宋体" w:cs="宋体" w:eastAsia="宋体" w:hint="default"/>
                <w:spacing w:val="-3"/>
                <w:sz w:val="18"/>
                <w:szCs w:val="18"/>
              </w:rPr>
              <w:t>章归鸿、王甫荣</w:t>
            </w:r>
          </w:p>
        </w:tc>
      </w:tr>
    </w:tbl>
    <w:p>
      <w:pPr>
        <w:spacing w:after="0" w:line="240" w:lineRule="auto"/>
        <w:jc w:val="left"/>
        <w:rPr>
          <w:rFonts w:ascii="宋体" w:hAnsi="宋体" w:cs="宋体" w:eastAsia="宋体" w:hint="default"/>
          <w:sz w:val="18"/>
          <w:szCs w:val="18"/>
        </w:rPr>
        <w:sectPr>
          <w:pgSz w:w="11910" w:h="16840"/>
          <w:pgMar w:header="871" w:footer="1186" w:top="1100" w:bottom="1380" w:left="980" w:right="0"/>
        </w:sectPr>
      </w:pPr>
    </w:p>
    <w:p>
      <w:pPr>
        <w:spacing w:line="240" w:lineRule="auto" w:before="0"/>
        <w:rPr>
          <w:rFonts w:ascii="宋体" w:hAnsi="宋体" w:cs="宋体" w:eastAsia="宋体" w:hint="default"/>
          <w:b/>
          <w:bCs/>
          <w:sz w:val="18"/>
          <w:szCs w:val="18"/>
        </w:rPr>
      </w:pPr>
    </w:p>
    <w:p>
      <w:pPr>
        <w:spacing w:line="240" w:lineRule="auto" w:before="4"/>
        <w:rPr>
          <w:rFonts w:ascii="宋体" w:hAnsi="宋体" w:cs="宋体" w:eastAsia="宋体" w:hint="default"/>
          <w:b/>
          <w:bCs/>
          <w:sz w:val="13"/>
          <w:szCs w:val="13"/>
        </w:rPr>
      </w:pPr>
    </w:p>
    <w:p>
      <w:pPr>
        <w:pStyle w:val="BodyText"/>
        <w:spacing w:line="240" w:lineRule="auto"/>
        <w:ind w:right="0"/>
        <w:jc w:val="left"/>
      </w:pPr>
      <w:r>
        <w:rPr>
          <w:spacing w:val="-3"/>
        </w:rPr>
        <w:t>深圳市银之杰科技股份有限公司全体股东：</w:t>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3"/>
          <w:szCs w:val="23"/>
        </w:rPr>
      </w:pPr>
    </w:p>
    <w:p>
      <w:pPr>
        <w:pStyle w:val="BodyText"/>
        <w:spacing w:line="240" w:lineRule="auto"/>
        <w:ind w:left="513" w:right="0"/>
        <w:jc w:val="left"/>
      </w:pPr>
      <w:r>
        <w:rPr/>
        <w:t>一、审计意见</w:t>
      </w:r>
    </w:p>
    <w:p>
      <w:pPr>
        <w:pStyle w:val="BodyText"/>
        <w:spacing w:line="240" w:lineRule="auto" w:before="53"/>
        <w:ind w:right="0"/>
        <w:jc w:val="left"/>
      </w:pPr>
      <w:r>
        <w:rPr/>
        <w:br w:type="column"/>
      </w:r>
      <w:r>
        <w:rPr/>
        <w:t>审计报告正文</w:t>
      </w:r>
    </w:p>
    <w:p>
      <w:pPr>
        <w:spacing w:after="0" w:line="240" w:lineRule="auto"/>
        <w:jc w:val="left"/>
        <w:sectPr>
          <w:type w:val="continuous"/>
          <w:pgSz w:w="11910" w:h="16840"/>
          <w:pgMar w:top="1580" w:bottom="700" w:left="980" w:right="0"/>
          <w:cols w:num="2" w:equalWidth="0">
            <w:col w:w="3577" w:space="702"/>
            <w:col w:w="6651"/>
          </w:cols>
        </w:sectPr>
      </w:pPr>
    </w:p>
    <w:p>
      <w:pPr>
        <w:spacing w:line="240" w:lineRule="auto" w:before="0"/>
        <w:rPr>
          <w:rFonts w:ascii="宋体" w:hAnsi="宋体" w:cs="宋体" w:eastAsia="宋体" w:hint="default"/>
          <w:sz w:val="14"/>
          <w:szCs w:val="14"/>
        </w:rPr>
      </w:pPr>
    </w:p>
    <w:p>
      <w:pPr>
        <w:pStyle w:val="BodyText"/>
        <w:spacing w:line="451" w:lineRule="auto" w:before="46"/>
        <w:ind w:right="1176" w:firstLine="360"/>
        <w:jc w:val="both"/>
      </w:pPr>
      <w:r>
        <w:rPr>
          <w:spacing w:val="-3"/>
        </w:rPr>
        <w:t>我们审计了深圳市银之杰科技股份有限公司</w:t>
      </w:r>
      <w:r>
        <w:rPr>
          <w:rFonts w:ascii="Times New Roman" w:hAnsi="Times New Roman" w:cs="Times New Roman" w:eastAsia="Times New Roman" w:hint="default"/>
          <w:spacing w:val="-3"/>
        </w:rPr>
        <w:t>(</w:t>
      </w:r>
      <w:r>
        <w:rPr>
          <w:spacing w:val="-3"/>
        </w:rPr>
        <w:t>以下简称“银之杰公司”</w:t>
      </w:r>
      <w:r>
        <w:rPr>
          <w:rFonts w:ascii="Times New Roman" w:hAnsi="Times New Roman" w:cs="Times New Roman" w:eastAsia="Times New Roman" w:hint="default"/>
          <w:spacing w:val="-3"/>
        </w:rPr>
        <w:t>)</w:t>
      </w:r>
      <w:r>
        <w:rPr>
          <w:spacing w:val="-3"/>
        </w:rPr>
        <w:t>财务报表，包括 </w:t>
      </w:r>
      <w:r>
        <w:rPr>
          <w:rFonts w:ascii="Times New Roman" w:hAnsi="Times New Roman" w:cs="Times New Roman" w:eastAsia="Times New Roman" w:hint="default"/>
        </w:rPr>
        <w:t>2019 </w:t>
      </w:r>
      <w:r>
        <w:rPr/>
        <w:t>年 </w:t>
      </w:r>
      <w:r>
        <w:rPr>
          <w:rFonts w:ascii="Times New Roman" w:hAnsi="Times New Roman" w:cs="Times New Roman" w:eastAsia="Times New Roman" w:hint="default"/>
        </w:rPr>
        <w:t>12 </w:t>
      </w:r>
      <w:r>
        <w:rPr/>
        <w:t>月 </w:t>
      </w:r>
      <w:r>
        <w:rPr>
          <w:rFonts w:ascii="Times New Roman" w:hAnsi="Times New Roman" w:cs="Times New Roman" w:eastAsia="Times New Roman" w:hint="default"/>
        </w:rPr>
        <w:t>31</w:t>
      </w:r>
      <w:r>
        <w:rPr>
          <w:rFonts w:ascii="Times New Roman" w:hAnsi="Times New Roman" w:cs="Times New Roman" w:eastAsia="Times New Roman" w:hint="default"/>
          <w:spacing w:val="-21"/>
        </w:rPr>
        <w:t> </w:t>
      </w:r>
      <w:r>
        <w:rPr>
          <w:spacing w:val="-3"/>
        </w:rPr>
        <w:t>日的合并及母</w:t>
      </w:r>
      <w:r>
        <w:rPr>
          <w:w w:val="101"/>
        </w:rPr>
        <w:t> </w:t>
      </w:r>
      <w:r>
        <w:rPr/>
        <w:t>公司资产负债表，</w:t>
      </w:r>
      <w:r>
        <w:rPr>
          <w:rFonts w:ascii="Times New Roman" w:hAnsi="Times New Roman" w:cs="Times New Roman" w:eastAsia="Times New Roman" w:hint="default"/>
        </w:rPr>
        <w:t>2019 </w:t>
      </w:r>
      <w:r>
        <w:rPr>
          <w:spacing w:val="-3"/>
        </w:rPr>
        <w:t>年度的合并及母公司利润表、合并及母公司现金流量表、合并及母公司所有者权益变动表以及财务</w:t>
      </w:r>
      <w:r>
        <w:rPr>
          <w:spacing w:val="-51"/>
        </w:rPr>
        <w:t> </w:t>
      </w:r>
      <w:r>
        <w:rPr>
          <w:spacing w:val="-51"/>
        </w:rPr>
      </w:r>
      <w:r>
        <w:rPr/>
        <w:t>报表附注。</w:t>
      </w:r>
    </w:p>
    <w:p>
      <w:pPr>
        <w:pStyle w:val="BodyText"/>
        <w:spacing w:line="240" w:lineRule="auto" w:before="76"/>
        <w:ind w:left="513" w:right="0"/>
        <w:jc w:val="left"/>
      </w:pPr>
      <w:r>
        <w:rPr>
          <w:spacing w:val="-3"/>
        </w:rPr>
        <w:t>我们认为，后附的财务报表在所有重大方面按照企业会计准则的规定编制，公允反映了银之杰公司 </w:t>
      </w:r>
      <w:r>
        <w:rPr>
          <w:rFonts w:ascii="Times New Roman" w:hAnsi="Times New Roman" w:cs="Times New Roman" w:eastAsia="Times New Roman" w:hint="default"/>
        </w:rPr>
        <w:t>2019 </w:t>
      </w:r>
      <w:r>
        <w:rPr/>
        <w:t>年 </w:t>
      </w:r>
      <w:r>
        <w:rPr>
          <w:rFonts w:ascii="Times New Roman" w:hAnsi="Times New Roman" w:cs="Times New Roman" w:eastAsia="Times New Roman" w:hint="default"/>
        </w:rPr>
        <w:t>12 </w:t>
      </w:r>
      <w:r>
        <w:rPr/>
        <w:t>月 </w:t>
      </w:r>
      <w:r>
        <w:rPr>
          <w:rFonts w:ascii="Times New Roman" w:hAnsi="Times New Roman" w:cs="Times New Roman" w:eastAsia="Times New Roman" w:hint="default"/>
        </w:rPr>
        <w:t>31</w:t>
      </w:r>
      <w:r>
        <w:rPr>
          <w:rFonts w:ascii="Times New Roman" w:hAnsi="Times New Roman" w:cs="Times New Roman" w:eastAsia="Times New Roman" w:hint="default"/>
          <w:spacing w:val="-4"/>
        </w:rPr>
        <w:t> </w:t>
      </w:r>
      <w:r>
        <w:rPr/>
        <w:t>日</w:t>
      </w:r>
    </w:p>
    <w:p>
      <w:pPr>
        <w:spacing w:line="240" w:lineRule="auto" w:before="7"/>
        <w:rPr>
          <w:rFonts w:ascii="宋体" w:hAnsi="宋体" w:cs="宋体" w:eastAsia="宋体" w:hint="default"/>
          <w:sz w:val="16"/>
          <w:szCs w:val="16"/>
        </w:rPr>
      </w:pPr>
    </w:p>
    <w:p>
      <w:pPr>
        <w:pStyle w:val="BodyText"/>
        <w:spacing w:line="453" w:lineRule="auto"/>
        <w:ind w:left="513" w:right="3848" w:hanging="360"/>
        <w:jc w:val="left"/>
      </w:pPr>
      <w:r>
        <w:rPr/>
        <w:t>的合并及母公司财务状况以及 </w:t>
      </w:r>
      <w:r>
        <w:rPr>
          <w:rFonts w:ascii="Times New Roman" w:hAnsi="Times New Roman" w:cs="Times New Roman" w:eastAsia="Times New Roman" w:hint="default"/>
        </w:rPr>
        <w:t>2019 </w:t>
      </w:r>
      <w:r>
        <w:rPr>
          <w:spacing w:val="-3"/>
        </w:rPr>
        <w:t>年度的合并及母公司经营成果和现金流量。</w:t>
      </w:r>
      <w:r>
        <w:rPr>
          <w:spacing w:val="-76"/>
        </w:rPr>
        <w:t> </w:t>
      </w:r>
      <w:r>
        <w:rPr>
          <w:spacing w:val="-76"/>
        </w:rPr>
      </w:r>
      <w:r>
        <w:rPr>
          <w:spacing w:val="-3"/>
        </w:rPr>
        <w:t>二、形成审计意见的基础</w:t>
      </w:r>
    </w:p>
    <w:p>
      <w:pPr>
        <w:pStyle w:val="BodyText"/>
        <w:spacing w:line="477" w:lineRule="auto" w:before="70"/>
        <w:ind w:right="1124" w:firstLine="360"/>
        <w:jc w:val="both"/>
      </w:pPr>
      <w:r>
        <w:rPr>
          <w:spacing w:val="-4"/>
        </w:rPr>
        <w:t>我们按照中国注册会计师审计准则的规定执行了审计工作。审计报告的“注册会计师对财务报表审计的责任”部分进一</w:t>
      </w:r>
      <w:r>
        <w:rPr>
          <w:w w:val="101"/>
        </w:rPr>
        <w:t> </w:t>
      </w:r>
      <w:r>
        <w:rPr>
          <w:spacing w:val="-4"/>
        </w:rPr>
        <w:t>步阐述了我们在这些准则下的责任。按照中国注册会计师职业道德守则，我们独立于银之杰公司公司，并履行了职业道德方</w:t>
      </w:r>
      <w:r>
        <w:rPr>
          <w:spacing w:val="43"/>
        </w:rPr>
        <w:t> </w:t>
      </w:r>
      <w:r>
        <w:rPr>
          <w:spacing w:val="43"/>
        </w:rPr>
      </w:r>
      <w:r>
        <w:rPr>
          <w:spacing w:val="-3"/>
        </w:rPr>
        <w:t>面的其他责任。我们相信，我们获取的审计证据是充分、适当的，为发表审计意见提供了基础。</w:t>
      </w:r>
    </w:p>
    <w:p>
      <w:pPr>
        <w:pStyle w:val="BodyText"/>
        <w:spacing w:line="475" w:lineRule="auto" w:before="56"/>
        <w:ind w:left="513" w:right="0"/>
        <w:jc w:val="left"/>
      </w:pPr>
      <w:r>
        <w:rPr/>
        <w:t>三、关键审计事项</w:t>
      </w:r>
      <w:r>
        <w:rPr>
          <w:spacing w:val="-86"/>
        </w:rPr>
        <w:t> </w:t>
      </w:r>
      <w:r>
        <w:rPr>
          <w:spacing w:val="-86"/>
        </w:rPr>
      </w:r>
      <w:r>
        <w:rPr>
          <w:spacing w:val="-4"/>
        </w:rPr>
        <w:t>关键审计事项是我们根据职业判断，认为对本期财务报表审计最为重要的事项。这些事项的应对以对财务报表整体进行</w:t>
      </w:r>
    </w:p>
    <w:p>
      <w:pPr>
        <w:pStyle w:val="BodyText"/>
        <w:spacing w:line="240" w:lineRule="auto" w:before="58"/>
        <w:ind w:right="0"/>
        <w:jc w:val="left"/>
      </w:pPr>
      <w:r>
        <w:rPr>
          <w:w w:val="101"/>
        </w:rPr>
        <w:t>审</w:t>
      </w:r>
      <w:r>
        <w:rPr>
          <w:spacing w:val="-5"/>
          <w:w w:val="101"/>
        </w:rPr>
        <w:t>计</w:t>
      </w:r>
      <w:r>
        <w:rPr>
          <w:w w:val="101"/>
        </w:rPr>
        <w:t>并</w:t>
      </w:r>
      <w:r>
        <w:rPr>
          <w:spacing w:val="-5"/>
          <w:w w:val="101"/>
        </w:rPr>
        <w:t>形</w:t>
      </w:r>
      <w:r>
        <w:rPr>
          <w:w w:val="101"/>
        </w:rPr>
        <w:t>成</w:t>
      </w:r>
      <w:r>
        <w:rPr>
          <w:spacing w:val="-5"/>
          <w:w w:val="101"/>
        </w:rPr>
        <w:t>审</w:t>
      </w:r>
      <w:r>
        <w:rPr>
          <w:w w:val="101"/>
        </w:rPr>
        <w:t>计</w:t>
      </w:r>
      <w:r>
        <w:rPr>
          <w:spacing w:val="-5"/>
          <w:w w:val="101"/>
        </w:rPr>
        <w:t>意</w:t>
      </w:r>
      <w:r>
        <w:rPr>
          <w:w w:val="101"/>
        </w:rPr>
        <w:t>见</w:t>
      </w:r>
      <w:r>
        <w:rPr>
          <w:spacing w:val="-5"/>
          <w:w w:val="101"/>
        </w:rPr>
        <w:t>为</w:t>
      </w:r>
      <w:r>
        <w:rPr>
          <w:w w:val="101"/>
        </w:rPr>
        <w:t>背景</w:t>
      </w:r>
      <w:r>
        <w:rPr>
          <w:spacing w:val="-92"/>
          <w:w w:val="101"/>
        </w:rPr>
        <w:t>，</w:t>
      </w:r>
      <w:r>
        <w:rPr>
          <w:spacing w:val="-5"/>
          <w:w w:val="101"/>
        </w:rPr>
        <w:t>我</w:t>
      </w:r>
      <w:r>
        <w:rPr>
          <w:w w:val="101"/>
        </w:rPr>
        <w:t>们</w:t>
      </w:r>
      <w:r>
        <w:rPr>
          <w:spacing w:val="-5"/>
          <w:w w:val="101"/>
        </w:rPr>
        <w:t>不</w:t>
      </w:r>
      <w:r>
        <w:rPr>
          <w:w w:val="101"/>
        </w:rPr>
        <w:t>对</w:t>
      </w:r>
      <w:r>
        <w:rPr>
          <w:spacing w:val="-5"/>
          <w:w w:val="101"/>
        </w:rPr>
        <w:t>这</w:t>
      </w:r>
      <w:r>
        <w:rPr>
          <w:w w:val="101"/>
        </w:rPr>
        <w:t>些</w:t>
      </w:r>
      <w:r>
        <w:rPr>
          <w:spacing w:val="-5"/>
          <w:w w:val="101"/>
        </w:rPr>
        <w:t>事</w:t>
      </w:r>
      <w:r>
        <w:rPr>
          <w:w w:val="101"/>
        </w:rPr>
        <w:t>项</w:t>
      </w:r>
      <w:r>
        <w:rPr>
          <w:spacing w:val="-5"/>
          <w:w w:val="101"/>
        </w:rPr>
        <w:t>单</w:t>
      </w:r>
      <w:r>
        <w:rPr>
          <w:w w:val="101"/>
        </w:rPr>
        <w:t>独</w:t>
      </w:r>
      <w:r>
        <w:rPr>
          <w:spacing w:val="-5"/>
          <w:w w:val="101"/>
        </w:rPr>
        <w:t>发</w:t>
      </w:r>
      <w:r>
        <w:rPr>
          <w:w w:val="101"/>
        </w:rPr>
        <w:t>表</w:t>
      </w:r>
      <w:r>
        <w:rPr>
          <w:spacing w:val="-5"/>
          <w:w w:val="101"/>
        </w:rPr>
        <w:t>意</w:t>
      </w:r>
      <w:r>
        <w:rPr>
          <w:w w:val="101"/>
        </w:rPr>
        <w:t>见</w:t>
      </w:r>
      <w:r>
        <w:rPr>
          <w:spacing w:val="-92"/>
          <w:w w:val="101"/>
        </w:rPr>
        <w:t>。</w:t>
      </w:r>
      <w:r>
        <w:rPr>
          <w:w w:val="101"/>
        </w:rPr>
        <w:t>我</w:t>
      </w:r>
      <w:r>
        <w:rPr>
          <w:spacing w:val="-5"/>
          <w:w w:val="101"/>
        </w:rPr>
        <w:t>们</w:t>
      </w:r>
      <w:r>
        <w:rPr>
          <w:w w:val="101"/>
        </w:rPr>
        <w:t>确</w:t>
      </w:r>
      <w:r>
        <w:rPr>
          <w:spacing w:val="-5"/>
          <w:w w:val="101"/>
        </w:rPr>
        <w:t>定</w:t>
      </w:r>
      <w:r>
        <w:rPr>
          <w:w w:val="101"/>
        </w:rPr>
        <w:t>下</w:t>
      </w:r>
      <w:r>
        <w:rPr>
          <w:spacing w:val="-5"/>
          <w:w w:val="101"/>
        </w:rPr>
        <w:t>列</w:t>
      </w:r>
      <w:r>
        <w:rPr>
          <w:w w:val="101"/>
        </w:rPr>
        <w:t>事</w:t>
      </w:r>
      <w:r>
        <w:rPr>
          <w:spacing w:val="-5"/>
          <w:w w:val="101"/>
        </w:rPr>
        <w:t>项</w:t>
      </w:r>
      <w:r>
        <w:rPr>
          <w:w w:val="101"/>
        </w:rPr>
        <w:t>是</w:t>
      </w:r>
      <w:r>
        <w:rPr>
          <w:spacing w:val="-5"/>
          <w:w w:val="101"/>
        </w:rPr>
        <w:t>需</w:t>
      </w:r>
      <w:r>
        <w:rPr>
          <w:w w:val="101"/>
        </w:rPr>
        <w:t>要</w:t>
      </w:r>
      <w:r>
        <w:rPr>
          <w:spacing w:val="-5"/>
          <w:w w:val="101"/>
        </w:rPr>
        <w:t>在</w:t>
      </w:r>
      <w:r>
        <w:rPr>
          <w:w w:val="101"/>
        </w:rPr>
        <w:t>审</w:t>
      </w:r>
      <w:r>
        <w:rPr>
          <w:spacing w:val="-5"/>
          <w:w w:val="101"/>
        </w:rPr>
        <w:t>计</w:t>
      </w:r>
      <w:r>
        <w:rPr>
          <w:w w:val="101"/>
        </w:rPr>
        <w:t>报</w:t>
      </w:r>
      <w:r>
        <w:rPr>
          <w:spacing w:val="-5"/>
          <w:w w:val="101"/>
        </w:rPr>
        <w:t>告</w:t>
      </w:r>
      <w:r>
        <w:rPr>
          <w:w w:val="101"/>
        </w:rPr>
        <w:t>中</w:t>
      </w:r>
      <w:r>
        <w:rPr>
          <w:spacing w:val="-4"/>
          <w:w w:val="101"/>
        </w:rPr>
        <w:t>沟</w:t>
      </w:r>
      <w:r>
        <w:rPr>
          <w:w w:val="101"/>
        </w:rPr>
        <w:t>通</w:t>
      </w:r>
      <w:r>
        <w:rPr>
          <w:spacing w:val="-5"/>
          <w:w w:val="101"/>
        </w:rPr>
        <w:t>的</w:t>
      </w:r>
      <w:r>
        <w:rPr>
          <w:w w:val="101"/>
        </w:rPr>
        <w:t>关</w:t>
      </w:r>
      <w:r>
        <w:rPr>
          <w:spacing w:val="-5"/>
          <w:w w:val="101"/>
        </w:rPr>
        <w:t>键</w:t>
      </w:r>
      <w:r>
        <w:rPr>
          <w:w w:val="101"/>
        </w:rPr>
        <w:t>审</w:t>
      </w:r>
      <w:r>
        <w:rPr>
          <w:spacing w:val="-5"/>
          <w:w w:val="101"/>
        </w:rPr>
        <w:t>计</w:t>
      </w:r>
      <w:r>
        <w:rPr>
          <w:w w:val="101"/>
        </w:rPr>
        <w:t>事项。</w:t>
      </w:r>
      <w:r>
        <w:rPr/>
      </w:r>
    </w:p>
    <w:p>
      <w:pPr>
        <w:spacing w:line="240" w:lineRule="auto" w:before="8"/>
        <w:rPr>
          <w:rFonts w:ascii="宋体" w:hAnsi="宋体" w:cs="宋体" w:eastAsia="宋体" w:hint="default"/>
          <w:sz w:val="17"/>
          <w:szCs w:val="17"/>
        </w:rPr>
      </w:pPr>
    </w:p>
    <w:p>
      <w:pPr>
        <w:pStyle w:val="BodyText"/>
        <w:spacing w:line="240" w:lineRule="auto"/>
        <w:ind w:left="513" w:right="0"/>
        <w:jc w:val="left"/>
      </w:pPr>
      <w:r>
        <w:rPr>
          <w:spacing w:val="-3"/>
        </w:rPr>
        <w:t>（一）收入确认</w:t>
      </w:r>
    </w:p>
    <w:p>
      <w:pPr>
        <w:spacing w:line="240" w:lineRule="auto" w:before="12"/>
        <w:rPr>
          <w:rFonts w:ascii="宋体" w:hAnsi="宋体" w:cs="宋体" w:eastAsia="宋体" w:hint="default"/>
          <w:sz w:val="17"/>
          <w:szCs w:val="17"/>
        </w:rPr>
      </w:pPr>
    </w:p>
    <w:p>
      <w:pPr>
        <w:pStyle w:val="BodyText"/>
        <w:spacing w:line="448" w:lineRule="auto"/>
        <w:ind w:left="513" w:right="1027"/>
        <w:jc w:val="left"/>
      </w:pPr>
      <w:r>
        <w:rPr>
          <w:rFonts w:ascii="Times New Roman" w:hAnsi="Times New Roman" w:cs="Times New Roman" w:eastAsia="Times New Roman" w:hint="default"/>
        </w:rPr>
        <w:t>1</w:t>
      </w:r>
      <w:r>
        <w:rPr/>
        <w:t>、事项描述</w:t>
      </w:r>
      <w:r>
        <w:rPr>
          <w:spacing w:val="-87"/>
        </w:rPr>
        <w:t> </w:t>
      </w:r>
      <w:r>
        <w:rPr>
          <w:spacing w:val="-87"/>
        </w:rPr>
      </w:r>
      <w:r>
        <w:rPr>
          <w:spacing w:val="-9"/>
          <w:w w:val="101"/>
        </w:rPr>
        <w:t>银之杰公司主要从事包括金融信息化服务、移动信息服务、电子商务三大业务。如财务报告附注三、（二十六），附注五、</w:t>
      </w:r>
      <w:r>
        <w:rPr>
          <w:spacing w:val="-9"/>
        </w:rPr>
      </w:r>
    </w:p>
    <w:p>
      <w:pPr>
        <w:pStyle w:val="BodyText"/>
        <w:spacing w:line="448" w:lineRule="auto" w:before="79"/>
        <w:ind w:right="943"/>
        <w:jc w:val="left"/>
      </w:pPr>
      <w:r>
        <w:rPr>
          <w:spacing w:val="-17"/>
          <w:w w:val="101"/>
        </w:rPr>
        <w:t>（三十三）所述，</w:t>
      </w:r>
      <w:r>
        <w:rPr>
          <w:rFonts w:ascii="Times New Roman" w:hAnsi="Times New Roman" w:cs="Times New Roman" w:eastAsia="Times New Roman" w:hint="default"/>
          <w:spacing w:val="-17"/>
          <w:w w:val="101"/>
        </w:rPr>
        <w:t>2019 </w:t>
      </w:r>
      <w:r>
        <w:rPr>
          <w:spacing w:val="-3"/>
          <w:w w:val="101"/>
        </w:rPr>
        <w:t>年度银之杰公司营业收入</w:t>
      </w:r>
      <w:r>
        <w:rPr>
          <w:spacing w:val="-57"/>
          <w:w w:val="101"/>
        </w:rPr>
        <w:t> </w:t>
      </w:r>
      <w:r>
        <w:rPr>
          <w:rFonts w:ascii="Times New Roman" w:hAnsi="Times New Roman" w:cs="Times New Roman" w:eastAsia="Times New Roman" w:hint="default"/>
          <w:spacing w:val="-2"/>
          <w:w w:val="101"/>
        </w:rPr>
        <w:t>118,100.66</w:t>
      </w:r>
      <w:r>
        <w:rPr>
          <w:rFonts w:ascii="Times New Roman" w:hAnsi="Times New Roman" w:cs="Times New Roman" w:eastAsia="Times New Roman" w:hint="default"/>
          <w:spacing w:val="-17"/>
          <w:w w:val="101"/>
        </w:rPr>
        <w:t> </w:t>
      </w:r>
      <w:r>
        <w:rPr>
          <w:spacing w:val="-9"/>
          <w:w w:val="101"/>
        </w:rPr>
        <w:t>万元，其中移动信息服务收入</w:t>
      </w:r>
      <w:r>
        <w:rPr>
          <w:spacing w:val="-57"/>
          <w:w w:val="101"/>
        </w:rPr>
        <w:t> </w:t>
      </w:r>
      <w:r>
        <w:rPr>
          <w:rFonts w:ascii="Times New Roman" w:hAnsi="Times New Roman" w:cs="Times New Roman" w:eastAsia="Times New Roman" w:hint="default"/>
          <w:spacing w:val="-2"/>
          <w:w w:val="101"/>
        </w:rPr>
        <w:t>63,300.22</w:t>
      </w:r>
      <w:r>
        <w:rPr>
          <w:rFonts w:ascii="Times New Roman" w:hAnsi="Times New Roman" w:cs="Times New Roman" w:eastAsia="Times New Roman" w:hint="default"/>
          <w:spacing w:val="-12"/>
          <w:w w:val="101"/>
        </w:rPr>
        <w:t> </w:t>
      </w:r>
      <w:r>
        <w:rPr>
          <w:spacing w:val="-13"/>
          <w:w w:val="101"/>
        </w:rPr>
        <w:t>万元，占营业收入的</w:t>
      </w:r>
      <w:r>
        <w:rPr>
          <w:spacing w:val="-58"/>
          <w:w w:val="101"/>
        </w:rPr>
        <w:t> </w:t>
      </w:r>
      <w:r>
        <w:rPr>
          <w:rFonts w:ascii="Times New Roman" w:hAnsi="Times New Roman" w:cs="Times New Roman" w:eastAsia="Times New Roman" w:hint="default"/>
          <w:spacing w:val="-2"/>
          <w:w w:val="101"/>
        </w:rPr>
        <w:t>53.60%</w:t>
      </w:r>
      <w:r>
        <w:rPr>
          <w:spacing w:val="-2"/>
          <w:w w:val="101"/>
        </w:rPr>
        <w:t>，</w:t>
      </w:r>
      <w:r>
        <w:rPr>
          <w:spacing w:val="-88"/>
          <w:w w:val="101"/>
        </w:rPr>
        <w:t> </w:t>
      </w:r>
      <w:r>
        <w:rPr/>
        <w:t>电子商务收入 </w:t>
      </w:r>
      <w:r>
        <w:rPr>
          <w:rFonts w:ascii="Times New Roman" w:hAnsi="Times New Roman" w:cs="Times New Roman" w:eastAsia="Times New Roman" w:hint="default"/>
        </w:rPr>
        <w:t>37,596.59 </w:t>
      </w:r>
      <w:r>
        <w:rPr>
          <w:spacing w:val="-3"/>
        </w:rPr>
        <w:t>万元，占营业收入的 </w:t>
      </w:r>
      <w:r>
        <w:rPr>
          <w:rFonts w:ascii="Times New Roman" w:hAnsi="Times New Roman" w:cs="Times New Roman" w:eastAsia="Times New Roman" w:hint="default"/>
        </w:rPr>
        <w:t>31.83%</w:t>
      </w:r>
      <w:r>
        <w:rPr/>
        <w:t>， </w:t>
      </w:r>
      <w:r>
        <w:rPr>
          <w:spacing w:val="-3"/>
        </w:rPr>
        <w:t>两者合计占收入</w:t>
      </w:r>
      <w:r>
        <w:rPr>
          <w:spacing w:val="-34"/>
        </w:rPr>
        <w:t> </w:t>
      </w:r>
      <w:r>
        <w:rPr>
          <w:rFonts w:ascii="Times New Roman" w:hAnsi="Times New Roman" w:cs="Times New Roman" w:eastAsia="Times New Roman" w:hint="default"/>
          <w:spacing w:val="-3"/>
        </w:rPr>
        <w:t>85.43%</w:t>
      </w:r>
      <w:r>
        <w:rPr>
          <w:spacing w:val="-3"/>
        </w:rPr>
        <w:t>。移动信息服务收入确认原则为公司向客户</w:t>
      </w:r>
    </w:p>
    <w:p>
      <w:pPr>
        <w:pStyle w:val="BodyText"/>
        <w:spacing w:line="240" w:lineRule="auto" w:before="47"/>
        <w:ind w:right="0"/>
        <w:jc w:val="left"/>
      </w:pPr>
      <w:r>
        <w:rPr>
          <w:spacing w:val="-4"/>
        </w:rPr>
        <w:t>提供相关服务后，按月统计提供的服务量计算应收取的服务费，与客户核对后确认收入；电子商务收入确认原则为公司在将</w:t>
      </w:r>
    </w:p>
    <w:p>
      <w:pPr>
        <w:spacing w:after="0" w:line="240" w:lineRule="auto"/>
        <w:jc w:val="left"/>
        <w:sectPr>
          <w:type w:val="continuous"/>
          <w:pgSz w:w="11910" w:h="16840"/>
          <w:pgMar w:top="1580" w:bottom="700" w:left="980" w:right="0"/>
        </w:sectPr>
      </w:pPr>
    </w:p>
    <w:p>
      <w:pPr>
        <w:spacing w:line="240" w:lineRule="auto" w:before="1"/>
        <w:rPr>
          <w:rFonts w:ascii="宋体" w:hAnsi="宋体" w:cs="宋体" w:eastAsia="宋体" w:hint="default"/>
          <w:sz w:val="28"/>
          <w:szCs w:val="28"/>
        </w:rPr>
      </w:pPr>
    </w:p>
    <w:p>
      <w:pPr>
        <w:pStyle w:val="BodyText"/>
        <w:spacing w:line="475" w:lineRule="auto" w:before="46"/>
        <w:ind w:right="1124"/>
        <w:jc w:val="both"/>
      </w:pPr>
      <w:r>
        <w:rPr>
          <w:spacing w:val="-4"/>
        </w:rPr>
        <w:t>商品发出并交付予物流公司时确认收入。不同业务模式收入确认具体方式不同，鉴于对财务报表的重要性，我们将移动信息</w:t>
      </w:r>
      <w:r>
        <w:rPr>
          <w:spacing w:val="43"/>
        </w:rPr>
        <w:t> </w:t>
      </w:r>
      <w:r>
        <w:rPr>
          <w:spacing w:val="43"/>
        </w:rPr>
      </w:r>
      <w:r>
        <w:rPr>
          <w:spacing w:val="-3"/>
        </w:rPr>
        <w:t>服务收入和电子商务收入确认识别为关键审计事项。</w:t>
      </w:r>
    </w:p>
    <w:p>
      <w:pPr>
        <w:pStyle w:val="BodyText"/>
        <w:spacing w:line="240" w:lineRule="auto" w:before="59"/>
        <w:ind w:left="513" w:right="0"/>
        <w:jc w:val="left"/>
      </w:pPr>
      <w:r>
        <w:rPr>
          <w:rFonts w:ascii="Times New Roman" w:hAnsi="Times New Roman" w:cs="Times New Roman" w:eastAsia="Times New Roman" w:hint="default"/>
        </w:rPr>
        <w:t>2</w:t>
      </w:r>
      <w:r>
        <w:rPr/>
        <w:t>、审计应对</w:t>
      </w:r>
    </w:p>
    <w:p>
      <w:pPr>
        <w:spacing w:line="240" w:lineRule="auto" w:before="7"/>
        <w:rPr>
          <w:rFonts w:ascii="宋体" w:hAnsi="宋体" w:cs="宋体" w:eastAsia="宋体" w:hint="default"/>
          <w:sz w:val="16"/>
          <w:szCs w:val="16"/>
        </w:rPr>
      </w:pPr>
    </w:p>
    <w:p>
      <w:pPr>
        <w:pStyle w:val="BodyText"/>
        <w:spacing w:line="453" w:lineRule="auto"/>
        <w:ind w:right="1029" w:firstLine="360"/>
        <w:jc w:val="left"/>
      </w:pPr>
      <w:r>
        <w:rPr>
          <w:spacing w:val="-3"/>
        </w:rPr>
        <w:t>（</w:t>
      </w:r>
      <w:r>
        <w:rPr>
          <w:rFonts w:ascii="Times New Roman" w:hAnsi="Times New Roman" w:cs="Times New Roman" w:eastAsia="Times New Roman" w:hint="default"/>
          <w:spacing w:val="-3"/>
        </w:rPr>
        <w:t>1</w:t>
      </w:r>
      <w:r>
        <w:rPr>
          <w:spacing w:val="-3"/>
        </w:rPr>
        <w:t>）了解并评价与公司收入确认相关的内部控制制度的设计是否健全，测试与收入确认相关的内部控制制度的执行是</w:t>
      </w:r>
      <w:r>
        <w:rPr>
          <w:w w:val="101"/>
        </w:rPr>
        <w:t> </w:t>
      </w:r>
      <w:r>
        <w:rPr/>
        <w:t>否有效；</w:t>
      </w:r>
    </w:p>
    <w:p>
      <w:pPr>
        <w:pStyle w:val="BodyText"/>
        <w:spacing w:line="240" w:lineRule="auto" w:before="70"/>
        <w:ind w:left="513" w:right="0"/>
        <w:jc w:val="left"/>
      </w:pPr>
      <w:r>
        <w:rPr/>
        <w:t>（</w:t>
      </w:r>
      <w:r>
        <w:rPr>
          <w:rFonts w:ascii="Times New Roman" w:hAnsi="Times New Roman" w:cs="Times New Roman" w:eastAsia="Times New Roman" w:hint="default"/>
        </w:rPr>
        <w:t>2</w:t>
      </w:r>
      <w:r>
        <w:rPr/>
        <w:t>）了解并评价公司移动信息服务收入相关</w:t>
      </w:r>
      <w:r>
        <w:rPr>
          <w:spacing w:val="-30"/>
        </w:rPr>
        <w:t> </w:t>
      </w:r>
      <w:r>
        <w:rPr>
          <w:rFonts w:ascii="Times New Roman" w:hAnsi="Times New Roman" w:cs="Times New Roman" w:eastAsia="Times New Roman" w:hint="default"/>
          <w:spacing w:val="-4"/>
        </w:rPr>
        <w:t>IT</w:t>
      </w:r>
      <w:r>
        <w:rPr>
          <w:rFonts w:ascii="Times New Roman" w:hAnsi="Times New Roman" w:cs="Times New Roman" w:eastAsia="Times New Roman" w:hint="default"/>
          <w:spacing w:val="12"/>
        </w:rPr>
        <w:t> </w:t>
      </w:r>
      <w:r>
        <w:rPr>
          <w:spacing w:val="-3"/>
        </w:rPr>
        <w:t>系统的控制环境，并测试了</w:t>
      </w:r>
      <w:r>
        <w:rPr>
          <w:spacing w:val="-32"/>
        </w:rPr>
        <w:t> </w:t>
      </w:r>
      <w:r>
        <w:rPr>
          <w:rFonts w:ascii="Times New Roman" w:hAnsi="Times New Roman" w:cs="Times New Roman" w:eastAsia="Times New Roman" w:hint="default"/>
          <w:spacing w:val="-4"/>
        </w:rPr>
        <w:t>IT</w:t>
      </w:r>
      <w:r>
        <w:rPr>
          <w:rFonts w:ascii="Times New Roman" w:hAnsi="Times New Roman" w:cs="Times New Roman" w:eastAsia="Times New Roman" w:hint="default"/>
          <w:spacing w:val="12"/>
        </w:rPr>
        <w:t> </w:t>
      </w:r>
      <w:r>
        <w:rPr/>
        <w:t>系统运行情况；</w:t>
      </w:r>
    </w:p>
    <w:p>
      <w:pPr>
        <w:spacing w:line="240" w:lineRule="auto" w:before="12"/>
        <w:rPr>
          <w:rFonts w:ascii="宋体" w:hAnsi="宋体" w:cs="宋体" w:eastAsia="宋体" w:hint="default"/>
          <w:sz w:val="16"/>
          <w:szCs w:val="16"/>
        </w:rPr>
      </w:pPr>
    </w:p>
    <w:p>
      <w:pPr>
        <w:pStyle w:val="BodyText"/>
        <w:spacing w:line="240" w:lineRule="auto"/>
        <w:ind w:left="513" w:right="0"/>
        <w:jc w:val="left"/>
      </w:pPr>
      <w:r>
        <w:rPr>
          <w:spacing w:val="-3"/>
        </w:rPr>
        <w:t>（</w:t>
      </w:r>
      <w:r>
        <w:rPr>
          <w:rFonts w:ascii="Times New Roman" w:hAnsi="Times New Roman" w:cs="Times New Roman" w:eastAsia="Times New Roman" w:hint="default"/>
          <w:spacing w:val="-3"/>
        </w:rPr>
        <w:t>3</w:t>
      </w:r>
      <w:r>
        <w:rPr>
          <w:spacing w:val="-3"/>
        </w:rPr>
        <w:t>）了解营业收入确认的会计政策是否发生重大变化，检查营业收入确认是否符合相关会计政策；</w:t>
      </w:r>
    </w:p>
    <w:p>
      <w:pPr>
        <w:spacing w:line="240" w:lineRule="auto" w:before="7"/>
        <w:rPr>
          <w:rFonts w:ascii="宋体" w:hAnsi="宋体" w:cs="宋体" w:eastAsia="宋体" w:hint="default"/>
          <w:sz w:val="16"/>
          <w:szCs w:val="16"/>
        </w:rPr>
      </w:pPr>
    </w:p>
    <w:p>
      <w:pPr>
        <w:pStyle w:val="BodyText"/>
        <w:spacing w:line="240" w:lineRule="auto"/>
        <w:ind w:left="513" w:right="0"/>
        <w:jc w:val="left"/>
      </w:pPr>
      <w:r>
        <w:rPr>
          <w:spacing w:val="-3"/>
        </w:rPr>
        <w:t>（</w:t>
      </w:r>
      <w:r>
        <w:rPr>
          <w:rFonts w:ascii="Times New Roman" w:hAnsi="Times New Roman" w:cs="Times New Roman" w:eastAsia="Times New Roman" w:hint="default"/>
          <w:spacing w:val="-3"/>
        </w:rPr>
        <w:t>4</w:t>
      </w:r>
      <w:r>
        <w:rPr>
          <w:spacing w:val="-3"/>
        </w:rPr>
        <w:t>）执行分析性复核程序，判断营业收入和毛利变动的合理性；</w:t>
      </w:r>
    </w:p>
    <w:p>
      <w:pPr>
        <w:spacing w:line="240" w:lineRule="auto" w:before="12"/>
        <w:rPr>
          <w:rFonts w:ascii="宋体" w:hAnsi="宋体" w:cs="宋体" w:eastAsia="宋体" w:hint="default"/>
          <w:sz w:val="16"/>
          <w:szCs w:val="16"/>
        </w:rPr>
      </w:pPr>
    </w:p>
    <w:p>
      <w:pPr>
        <w:pStyle w:val="BodyText"/>
        <w:spacing w:line="448" w:lineRule="auto"/>
        <w:ind w:right="0" w:firstLine="360"/>
        <w:jc w:val="left"/>
      </w:pPr>
      <w:r>
        <w:rPr>
          <w:spacing w:val="-3"/>
        </w:rPr>
        <w:t>（</w:t>
      </w:r>
      <w:r>
        <w:rPr>
          <w:rFonts w:ascii="Times New Roman" w:hAnsi="Times New Roman" w:cs="Times New Roman" w:eastAsia="Times New Roman" w:hint="default"/>
          <w:spacing w:val="-3"/>
        </w:rPr>
        <w:t>5</w:t>
      </w:r>
      <w:r>
        <w:rPr>
          <w:spacing w:val="-3"/>
        </w:rPr>
        <w:t>）对移动信息服务收入重要客户销售合同进行抽样检查，并将系统数据与客户确认对账单等进行核对；对电子商务</w:t>
      </w:r>
      <w:r>
        <w:rPr>
          <w:w w:val="101"/>
        </w:rPr>
        <w:t> </w:t>
      </w:r>
      <w:r>
        <w:rPr>
          <w:spacing w:val="-3"/>
        </w:rPr>
        <w:t>收入核对电商平台提供的销售订单，随机抽取销售订单样本与第三方发货记录、收款记录等进行核对；</w:t>
      </w:r>
    </w:p>
    <w:p>
      <w:pPr>
        <w:pStyle w:val="BodyText"/>
        <w:spacing w:line="240" w:lineRule="auto" w:before="78"/>
        <w:ind w:left="513" w:right="0"/>
        <w:jc w:val="left"/>
      </w:pPr>
      <w:r>
        <w:rPr>
          <w:spacing w:val="-3"/>
        </w:rPr>
        <w:t>（</w:t>
      </w:r>
      <w:r>
        <w:rPr>
          <w:rFonts w:ascii="Times New Roman" w:hAnsi="Times New Roman" w:cs="Times New Roman" w:eastAsia="Times New Roman" w:hint="default"/>
          <w:spacing w:val="-3"/>
        </w:rPr>
        <w:t>6</w:t>
      </w:r>
      <w:r>
        <w:rPr>
          <w:spacing w:val="-3"/>
        </w:rPr>
        <w:t>）向重要客户实施函证程序，向客户函证期末余额及当期销售金额；</w:t>
      </w:r>
    </w:p>
    <w:p>
      <w:pPr>
        <w:spacing w:line="240" w:lineRule="auto" w:before="7"/>
        <w:rPr>
          <w:rFonts w:ascii="宋体" w:hAnsi="宋体" w:cs="宋体" w:eastAsia="宋体" w:hint="default"/>
          <w:sz w:val="16"/>
          <w:szCs w:val="16"/>
        </w:rPr>
      </w:pPr>
    </w:p>
    <w:p>
      <w:pPr>
        <w:pStyle w:val="BodyText"/>
        <w:spacing w:line="240" w:lineRule="auto"/>
        <w:ind w:left="513" w:right="0"/>
        <w:jc w:val="left"/>
      </w:pPr>
      <w:r>
        <w:rPr>
          <w:spacing w:val="-3"/>
        </w:rPr>
        <w:t>（</w:t>
      </w:r>
      <w:r>
        <w:rPr>
          <w:rFonts w:ascii="Times New Roman" w:hAnsi="Times New Roman" w:cs="Times New Roman" w:eastAsia="Times New Roman" w:hint="default"/>
          <w:spacing w:val="-3"/>
        </w:rPr>
        <w:t>7</w:t>
      </w:r>
      <w:r>
        <w:rPr>
          <w:spacing w:val="-3"/>
        </w:rPr>
        <w:t>）检查重要客户期后收款情况；</w:t>
      </w:r>
    </w:p>
    <w:p>
      <w:pPr>
        <w:spacing w:line="240" w:lineRule="auto" w:before="12"/>
        <w:rPr>
          <w:rFonts w:ascii="宋体" w:hAnsi="宋体" w:cs="宋体" w:eastAsia="宋体" w:hint="default"/>
          <w:sz w:val="16"/>
          <w:szCs w:val="16"/>
        </w:rPr>
      </w:pPr>
    </w:p>
    <w:p>
      <w:pPr>
        <w:pStyle w:val="BodyText"/>
        <w:spacing w:line="240" w:lineRule="auto"/>
        <w:ind w:left="513" w:right="0"/>
        <w:jc w:val="left"/>
      </w:pPr>
      <w:r>
        <w:rPr>
          <w:spacing w:val="-3"/>
        </w:rPr>
        <w:t>（</w:t>
      </w:r>
      <w:r>
        <w:rPr>
          <w:rFonts w:ascii="Times New Roman" w:hAnsi="Times New Roman" w:cs="Times New Roman" w:eastAsia="Times New Roman" w:hint="default"/>
          <w:spacing w:val="-3"/>
        </w:rPr>
        <w:t>8</w:t>
      </w:r>
      <w:r>
        <w:rPr>
          <w:spacing w:val="-3"/>
        </w:rPr>
        <w:t>）对营业收入执行截止测试，检查营业收入是否在恰当的期间确认。</w:t>
      </w:r>
    </w:p>
    <w:p>
      <w:pPr>
        <w:spacing w:line="240" w:lineRule="auto" w:before="7"/>
        <w:rPr>
          <w:rFonts w:ascii="宋体" w:hAnsi="宋体" w:cs="宋体" w:eastAsia="宋体" w:hint="default"/>
          <w:sz w:val="16"/>
          <w:szCs w:val="16"/>
        </w:rPr>
      </w:pPr>
    </w:p>
    <w:p>
      <w:pPr>
        <w:pStyle w:val="BodyText"/>
        <w:spacing w:line="240" w:lineRule="auto"/>
        <w:ind w:left="513" w:right="0"/>
        <w:jc w:val="left"/>
      </w:pPr>
      <w:r>
        <w:rPr/>
        <w:t>（二）商誉的减值</w:t>
      </w:r>
    </w:p>
    <w:p>
      <w:pPr>
        <w:spacing w:line="240" w:lineRule="auto" w:before="12"/>
        <w:rPr>
          <w:rFonts w:ascii="宋体" w:hAnsi="宋体" w:cs="宋体" w:eastAsia="宋体" w:hint="default"/>
          <w:sz w:val="17"/>
          <w:szCs w:val="17"/>
        </w:rPr>
      </w:pPr>
    </w:p>
    <w:p>
      <w:pPr>
        <w:pStyle w:val="BodyText"/>
        <w:spacing w:line="240" w:lineRule="auto"/>
        <w:ind w:left="513" w:right="0"/>
        <w:jc w:val="left"/>
      </w:pPr>
      <w:r>
        <w:rPr>
          <w:rFonts w:ascii="Times New Roman" w:hAnsi="Times New Roman" w:cs="Times New Roman" w:eastAsia="Times New Roman" w:hint="default"/>
        </w:rPr>
        <w:t>1</w:t>
      </w:r>
      <w:r>
        <w:rPr/>
        <w:t>、事项描述</w:t>
      </w:r>
    </w:p>
    <w:p>
      <w:pPr>
        <w:spacing w:line="240" w:lineRule="auto" w:before="7"/>
        <w:rPr>
          <w:rFonts w:ascii="宋体" w:hAnsi="宋体" w:cs="宋体" w:eastAsia="宋体" w:hint="default"/>
          <w:sz w:val="16"/>
          <w:szCs w:val="16"/>
        </w:rPr>
      </w:pPr>
    </w:p>
    <w:p>
      <w:pPr>
        <w:pStyle w:val="BodyText"/>
        <w:spacing w:line="240" w:lineRule="auto"/>
        <w:ind w:left="513" w:right="0"/>
        <w:jc w:val="left"/>
        <w:rPr>
          <w:rFonts w:ascii="Times New Roman" w:hAnsi="Times New Roman" w:cs="Times New Roman" w:eastAsia="Times New Roman" w:hint="default"/>
        </w:rPr>
      </w:pPr>
      <w:r>
        <w:rPr>
          <w:w w:val="101"/>
        </w:rPr>
        <w:t>如</w:t>
      </w:r>
      <w:r>
        <w:rPr>
          <w:spacing w:val="-5"/>
          <w:w w:val="101"/>
        </w:rPr>
        <w:t>财</w:t>
      </w:r>
      <w:r>
        <w:rPr>
          <w:w w:val="101"/>
        </w:rPr>
        <w:t>务</w:t>
      </w:r>
      <w:r>
        <w:rPr>
          <w:spacing w:val="-5"/>
          <w:w w:val="101"/>
        </w:rPr>
        <w:t>报</w:t>
      </w:r>
      <w:r>
        <w:rPr>
          <w:w w:val="101"/>
        </w:rPr>
        <w:t>告</w:t>
      </w:r>
      <w:r>
        <w:rPr>
          <w:spacing w:val="-5"/>
          <w:w w:val="101"/>
        </w:rPr>
        <w:t>附</w:t>
      </w:r>
      <w:r>
        <w:rPr>
          <w:w w:val="101"/>
        </w:rPr>
        <w:t>注</w:t>
      </w:r>
      <w:r>
        <w:rPr>
          <w:spacing w:val="-92"/>
          <w:w w:val="101"/>
        </w:rPr>
        <w:t>三</w:t>
      </w:r>
      <w:r>
        <w:rPr>
          <w:spacing w:val="-5"/>
          <w:w w:val="101"/>
        </w:rPr>
        <w:t>（</w:t>
      </w:r>
      <w:r>
        <w:rPr>
          <w:w w:val="101"/>
        </w:rPr>
        <w:t>二</w:t>
      </w:r>
      <w:r>
        <w:rPr>
          <w:spacing w:val="-5"/>
          <w:w w:val="101"/>
        </w:rPr>
        <w:t>十</w:t>
      </w:r>
      <w:r>
        <w:rPr>
          <w:w w:val="101"/>
        </w:rPr>
        <w:t>三</w:t>
      </w:r>
      <w:r>
        <w:rPr>
          <w:spacing w:val="-96"/>
          <w:w w:val="101"/>
        </w:rPr>
        <w:t>）</w:t>
      </w:r>
      <w:r>
        <w:rPr>
          <w:w w:val="101"/>
        </w:rPr>
        <w:t>和</w:t>
      </w:r>
      <w:r>
        <w:rPr>
          <w:spacing w:val="-5"/>
          <w:w w:val="101"/>
        </w:rPr>
        <w:t>附</w:t>
      </w:r>
      <w:r>
        <w:rPr>
          <w:w w:val="101"/>
        </w:rPr>
        <w:t>注</w:t>
      </w:r>
      <w:r>
        <w:rPr>
          <w:spacing w:val="-92"/>
          <w:w w:val="101"/>
        </w:rPr>
        <w:t>五</w:t>
      </w:r>
      <w:r>
        <w:rPr>
          <w:spacing w:val="-5"/>
          <w:w w:val="101"/>
        </w:rPr>
        <w:t>（</w:t>
      </w:r>
      <w:r>
        <w:rPr>
          <w:w w:val="101"/>
        </w:rPr>
        <w:t>十</w:t>
      </w:r>
      <w:r>
        <w:rPr>
          <w:spacing w:val="-5"/>
          <w:w w:val="101"/>
        </w:rPr>
        <w:t>三</w:t>
      </w:r>
      <w:r>
        <w:rPr>
          <w:spacing w:val="-92"/>
          <w:w w:val="101"/>
        </w:rPr>
        <w:t>）</w:t>
      </w:r>
      <w:r>
        <w:rPr>
          <w:spacing w:val="-5"/>
          <w:w w:val="101"/>
        </w:rPr>
        <w:t>所</w:t>
      </w:r>
      <w:r>
        <w:rPr>
          <w:w w:val="101"/>
        </w:rPr>
        <w:t>述</w:t>
      </w:r>
      <w:r>
        <w:rPr>
          <w:spacing w:val="-92"/>
          <w:w w:val="101"/>
        </w:rPr>
        <w:t>，</w:t>
      </w:r>
      <w:r>
        <w:rPr>
          <w:spacing w:val="-5"/>
          <w:w w:val="101"/>
        </w:rPr>
        <w:t>截</w:t>
      </w:r>
      <w:r>
        <w:rPr>
          <w:w w:val="101"/>
        </w:rPr>
        <w:t>至</w:t>
      </w:r>
      <w:r>
        <w:rPr>
          <w:spacing w:val="-51"/>
        </w:rPr>
        <w:t> </w:t>
      </w:r>
      <w:r>
        <w:rPr>
          <w:rFonts w:ascii="Times New Roman" w:hAnsi="Times New Roman" w:cs="Times New Roman" w:eastAsia="Times New Roman" w:hint="default"/>
          <w:w w:val="101"/>
        </w:rPr>
        <w:t>2019</w:t>
      </w:r>
      <w:r>
        <w:rPr>
          <w:rFonts w:ascii="Times New Roman" w:hAnsi="Times New Roman" w:cs="Times New Roman" w:eastAsia="Times New Roman" w:hint="default"/>
          <w:spacing w:val="-12"/>
        </w:rPr>
        <w:t> </w:t>
      </w:r>
      <w:r>
        <w:rPr>
          <w:w w:val="101"/>
        </w:rPr>
        <w:t>年</w:t>
      </w:r>
      <w:r>
        <w:rPr>
          <w:spacing w:val="-57"/>
        </w:rPr>
        <w:t> </w:t>
      </w:r>
      <w:r>
        <w:rPr>
          <w:rFonts w:ascii="Times New Roman" w:hAnsi="Times New Roman" w:cs="Times New Roman" w:eastAsia="Times New Roman" w:hint="default"/>
          <w:w w:val="101"/>
        </w:rPr>
        <w:t>12</w:t>
      </w:r>
      <w:r>
        <w:rPr>
          <w:rFonts w:ascii="Times New Roman" w:hAnsi="Times New Roman" w:cs="Times New Roman" w:eastAsia="Times New Roman" w:hint="default"/>
          <w:spacing w:val="-7"/>
        </w:rPr>
        <w:t> </w:t>
      </w:r>
      <w:r>
        <w:rPr>
          <w:w w:val="101"/>
        </w:rPr>
        <w:t>月</w:t>
      </w:r>
      <w:r>
        <w:rPr>
          <w:spacing w:val="-52"/>
        </w:rPr>
        <w:t> </w:t>
      </w:r>
      <w:r>
        <w:rPr>
          <w:rFonts w:ascii="Times New Roman" w:hAnsi="Times New Roman" w:cs="Times New Roman" w:eastAsia="Times New Roman" w:hint="default"/>
          <w:w w:val="101"/>
        </w:rPr>
        <w:t>31</w:t>
      </w:r>
      <w:r>
        <w:rPr>
          <w:rFonts w:ascii="Times New Roman" w:hAnsi="Times New Roman" w:cs="Times New Roman" w:eastAsia="Times New Roman" w:hint="default"/>
          <w:spacing w:val="-7"/>
        </w:rPr>
        <w:t> </w:t>
      </w:r>
      <w:r>
        <w:rPr>
          <w:w w:val="101"/>
        </w:rPr>
        <w:t>日</w:t>
      </w:r>
      <w:r>
        <w:rPr>
          <w:spacing w:val="-96"/>
          <w:w w:val="101"/>
        </w:rPr>
        <w:t>，</w:t>
      </w:r>
      <w:r>
        <w:rPr>
          <w:w w:val="101"/>
        </w:rPr>
        <w:t>银</w:t>
      </w:r>
      <w:r>
        <w:rPr>
          <w:spacing w:val="-5"/>
          <w:w w:val="101"/>
        </w:rPr>
        <w:t>之</w:t>
      </w:r>
      <w:r>
        <w:rPr>
          <w:w w:val="101"/>
        </w:rPr>
        <w:t>杰</w:t>
      </w:r>
      <w:r>
        <w:rPr>
          <w:spacing w:val="-5"/>
          <w:w w:val="101"/>
        </w:rPr>
        <w:t>公</w:t>
      </w:r>
      <w:r>
        <w:rPr>
          <w:w w:val="101"/>
        </w:rPr>
        <w:t>司</w:t>
      </w:r>
      <w:r>
        <w:rPr>
          <w:spacing w:val="-5"/>
          <w:w w:val="101"/>
        </w:rPr>
        <w:t>商誉</w:t>
      </w:r>
      <w:r>
        <w:rPr>
          <w:w w:val="101"/>
        </w:rPr>
        <w:t>的</w:t>
      </w:r>
      <w:r>
        <w:rPr>
          <w:spacing w:val="-5"/>
          <w:w w:val="101"/>
        </w:rPr>
        <w:t>账</w:t>
      </w:r>
      <w:r>
        <w:rPr>
          <w:w w:val="101"/>
        </w:rPr>
        <w:t>面</w:t>
      </w:r>
      <w:r>
        <w:rPr>
          <w:spacing w:val="-5"/>
          <w:w w:val="101"/>
        </w:rPr>
        <w:t>价</w:t>
      </w:r>
      <w:r>
        <w:rPr>
          <w:w w:val="101"/>
        </w:rPr>
        <w:t>值</w:t>
      </w:r>
      <w:r>
        <w:rPr>
          <w:spacing w:val="-5"/>
          <w:w w:val="101"/>
        </w:rPr>
        <w:t>合</w:t>
      </w:r>
      <w:r>
        <w:rPr>
          <w:w w:val="101"/>
        </w:rPr>
        <w:t>计为</w:t>
      </w:r>
      <w:r>
        <w:rPr>
          <w:spacing w:val="-52"/>
        </w:rPr>
        <w:t> </w:t>
      </w:r>
      <w:r>
        <w:rPr>
          <w:rFonts w:ascii="Times New Roman" w:hAnsi="Times New Roman" w:cs="Times New Roman" w:eastAsia="Times New Roman" w:hint="default"/>
          <w:w w:val="101"/>
        </w:rPr>
        <w:t>1</w:t>
      </w:r>
      <w:r>
        <w:rPr>
          <w:rFonts w:ascii="Times New Roman" w:hAnsi="Times New Roman" w:cs="Times New Roman" w:eastAsia="Times New Roman" w:hint="default"/>
          <w:spacing w:val="-5"/>
          <w:w w:val="101"/>
        </w:rPr>
        <w:t>5</w:t>
      </w:r>
      <w:r>
        <w:rPr>
          <w:rFonts w:ascii="Times New Roman" w:hAnsi="Times New Roman" w:cs="Times New Roman" w:eastAsia="Times New Roman" w:hint="default"/>
          <w:spacing w:val="2"/>
          <w:w w:val="101"/>
        </w:rPr>
        <w:t>,</w:t>
      </w:r>
      <w:r>
        <w:rPr>
          <w:rFonts w:ascii="Times New Roman" w:hAnsi="Times New Roman" w:cs="Times New Roman" w:eastAsia="Times New Roman" w:hint="default"/>
          <w:w w:val="101"/>
        </w:rPr>
        <w:t>5</w:t>
      </w:r>
      <w:r>
        <w:rPr>
          <w:rFonts w:ascii="Times New Roman" w:hAnsi="Times New Roman" w:cs="Times New Roman" w:eastAsia="Times New Roman" w:hint="default"/>
          <w:spacing w:val="-5"/>
          <w:w w:val="101"/>
        </w:rPr>
        <w:t>6</w:t>
      </w:r>
      <w:r>
        <w:rPr>
          <w:rFonts w:ascii="Times New Roman" w:hAnsi="Times New Roman" w:cs="Times New Roman" w:eastAsia="Times New Roman" w:hint="default"/>
          <w:w w:val="101"/>
        </w:rPr>
        <w:t>1</w:t>
      </w:r>
      <w:r>
        <w:rPr>
          <w:rFonts w:ascii="Times New Roman" w:hAnsi="Times New Roman" w:cs="Times New Roman" w:eastAsia="Times New Roman" w:hint="default"/>
          <w:spacing w:val="-3"/>
          <w:w w:val="101"/>
        </w:rPr>
        <w:t>.</w:t>
      </w:r>
      <w:r>
        <w:rPr>
          <w:rFonts w:ascii="Times New Roman" w:hAnsi="Times New Roman" w:cs="Times New Roman" w:eastAsia="Times New Roman" w:hint="default"/>
          <w:w w:val="101"/>
        </w:rPr>
        <w:t>79</w:t>
      </w:r>
      <w:r>
        <w:rPr>
          <w:rFonts w:ascii="Times New Roman" w:hAnsi="Times New Roman" w:cs="Times New Roman" w:eastAsia="Times New Roman" w:hint="default"/>
        </w:rPr>
      </w:r>
    </w:p>
    <w:p>
      <w:pPr>
        <w:spacing w:line="240" w:lineRule="auto" w:before="3"/>
        <w:rPr>
          <w:rFonts w:ascii="Times New Roman" w:hAnsi="Times New Roman" w:cs="Times New Roman" w:eastAsia="Times New Roman" w:hint="default"/>
          <w:sz w:val="19"/>
          <w:szCs w:val="19"/>
        </w:rPr>
      </w:pPr>
    </w:p>
    <w:p>
      <w:pPr>
        <w:pStyle w:val="BodyText"/>
        <w:spacing w:line="475" w:lineRule="auto"/>
        <w:ind w:left="513" w:right="0" w:hanging="360"/>
        <w:jc w:val="left"/>
      </w:pPr>
      <w:r>
        <w:rPr>
          <w:spacing w:val="-3"/>
        </w:rPr>
        <w:t>万元，相应的减值准备余额为零元。</w:t>
      </w:r>
      <w:r>
        <w:rPr>
          <w:spacing w:val="-39"/>
        </w:rPr>
        <w:t> </w:t>
      </w:r>
      <w:r>
        <w:rPr>
          <w:spacing w:val="-39"/>
        </w:rPr>
      </w:r>
      <w:r>
        <w:rPr>
          <w:spacing w:val="-4"/>
        </w:rPr>
        <w:t>管理层在每年年度终了对商誉进行减值测试，并依据减值测试的结果调整商誉的账面价值。由于商誉减值测试的结果很</w:t>
      </w:r>
    </w:p>
    <w:p>
      <w:pPr>
        <w:pStyle w:val="BodyText"/>
        <w:spacing w:line="477" w:lineRule="auto" w:before="58"/>
        <w:ind w:right="1122"/>
        <w:jc w:val="both"/>
      </w:pPr>
      <w:r>
        <w:rPr>
          <w:spacing w:val="-4"/>
        </w:rPr>
        <w:t>大程度上依赖于管理层所做的估计和采用的假设，特别是在预测相关资产组的未来收入增长率、毛利率、经营费用、折现率</w:t>
      </w:r>
      <w:r>
        <w:rPr>
          <w:spacing w:val="40"/>
        </w:rPr>
        <w:t> </w:t>
      </w:r>
      <w:r>
        <w:rPr>
          <w:spacing w:val="40"/>
        </w:rPr>
      </w:r>
      <w:r>
        <w:rPr>
          <w:spacing w:val="-4"/>
        </w:rPr>
        <w:t>等涉及管理层的重大判断。该等估计均存在重大不确定性，受管理层对未来市场以及对经济环境判断的影响，采用不同的估</w:t>
      </w:r>
      <w:r>
        <w:rPr>
          <w:spacing w:val="44"/>
        </w:rPr>
        <w:t> </w:t>
      </w:r>
      <w:r>
        <w:rPr>
          <w:spacing w:val="44"/>
        </w:rPr>
      </w:r>
      <w:r>
        <w:rPr>
          <w:spacing w:val="-3"/>
        </w:rPr>
        <w:t>计和假设会对评估的商誉可收回价值有很大的影响。</w:t>
      </w:r>
    </w:p>
    <w:p>
      <w:pPr>
        <w:pStyle w:val="BodyText"/>
        <w:spacing w:line="240" w:lineRule="auto" w:before="52"/>
        <w:ind w:left="513" w:right="0"/>
        <w:jc w:val="left"/>
      </w:pPr>
      <w:r>
        <w:rPr>
          <w:spacing w:val="-3"/>
        </w:rPr>
        <w:t>由于相关减值评估与测试需要管理层作出重大判断，因此我们将该类资产的减值评估识别为关键审计事项。</w:t>
      </w:r>
    </w:p>
    <w:p>
      <w:pPr>
        <w:spacing w:line="240" w:lineRule="auto" w:before="12"/>
        <w:rPr>
          <w:rFonts w:ascii="宋体" w:hAnsi="宋体" w:cs="宋体" w:eastAsia="宋体" w:hint="default"/>
          <w:sz w:val="17"/>
          <w:szCs w:val="17"/>
        </w:rPr>
      </w:pPr>
    </w:p>
    <w:p>
      <w:pPr>
        <w:pStyle w:val="BodyText"/>
        <w:spacing w:line="240" w:lineRule="auto"/>
        <w:ind w:left="513" w:right="0"/>
        <w:jc w:val="left"/>
      </w:pPr>
      <w:r>
        <w:rPr>
          <w:rFonts w:ascii="Times New Roman" w:hAnsi="Times New Roman" w:cs="Times New Roman" w:eastAsia="Times New Roman" w:hint="default"/>
        </w:rPr>
        <w:t>2</w:t>
      </w:r>
      <w:r>
        <w:rPr/>
        <w:t>、审计应对</w:t>
      </w:r>
    </w:p>
    <w:p>
      <w:pPr>
        <w:spacing w:line="240" w:lineRule="auto" w:before="7"/>
        <w:rPr>
          <w:rFonts w:ascii="宋体" w:hAnsi="宋体" w:cs="宋体" w:eastAsia="宋体" w:hint="default"/>
          <w:sz w:val="16"/>
          <w:szCs w:val="16"/>
        </w:rPr>
      </w:pPr>
    </w:p>
    <w:p>
      <w:pPr>
        <w:pStyle w:val="BodyText"/>
        <w:spacing w:line="240" w:lineRule="auto"/>
        <w:ind w:left="513" w:right="0"/>
        <w:jc w:val="left"/>
      </w:pPr>
      <w:r>
        <w:rPr>
          <w:spacing w:val="-3"/>
        </w:rPr>
        <w:t>（</w:t>
      </w:r>
      <w:r>
        <w:rPr>
          <w:rFonts w:ascii="Times New Roman" w:hAnsi="Times New Roman" w:cs="Times New Roman" w:eastAsia="Times New Roman" w:hint="default"/>
          <w:spacing w:val="-3"/>
        </w:rPr>
        <w:t>1</w:t>
      </w:r>
      <w:r>
        <w:rPr>
          <w:spacing w:val="-3"/>
        </w:rPr>
        <w:t>）了解并评价与商誉减值相关的关键内部控制；</w:t>
      </w:r>
    </w:p>
    <w:p>
      <w:pPr>
        <w:spacing w:line="240" w:lineRule="auto" w:before="12"/>
        <w:rPr>
          <w:rFonts w:ascii="宋体" w:hAnsi="宋体" w:cs="宋体" w:eastAsia="宋体" w:hint="default"/>
          <w:sz w:val="16"/>
          <w:szCs w:val="16"/>
        </w:rPr>
      </w:pPr>
    </w:p>
    <w:p>
      <w:pPr>
        <w:pStyle w:val="BodyText"/>
        <w:spacing w:line="240" w:lineRule="auto"/>
        <w:ind w:left="513" w:right="0"/>
        <w:jc w:val="left"/>
      </w:pPr>
      <w:r>
        <w:rPr/>
        <w:t>（</w:t>
      </w:r>
      <w:r>
        <w:rPr>
          <w:rFonts w:ascii="Times New Roman" w:hAnsi="Times New Roman" w:cs="Times New Roman" w:eastAsia="Times New Roman" w:hint="default"/>
        </w:rPr>
        <w:t>2</w:t>
      </w:r>
      <w:r>
        <w:rPr/>
        <w:t>）</w:t>
      </w:r>
      <w:r>
        <w:rPr>
          <w:spacing w:val="89"/>
        </w:rPr>
        <w:t> </w:t>
      </w:r>
      <w:r>
        <w:rPr>
          <w:spacing w:val="-3"/>
        </w:rPr>
        <w:t>评价公司管理层聘请的外部评估机构的胜任能力、专业素质和客观性；</w:t>
      </w:r>
    </w:p>
    <w:p>
      <w:pPr>
        <w:spacing w:line="240" w:lineRule="auto" w:before="7"/>
        <w:rPr>
          <w:rFonts w:ascii="宋体" w:hAnsi="宋体" w:cs="宋体" w:eastAsia="宋体" w:hint="default"/>
          <w:sz w:val="16"/>
          <w:szCs w:val="16"/>
        </w:rPr>
      </w:pPr>
    </w:p>
    <w:p>
      <w:pPr>
        <w:pStyle w:val="BodyText"/>
        <w:spacing w:line="453" w:lineRule="auto"/>
        <w:ind w:right="0" w:firstLine="360"/>
        <w:jc w:val="left"/>
      </w:pPr>
      <w:r>
        <w:rPr>
          <w:spacing w:val="-6"/>
        </w:rPr>
        <w:t>（</w:t>
      </w:r>
      <w:r>
        <w:rPr>
          <w:rFonts w:ascii="Times New Roman" w:hAnsi="Times New Roman" w:cs="Times New Roman" w:eastAsia="Times New Roman" w:hint="default"/>
          <w:spacing w:val="-6"/>
        </w:rPr>
        <w:t>3</w:t>
      </w:r>
      <w:r>
        <w:rPr>
          <w:spacing w:val="-6"/>
        </w:rPr>
        <w:t>）与公司管理层聘请的外部评估机构专家等讨论商誉减值测试过程中所使用的方法、关键评估的假设、参数的选择、</w:t>
      </w:r>
      <w:r>
        <w:rPr>
          <w:w w:val="101"/>
        </w:rPr>
        <w:t> </w:t>
      </w:r>
      <w:r>
        <w:rPr>
          <w:spacing w:val="-3"/>
        </w:rPr>
        <w:t>预测未来收入及现金流折现率等的合理性；</w:t>
      </w:r>
    </w:p>
    <w:p>
      <w:pPr>
        <w:pStyle w:val="BodyText"/>
        <w:spacing w:line="453" w:lineRule="auto" w:before="70"/>
        <w:ind w:left="513" w:right="3848"/>
        <w:jc w:val="left"/>
      </w:pPr>
      <w:r>
        <w:rPr>
          <w:spacing w:val="-3"/>
        </w:rPr>
        <w:t>（</w:t>
      </w:r>
      <w:r>
        <w:rPr>
          <w:rFonts w:ascii="Times New Roman" w:hAnsi="Times New Roman" w:cs="Times New Roman" w:eastAsia="Times New Roman" w:hint="default"/>
          <w:spacing w:val="-3"/>
        </w:rPr>
        <w:t>4</w:t>
      </w:r>
      <w:r>
        <w:rPr>
          <w:spacing w:val="-3"/>
        </w:rPr>
        <w:t>）我们引入了内部评估专家协助复核了评估方法、评估假设及关键参数。</w:t>
      </w:r>
      <w:r>
        <w:rPr>
          <w:spacing w:val="12"/>
        </w:rPr>
        <w:t> </w:t>
      </w:r>
      <w:r>
        <w:rPr>
          <w:spacing w:val="12"/>
        </w:rPr>
      </w:r>
      <w:r>
        <w:rPr/>
        <w:t>四、其他信息</w:t>
      </w:r>
    </w:p>
    <w:p>
      <w:pPr>
        <w:pStyle w:val="BodyText"/>
        <w:spacing w:line="240" w:lineRule="auto" w:before="70"/>
        <w:ind w:left="513" w:right="0"/>
        <w:jc w:val="left"/>
      </w:pPr>
      <w:r>
        <w:rPr>
          <w:spacing w:val="-3"/>
        </w:rPr>
        <w:t>银之杰公司管理层</w:t>
      </w:r>
      <w:r>
        <w:rPr>
          <w:rFonts w:ascii="Times New Roman" w:hAnsi="Times New Roman" w:cs="Times New Roman" w:eastAsia="Times New Roman" w:hint="default"/>
          <w:spacing w:val="-3"/>
        </w:rPr>
        <w:t>(</w:t>
      </w:r>
      <w:r>
        <w:rPr>
          <w:spacing w:val="-3"/>
        </w:rPr>
        <w:t>以下简称“管理层”</w:t>
      </w:r>
      <w:r>
        <w:rPr>
          <w:rFonts w:ascii="Times New Roman" w:hAnsi="Times New Roman" w:cs="Times New Roman" w:eastAsia="Times New Roman" w:hint="default"/>
          <w:spacing w:val="-3"/>
        </w:rPr>
        <w:t>)</w:t>
      </w:r>
      <w:r>
        <w:rPr>
          <w:spacing w:val="-3"/>
        </w:rPr>
        <w:t>对其他信息负责。其他信息包括 </w:t>
      </w:r>
      <w:r>
        <w:rPr>
          <w:rFonts w:ascii="Times New Roman" w:hAnsi="Times New Roman" w:cs="Times New Roman" w:eastAsia="Times New Roman" w:hint="default"/>
        </w:rPr>
        <w:t>2019  </w:t>
      </w:r>
      <w:r>
        <w:rPr>
          <w:rFonts w:ascii="Times New Roman" w:hAnsi="Times New Roman" w:cs="Times New Roman" w:eastAsia="Times New Roman" w:hint="default"/>
          <w:spacing w:val="17"/>
        </w:rPr>
        <w:t> </w:t>
      </w:r>
      <w:r>
        <w:rPr>
          <w:spacing w:val="-3"/>
        </w:rPr>
        <w:t>年年度报告中涵盖的信息，但不包括财</w:t>
      </w:r>
    </w:p>
    <w:p>
      <w:pPr>
        <w:spacing w:after="0" w:line="240" w:lineRule="auto"/>
        <w:jc w:val="left"/>
        <w:sectPr>
          <w:footerReference w:type="default" r:id="rId20"/>
          <w:pgSz w:w="11910" w:h="16840"/>
          <w:pgMar w:footer="1186" w:header="871" w:top="1100" w:bottom="1380" w:left="980" w:right="0"/>
          <w:pgNumType w:start="82"/>
        </w:sectPr>
      </w:pPr>
    </w:p>
    <w:p>
      <w:pPr>
        <w:spacing w:line="240" w:lineRule="auto" w:before="1"/>
        <w:rPr>
          <w:rFonts w:ascii="宋体" w:hAnsi="宋体" w:cs="宋体" w:eastAsia="宋体" w:hint="default"/>
          <w:sz w:val="28"/>
          <w:szCs w:val="28"/>
        </w:rPr>
      </w:pPr>
    </w:p>
    <w:p>
      <w:pPr>
        <w:pStyle w:val="BodyText"/>
        <w:spacing w:line="477" w:lineRule="auto" w:before="46"/>
        <w:ind w:left="513" w:right="1120" w:hanging="360"/>
        <w:jc w:val="left"/>
      </w:pPr>
      <w:r>
        <w:rPr>
          <w:spacing w:val="-3"/>
        </w:rPr>
        <w:t>务报表和我们的审计报告。</w:t>
      </w:r>
      <w:r>
        <w:rPr>
          <w:spacing w:val="-51"/>
        </w:rPr>
        <w:t> </w:t>
      </w:r>
      <w:r>
        <w:rPr>
          <w:spacing w:val="-51"/>
        </w:rPr>
      </w:r>
      <w:r>
        <w:rPr>
          <w:spacing w:val="-3"/>
        </w:rPr>
        <w:t>我们对财务报表发表的审计意见不涵盖其他信息，我们也不对其他信息发表任何形式的鉴证结论。</w:t>
      </w:r>
      <w:r>
        <w:rPr>
          <w:w w:val="101"/>
        </w:rPr>
        <w:t> </w:t>
      </w:r>
      <w:r>
        <w:rPr>
          <w:spacing w:val="-4"/>
        </w:rPr>
        <w:t>结合我们对财务报表的审计，我们的责任是阅读其他信息，在此过程中，考虑其他信息是否与财务报表或我们在审计过</w:t>
      </w:r>
    </w:p>
    <w:p>
      <w:pPr>
        <w:pStyle w:val="BodyText"/>
        <w:spacing w:line="480" w:lineRule="auto" w:before="52"/>
        <w:ind w:left="513" w:right="0" w:hanging="360"/>
        <w:jc w:val="left"/>
      </w:pPr>
      <w:r>
        <w:rPr>
          <w:spacing w:val="-3"/>
        </w:rPr>
        <w:t>程中了解到的情况存在重大不一致或者似乎存在重大错报。</w:t>
      </w:r>
      <w:r>
        <w:rPr>
          <w:spacing w:val="-10"/>
        </w:rPr>
        <w:t> </w:t>
      </w:r>
      <w:r>
        <w:rPr>
          <w:spacing w:val="-10"/>
        </w:rPr>
      </w:r>
      <w:r>
        <w:rPr>
          <w:spacing w:val="-5"/>
        </w:rPr>
        <w:t>基于我们已执行的工作，如果我们确定其他信息存在重大错报，我们应当报告该事实。在这方面，我们无任何事项需要</w:t>
      </w:r>
    </w:p>
    <w:p>
      <w:pPr>
        <w:pStyle w:val="BodyText"/>
        <w:spacing w:line="240" w:lineRule="auto" w:before="50"/>
        <w:ind w:right="0"/>
        <w:jc w:val="left"/>
      </w:pPr>
      <w:r>
        <w:rPr/>
        <w:t>报告。</w:t>
      </w:r>
    </w:p>
    <w:p>
      <w:pPr>
        <w:spacing w:line="240" w:lineRule="auto" w:before="13"/>
        <w:rPr>
          <w:rFonts w:ascii="宋体" w:hAnsi="宋体" w:cs="宋体" w:eastAsia="宋体" w:hint="default"/>
          <w:sz w:val="17"/>
          <w:szCs w:val="17"/>
        </w:rPr>
      </w:pPr>
    </w:p>
    <w:p>
      <w:pPr>
        <w:pStyle w:val="BodyText"/>
        <w:spacing w:line="475" w:lineRule="auto"/>
        <w:ind w:left="513" w:right="0"/>
        <w:jc w:val="left"/>
      </w:pPr>
      <w:r>
        <w:rPr>
          <w:spacing w:val="-3"/>
        </w:rPr>
        <w:t>五、管理层和治理层对财务报表的责任</w:t>
      </w:r>
      <w:r>
        <w:rPr>
          <w:spacing w:val="-39"/>
        </w:rPr>
        <w:t> </w:t>
      </w:r>
      <w:r>
        <w:rPr>
          <w:spacing w:val="-39"/>
        </w:rPr>
      </w:r>
      <w:r>
        <w:rPr>
          <w:spacing w:val="-5"/>
        </w:rPr>
        <w:t>管理层负责按照企业会计准则的规定编制财务报表，使其实现公允反映，并设计、执行和维护必要的内部控制，以使财</w:t>
      </w:r>
    </w:p>
    <w:p>
      <w:pPr>
        <w:pStyle w:val="BodyText"/>
        <w:spacing w:line="475" w:lineRule="auto" w:before="58"/>
        <w:ind w:left="513" w:right="0" w:hanging="360"/>
        <w:jc w:val="left"/>
      </w:pPr>
      <w:r>
        <w:rPr>
          <w:spacing w:val="-3"/>
        </w:rPr>
        <w:t>务报表不存在由于舞弊或错误导致的重大错报。</w:t>
      </w:r>
      <w:r>
        <w:rPr>
          <w:spacing w:val="-27"/>
        </w:rPr>
        <w:t> </w:t>
      </w:r>
      <w:r>
        <w:rPr>
          <w:spacing w:val="-27"/>
        </w:rPr>
      </w:r>
      <w:r>
        <w:rPr>
          <w:spacing w:val="-3"/>
        </w:rPr>
        <w:t>在编制财务报表时，管理层负责评估银之杰公司的持续经营能力，披露与持续经营相关的事项</w:t>
      </w:r>
      <w:r>
        <w:rPr>
          <w:rFonts w:ascii="Times New Roman" w:hAnsi="Times New Roman" w:cs="Times New Roman" w:eastAsia="Times New Roman" w:hint="default"/>
          <w:spacing w:val="-3"/>
        </w:rPr>
        <w:t>(</w:t>
      </w:r>
      <w:r>
        <w:rPr>
          <w:spacing w:val="-3"/>
        </w:rPr>
        <w:t>如适用</w:t>
      </w:r>
      <w:r>
        <w:rPr>
          <w:rFonts w:ascii="Times New Roman" w:hAnsi="Times New Roman" w:cs="Times New Roman" w:eastAsia="Times New Roman" w:hint="default"/>
          <w:spacing w:val="-3"/>
        </w:rPr>
        <w:t>)</w:t>
      </w:r>
      <w:r>
        <w:rPr>
          <w:spacing w:val="-3"/>
        </w:rPr>
        <w:t>，并运用持续经</w:t>
      </w:r>
    </w:p>
    <w:p>
      <w:pPr>
        <w:pStyle w:val="BodyText"/>
        <w:spacing w:line="468" w:lineRule="auto" w:before="26"/>
        <w:ind w:left="513" w:right="0" w:hanging="360"/>
        <w:jc w:val="left"/>
      </w:pPr>
      <w:r>
        <w:rPr>
          <w:spacing w:val="-3"/>
        </w:rPr>
        <w:t>营假设，除非管理层计划清算银之杰公司、终止运营或别无其他现实的选择。</w:t>
      </w:r>
      <w:r>
        <w:rPr>
          <w:spacing w:val="8"/>
        </w:rPr>
        <w:t> </w:t>
      </w:r>
      <w:r>
        <w:rPr>
          <w:spacing w:val="8"/>
        </w:rPr>
      </w:r>
      <w:r>
        <w:rPr>
          <w:spacing w:val="-3"/>
        </w:rPr>
        <w:t>银之杰公司治理层</w:t>
      </w:r>
      <w:r>
        <w:rPr>
          <w:rFonts w:ascii="Times New Roman" w:hAnsi="Times New Roman" w:cs="Times New Roman" w:eastAsia="Times New Roman" w:hint="default"/>
          <w:spacing w:val="-3"/>
        </w:rPr>
        <w:t>(</w:t>
      </w:r>
      <w:r>
        <w:rPr>
          <w:spacing w:val="-3"/>
        </w:rPr>
        <w:t>以下简称“治理层”</w:t>
      </w:r>
      <w:r>
        <w:rPr>
          <w:rFonts w:ascii="Times New Roman" w:hAnsi="Times New Roman" w:cs="Times New Roman" w:eastAsia="Times New Roman" w:hint="default"/>
          <w:spacing w:val="-3"/>
        </w:rPr>
        <w:t>)</w:t>
      </w:r>
      <w:r>
        <w:rPr>
          <w:spacing w:val="-3"/>
        </w:rPr>
        <w:t>负责监督银之杰公司的财务报告过程。</w:t>
      </w:r>
      <w:r>
        <w:rPr>
          <w:w w:val="101"/>
        </w:rPr>
        <w:t> </w:t>
      </w:r>
      <w:r>
        <w:rPr>
          <w:spacing w:val="-3"/>
        </w:rPr>
        <w:t>六、注册会计师对财务报表审计的责任</w:t>
      </w:r>
      <w:r>
        <w:rPr>
          <w:w w:val="101"/>
        </w:rPr>
        <w:t> </w:t>
      </w:r>
      <w:r>
        <w:rPr>
          <w:spacing w:val="-5"/>
          <w:w w:val="101"/>
        </w:rPr>
        <w:t>我们的目标是对财务报表整体是否不存在由于舞弊或错误导致的重大错报获取合理保证，并出具包含审计意见的审计报</w:t>
      </w:r>
      <w:r>
        <w:rPr>
          <w:spacing w:val="-5"/>
        </w:rPr>
      </w:r>
    </w:p>
    <w:p>
      <w:pPr>
        <w:pStyle w:val="BodyText"/>
        <w:spacing w:line="477" w:lineRule="auto" w:before="64"/>
        <w:ind w:right="1124"/>
        <w:jc w:val="both"/>
      </w:pPr>
      <w:r>
        <w:rPr>
          <w:spacing w:val="-4"/>
        </w:rPr>
        <w:t>告。合理保证是高水平的保证，但并不能保证按照审计准则执行的审计在某一重大错报存在时总能发现。错报可能由于舞弊</w:t>
      </w:r>
      <w:r>
        <w:rPr>
          <w:spacing w:val="43"/>
        </w:rPr>
        <w:t> </w:t>
      </w:r>
      <w:r>
        <w:rPr>
          <w:spacing w:val="43"/>
        </w:rPr>
      </w:r>
      <w:r>
        <w:rPr>
          <w:spacing w:val="-4"/>
        </w:rPr>
        <w:t>或错误导致，如果合理预期错报单独或汇总起来可能影响财务报表使用者依据财务报表作出的经济决策，则通常认为错报是</w:t>
      </w:r>
      <w:r>
        <w:rPr>
          <w:spacing w:val="43"/>
        </w:rPr>
        <w:t> </w:t>
      </w:r>
      <w:r>
        <w:rPr>
          <w:spacing w:val="43"/>
        </w:rPr>
      </w:r>
      <w:r>
        <w:rPr/>
        <w:t>重大的。</w:t>
      </w:r>
    </w:p>
    <w:p>
      <w:pPr>
        <w:pStyle w:val="BodyText"/>
        <w:spacing w:line="240" w:lineRule="auto" w:before="52"/>
        <w:ind w:left="513" w:right="0"/>
        <w:jc w:val="left"/>
      </w:pPr>
      <w:r>
        <w:rPr>
          <w:spacing w:val="-3"/>
        </w:rPr>
        <w:t>在按照审计准则执行审计工作的过程中，我们运用职业判断，并保持职业怀疑。同时，我们也执行以下工作：</w:t>
      </w:r>
    </w:p>
    <w:p>
      <w:pPr>
        <w:spacing w:line="240" w:lineRule="auto" w:before="12"/>
        <w:rPr>
          <w:rFonts w:ascii="宋体" w:hAnsi="宋体" w:cs="宋体" w:eastAsia="宋体" w:hint="default"/>
          <w:sz w:val="17"/>
          <w:szCs w:val="17"/>
        </w:rPr>
      </w:pPr>
    </w:p>
    <w:p>
      <w:pPr>
        <w:pStyle w:val="BodyText"/>
        <w:spacing w:line="463" w:lineRule="auto"/>
        <w:ind w:right="0" w:firstLine="360"/>
        <w:jc w:val="left"/>
      </w:pPr>
      <w:r>
        <w:rPr>
          <w:rFonts w:ascii="Times New Roman" w:hAnsi="Times New Roman" w:cs="Times New Roman" w:eastAsia="Times New Roman" w:hint="default"/>
        </w:rPr>
        <w:t>(</w:t>
      </w:r>
      <w:r>
        <w:rPr/>
        <w:t>一</w:t>
      </w:r>
      <w:r>
        <w:rPr>
          <w:rFonts w:ascii="Times New Roman" w:hAnsi="Times New Roman" w:cs="Times New Roman" w:eastAsia="Times New Roman" w:hint="default"/>
        </w:rPr>
        <w:t>)</w:t>
      </w:r>
      <w:r>
        <w:rPr>
          <w:rFonts w:ascii="Times New Roman" w:hAnsi="Times New Roman" w:cs="Times New Roman" w:eastAsia="Times New Roman" w:hint="default"/>
          <w:spacing w:val="8"/>
        </w:rPr>
        <w:t> </w:t>
      </w:r>
      <w:r>
        <w:rPr>
          <w:spacing w:val="-3"/>
        </w:rPr>
        <w:t>识别和评估由于舞弊或错误导致的财务报表重大错报风险，设计和实施审计程序以应对这些风险，并获取充分、</w:t>
      </w:r>
      <w:r>
        <w:rPr>
          <w:w w:val="101"/>
        </w:rPr>
        <w:t> </w:t>
      </w:r>
      <w:r>
        <w:rPr>
          <w:spacing w:val="-3"/>
        </w:rPr>
        <w:t>适当的审计证据，作为发表审计意见的基础。由于舞弊可能涉及串通、伪造、故意遗漏、虚假陈述或凌驾于内部控制之上，</w:t>
      </w:r>
      <w:r>
        <w:rPr>
          <w:spacing w:val="75"/>
        </w:rPr>
        <w:t> </w:t>
      </w:r>
      <w:r>
        <w:rPr>
          <w:spacing w:val="75"/>
        </w:rPr>
      </w:r>
      <w:r>
        <w:rPr>
          <w:spacing w:val="-3"/>
        </w:rPr>
        <w:t>未能发现由于舞弊导致的重大错报的风险高于未能发现由于错误导致的重大错报的风险。</w:t>
      </w:r>
    </w:p>
    <w:p>
      <w:pPr>
        <w:pStyle w:val="BodyText"/>
        <w:spacing w:line="240" w:lineRule="auto" w:before="62"/>
        <w:ind w:left="513" w:right="0"/>
        <w:jc w:val="left"/>
      </w:pPr>
      <w:r>
        <w:rPr>
          <w:rFonts w:ascii="Times New Roman" w:hAnsi="Times New Roman" w:cs="Times New Roman" w:eastAsia="Times New Roman" w:hint="default"/>
        </w:rPr>
        <w:t>(</w:t>
      </w:r>
      <w:r>
        <w:rPr/>
        <w:t>二</w:t>
      </w:r>
      <w:r>
        <w:rPr>
          <w:rFonts w:ascii="Times New Roman" w:hAnsi="Times New Roman" w:cs="Times New Roman" w:eastAsia="Times New Roman" w:hint="default"/>
        </w:rPr>
        <w:t>)   </w:t>
      </w:r>
      <w:r>
        <w:rPr>
          <w:rFonts w:ascii="Times New Roman" w:hAnsi="Times New Roman" w:cs="Times New Roman" w:eastAsia="Times New Roman" w:hint="default"/>
          <w:spacing w:val="39"/>
        </w:rPr>
        <w:t> </w:t>
      </w:r>
      <w:r>
        <w:rPr>
          <w:spacing w:val="-3"/>
        </w:rPr>
        <w:t>了解与审计相关的内部控制，以设计恰当的审计程序，但目的并非对内部控制的有效性发表意见。</w:t>
      </w:r>
    </w:p>
    <w:p>
      <w:pPr>
        <w:spacing w:line="240" w:lineRule="auto" w:before="12"/>
        <w:rPr>
          <w:rFonts w:ascii="宋体" w:hAnsi="宋体" w:cs="宋体" w:eastAsia="宋体" w:hint="default"/>
          <w:sz w:val="16"/>
          <w:szCs w:val="16"/>
        </w:rPr>
      </w:pPr>
    </w:p>
    <w:p>
      <w:pPr>
        <w:pStyle w:val="BodyText"/>
        <w:spacing w:line="240" w:lineRule="auto"/>
        <w:ind w:left="513" w:right="0"/>
        <w:jc w:val="left"/>
      </w:pPr>
      <w:r>
        <w:rPr>
          <w:rFonts w:ascii="Times New Roman" w:hAnsi="Times New Roman" w:cs="Times New Roman" w:eastAsia="Times New Roman" w:hint="default"/>
        </w:rPr>
        <w:t>(</w:t>
      </w:r>
      <w:r>
        <w:rPr/>
        <w:t>三</w:t>
      </w:r>
      <w:r>
        <w:rPr>
          <w:rFonts w:ascii="Times New Roman" w:hAnsi="Times New Roman" w:cs="Times New Roman" w:eastAsia="Times New Roman" w:hint="default"/>
        </w:rPr>
        <w:t>)   </w:t>
      </w:r>
      <w:r>
        <w:rPr>
          <w:rFonts w:ascii="Times New Roman" w:hAnsi="Times New Roman" w:cs="Times New Roman" w:eastAsia="Times New Roman" w:hint="default"/>
          <w:spacing w:val="4"/>
        </w:rPr>
        <w:t> </w:t>
      </w:r>
      <w:r>
        <w:rPr>
          <w:spacing w:val="-3"/>
        </w:rPr>
        <w:t>评价管理层选用会计政策的恰当性和作出会计估计及相关披露的合理性。</w:t>
      </w:r>
    </w:p>
    <w:p>
      <w:pPr>
        <w:spacing w:line="240" w:lineRule="auto" w:before="7"/>
        <w:rPr>
          <w:rFonts w:ascii="宋体" w:hAnsi="宋体" w:cs="宋体" w:eastAsia="宋体" w:hint="default"/>
          <w:sz w:val="16"/>
          <w:szCs w:val="16"/>
        </w:rPr>
      </w:pPr>
    </w:p>
    <w:p>
      <w:pPr>
        <w:pStyle w:val="BodyText"/>
        <w:spacing w:line="468" w:lineRule="auto"/>
        <w:ind w:right="0" w:firstLine="360"/>
        <w:jc w:val="left"/>
      </w:pPr>
      <w:r>
        <w:rPr>
          <w:rFonts w:ascii="Times New Roman" w:hAnsi="Times New Roman" w:cs="Times New Roman" w:eastAsia="Times New Roman" w:hint="default"/>
        </w:rPr>
        <w:t>(</w:t>
      </w:r>
      <w:r>
        <w:rPr/>
        <w:t>四</w:t>
      </w:r>
      <w:r>
        <w:rPr>
          <w:rFonts w:ascii="Times New Roman" w:hAnsi="Times New Roman" w:cs="Times New Roman" w:eastAsia="Times New Roman" w:hint="default"/>
        </w:rPr>
        <w:t>)</w:t>
      </w:r>
      <w:r>
        <w:rPr>
          <w:rFonts w:ascii="Times New Roman" w:hAnsi="Times New Roman" w:cs="Times New Roman" w:eastAsia="Times New Roman" w:hint="default"/>
          <w:spacing w:val="34"/>
        </w:rPr>
        <w:t> </w:t>
      </w:r>
      <w:r>
        <w:rPr>
          <w:spacing w:val="-3"/>
        </w:rPr>
        <w:t>对管理层使用持续经营假设的恰当性得出结论。同时，根据获取的审计证据，就可能导致对银之杰公司公司持续</w:t>
      </w:r>
      <w:r>
        <w:rPr>
          <w:w w:val="101"/>
        </w:rPr>
        <w:t> </w:t>
      </w:r>
      <w:r>
        <w:rPr>
          <w:spacing w:val="-5"/>
        </w:rPr>
        <w:t>经营能力产生重大疑虑的事项或情况是否存在重大不确定性得出结论。如果我们得出结论认为存在重大不确定性，审计准则</w:t>
      </w:r>
      <w:r>
        <w:rPr>
          <w:spacing w:val="6"/>
        </w:rPr>
        <w:t> </w:t>
      </w:r>
      <w:r>
        <w:rPr>
          <w:spacing w:val="6"/>
        </w:rPr>
      </w:r>
      <w:r>
        <w:rPr>
          <w:spacing w:val="-4"/>
        </w:rPr>
        <w:t>要求我们在审计报告中提请报表使用者注意财务报表中的相关披露；如果披露不充分，我们应当发表非无保留意见。我们的</w:t>
      </w:r>
      <w:r>
        <w:rPr>
          <w:spacing w:val="38"/>
        </w:rPr>
        <w:t> </w:t>
      </w:r>
      <w:r>
        <w:rPr>
          <w:spacing w:val="38"/>
        </w:rPr>
      </w:r>
      <w:r>
        <w:rPr>
          <w:spacing w:val="-3"/>
        </w:rPr>
        <w:t>结论基于截至审计报告日可获得的信息。然而，未来的事项或情况可能导致银之杰公司公司不能持续经营。</w:t>
      </w:r>
    </w:p>
    <w:p>
      <w:pPr>
        <w:pStyle w:val="BodyText"/>
        <w:spacing w:line="240" w:lineRule="auto" w:before="59"/>
        <w:ind w:left="513" w:right="0"/>
        <w:jc w:val="left"/>
      </w:pPr>
      <w:r>
        <w:rPr>
          <w:rFonts w:ascii="Times New Roman" w:hAnsi="Times New Roman" w:cs="Times New Roman" w:eastAsia="Times New Roman" w:hint="default"/>
        </w:rPr>
        <w:t>(</w:t>
      </w:r>
      <w:r>
        <w:rPr/>
        <w:t>五</w:t>
      </w:r>
      <w:r>
        <w:rPr>
          <w:rFonts w:ascii="Times New Roman" w:hAnsi="Times New Roman" w:cs="Times New Roman" w:eastAsia="Times New Roman" w:hint="default"/>
        </w:rPr>
        <w:t>)   </w:t>
      </w:r>
      <w:r>
        <w:rPr>
          <w:rFonts w:ascii="Times New Roman" w:hAnsi="Times New Roman" w:cs="Times New Roman" w:eastAsia="Times New Roman" w:hint="default"/>
          <w:spacing w:val="27"/>
        </w:rPr>
        <w:t> </w:t>
      </w:r>
      <w:r>
        <w:rPr>
          <w:spacing w:val="-3"/>
        </w:rPr>
        <w:t>评价财务报表的总体列报、结构和内容，并评价财务报表是否公允反映相关交易和事项。</w:t>
      </w:r>
    </w:p>
    <w:p>
      <w:pPr>
        <w:pStyle w:val="BodyText"/>
        <w:spacing w:line="450" w:lineRule="atLeast" w:before="20"/>
        <w:ind w:right="0" w:firstLine="360"/>
        <w:jc w:val="left"/>
      </w:pPr>
      <w:r>
        <w:rPr>
          <w:rFonts w:ascii="Times New Roman" w:hAnsi="Times New Roman" w:cs="Times New Roman" w:eastAsia="Times New Roman" w:hint="default"/>
        </w:rPr>
        <w:t>(</w:t>
      </w:r>
      <w:r>
        <w:rPr/>
        <w:t>六</w:t>
      </w:r>
      <w:r>
        <w:rPr>
          <w:rFonts w:ascii="Times New Roman" w:hAnsi="Times New Roman" w:cs="Times New Roman" w:eastAsia="Times New Roman" w:hint="default"/>
        </w:rPr>
        <w:t>)</w:t>
      </w:r>
      <w:r>
        <w:rPr>
          <w:rFonts w:ascii="Times New Roman" w:hAnsi="Times New Roman" w:cs="Times New Roman" w:eastAsia="Times New Roman" w:hint="default"/>
          <w:spacing w:val="34"/>
        </w:rPr>
        <w:t> </w:t>
      </w:r>
      <w:r>
        <w:rPr>
          <w:spacing w:val="-3"/>
        </w:rPr>
        <w:t>就银之杰公司中实体或业务活动的财务信息获取充分、适当的审计证据，以对财务报表发表审计意见。我们负责</w:t>
      </w:r>
      <w:r>
        <w:rPr>
          <w:w w:val="101"/>
        </w:rPr>
        <w:t> </w:t>
      </w:r>
      <w:r>
        <w:rPr>
          <w:spacing w:val="-3"/>
        </w:rPr>
        <w:t>指导、监督和执行集团审计，并对审计意见承担全部责任。</w:t>
      </w:r>
    </w:p>
    <w:p>
      <w:pPr>
        <w:spacing w:after="0" w:line="450" w:lineRule="atLeast"/>
        <w:jc w:val="left"/>
        <w:sectPr>
          <w:pgSz w:w="11910" w:h="16840"/>
          <w:pgMar w:header="871" w:footer="1186" w:top="1100" w:bottom="1380" w:left="980" w:right="0"/>
        </w:sectPr>
      </w:pPr>
    </w:p>
    <w:p>
      <w:pPr>
        <w:spacing w:line="240" w:lineRule="auto" w:before="1"/>
        <w:rPr>
          <w:rFonts w:ascii="宋体" w:hAnsi="宋体" w:cs="宋体" w:eastAsia="宋体" w:hint="default"/>
          <w:sz w:val="28"/>
          <w:szCs w:val="28"/>
        </w:rPr>
      </w:pPr>
    </w:p>
    <w:p>
      <w:pPr>
        <w:pStyle w:val="BodyText"/>
        <w:spacing w:line="475" w:lineRule="auto" w:before="46"/>
        <w:ind w:right="1124" w:firstLine="360"/>
        <w:jc w:val="both"/>
      </w:pPr>
      <w:r>
        <w:rPr>
          <w:spacing w:val="-4"/>
        </w:rPr>
        <w:t>我们与治理层就计划的审计范围、时间安排和重大审计发现等事项进行沟通，包括沟通我们在审计中识别出的值得关注</w:t>
      </w:r>
      <w:r>
        <w:rPr>
          <w:w w:val="101"/>
        </w:rPr>
        <w:t> </w:t>
      </w:r>
      <w:r>
        <w:rPr/>
        <w:t>的内部控制缺陷。</w:t>
      </w:r>
    </w:p>
    <w:p>
      <w:pPr>
        <w:pStyle w:val="BodyText"/>
        <w:spacing w:line="475" w:lineRule="auto" w:before="59"/>
        <w:ind w:right="1128" w:firstLine="360"/>
        <w:jc w:val="both"/>
      </w:pPr>
      <w:r>
        <w:rPr>
          <w:spacing w:val="-5"/>
          <w:w w:val="101"/>
        </w:rPr>
        <w:t>我们还就已遵守与独立性相关的职业道德要求向治理层提供声明，并与治理层沟通可能被合理认为影响我们独立性的所</w:t>
      </w:r>
      <w:r>
        <w:rPr>
          <w:w w:val="101"/>
        </w:rPr>
        <w:t> </w:t>
      </w:r>
      <w:r>
        <w:rPr>
          <w:spacing w:val="-3"/>
        </w:rPr>
        <w:t>有关系和其他事项，以及相关的防范措施</w:t>
      </w:r>
      <w:r>
        <w:rPr>
          <w:rFonts w:ascii="Times New Roman" w:hAnsi="Times New Roman" w:cs="Times New Roman" w:eastAsia="Times New Roman" w:hint="default"/>
          <w:spacing w:val="-3"/>
        </w:rPr>
        <w:t>(</w:t>
      </w:r>
      <w:r>
        <w:rPr>
          <w:spacing w:val="-3"/>
        </w:rPr>
        <w:t>如适用</w:t>
      </w:r>
      <w:r>
        <w:rPr>
          <w:rFonts w:ascii="Times New Roman" w:hAnsi="Times New Roman" w:cs="Times New Roman" w:eastAsia="Times New Roman" w:hint="default"/>
          <w:spacing w:val="-3"/>
        </w:rPr>
        <w:t>)</w:t>
      </w:r>
      <w:r>
        <w:rPr>
          <w:spacing w:val="-3"/>
        </w:rPr>
        <w:t>。</w:t>
      </w:r>
    </w:p>
    <w:p>
      <w:pPr>
        <w:pStyle w:val="BodyText"/>
        <w:spacing w:line="477" w:lineRule="auto" w:before="26"/>
        <w:ind w:right="1124" w:firstLine="360"/>
        <w:jc w:val="both"/>
      </w:pPr>
      <w:r>
        <w:rPr>
          <w:spacing w:val="-4"/>
        </w:rPr>
        <w:t>从与治理层沟通过的事项中，我们确定哪些事项对本期财务报表审计最为重要，因而构成关键审计事项。我们在审计报</w:t>
      </w:r>
      <w:r>
        <w:rPr>
          <w:w w:val="101"/>
        </w:rPr>
        <w:t> </w:t>
      </w:r>
      <w:r>
        <w:rPr>
          <w:spacing w:val="-4"/>
        </w:rPr>
        <w:t>告中描述这些事项，除非法律法规禁止公开披露这些事项，或在极少数情形下，如果合理预期在审计报告中沟通某事项造成</w:t>
      </w:r>
      <w:r>
        <w:rPr>
          <w:spacing w:val="43"/>
        </w:rPr>
        <w:t> </w:t>
      </w:r>
      <w:r>
        <w:rPr>
          <w:spacing w:val="43"/>
        </w:rPr>
      </w:r>
      <w:r>
        <w:rPr>
          <w:spacing w:val="-3"/>
        </w:rPr>
        <w:t>的负面后果超过在公众利益方面产生的益处，我们确定不应在审计报告中沟通该事项。</w:t>
      </w:r>
    </w:p>
    <w:p>
      <w:pPr>
        <w:spacing w:line="240" w:lineRule="auto" w:before="0"/>
        <w:rPr>
          <w:rFonts w:ascii="宋体" w:hAnsi="宋体" w:cs="宋体" w:eastAsia="宋体" w:hint="default"/>
          <w:sz w:val="18"/>
          <w:szCs w:val="18"/>
        </w:rPr>
      </w:pPr>
    </w:p>
    <w:p>
      <w:pPr>
        <w:pStyle w:val="BodyText"/>
        <w:tabs>
          <w:tab w:pos="7418" w:val="left" w:leader="none"/>
        </w:tabs>
        <w:spacing w:line="240" w:lineRule="auto" w:before="133"/>
        <w:ind w:left="4148" w:right="0"/>
        <w:jc w:val="left"/>
      </w:pPr>
      <w:r>
        <w:rPr>
          <w:spacing w:val="-3"/>
        </w:rPr>
        <w:t>中汇会计师事务所</w:t>
      </w:r>
      <w:r>
        <w:rPr>
          <w:rFonts w:ascii="Times New Roman" w:hAnsi="Times New Roman" w:cs="Times New Roman" w:eastAsia="Times New Roman" w:hint="default"/>
          <w:spacing w:val="-3"/>
        </w:rPr>
        <w:t>(</w:t>
      </w:r>
      <w:r>
        <w:rPr>
          <w:spacing w:val="-3"/>
        </w:rPr>
        <w:t>特殊普通合伙</w:t>
      </w:r>
      <w:r>
        <w:rPr>
          <w:rFonts w:ascii="Times New Roman" w:hAnsi="Times New Roman" w:cs="Times New Roman" w:eastAsia="Times New Roman" w:hint="default"/>
          <w:spacing w:val="-3"/>
        </w:rPr>
        <w:t>)</w:t>
        <w:tab/>
      </w:r>
      <w:r>
        <w:rPr>
          <w:spacing w:val="-3"/>
        </w:rPr>
        <w:t>中国注册会计师：章归鸿</w:t>
      </w:r>
    </w:p>
    <w:p>
      <w:pPr>
        <w:pStyle w:val="BodyText"/>
        <w:spacing w:line="240" w:lineRule="auto" w:before="101"/>
        <w:ind w:left="0" w:right="2328"/>
        <w:jc w:val="right"/>
        <w:rPr>
          <w:rFonts w:ascii="Times New Roman" w:hAnsi="Times New Roman" w:cs="Times New Roman" w:eastAsia="Times New Roman" w:hint="default"/>
        </w:rPr>
      </w:pPr>
      <w:r>
        <w:rPr>
          <w:rFonts w:ascii="Times New Roman" w:hAnsi="Times New Roman" w:cs="Times New Roman" w:eastAsia="Times New Roman" w:hint="default"/>
          <w:spacing w:val="-2"/>
        </w:rPr>
        <w:t>(</w:t>
      </w:r>
      <w:r>
        <w:rPr>
          <w:spacing w:val="-2"/>
        </w:rPr>
        <w:t>项目合伙人</w:t>
      </w:r>
      <w:r>
        <w:rPr>
          <w:rFonts w:ascii="Times New Roman" w:hAnsi="Times New Roman" w:cs="Times New Roman" w:eastAsia="Times New Roman" w:hint="default"/>
          <w:spacing w:val="-2"/>
        </w:rPr>
        <w:t>)</w:t>
      </w:r>
    </w:p>
    <w:p>
      <w:pPr>
        <w:pStyle w:val="BodyText"/>
        <w:tabs>
          <w:tab w:pos="7495" w:val="left" w:leader="none"/>
        </w:tabs>
        <w:spacing w:line="715" w:lineRule="auto" w:before="106"/>
        <w:ind w:left="6213" w:right="1443" w:hanging="1148"/>
        <w:jc w:val="left"/>
      </w:pPr>
      <w:r>
        <w:rPr>
          <w:spacing w:val="-2"/>
        </w:rPr>
        <w:t>中国•杭州</w:t>
        <w:tab/>
        <w:tab/>
      </w:r>
      <w:r>
        <w:rPr>
          <w:spacing w:val="-3"/>
        </w:rPr>
        <w:t>中国注册会计师：王甫荣</w:t>
      </w:r>
      <w:r>
        <w:rPr>
          <w:spacing w:val="-56"/>
        </w:rPr>
        <w:t> </w:t>
      </w:r>
      <w:r>
        <w:rPr>
          <w:spacing w:val="-56"/>
        </w:rPr>
      </w:r>
      <w:r>
        <w:rPr/>
        <w:t>报告日期：</w:t>
      </w:r>
      <w:r>
        <w:rPr>
          <w:rFonts w:ascii="Times New Roman" w:hAnsi="Times New Roman" w:cs="Times New Roman" w:eastAsia="Times New Roman" w:hint="default"/>
        </w:rPr>
        <w:t>2020</w:t>
      </w:r>
      <w:r>
        <w:rPr>
          <w:rFonts w:ascii="Times New Roman" w:hAnsi="Times New Roman" w:cs="Times New Roman" w:eastAsia="Times New Roman" w:hint="default"/>
          <w:spacing w:val="1"/>
        </w:rPr>
        <w:t> </w:t>
      </w:r>
      <w:r>
        <w:rPr/>
        <w:t>年</w:t>
      </w:r>
      <w:r>
        <w:rPr>
          <w:spacing w:val="-44"/>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月</w:t>
      </w:r>
      <w:r>
        <w:rPr>
          <w:spacing w:val="-49"/>
        </w:rPr>
        <w:t> </w:t>
      </w:r>
      <w:r>
        <w:rPr>
          <w:rFonts w:ascii="Times New Roman" w:hAnsi="Times New Roman" w:cs="Times New Roman" w:eastAsia="Times New Roman" w:hint="default"/>
        </w:rPr>
        <w:t>27</w:t>
      </w:r>
      <w:r>
        <w:rPr>
          <w:rFonts w:ascii="Times New Roman" w:hAnsi="Times New Roman" w:cs="Times New Roman" w:eastAsia="Times New Roman" w:hint="default"/>
          <w:spacing w:val="1"/>
        </w:rPr>
        <w:t> </w:t>
      </w:r>
      <w:r>
        <w:rPr/>
        <w:t>日</w:t>
      </w:r>
    </w:p>
    <w:p>
      <w:pPr>
        <w:spacing w:line="240" w:lineRule="auto" w:before="12"/>
        <w:rPr>
          <w:rFonts w:ascii="宋体" w:hAnsi="宋体" w:cs="宋体" w:eastAsia="宋体" w:hint="default"/>
          <w:sz w:val="19"/>
          <w:szCs w:val="19"/>
        </w:rPr>
      </w:pPr>
    </w:p>
    <w:p>
      <w:pPr>
        <w:pStyle w:val="Heading2"/>
        <w:spacing w:line="240" w:lineRule="auto"/>
        <w:ind w:right="0"/>
        <w:jc w:val="left"/>
        <w:rPr>
          <w:b w:val="0"/>
          <w:bCs w:val="0"/>
        </w:rPr>
      </w:pPr>
      <w:bookmarkStart w:name="二、财务报表" w:id="157"/>
      <w:bookmarkEnd w:id="157"/>
      <w:r>
        <w:rPr>
          <w:b w:val="0"/>
          <w:bCs w:val="0"/>
        </w:rPr>
      </w:r>
      <w:r>
        <w:rPr/>
        <w:t>二、财务报表</w:t>
      </w:r>
      <w:r>
        <w:rPr>
          <w:b w:val="0"/>
          <w:bCs w:val="0"/>
        </w:rPr>
      </w:r>
    </w:p>
    <w:p>
      <w:pPr>
        <w:spacing w:line="240" w:lineRule="auto" w:before="7"/>
        <w:rPr>
          <w:rFonts w:ascii="宋体" w:hAnsi="宋体" w:cs="宋体" w:eastAsia="宋体" w:hint="default"/>
          <w:b/>
          <w:bCs/>
          <w:sz w:val="27"/>
          <w:szCs w:val="27"/>
        </w:rPr>
      </w:pPr>
    </w:p>
    <w:p>
      <w:pPr>
        <w:pStyle w:val="BodyText"/>
        <w:spacing w:line="240" w:lineRule="auto"/>
        <w:ind w:right="0"/>
        <w:jc w:val="left"/>
      </w:pPr>
      <w:r>
        <w:rPr>
          <w:spacing w:val="-3"/>
        </w:rPr>
        <w:t>财务附注中报表的单位为：元</w:t>
      </w:r>
    </w:p>
    <w:p>
      <w:pPr>
        <w:spacing w:line="240" w:lineRule="auto" w:before="4"/>
        <w:rPr>
          <w:rFonts w:ascii="宋体" w:hAnsi="宋体" w:cs="宋体" w:eastAsia="宋体" w:hint="default"/>
          <w:sz w:val="26"/>
          <w:szCs w:val="26"/>
        </w:rPr>
      </w:pPr>
    </w:p>
    <w:p>
      <w:pPr>
        <w:pStyle w:val="Heading3"/>
        <w:spacing w:line="240" w:lineRule="auto"/>
        <w:ind w:right="0"/>
        <w:jc w:val="left"/>
        <w:rPr>
          <w:b w:val="0"/>
          <w:bCs w:val="0"/>
        </w:rPr>
      </w:pPr>
      <w:bookmarkStart w:name="1、合并资产负债表" w:id="158"/>
      <w:bookmarkEnd w:id="158"/>
      <w:r>
        <w:rPr>
          <w:b w:val="0"/>
          <w:bCs w:val="0"/>
        </w:rPr>
      </w:r>
      <w:r>
        <w:rPr>
          <w:rFonts w:ascii="Times New Roman" w:hAnsi="Times New Roman" w:cs="Times New Roman" w:eastAsia="Times New Roman" w:hint="default"/>
        </w:rPr>
        <w:t>1</w:t>
      </w:r>
      <w:r>
        <w:rPr/>
        <w:t>、合并资产负债表</w:t>
      </w:r>
      <w:r>
        <w:rPr>
          <w:b w:val="0"/>
          <w:bCs w:val="0"/>
        </w:rPr>
      </w:r>
    </w:p>
    <w:p>
      <w:pPr>
        <w:spacing w:line="240" w:lineRule="auto" w:before="7"/>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871" w:footer="1186" w:top="1100" w:bottom="1380" w:left="980" w:right="0"/>
        </w:sectPr>
      </w:pPr>
    </w:p>
    <w:p>
      <w:pPr>
        <w:pStyle w:val="BodyText"/>
        <w:spacing w:line="240" w:lineRule="auto" w:before="46"/>
        <w:ind w:right="0"/>
        <w:jc w:val="left"/>
      </w:pPr>
      <w:r>
        <w:rPr>
          <w:spacing w:val="-3"/>
        </w:rPr>
        <w:t>编制单位：深圳市银之杰科技股份有限公司</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9"/>
        <w:rPr>
          <w:rFonts w:ascii="宋体" w:hAnsi="宋体" w:cs="宋体" w:eastAsia="宋体" w:hint="default"/>
          <w:sz w:val="12"/>
          <w:szCs w:val="12"/>
        </w:rPr>
      </w:pPr>
    </w:p>
    <w:p>
      <w:pPr>
        <w:pStyle w:val="BodyText"/>
        <w:spacing w:line="240" w:lineRule="auto"/>
        <w:ind w:right="-17"/>
        <w:jc w:val="left"/>
      </w:pP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w:t>
      </w:r>
      <w:r>
        <w:rPr>
          <w:spacing w:val="-44"/>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44"/>
        </w:rPr>
        <w:t> </w:t>
      </w:r>
      <w:r>
        <w:rPr>
          <w:rFonts w:ascii="Times New Roman" w:hAnsi="Times New Roman" w:cs="Times New Roman" w:eastAsia="Times New Roman" w:hint="default"/>
        </w:rPr>
        <w:t>31</w:t>
      </w:r>
      <w:r>
        <w:rPr>
          <w:rFonts w:ascii="Times New Roman" w:hAnsi="Times New Roman" w:cs="Times New Roman" w:eastAsia="Times New Roman" w:hint="default"/>
          <w:spacing w:val="-4"/>
        </w:rPr>
        <w:t> </w:t>
      </w:r>
      <w:r>
        <w:rPr/>
        <w:t>日</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pStyle w:val="BodyText"/>
        <w:spacing w:line="240" w:lineRule="auto"/>
        <w:ind w:right="0"/>
        <w:jc w:val="left"/>
      </w:pPr>
      <w:r>
        <w:rPr/>
        <w:t>单位：元</w:t>
      </w:r>
    </w:p>
    <w:p>
      <w:pPr>
        <w:spacing w:after="0" w:line="240" w:lineRule="auto"/>
        <w:jc w:val="left"/>
        <w:sectPr>
          <w:type w:val="continuous"/>
          <w:pgSz w:w="11910" w:h="16840"/>
          <w:pgMar w:top="1580" w:bottom="700" w:left="980" w:right="0"/>
          <w:cols w:num="3" w:equalWidth="0">
            <w:col w:w="3577" w:space="500"/>
            <w:col w:w="1642" w:space="3203"/>
            <w:col w:w="2008"/>
          </w:cols>
        </w:sectPr>
      </w:pP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946"/>
        <w:gridCol w:w="3313"/>
        <w:gridCol w:w="3299"/>
      </w:tblGrid>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284"/>
              <w:jc w:val="right"/>
              <w:rPr>
                <w:rFonts w:ascii="宋体" w:hAnsi="宋体" w:cs="宋体" w:eastAsia="宋体" w:hint="default"/>
                <w:sz w:val="18"/>
                <w:szCs w:val="18"/>
              </w:rPr>
            </w:pPr>
            <w:r>
              <w:rPr>
                <w:rFonts w:ascii="宋体" w:hAnsi="宋体" w:cs="宋体" w:eastAsia="宋体" w:hint="default"/>
                <w:sz w:val="18"/>
                <w:szCs w:val="18"/>
              </w:rPr>
              <w:t>项目</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282,192,104.71</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389,798,968.49</w:t>
            </w: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1299"/>
              <w:jc w:val="right"/>
              <w:rPr>
                <w:rFonts w:ascii="宋体" w:hAnsi="宋体" w:cs="宋体" w:eastAsia="宋体" w:hint="default"/>
                <w:sz w:val="18"/>
                <w:szCs w:val="18"/>
              </w:rPr>
            </w:pPr>
            <w:r>
              <w:rPr>
                <w:rFonts w:ascii="宋体" w:hAnsi="宋体" w:cs="宋体" w:eastAsia="宋体" w:hint="default"/>
                <w:spacing w:val="-3"/>
                <w:sz w:val="18"/>
                <w:szCs w:val="18"/>
              </w:rPr>
              <w:t>交易性金融资产</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60,000,000.00</w:t>
            </w: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 w:right="36" w:firstLine="360"/>
              <w:jc w:val="left"/>
              <w:rPr>
                <w:rFonts w:ascii="宋体" w:hAnsi="宋体" w:cs="宋体" w:eastAsia="宋体" w:hint="default"/>
                <w:sz w:val="18"/>
                <w:szCs w:val="18"/>
              </w:rPr>
            </w:pPr>
            <w:r>
              <w:rPr>
                <w:rFonts w:ascii="宋体" w:hAnsi="宋体" w:cs="宋体" w:eastAsia="宋体" w:hint="default"/>
                <w:spacing w:val="-3"/>
                <w:sz w:val="18"/>
                <w:szCs w:val="18"/>
              </w:rPr>
              <w:t>以公允价值计量且其变动计入当</w:t>
            </w:r>
            <w:r>
              <w:rPr>
                <w:rFonts w:ascii="宋体" w:hAnsi="宋体" w:cs="宋体" w:eastAsia="宋体" w:hint="default"/>
                <w:w w:val="101"/>
                <w:sz w:val="18"/>
                <w:szCs w:val="18"/>
              </w:rPr>
              <w:t> </w:t>
            </w:r>
            <w:r>
              <w:rPr>
                <w:rFonts w:ascii="宋体" w:hAnsi="宋体" w:cs="宋体" w:eastAsia="宋体" w:hint="default"/>
                <w:sz w:val="18"/>
                <w:szCs w:val="18"/>
              </w:rPr>
              <w:t>期损益的金融资产</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406,195,706.46</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387,092,859.87</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580" w:bottom="70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2946"/>
        <w:gridCol w:w="3313"/>
        <w:gridCol w:w="3299"/>
      </w:tblGrid>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191,369,361.13</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121,317,967.75</w:t>
            </w: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应收分保合同准备金</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47,794,136.39</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43,896,402.45</w:t>
            </w: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54" w:right="0"/>
              <w:jc w:val="left"/>
              <w:rPr>
                <w:rFonts w:ascii="宋体" w:hAnsi="宋体" w:cs="宋体" w:eastAsia="宋体" w:hint="default"/>
                <w:sz w:val="18"/>
                <w:szCs w:val="18"/>
              </w:rPr>
            </w:pPr>
            <w:r>
              <w:rPr>
                <w:rFonts w:ascii="宋体" w:hAnsi="宋体" w:cs="宋体" w:eastAsia="宋体" w:hint="default"/>
                <w:spacing w:val="-3"/>
                <w:sz w:val="18"/>
                <w:szCs w:val="18"/>
              </w:rPr>
              <w:t>其中：应收利息</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315,616.44</w:t>
            </w: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24"/>
              <w:jc w:val="center"/>
              <w:rPr>
                <w:rFonts w:ascii="宋体" w:hAnsi="宋体" w:cs="宋体" w:eastAsia="宋体" w:hint="default"/>
                <w:sz w:val="18"/>
                <w:szCs w:val="18"/>
              </w:rPr>
            </w:pPr>
            <w:r>
              <w:rPr>
                <w:rFonts w:ascii="宋体" w:hAnsi="宋体" w:cs="宋体" w:eastAsia="宋体" w:hint="default"/>
                <w:sz w:val="18"/>
                <w:szCs w:val="18"/>
              </w:rPr>
              <w:t>应收股利</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100,871,874.99</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127,534,000.88</w:t>
            </w: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合同资产</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pacing w:val="-3"/>
                <w:sz w:val="18"/>
                <w:szCs w:val="18"/>
              </w:rPr>
              <w:t>一年内到期的非流动资产</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161,140,756.94</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239,573,173.29</w:t>
            </w: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1,249,563,940.62</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1,309,213,372.73</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pacing w:val="-3"/>
                <w:sz w:val="18"/>
                <w:szCs w:val="18"/>
              </w:rPr>
              <w:t>发放贷款和垫款</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债权投资</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30,000,000.00</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其他债权投资</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pacing w:val="-3"/>
                <w:sz w:val="18"/>
                <w:szCs w:val="18"/>
              </w:rPr>
              <w:t>持有至到期投资</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481,429,465.01</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537,260,988.53</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72,250,014.54</w:t>
            </w: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pacing w:val="-3"/>
                <w:sz w:val="18"/>
                <w:szCs w:val="18"/>
              </w:rPr>
              <w:t>其他非流动金融资产</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17,315,049.28</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13,570,998.25</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生产性生物资产</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使用权资产</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55,483,496.17</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52,398,706.48</w:t>
            </w: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12,759,968.70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7,052,562.82</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155,617,924.66</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155,617,924.66</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5,472,231.76</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6,880,251.17</w:t>
            </w:r>
          </w:p>
        </w:tc>
      </w:tr>
    </w:tbl>
    <w:p>
      <w:pPr>
        <w:spacing w:after="0" w:line="240" w:lineRule="auto"/>
        <w:jc w:val="right"/>
        <w:rPr>
          <w:rFonts w:ascii="Times New Roman" w:hAnsi="Times New Roman" w:cs="Times New Roman" w:eastAsia="Times New Roman" w:hint="default"/>
          <w:sz w:val="18"/>
          <w:szCs w:val="18"/>
        </w:rPr>
        <w:sectPr>
          <w:pgSz w:w="11910" w:h="16840"/>
          <w:pgMar w:header="871" w:footer="1186" w:top="1100" w:bottom="138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2946"/>
        <w:gridCol w:w="3313"/>
        <w:gridCol w:w="3299"/>
      </w:tblGrid>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递延所得税资产</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45,008,942.71</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31,032,052.92</w:t>
            </w: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其他非流动资产</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2"/>
                <w:sz w:val="18"/>
              </w:rPr>
              <w:t>11,527,148.00</w:t>
            </w: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1" w:right="0"/>
              <w:jc w:val="left"/>
              <w:rPr>
                <w:rFonts w:ascii="宋体" w:hAnsi="宋体" w:cs="宋体" w:eastAsia="宋体" w:hint="default"/>
                <w:sz w:val="18"/>
                <w:szCs w:val="18"/>
              </w:rPr>
            </w:pPr>
            <w:r>
              <w:rPr>
                <w:rFonts w:ascii="宋体" w:hAnsi="宋体" w:cs="宋体" w:eastAsia="宋体" w:hint="default"/>
                <w:spacing w:val="-3"/>
                <w:sz w:val="18"/>
                <w:szCs w:val="18"/>
              </w:rPr>
              <w:t>非流动资产合计</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845,337,092.83</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845,340,632.83</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2,094,901,033.45</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2,154,554,005.56</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330,456,086.25</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287,900,000.00</w:t>
            </w: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pacing w:val="-3"/>
                <w:sz w:val="18"/>
                <w:szCs w:val="18"/>
              </w:rPr>
              <w:t>向中央银行借款</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交易性金融负债</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50,455.50</w:t>
            </w: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 w:right="36" w:firstLine="360"/>
              <w:jc w:val="left"/>
              <w:rPr>
                <w:rFonts w:ascii="宋体" w:hAnsi="宋体" w:cs="宋体" w:eastAsia="宋体" w:hint="default"/>
                <w:sz w:val="18"/>
                <w:szCs w:val="18"/>
              </w:rPr>
            </w:pPr>
            <w:r>
              <w:rPr>
                <w:rFonts w:ascii="宋体" w:hAnsi="宋体" w:cs="宋体" w:eastAsia="宋体" w:hint="default"/>
                <w:spacing w:val="-3"/>
                <w:sz w:val="18"/>
                <w:szCs w:val="18"/>
              </w:rPr>
              <w:t>以公允价值计量且其变动计入当</w:t>
            </w:r>
            <w:r>
              <w:rPr>
                <w:rFonts w:ascii="宋体" w:hAnsi="宋体" w:cs="宋体" w:eastAsia="宋体" w:hint="default"/>
                <w:w w:val="101"/>
                <w:sz w:val="18"/>
                <w:szCs w:val="18"/>
              </w:rPr>
              <w:t> </w:t>
            </w:r>
            <w:r>
              <w:rPr>
                <w:rFonts w:ascii="宋体" w:hAnsi="宋体" w:cs="宋体" w:eastAsia="宋体" w:hint="default"/>
                <w:sz w:val="18"/>
                <w:szCs w:val="18"/>
              </w:rPr>
              <w:t>期损益的金融负债</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37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25,159,856.89</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55,722,833.97</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58,497,226.90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45,562,442.24</w:t>
            </w: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92,180,724.63</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2"/>
                <w:sz w:val="18"/>
              </w:rPr>
              <w:t>114,372,352.56</w:t>
            </w: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371" w:right="0"/>
              <w:jc w:val="left"/>
              <w:rPr>
                <w:rFonts w:ascii="宋体" w:hAnsi="宋体" w:cs="宋体" w:eastAsia="宋体" w:hint="default"/>
                <w:sz w:val="18"/>
                <w:szCs w:val="18"/>
              </w:rPr>
            </w:pPr>
            <w:r>
              <w:rPr>
                <w:rFonts w:ascii="宋体" w:hAnsi="宋体" w:cs="宋体" w:eastAsia="宋体" w:hint="default"/>
                <w:sz w:val="18"/>
                <w:szCs w:val="18"/>
              </w:rPr>
              <w:t>合同负债</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卖出回购金融资产款</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吸收存款及同业存放</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代理买卖证券款</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371" w:right="0"/>
              <w:jc w:val="left"/>
              <w:rPr>
                <w:rFonts w:ascii="宋体" w:hAnsi="宋体" w:cs="宋体" w:eastAsia="宋体" w:hint="default"/>
                <w:sz w:val="18"/>
                <w:szCs w:val="18"/>
              </w:rPr>
            </w:pPr>
            <w:r>
              <w:rPr>
                <w:rFonts w:ascii="宋体" w:hAnsi="宋体" w:cs="宋体" w:eastAsia="宋体" w:hint="default"/>
                <w:spacing w:val="-3"/>
                <w:sz w:val="18"/>
                <w:szCs w:val="18"/>
              </w:rPr>
              <w:t>代理承销证券款</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15,365,076.46</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8,477,706.20</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76,298,939.41</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80,029,952.37</w:t>
            </w: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4,023,030.58</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18,882,268.06</w:t>
            </w: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554" w:right="0"/>
              <w:jc w:val="left"/>
              <w:rPr>
                <w:rFonts w:ascii="宋体" w:hAnsi="宋体" w:cs="宋体" w:eastAsia="宋体" w:hint="default"/>
                <w:sz w:val="18"/>
                <w:szCs w:val="18"/>
              </w:rPr>
            </w:pPr>
            <w:r>
              <w:rPr>
                <w:rFonts w:ascii="宋体" w:hAnsi="宋体" w:cs="宋体" w:eastAsia="宋体" w:hint="default"/>
                <w:spacing w:val="-3"/>
                <w:sz w:val="18"/>
                <w:szCs w:val="18"/>
              </w:rPr>
              <w:t>其中：应付利息</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669,234.71</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24"/>
              <w:jc w:val="center"/>
              <w:rPr>
                <w:rFonts w:ascii="宋体" w:hAnsi="宋体" w:cs="宋体" w:eastAsia="宋体" w:hint="default"/>
                <w:sz w:val="18"/>
                <w:szCs w:val="18"/>
              </w:rPr>
            </w:pPr>
            <w:r>
              <w:rPr>
                <w:rFonts w:ascii="宋体" w:hAnsi="宋体" w:cs="宋体" w:eastAsia="宋体" w:hint="default"/>
                <w:sz w:val="18"/>
                <w:szCs w:val="18"/>
              </w:rPr>
              <w:t>应付股利</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pacing w:val="-3"/>
                <w:sz w:val="18"/>
                <w:szCs w:val="18"/>
              </w:rPr>
              <w:t>一年内到期的非流动负债</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110,169,897.26</w:t>
            </w: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712,201,293.88</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610,947,555.40</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pacing w:val="-3"/>
                <w:sz w:val="18"/>
                <w:szCs w:val="18"/>
              </w:rPr>
              <w:t>保险合同准备金</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170,000,000.00</w:t>
            </w:r>
          </w:p>
        </w:tc>
      </w:tr>
    </w:tbl>
    <w:p>
      <w:pPr>
        <w:spacing w:after="0" w:line="240" w:lineRule="auto"/>
        <w:jc w:val="right"/>
        <w:rPr>
          <w:rFonts w:ascii="Times New Roman" w:hAnsi="Times New Roman" w:cs="Times New Roman" w:eastAsia="Times New Roman" w:hint="default"/>
          <w:sz w:val="18"/>
          <w:szCs w:val="18"/>
        </w:rPr>
        <w:sectPr>
          <w:pgSz w:w="11910" w:h="16840"/>
          <w:pgMar w:header="871" w:footer="1186" w:top="1100" w:bottom="138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2946"/>
        <w:gridCol w:w="3313"/>
        <w:gridCol w:w="3299"/>
      </w:tblGrid>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54" w:right="0"/>
              <w:jc w:val="left"/>
              <w:rPr>
                <w:rFonts w:ascii="宋体" w:hAnsi="宋体" w:cs="宋体" w:eastAsia="宋体" w:hint="default"/>
                <w:sz w:val="18"/>
                <w:szCs w:val="18"/>
              </w:rPr>
            </w:pPr>
            <w:r>
              <w:rPr>
                <w:rFonts w:ascii="宋体" w:hAnsi="宋体" w:cs="宋体" w:eastAsia="宋体" w:hint="default"/>
                <w:spacing w:val="-3"/>
                <w:sz w:val="18"/>
                <w:szCs w:val="18"/>
              </w:rPr>
              <w:t>其中：优先股</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206"/>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租赁负债</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4,370,890.19</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5,056,825.79</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递延所得税负债</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3,860,693.19</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2,655,208.66</w:t>
            </w: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其他非流动负债</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1" w:right="0"/>
              <w:jc w:val="left"/>
              <w:rPr>
                <w:rFonts w:ascii="宋体" w:hAnsi="宋体" w:cs="宋体" w:eastAsia="宋体" w:hint="default"/>
                <w:sz w:val="18"/>
                <w:szCs w:val="18"/>
              </w:rPr>
            </w:pPr>
            <w:r>
              <w:rPr>
                <w:rFonts w:ascii="宋体" w:hAnsi="宋体" w:cs="宋体" w:eastAsia="宋体" w:hint="default"/>
                <w:spacing w:val="-3"/>
                <w:sz w:val="18"/>
                <w:szCs w:val="18"/>
              </w:rPr>
              <w:t>非流动负债合计</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8,231,583.38</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177,712,034.45</w:t>
            </w: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720,432,877.26</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788,659,589.85</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706,640,535.00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706,640,535.00</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554" w:right="0"/>
              <w:jc w:val="left"/>
              <w:rPr>
                <w:rFonts w:ascii="宋体" w:hAnsi="宋体" w:cs="宋体" w:eastAsia="宋体" w:hint="default"/>
                <w:sz w:val="18"/>
                <w:szCs w:val="18"/>
              </w:rPr>
            </w:pPr>
            <w:r>
              <w:rPr>
                <w:rFonts w:ascii="宋体" w:hAnsi="宋体" w:cs="宋体" w:eastAsia="宋体" w:hint="default"/>
                <w:spacing w:val="-3"/>
                <w:sz w:val="18"/>
                <w:szCs w:val="18"/>
              </w:rPr>
              <w:t>其中：优先股</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206"/>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389,366,482.10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375,979,751.21</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310,475.25</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-12,588,336.41</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28,766,052.06</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27,821,403.26</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228,084,840.87</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253,412,946.83</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归属于母公司所有者权益合计</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1,353,168,385.28</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1,351,266,299.89</w:t>
            </w: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21,299,770.91</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2"/>
                <w:sz w:val="18"/>
              </w:rPr>
              <w:t>14,628,115.82</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1" w:right="0"/>
              <w:jc w:val="left"/>
              <w:rPr>
                <w:rFonts w:ascii="宋体" w:hAnsi="宋体" w:cs="宋体" w:eastAsia="宋体" w:hint="default"/>
                <w:sz w:val="18"/>
                <w:szCs w:val="18"/>
              </w:rPr>
            </w:pPr>
            <w:r>
              <w:rPr>
                <w:rFonts w:ascii="宋体" w:hAnsi="宋体" w:cs="宋体" w:eastAsia="宋体" w:hint="default"/>
                <w:spacing w:val="-3"/>
                <w:sz w:val="18"/>
                <w:szCs w:val="18"/>
              </w:rPr>
              <w:t>所有者权益合计</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2"/>
                <w:sz w:val="18"/>
              </w:rPr>
              <w:t>1,374,468,156.19</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2"/>
                <w:sz w:val="18"/>
              </w:rPr>
              <w:t>1,365,894,415.71</w:t>
            </w: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2,094,901,033.45</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2,154,554,005.56</w:t>
            </w:r>
          </w:p>
        </w:tc>
      </w:tr>
    </w:tbl>
    <w:p>
      <w:pPr>
        <w:spacing w:line="240" w:lineRule="auto" w:before="2"/>
        <w:rPr>
          <w:rFonts w:ascii="Times New Roman" w:hAnsi="Times New Roman" w:cs="Times New Roman" w:eastAsia="Times New Roman" w:hint="default"/>
          <w:sz w:val="23"/>
          <w:szCs w:val="23"/>
        </w:rPr>
      </w:pPr>
    </w:p>
    <w:p>
      <w:pPr>
        <w:pStyle w:val="BodyText"/>
        <w:tabs>
          <w:tab w:pos="3515" w:val="left" w:leader="none"/>
          <w:tab w:pos="7567" w:val="left" w:leader="none"/>
        </w:tabs>
        <w:spacing w:line="240" w:lineRule="auto" w:before="46"/>
        <w:ind w:left="0" w:right="1218"/>
        <w:jc w:val="right"/>
      </w:pPr>
      <w:r>
        <w:rPr>
          <w:spacing w:val="-3"/>
        </w:rPr>
        <w:t>法定代表人：陈向军</w:t>
        <w:tab/>
        <w:t>主管会计工作负责人：刘奕</w:t>
        <w:tab/>
        <w:t>会计机构负责人：张春雷</w:t>
      </w:r>
    </w:p>
    <w:p>
      <w:pPr>
        <w:spacing w:line="240" w:lineRule="auto" w:before="8"/>
        <w:rPr>
          <w:rFonts w:ascii="宋体" w:hAnsi="宋体" w:cs="宋体" w:eastAsia="宋体" w:hint="default"/>
          <w:sz w:val="26"/>
          <w:szCs w:val="26"/>
        </w:rPr>
      </w:pPr>
    </w:p>
    <w:p>
      <w:pPr>
        <w:pStyle w:val="Heading3"/>
        <w:spacing w:line="240" w:lineRule="auto"/>
        <w:ind w:right="0"/>
        <w:jc w:val="left"/>
        <w:rPr>
          <w:b w:val="0"/>
          <w:bCs w:val="0"/>
        </w:rPr>
      </w:pPr>
      <w:bookmarkStart w:name="2、母公司资产负债表" w:id="159"/>
      <w:bookmarkEnd w:id="159"/>
      <w:r>
        <w:rPr>
          <w:b w:val="0"/>
          <w:bCs w:val="0"/>
        </w:rPr>
      </w:r>
      <w:r>
        <w:rPr>
          <w:rFonts w:ascii="Times New Roman" w:hAnsi="Times New Roman" w:cs="Times New Roman" w:eastAsia="Times New Roman" w:hint="default"/>
        </w:rPr>
        <w:t>2</w:t>
      </w:r>
      <w:r>
        <w:rPr/>
        <w:t>、母公司资产负债表</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left="0" w:right="1122"/>
        <w:jc w:val="right"/>
      </w:pPr>
      <w:r>
        <w:rPr>
          <w:spacing w:val="-2"/>
        </w:rPr>
        <w:t>单位：元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967"/>
        <w:gridCol w:w="3304"/>
        <w:gridCol w:w="3299"/>
      </w:tblGrid>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871" w:footer="1186" w:top="1100" w:bottom="138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2946"/>
        <w:gridCol w:w="3313"/>
        <w:gridCol w:w="3299"/>
      </w:tblGrid>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155,557,350.59</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264,399,492.17</w:t>
            </w: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交易性金融资产</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60,000,000.00</w:t>
            </w: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8"/>
              <w:ind w:left="11" w:right="36" w:firstLine="360"/>
              <w:jc w:val="left"/>
              <w:rPr>
                <w:rFonts w:ascii="宋体" w:hAnsi="宋体" w:cs="宋体" w:eastAsia="宋体" w:hint="default"/>
                <w:sz w:val="18"/>
                <w:szCs w:val="18"/>
              </w:rPr>
            </w:pPr>
            <w:r>
              <w:rPr>
                <w:rFonts w:ascii="宋体" w:hAnsi="宋体" w:cs="宋体" w:eastAsia="宋体" w:hint="default"/>
                <w:spacing w:val="-3"/>
                <w:sz w:val="18"/>
                <w:szCs w:val="18"/>
              </w:rPr>
              <w:t>以公允价值计量且其变动计入当</w:t>
            </w:r>
            <w:r>
              <w:rPr>
                <w:rFonts w:ascii="宋体" w:hAnsi="宋体" w:cs="宋体" w:eastAsia="宋体" w:hint="default"/>
                <w:w w:val="101"/>
                <w:sz w:val="18"/>
                <w:szCs w:val="18"/>
              </w:rPr>
              <w:t> </w:t>
            </w:r>
            <w:r>
              <w:rPr>
                <w:rFonts w:ascii="宋体" w:hAnsi="宋体" w:cs="宋体" w:eastAsia="宋体" w:hint="default"/>
                <w:sz w:val="18"/>
                <w:szCs w:val="18"/>
              </w:rPr>
              <w:t>期损益的金融资产</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177,291,770.36</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160,522,838.38</w:t>
            </w: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371"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15,003,429.49</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1,137,197.70</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122,231,918.77</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104,684,879.40</w:t>
            </w: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54" w:right="0"/>
              <w:jc w:val="left"/>
              <w:rPr>
                <w:rFonts w:ascii="宋体" w:hAnsi="宋体" w:cs="宋体" w:eastAsia="宋体" w:hint="default"/>
                <w:sz w:val="18"/>
                <w:szCs w:val="18"/>
              </w:rPr>
            </w:pPr>
            <w:r>
              <w:rPr>
                <w:rFonts w:ascii="宋体" w:hAnsi="宋体" w:cs="宋体" w:eastAsia="宋体" w:hint="default"/>
                <w:spacing w:val="-3"/>
                <w:sz w:val="18"/>
                <w:szCs w:val="18"/>
              </w:rPr>
              <w:t>其中：应收利息</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315,616.44</w:t>
            </w: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right="24"/>
              <w:jc w:val="center"/>
              <w:rPr>
                <w:rFonts w:ascii="宋体" w:hAnsi="宋体" w:cs="宋体" w:eastAsia="宋体" w:hint="default"/>
                <w:sz w:val="18"/>
                <w:szCs w:val="18"/>
              </w:rPr>
            </w:pPr>
            <w:r>
              <w:rPr>
                <w:rFonts w:ascii="宋体" w:hAnsi="宋体" w:cs="宋体" w:eastAsia="宋体" w:hint="default"/>
                <w:sz w:val="18"/>
                <w:szCs w:val="18"/>
              </w:rPr>
              <w:t>应收股利</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101"/>
              <w:ind w:right="18"/>
              <w:jc w:val="right"/>
              <w:rPr>
                <w:rFonts w:ascii="Times New Roman" w:hAnsi="Times New Roman" w:cs="Times New Roman" w:eastAsia="Times New Roman" w:hint="default"/>
                <w:sz w:val="18"/>
                <w:szCs w:val="18"/>
              </w:rPr>
            </w:pPr>
            <w:r>
              <w:rPr>
                <w:rFonts w:ascii="Times New Roman"/>
                <w:spacing w:val="-1"/>
                <w:sz w:val="18"/>
              </w:rPr>
              <w:t>50,000,000.00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2"/>
              <w:jc w:val="right"/>
              <w:rPr>
                <w:rFonts w:ascii="Times New Roman" w:hAnsi="Times New Roman" w:cs="Times New Roman" w:eastAsia="Times New Roman" w:hint="default"/>
                <w:sz w:val="18"/>
                <w:szCs w:val="18"/>
              </w:rPr>
            </w:pPr>
            <w:r>
              <w:rPr>
                <w:rFonts w:ascii="Times New Roman"/>
                <w:spacing w:val="-1"/>
                <w:sz w:val="18"/>
              </w:rPr>
              <w:t>20,000,000.00</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13,633,875.91</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30,221,099.60</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合同资产</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371" w:right="0"/>
              <w:jc w:val="left"/>
              <w:rPr>
                <w:rFonts w:ascii="宋体" w:hAnsi="宋体" w:cs="宋体" w:eastAsia="宋体" w:hint="default"/>
                <w:sz w:val="18"/>
                <w:szCs w:val="18"/>
              </w:rPr>
            </w:pPr>
            <w:r>
              <w:rPr>
                <w:rFonts w:ascii="宋体" w:hAnsi="宋体" w:cs="宋体" w:eastAsia="宋体" w:hint="default"/>
                <w:spacing w:val="-3"/>
                <w:sz w:val="18"/>
                <w:szCs w:val="18"/>
              </w:rPr>
              <w:t>一年内到期的非流动资产</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105,587,687.15</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167,662,296.34</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649,306,032.27</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728,627,803.59</w:t>
            </w: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371" w:right="0"/>
              <w:jc w:val="left"/>
              <w:rPr>
                <w:rFonts w:ascii="宋体" w:hAnsi="宋体" w:cs="宋体" w:eastAsia="宋体" w:hint="default"/>
                <w:sz w:val="18"/>
                <w:szCs w:val="18"/>
              </w:rPr>
            </w:pPr>
            <w:r>
              <w:rPr>
                <w:rFonts w:ascii="宋体" w:hAnsi="宋体" w:cs="宋体" w:eastAsia="宋体" w:hint="default"/>
                <w:sz w:val="18"/>
                <w:szCs w:val="18"/>
              </w:rPr>
              <w:t>债权投资</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30,000,000.00</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其他债权投资</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持有至到期投资</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846,414,032.41</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863,263,521.44</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42,250,000.00</w:t>
            </w: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其他非流动金融资产</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11,922,030.26</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8,984,803.73</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生产性生物资产</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z w:val="18"/>
                <w:szCs w:val="18"/>
              </w:rPr>
              <w:t>使用权资产</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23,401,436.55</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32,083,410.60</w:t>
            </w:r>
          </w:p>
        </w:tc>
      </w:tr>
    </w:tbl>
    <w:p>
      <w:pPr>
        <w:spacing w:after="0" w:line="240" w:lineRule="auto"/>
        <w:jc w:val="right"/>
        <w:rPr>
          <w:rFonts w:ascii="Times New Roman" w:hAnsi="Times New Roman" w:cs="Times New Roman" w:eastAsia="Times New Roman" w:hint="default"/>
          <w:sz w:val="18"/>
          <w:szCs w:val="18"/>
        </w:rPr>
        <w:sectPr>
          <w:pgSz w:w="11910" w:h="16840"/>
          <w:pgMar w:header="871" w:footer="1186" w:top="1100" w:bottom="138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2946"/>
        <w:gridCol w:w="3313"/>
        <w:gridCol w:w="3299"/>
      </w:tblGrid>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10,631,966.85</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7,052,562.82</w:t>
            </w: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4,344,013.94</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5,351,202.86</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递延所得税资产</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23,609,513.45</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16,494,504.21</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其他非流动资产</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2"/>
                <w:sz w:val="18"/>
              </w:rPr>
              <w:t>11,527,148.00</w:t>
            </w: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非流动资产合计</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962,572,993.46</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974,757,153.66</w:t>
            </w: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2"/>
                <w:sz w:val="18"/>
              </w:rPr>
              <w:t>1,611,879,025.73</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2"/>
                <w:sz w:val="18"/>
              </w:rPr>
              <w:t>1,703,384,957.25</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210,321,840.41</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190,000,000.00</w:t>
            </w: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交易性金融负债</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8"/>
              <w:ind w:left="11" w:right="36" w:firstLine="360"/>
              <w:jc w:val="left"/>
              <w:rPr>
                <w:rFonts w:ascii="宋体" w:hAnsi="宋体" w:cs="宋体" w:eastAsia="宋体" w:hint="default"/>
                <w:sz w:val="18"/>
                <w:szCs w:val="18"/>
              </w:rPr>
            </w:pPr>
            <w:r>
              <w:rPr>
                <w:rFonts w:ascii="宋体" w:hAnsi="宋体" w:cs="宋体" w:eastAsia="宋体" w:hint="default"/>
                <w:spacing w:val="-3"/>
                <w:sz w:val="18"/>
                <w:szCs w:val="18"/>
              </w:rPr>
              <w:t>以公允价值计量且其变动计入当</w:t>
            </w:r>
            <w:r>
              <w:rPr>
                <w:rFonts w:ascii="宋体" w:hAnsi="宋体" w:cs="宋体" w:eastAsia="宋体" w:hint="default"/>
                <w:w w:val="101"/>
                <w:sz w:val="18"/>
                <w:szCs w:val="18"/>
              </w:rPr>
              <w:t> </w:t>
            </w:r>
            <w:r>
              <w:rPr>
                <w:rFonts w:ascii="宋体" w:hAnsi="宋体" w:cs="宋体" w:eastAsia="宋体" w:hint="default"/>
                <w:sz w:val="18"/>
                <w:szCs w:val="18"/>
              </w:rPr>
              <w:t>期损益的金融负债</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9,370,000.00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53,400,000.00</w:t>
            </w: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33,817,644.41</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18,244,450.14</w:t>
            </w: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101"/>
              <w:ind w:right="17"/>
              <w:jc w:val="right"/>
              <w:rPr>
                <w:rFonts w:ascii="Times New Roman" w:hAnsi="Times New Roman" w:cs="Times New Roman" w:eastAsia="Times New Roman" w:hint="default"/>
                <w:sz w:val="18"/>
                <w:szCs w:val="18"/>
              </w:rPr>
            </w:pPr>
            <w:r>
              <w:rPr>
                <w:rFonts w:ascii="Times New Roman"/>
                <w:spacing w:val="-1"/>
                <w:sz w:val="18"/>
              </w:rPr>
              <w:t>2,040,030.06</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2"/>
              <w:jc w:val="right"/>
              <w:rPr>
                <w:rFonts w:ascii="Times New Roman" w:hAnsi="Times New Roman" w:cs="Times New Roman" w:eastAsia="Times New Roman" w:hint="default"/>
                <w:sz w:val="18"/>
                <w:szCs w:val="18"/>
              </w:rPr>
            </w:pPr>
            <w:r>
              <w:rPr>
                <w:rFonts w:ascii="Times New Roman"/>
                <w:spacing w:val="-1"/>
                <w:sz w:val="18"/>
              </w:rPr>
              <w:t>1,931,052.36</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合同负债</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3,813,651.25</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2"/>
                <w:sz w:val="18"/>
              </w:rPr>
              <w:t>2,511,418.96</w:t>
            </w: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9,530,800.96</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2"/>
                <w:sz w:val="18"/>
              </w:rPr>
              <w:t>11,707,387.75</w:t>
            </w: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101"/>
              <w:ind w:right="17"/>
              <w:jc w:val="right"/>
              <w:rPr>
                <w:rFonts w:ascii="Times New Roman" w:hAnsi="Times New Roman" w:cs="Times New Roman" w:eastAsia="Times New Roman" w:hint="default"/>
                <w:sz w:val="18"/>
                <w:szCs w:val="18"/>
              </w:rPr>
            </w:pPr>
            <w:r>
              <w:rPr>
                <w:rFonts w:ascii="Times New Roman"/>
                <w:spacing w:val="-1"/>
                <w:sz w:val="18"/>
              </w:rPr>
              <w:t>3,265,020.62</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2"/>
              <w:jc w:val="right"/>
              <w:rPr>
                <w:rFonts w:ascii="Times New Roman" w:hAnsi="Times New Roman" w:cs="Times New Roman" w:eastAsia="Times New Roman" w:hint="default"/>
                <w:sz w:val="18"/>
                <w:szCs w:val="18"/>
              </w:rPr>
            </w:pPr>
            <w:r>
              <w:rPr>
                <w:rFonts w:ascii="Times New Roman"/>
                <w:spacing w:val="-1"/>
                <w:sz w:val="18"/>
              </w:rPr>
              <w:t>31,537,497.55</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54" w:right="0"/>
              <w:jc w:val="left"/>
              <w:rPr>
                <w:rFonts w:ascii="宋体" w:hAnsi="宋体" w:cs="宋体" w:eastAsia="宋体" w:hint="default"/>
                <w:sz w:val="18"/>
                <w:szCs w:val="18"/>
              </w:rPr>
            </w:pPr>
            <w:r>
              <w:rPr>
                <w:rFonts w:ascii="宋体" w:hAnsi="宋体" w:cs="宋体" w:eastAsia="宋体" w:hint="default"/>
                <w:spacing w:val="-3"/>
                <w:sz w:val="18"/>
                <w:szCs w:val="18"/>
              </w:rPr>
              <w:t>其中：应付利息</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593,834.71</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24"/>
              <w:jc w:val="center"/>
              <w:rPr>
                <w:rFonts w:ascii="宋体" w:hAnsi="宋体" w:cs="宋体" w:eastAsia="宋体" w:hint="default"/>
                <w:sz w:val="18"/>
                <w:szCs w:val="18"/>
              </w:rPr>
            </w:pPr>
            <w:r>
              <w:rPr>
                <w:rFonts w:ascii="宋体" w:hAnsi="宋体" w:cs="宋体" w:eastAsia="宋体" w:hint="default"/>
                <w:sz w:val="18"/>
                <w:szCs w:val="18"/>
              </w:rPr>
              <w:t>应付股利</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pacing w:val="-3"/>
                <w:sz w:val="18"/>
                <w:szCs w:val="18"/>
              </w:rPr>
              <w:t>一年内到期的非流动负债</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2"/>
                <w:sz w:val="18"/>
              </w:rPr>
              <w:t>110,169,897.26</w:t>
            </w: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382,328,884.97</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309,331,806.76</w:t>
            </w: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170,000,000.00</w:t>
            </w: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54" w:right="0"/>
              <w:jc w:val="left"/>
              <w:rPr>
                <w:rFonts w:ascii="宋体" w:hAnsi="宋体" w:cs="宋体" w:eastAsia="宋体" w:hint="default"/>
                <w:sz w:val="18"/>
                <w:szCs w:val="18"/>
              </w:rPr>
            </w:pPr>
            <w:r>
              <w:rPr>
                <w:rFonts w:ascii="宋体" w:hAnsi="宋体" w:cs="宋体" w:eastAsia="宋体" w:hint="default"/>
                <w:spacing w:val="-3"/>
                <w:sz w:val="18"/>
                <w:szCs w:val="18"/>
              </w:rPr>
              <w:t>其中：优先股</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206"/>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租赁负债</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1" w:footer="1186" w:top="1100" w:bottom="138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2946"/>
        <w:gridCol w:w="3313"/>
        <w:gridCol w:w="3299"/>
      </w:tblGrid>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4,370,890.19</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5,056,825.79</w:t>
            </w: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pacing w:val="-3"/>
                <w:sz w:val="18"/>
                <w:szCs w:val="18"/>
              </w:rPr>
              <w:t>递延所得税负债</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其他非流动负债</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非流动负债合计</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4,370,890.19</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175,056,825.79</w:t>
            </w: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386,699,775.16</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484,388,632.55</w:t>
            </w: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706,640,535.00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706,640,535.00</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54" w:right="0"/>
              <w:jc w:val="left"/>
              <w:rPr>
                <w:rFonts w:ascii="宋体" w:hAnsi="宋体" w:cs="宋体" w:eastAsia="宋体" w:hint="default"/>
                <w:sz w:val="18"/>
                <w:szCs w:val="18"/>
              </w:rPr>
            </w:pPr>
            <w:r>
              <w:rPr>
                <w:rFonts w:ascii="宋体" w:hAnsi="宋体" w:cs="宋体" w:eastAsia="宋体" w:hint="default"/>
                <w:spacing w:val="-3"/>
                <w:sz w:val="18"/>
                <w:szCs w:val="18"/>
              </w:rPr>
              <w:t>其中：优先股</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206"/>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389,366,482.10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375,979,751.21</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310,475.25</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-12,588,336.41</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26,679,336.53</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25,734,687.73</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102,182,421.69</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123,229,687.17</w:t>
            </w: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所有者权益合计</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1,225,179,250.57</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1,218,996,324.70</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1"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2"/>
                <w:sz w:val="18"/>
              </w:rPr>
              <w:t>1,611,879,025.73</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2"/>
                <w:sz w:val="18"/>
              </w:rPr>
              <w:t>1,703,384,957.25</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right="0"/>
        <w:jc w:val="left"/>
        <w:rPr>
          <w:b w:val="0"/>
          <w:bCs w:val="0"/>
        </w:rPr>
      </w:pPr>
      <w:bookmarkStart w:name="3、合并利润表" w:id="160"/>
      <w:bookmarkEnd w:id="160"/>
      <w:r>
        <w:rPr>
          <w:b w:val="0"/>
          <w:bCs w:val="0"/>
        </w:rPr>
      </w:r>
      <w:r>
        <w:rPr>
          <w:rFonts w:ascii="Times New Roman" w:hAnsi="Times New Roman" w:cs="Times New Roman" w:eastAsia="Times New Roman" w:hint="default"/>
        </w:rPr>
        <w:t>3</w:t>
      </w:r>
      <w:r>
        <w:rPr/>
        <w:t>、合并利润表</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6"/>
        <w:ind w:left="0" w:right="1122"/>
        <w:jc w:val="right"/>
      </w:pPr>
      <w:r>
        <w:rPr>
          <w:spacing w:val="-2"/>
        </w:rPr>
        <w:t>单位：元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059"/>
        <w:gridCol w:w="3220"/>
        <w:gridCol w:w="3279"/>
      </w:tblGrid>
      <w:tr>
        <w:trPr>
          <w:trHeight w:val="403"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7"/>
                <w:sz w:val="18"/>
                <w:szCs w:val="18"/>
              </w:rPr>
              <w:t> </w:t>
            </w:r>
            <w:r>
              <w:rPr>
                <w:rFonts w:ascii="宋体" w:hAnsi="宋体" w:cs="宋体" w:eastAsia="宋体" w:hint="default"/>
                <w:spacing w:val="-5"/>
                <w:sz w:val="18"/>
                <w:szCs w:val="18"/>
              </w:rPr>
              <w:t>年度</w:t>
            </w:r>
            <w:r>
              <w:rPr>
                <w:rFonts w:ascii="宋体" w:hAnsi="宋体" w:cs="宋体" w:eastAsia="宋体" w:hint="default"/>
                <w:sz w:val="18"/>
                <w:szCs w:val="18"/>
              </w:rPr>
            </w:r>
          </w:p>
        </w:tc>
        <w:tc>
          <w:tcPr>
            <w:tcW w:w="32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7"/>
                <w:sz w:val="18"/>
                <w:szCs w:val="18"/>
              </w:rPr>
              <w:t> </w:t>
            </w:r>
            <w:r>
              <w:rPr>
                <w:rFonts w:ascii="宋体" w:hAnsi="宋体" w:cs="宋体" w:eastAsia="宋体" w:hint="default"/>
                <w:spacing w:val="-5"/>
                <w:sz w:val="18"/>
                <w:szCs w:val="18"/>
              </w:rPr>
              <w:t>年度</w:t>
            </w:r>
            <w:r>
              <w:rPr>
                <w:rFonts w:ascii="宋体" w:hAnsi="宋体" w:cs="宋体" w:eastAsia="宋体" w:hint="default"/>
                <w:sz w:val="18"/>
                <w:szCs w:val="18"/>
              </w:rPr>
            </w:r>
          </w:p>
        </w:tc>
      </w:tr>
      <w:tr>
        <w:trPr>
          <w:trHeight w:val="399"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pacing w:val="-3"/>
                <w:sz w:val="18"/>
                <w:szCs w:val="18"/>
              </w:rPr>
              <w:t>一、营业总收入</w:t>
            </w:r>
          </w:p>
        </w:tc>
        <w:tc>
          <w:tcPr>
            <w:tcW w:w="32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1,181,006,553.61</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1,299,251,173.43</w:t>
            </w:r>
          </w:p>
        </w:tc>
      </w:tr>
      <w:tr>
        <w:trPr>
          <w:trHeight w:val="403"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pacing w:val="-3"/>
                <w:sz w:val="18"/>
                <w:szCs w:val="18"/>
              </w:rPr>
              <w:t>其中：营业收入</w:t>
            </w:r>
          </w:p>
        </w:tc>
        <w:tc>
          <w:tcPr>
            <w:tcW w:w="32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2"/>
                <w:sz w:val="18"/>
              </w:rPr>
              <w:t>1,181,006,553.61</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2"/>
                <w:sz w:val="18"/>
              </w:rPr>
              <w:t>1,299,251,173.43</w:t>
            </w:r>
          </w:p>
        </w:tc>
      </w:tr>
      <w:tr>
        <w:trPr>
          <w:trHeight w:val="403"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14" w:right="0"/>
              <w:jc w:val="left"/>
              <w:rPr>
                <w:rFonts w:ascii="宋体" w:hAnsi="宋体" w:cs="宋体" w:eastAsia="宋体" w:hint="default"/>
                <w:sz w:val="18"/>
                <w:szCs w:val="18"/>
              </w:rPr>
            </w:pPr>
            <w:r>
              <w:rPr>
                <w:rFonts w:ascii="宋体" w:hAnsi="宋体" w:cs="宋体" w:eastAsia="宋体" w:hint="default"/>
                <w:spacing w:val="-3"/>
                <w:sz w:val="18"/>
                <w:szCs w:val="18"/>
              </w:rPr>
              <w:t>利息收入</w:t>
            </w:r>
          </w:p>
        </w:tc>
        <w:tc>
          <w:tcPr>
            <w:tcW w:w="3220" w:type="dxa"/>
            <w:tcBorders>
              <w:top w:val="single" w:sz="4" w:space="0" w:color="000000"/>
              <w:left w:val="single" w:sz="13" w:space="0" w:color="D2D2D2"/>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14" w:right="0"/>
              <w:jc w:val="left"/>
              <w:rPr>
                <w:rFonts w:ascii="宋体" w:hAnsi="宋体" w:cs="宋体" w:eastAsia="宋体" w:hint="default"/>
                <w:sz w:val="18"/>
                <w:szCs w:val="18"/>
              </w:rPr>
            </w:pPr>
            <w:r>
              <w:rPr>
                <w:rFonts w:ascii="宋体" w:hAnsi="宋体" w:cs="宋体" w:eastAsia="宋体" w:hint="default"/>
                <w:spacing w:val="-3"/>
                <w:sz w:val="18"/>
                <w:szCs w:val="18"/>
              </w:rPr>
              <w:t>已赚保费</w:t>
            </w:r>
          </w:p>
        </w:tc>
        <w:tc>
          <w:tcPr>
            <w:tcW w:w="3220" w:type="dxa"/>
            <w:tcBorders>
              <w:top w:val="single" w:sz="4" w:space="0" w:color="000000"/>
              <w:left w:val="single" w:sz="13" w:space="0" w:color="D2D2D2"/>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691"/>
              <w:jc w:val="right"/>
              <w:rPr>
                <w:rFonts w:ascii="宋体" w:hAnsi="宋体" w:cs="宋体" w:eastAsia="宋体" w:hint="default"/>
                <w:sz w:val="18"/>
                <w:szCs w:val="18"/>
              </w:rPr>
            </w:pPr>
            <w:r>
              <w:rPr>
                <w:rFonts w:ascii="宋体" w:hAnsi="宋体" w:cs="宋体" w:eastAsia="宋体" w:hint="default"/>
                <w:spacing w:val="-3"/>
                <w:sz w:val="18"/>
                <w:szCs w:val="18"/>
              </w:rPr>
              <w:t>手续费及佣金收入</w:t>
            </w:r>
          </w:p>
        </w:tc>
        <w:tc>
          <w:tcPr>
            <w:tcW w:w="3220" w:type="dxa"/>
            <w:tcBorders>
              <w:top w:val="single" w:sz="4" w:space="0" w:color="000000"/>
              <w:left w:val="single" w:sz="13" w:space="0" w:color="D2D2D2"/>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1" w:right="0"/>
              <w:jc w:val="left"/>
              <w:rPr>
                <w:rFonts w:ascii="宋体" w:hAnsi="宋体" w:cs="宋体" w:eastAsia="宋体" w:hint="default"/>
                <w:sz w:val="18"/>
                <w:szCs w:val="18"/>
              </w:rPr>
            </w:pPr>
            <w:r>
              <w:rPr>
                <w:rFonts w:ascii="宋体" w:hAnsi="宋体" w:cs="宋体" w:eastAsia="宋体" w:hint="default"/>
                <w:spacing w:val="-3"/>
                <w:sz w:val="18"/>
                <w:szCs w:val="18"/>
              </w:rPr>
              <w:t>二、营业总成本</w:t>
            </w:r>
          </w:p>
        </w:tc>
        <w:tc>
          <w:tcPr>
            <w:tcW w:w="32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2"/>
                <w:sz w:val="18"/>
              </w:rPr>
              <w:t>1,150,891,123.37</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2"/>
                <w:sz w:val="18"/>
              </w:rPr>
              <w:t>1,239,010,436.79</w:t>
            </w:r>
          </w:p>
        </w:tc>
      </w:tr>
      <w:tr>
        <w:trPr>
          <w:trHeight w:val="403"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其中：营业成本</w:t>
            </w:r>
          </w:p>
        </w:tc>
        <w:tc>
          <w:tcPr>
            <w:tcW w:w="32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809,406,939.98</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883,981,458.18</w:t>
            </w:r>
          </w:p>
        </w:tc>
      </w:tr>
      <w:tr>
        <w:trPr>
          <w:trHeight w:val="403"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14" w:right="0"/>
              <w:jc w:val="left"/>
              <w:rPr>
                <w:rFonts w:ascii="宋体" w:hAnsi="宋体" w:cs="宋体" w:eastAsia="宋体" w:hint="default"/>
                <w:sz w:val="18"/>
                <w:szCs w:val="18"/>
              </w:rPr>
            </w:pPr>
            <w:r>
              <w:rPr>
                <w:rFonts w:ascii="宋体" w:hAnsi="宋体" w:cs="宋体" w:eastAsia="宋体" w:hint="default"/>
                <w:spacing w:val="-3"/>
                <w:sz w:val="18"/>
                <w:szCs w:val="18"/>
              </w:rPr>
              <w:t>利息支出</w:t>
            </w:r>
          </w:p>
        </w:tc>
        <w:tc>
          <w:tcPr>
            <w:tcW w:w="3220" w:type="dxa"/>
            <w:tcBorders>
              <w:top w:val="single" w:sz="4" w:space="0" w:color="000000"/>
              <w:left w:val="single" w:sz="13" w:space="0" w:color="D2D2D2"/>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691"/>
              <w:jc w:val="right"/>
              <w:rPr>
                <w:rFonts w:ascii="宋体" w:hAnsi="宋体" w:cs="宋体" w:eastAsia="宋体" w:hint="default"/>
                <w:sz w:val="18"/>
                <w:szCs w:val="18"/>
              </w:rPr>
            </w:pPr>
            <w:r>
              <w:rPr>
                <w:rFonts w:ascii="宋体" w:hAnsi="宋体" w:cs="宋体" w:eastAsia="宋体" w:hint="default"/>
                <w:spacing w:val="-3"/>
                <w:sz w:val="18"/>
                <w:szCs w:val="18"/>
              </w:rPr>
              <w:t>手续费及佣金支出</w:t>
            </w:r>
          </w:p>
        </w:tc>
        <w:tc>
          <w:tcPr>
            <w:tcW w:w="3220" w:type="dxa"/>
            <w:tcBorders>
              <w:top w:val="single" w:sz="4" w:space="0" w:color="000000"/>
              <w:left w:val="single" w:sz="13" w:space="0" w:color="D2D2D2"/>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914"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3220" w:type="dxa"/>
            <w:tcBorders>
              <w:top w:val="single" w:sz="4" w:space="0" w:color="000000"/>
              <w:left w:val="single" w:sz="13" w:space="0" w:color="D2D2D2"/>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14" w:right="0"/>
              <w:jc w:val="left"/>
              <w:rPr>
                <w:rFonts w:ascii="宋体" w:hAnsi="宋体" w:cs="宋体" w:eastAsia="宋体" w:hint="default"/>
                <w:sz w:val="18"/>
                <w:szCs w:val="18"/>
              </w:rPr>
            </w:pPr>
            <w:r>
              <w:rPr>
                <w:rFonts w:ascii="宋体" w:hAnsi="宋体" w:cs="宋体" w:eastAsia="宋体" w:hint="default"/>
                <w:spacing w:val="-3"/>
                <w:sz w:val="18"/>
                <w:szCs w:val="18"/>
              </w:rPr>
              <w:t>赔付支出净额</w:t>
            </w:r>
          </w:p>
        </w:tc>
        <w:tc>
          <w:tcPr>
            <w:tcW w:w="3220" w:type="dxa"/>
            <w:tcBorders>
              <w:top w:val="single" w:sz="4" w:space="0" w:color="000000"/>
              <w:left w:val="single" w:sz="13" w:space="0" w:color="D2D2D2"/>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1" w:footer="1186" w:top="1100" w:bottom="1380" w:left="980" w:right="0"/>
        </w:sectPr>
      </w:pPr>
    </w:p>
    <w:p>
      <w:pPr>
        <w:spacing w:line="240" w:lineRule="auto" w:before="11"/>
        <w:rPr>
          <w:rFonts w:ascii="Times New Roman" w:hAnsi="Times New Roman" w:cs="Times New Roman" w:eastAsia="Times New Roman" w:hint="default"/>
          <w:sz w:val="27"/>
          <w:szCs w:val="27"/>
        </w:rPr>
      </w:pPr>
      <w:r>
        <w:rPr/>
        <w:pict>
          <v:group style="position:absolute;margin-left:211.029999pt;margin-top:415.919983pt;width:158.950pt;height:20.65pt;mso-position-horizontal-relative:page;mso-position-vertical-relative:page;z-index:-1026112" coordorigin="4221,8318" coordsize="3179,413">
            <v:group style="position:absolute;left:4233;top:8330;width:2;height:389" coordorigin="4233,8330" coordsize="2,389">
              <v:shape style="position:absolute;left:4233;top:8330;width:2;height:389" coordorigin="4233,8330" coordsize="0,389" path="m4233,8330l4233,8719e" filled="false" stroked="true" strokeweight="1.2pt" strokecolor="#ffffff">
                <v:path arrowok="t"/>
              </v:shape>
            </v:group>
            <v:group style="position:absolute;left:4245;top:8330;width:3155;height:389" coordorigin="4245,8330" coordsize="3155,389">
              <v:shape style="position:absolute;left:4245;top:8330;width:3155;height:389" coordorigin="4245,8330" coordsize="3155,389" path="m4245,8719l7400,8719,7400,8330,4245,8330,4245,8719xe" filled="true" fillcolor="#ffffff" stroked="false">
                <v:path arrowok="t"/>
                <v:fill type="solid"/>
              </v:shape>
            </v:group>
            <w10:wrap type="none"/>
          </v:group>
        </w:pict>
      </w:r>
      <w:r>
        <w:rPr/>
        <w:pict>
          <v:group style="position:absolute;margin-left:211.029999pt;margin-top:674.709961pt;width:158.950pt;height:20.9pt;mso-position-horizontal-relative:page;mso-position-vertical-relative:page;z-index:-1026088" coordorigin="4221,13494" coordsize="3179,418">
            <v:group style="position:absolute;left:4233;top:13506;width:2;height:394" coordorigin="4233,13506" coordsize="2,394">
              <v:shape style="position:absolute;left:4233;top:13506;width:2;height:394" coordorigin="4233,13506" coordsize="0,394" path="m4233,13506l4233,13900e" filled="false" stroked="true" strokeweight="1.2pt" strokecolor="#ffffff">
                <v:path arrowok="t"/>
              </v:shape>
            </v:group>
            <v:group style="position:absolute;left:4245;top:13506;width:3155;height:394" coordorigin="4245,13506" coordsize="3155,394">
              <v:shape style="position:absolute;left:4245;top:13506;width:3155;height:394" coordorigin="4245,13506" coordsize="3155,394" path="m4245,13900l7400,13900,7400,13506,4245,13506,4245,13900xe" filled="true" fillcolor="#ffffff" stroked="false">
                <v:path arrowok="t"/>
                <v:fill type="solid"/>
              </v:shape>
            </v:group>
            <w10:wrap type="none"/>
          </v:group>
        </w:pict>
      </w:r>
    </w:p>
    <w:tbl>
      <w:tblPr>
        <w:tblW w:w="0" w:type="auto"/>
        <w:jc w:val="left"/>
        <w:tblInd w:w="160" w:type="dxa"/>
        <w:tblLayout w:type="fixed"/>
        <w:tblCellMar>
          <w:top w:w="0" w:type="dxa"/>
          <w:left w:w="0" w:type="dxa"/>
          <w:bottom w:w="0" w:type="dxa"/>
          <w:right w:w="0" w:type="dxa"/>
        </w:tblCellMar>
        <w:tblLook w:val="01E0"/>
      </w:tblPr>
      <w:tblGrid>
        <w:gridCol w:w="3059"/>
        <w:gridCol w:w="1165"/>
        <w:gridCol w:w="2055"/>
        <w:gridCol w:w="3279"/>
      </w:tblGrid>
      <w:tr>
        <w:trPr>
          <w:trHeight w:val="715"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14" w:right="0"/>
              <w:jc w:val="left"/>
              <w:rPr>
                <w:rFonts w:ascii="宋体" w:hAnsi="宋体" w:cs="宋体" w:eastAsia="宋体" w:hint="default"/>
                <w:sz w:val="18"/>
                <w:szCs w:val="18"/>
              </w:rPr>
            </w:pPr>
            <w:r>
              <w:rPr>
                <w:rFonts w:ascii="宋体" w:hAnsi="宋体" w:cs="宋体" w:eastAsia="宋体" w:hint="default"/>
                <w:spacing w:val="-3"/>
                <w:sz w:val="18"/>
                <w:szCs w:val="18"/>
              </w:rPr>
              <w:t>提取保险责任合同准备金</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净额</w:t>
            </w:r>
          </w:p>
        </w:tc>
        <w:tc>
          <w:tcPr>
            <w:tcW w:w="3220" w:type="dxa"/>
            <w:gridSpan w:val="2"/>
            <w:tcBorders>
              <w:top w:val="single" w:sz="4" w:space="0" w:color="000000"/>
              <w:left w:val="single" w:sz="13" w:space="0" w:color="D2D2D2"/>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14" w:right="0"/>
              <w:jc w:val="left"/>
              <w:rPr>
                <w:rFonts w:ascii="宋体" w:hAnsi="宋体" w:cs="宋体" w:eastAsia="宋体" w:hint="default"/>
                <w:sz w:val="18"/>
                <w:szCs w:val="18"/>
              </w:rPr>
            </w:pPr>
            <w:r>
              <w:rPr>
                <w:rFonts w:ascii="宋体" w:hAnsi="宋体" w:cs="宋体" w:eastAsia="宋体" w:hint="default"/>
                <w:spacing w:val="-3"/>
                <w:sz w:val="18"/>
                <w:szCs w:val="18"/>
              </w:rPr>
              <w:t>保单红利支出</w:t>
            </w:r>
          </w:p>
        </w:tc>
        <w:tc>
          <w:tcPr>
            <w:tcW w:w="3220" w:type="dxa"/>
            <w:gridSpan w:val="2"/>
            <w:tcBorders>
              <w:top w:val="single" w:sz="4" w:space="0" w:color="000000"/>
              <w:left w:val="single" w:sz="13" w:space="0" w:color="D2D2D2"/>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914" w:right="0"/>
              <w:jc w:val="left"/>
              <w:rPr>
                <w:rFonts w:ascii="宋体" w:hAnsi="宋体" w:cs="宋体" w:eastAsia="宋体" w:hint="default"/>
                <w:sz w:val="18"/>
                <w:szCs w:val="18"/>
              </w:rPr>
            </w:pPr>
            <w:r>
              <w:rPr>
                <w:rFonts w:ascii="宋体" w:hAnsi="宋体" w:cs="宋体" w:eastAsia="宋体" w:hint="default"/>
                <w:spacing w:val="-3"/>
                <w:sz w:val="18"/>
                <w:szCs w:val="18"/>
              </w:rPr>
              <w:t>分保费用</w:t>
            </w:r>
          </w:p>
        </w:tc>
        <w:tc>
          <w:tcPr>
            <w:tcW w:w="3220" w:type="dxa"/>
            <w:gridSpan w:val="2"/>
            <w:tcBorders>
              <w:top w:val="single" w:sz="4" w:space="0" w:color="000000"/>
              <w:left w:val="single" w:sz="13" w:space="0" w:color="D2D2D2"/>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14"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322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1,379,402.26</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4,125,026.87</w:t>
            </w:r>
          </w:p>
        </w:tc>
      </w:tr>
      <w:tr>
        <w:trPr>
          <w:trHeight w:val="403"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14" w:right="0"/>
              <w:jc w:val="left"/>
              <w:rPr>
                <w:rFonts w:ascii="宋体" w:hAnsi="宋体" w:cs="宋体" w:eastAsia="宋体" w:hint="default"/>
                <w:sz w:val="18"/>
                <w:szCs w:val="18"/>
              </w:rPr>
            </w:pPr>
            <w:r>
              <w:rPr>
                <w:rFonts w:ascii="宋体" w:hAnsi="宋体" w:cs="宋体" w:eastAsia="宋体" w:hint="default"/>
                <w:spacing w:val="-3"/>
                <w:sz w:val="18"/>
                <w:szCs w:val="18"/>
              </w:rPr>
              <w:t>销售费用</w:t>
            </w:r>
          </w:p>
        </w:tc>
        <w:tc>
          <w:tcPr>
            <w:tcW w:w="322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left="2055" w:right="0"/>
              <w:jc w:val="left"/>
              <w:rPr>
                <w:rFonts w:ascii="Times New Roman" w:hAnsi="Times New Roman" w:cs="Times New Roman" w:eastAsia="Times New Roman" w:hint="default"/>
                <w:sz w:val="18"/>
                <w:szCs w:val="18"/>
              </w:rPr>
            </w:pPr>
            <w:r>
              <w:rPr>
                <w:rFonts w:ascii="Times New Roman"/>
                <w:sz w:val="18"/>
              </w:rPr>
              <w:t>192,201,122.27</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207,524,481.69</w:t>
            </w:r>
          </w:p>
        </w:tc>
      </w:tr>
      <w:tr>
        <w:trPr>
          <w:trHeight w:val="398"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14" w:right="0"/>
              <w:jc w:val="left"/>
              <w:rPr>
                <w:rFonts w:ascii="宋体" w:hAnsi="宋体" w:cs="宋体" w:eastAsia="宋体" w:hint="default"/>
                <w:sz w:val="18"/>
                <w:szCs w:val="18"/>
              </w:rPr>
            </w:pPr>
            <w:r>
              <w:rPr>
                <w:rFonts w:ascii="宋体" w:hAnsi="宋体" w:cs="宋体" w:eastAsia="宋体" w:hint="default"/>
                <w:spacing w:val="-3"/>
                <w:sz w:val="18"/>
                <w:szCs w:val="18"/>
              </w:rPr>
              <w:t>管理费用</w:t>
            </w:r>
          </w:p>
        </w:tc>
        <w:tc>
          <w:tcPr>
            <w:tcW w:w="322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62,058,606.69</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67,658,400.68</w:t>
            </w:r>
          </w:p>
        </w:tc>
      </w:tr>
      <w:tr>
        <w:trPr>
          <w:trHeight w:val="404"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914" w:right="0"/>
              <w:jc w:val="left"/>
              <w:rPr>
                <w:rFonts w:ascii="宋体" w:hAnsi="宋体" w:cs="宋体" w:eastAsia="宋体" w:hint="default"/>
                <w:sz w:val="18"/>
                <w:szCs w:val="18"/>
              </w:rPr>
            </w:pPr>
            <w:r>
              <w:rPr>
                <w:rFonts w:ascii="宋体" w:hAnsi="宋体" w:cs="宋体" w:eastAsia="宋体" w:hint="default"/>
                <w:spacing w:val="-3"/>
                <w:sz w:val="18"/>
                <w:szCs w:val="18"/>
              </w:rPr>
              <w:t>研发费用</w:t>
            </w:r>
          </w:p>
        </w:tc>
        <w:tc>
          <w:tcPr>
            <w:tcW w:w="322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1"/>
              <w:ind w:right="13"/>
              <w:jc w:val="right"/>
              <w:rPr>
                <w:rFonts w:ascii="Times New Roman" w:hAnsi="Times New Roman" w:cs="Times New Roman" w:eastAsia="Times New Roman" w:hint="default"/>
                <w:sz w:val="18"/>
                <w:szCs w:val="18"/>
              </w:rPr>
            </w:pPr>
            <w:r>
              <w:rPr>
                <w:rFonts w:ascii="Times New Roman"/>
                <w:spacing w:val="-1"/>
                <w:sz w:val="18"/>
              </w:rPr>
              <w:t>68,812,204.30</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7"/>
              <w:jc w:val="right"/>
              <w:rPr>
                <w:rFonts w:ascii="Times New Roman" w:hAnsi="Times New Roman" w:cs="Times New Roman" w:eastAsia="Times New Roman" w:hint="default"/>
                <w:sz w:val="18"/>
                <w:szCs w:val="18"/>
              </w:rPr>
            </w:pPr>
            <w:r>
              <w:rPr>
                <w:rFonts w:ascii="Times New Roman"/>
                <w:spacing w:val="-1"/>
                <w:sz w:val="18"/>
              </w:rPr>
              <w:t>56,734,133.61</w:t>
            </w:r>
          </w:p>
        </w:tc>
      </w:tr>
      <w:tr>
        <w:trPr>
          <w:trHeight w:val="403"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14" w:right="0"/>
              <w:jc w:val="left"/>
              <w:rPr>
                <w:rFonts w:ascii="宋体" w:hAnsi="宋体" w:cs="宋体" w:eastAsia="宋体" w:hint="default"/>
                <w:sz w:val="18"/>
                <w:szCs w:val="18"/>
              </w:rPr>
            </w:pPr>
            <w:r>
              <w:rPr>
                <w:rFonts w:ascii="宋体" w:hAnsi="宋体" w:cs="宋体" w:eastAsia="宋体" w:hint="default"/>
                <w:spacing w:val="-3"/>
                <w:sz w:val="18"/>
                <w:szCs w:val="18"/>
              </w:rPr>
              <w:t>财务费用</w:t>
            </w:r>
          </w:p>
        </w:tc>
        <w:tc>
          <w:tcPr>
            <w:tcW w:w="322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17,032,847.87</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18,986,935.76</w:t>
            </w:r>
          </w:p>
        </w:tc>
      </w:tr>
      <w:tr>
        <w:trPr>
          <w:trHeight w:val="403"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92" w:right="0"/>
              <w:jc w:val="left"/>
              <w:rPr>
                <w:rFonts w:ascii="宋体" w:hAnsi="宋体" w:cs="宋体" w:eastAsia="宋体" w:hint="default"/>
                <w:sz w:val="18"/>
                <w:szCs w:val="18"/>
              </w:rPr>
            </w:pPr>
            <w:r>
              <w:rPr>
                <w:rFonts w:ascii="宋体" w:hAnsi="宋体" w:cs="宋体" w:eastAsia="宋体" w:hint="default"/>
                <w:spacing w:val="-3"/>
                <w:sz w:val="18"/>
                <w:szCs w:val="18"/>
              </w:rPr>
              <w:t>其中：利息费用</w:t>
            </w:r>
          </w:p>
        </w:tc>
        <w:tc>
          <w:tcPr>
            <w:tcW w:w="322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25,658,645.54</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27,642,058.61</w:t>
            </w:r>
          </w:p>
        </w:tc>
      </w:tr>
      <w:tr>
        <w:trPr>
          <w:trHeight w:val="398"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634" w:right="0"/>
              <w:jc w:val="left"/>
              <w:rPr>
                <w:rFonts w:ascii="宋体" w:hAnsi="宋体" w:cs="宋体" w:eastAsia="宋体" w:hint="default"/>
                <w:sz w:val="18"/>
                <w:szCs w:val="18"/>
              </w:rPr>
            </w:pPr>
            <w:r>
              <w:rPr>
                <w:rFonts w:ascii="宋体" w:hAnsi="宋体" w:cs="宋体" w:eastAsia="宋体" w:hint="default"/>
                <w:spacing w:val="-3"/>
                <w:sz w:val="18"/>
                <w:szCs w:val="18"/>
              </w:rPr>
              <w:t>利息收入</w:t>
            </w:r>
          </w:p>
        </w:tc>
        <w:tc>
          <w:tcPr>
            <w:tcW w:w="322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9,478,079.31</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10,715,656.85</w:t>
            </w:r>
          </w:p>
        </w:tc>
      </w:tr>
      <w:tr>
        <w:trPr>
          <w:trHeight w:val="404"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371" w:right="0"/>
              <w:jc w:val="left"/>
              <w:rPr>
                <w:rFonts w:ascii="宋体" w:hAnsi="宋体" w:cs="宋体" w:eastAsia="宋体" w:hint="default"/>
                <w:sz w:val="18"/>
                <w:szCs w:val="18"/>
              </w:rPr>
            </w:pPr>
            <w:r>
              <w:rPr>
                <w:rFonts w:ascii="宋体" w:hAnsi="宋体" w:cs="宋体" w:eastAsia="宋体" w:hint="default"/>
                <w:sz w:val="18"/>
                <w:szCs w:val="18"/>
              </w:rPr>
              <w:t>加：其他收益</w:t>
            </w:r>
          </w:p>
        </w:tc>
        <w:tc>
          <w:tcPr>
            <w:tcW w:w="322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1"/>
              <w:ind w:right="13"/>
              <w:jc w:val="right"/>
              <w:rPr>
                <w:rFonts w:ascii="Times New Roman" w:hAnsi="Times New Roman" w:cs="Times New Roman" w:eastAsia="Times New Roman" w:hint="default"/>
                <w:sz w:val="18"/>
                <w:szCs w:val="18"/>
              </w:rPr>
            </w:pPr>
            <w:r>
              <w:rPr>
                <w:rFonts w:ascii="Times New Roman"/>
                <w:spacing w:val="-1"/>
                <w:sz w:val="18"/>
              </w:rPr>
              <w:t>8,176,569.93</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7"/>
              <w:jc w:val="right"/>
              <w:rPr>
                <w:rFonts w:ascii="Times New Roman" w:hAnsi="Times New Roman" w:cs="Times New Roman" w:eastAsia="Times New Roman" w:hint="default"/>
                <w:sz w:val="18"/>
                <w:szCs w:val="18"/>
              </w:rPr>
            </w:pPr>
            <w:r>
              <w:rPr>
                <w:rFonts w:ascii="Times New Roman"/>
                <w:spacing w:val="-1"/>
                <w:sz w:val="18"/>
              </w:rPr>
              <w:t>8,180,393.80</w:t>
            </w:r>
          </w:p>
        </w:tc>
      </w:tr>
      <w:tr>
        <w:trPr>
          <w:trHeight w:val="715"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31"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7"/>
              <w:ind w:left="11"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2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2084" w:right="0"/>
              <w:jc w:val="left"/>
              <w:rPr>
                <w:rFonts w:ascii="Times New Roman" w:hAnsi="Times New Roman" w:cs="Times New Roman" w:eastAsia="Times New Roman" w:hint="default"/>
                <w:sz w:val="18"/>
                <w:szCs w:val="18"/>
              </w:rPr>
            </w:pPr>
            <w:r>
              <w:rPr>
                <w:rFonts w:ascii="Times New Roman"/>
                <w:sz w:val="18"/>
              </w:rPr>
              <w:t>-17,004,282.14</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2"/>
                <w:sz w:val="18"/>
              </w:rPr>
              <w:t>-62,411,753.54</w:t>
            </w:r>
          </w:p>
        </w:tc>
      </w:tr>
      <w:tr>
        <w:trPr>
          <w:trHeight w:val="716"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 w:right="5" w:firstLine="720"/>
              <w:jc w:val="left"/>
              <w:rPr>
                <w:rFonts w:ascii="宋体" w:hAnsi="宋体" w:cs="宋体" w:eastAsia="宋体" w:hint="default"/>
                <w:sz w:val="18"/>
                <w:szCs w:val="18"/>
              </w:rPr>
            </w:pPr>
            <w:r>
              <w:rPr>
                <w:rFonts w:ascii="宋体" w:hAnsi="宋体" w:cs="宋体" w:eastAsia="宋体" w:hint="default"/>
                <w:spacing w:val="-5"/>
                <w:sz w:val="18"/>
                <w:szCs w:val="18"/>
              </w:rPr>
              <w:t>其中：对联营企业和合营企业</w:t>
            </w:r>
            <w:r>
              <w:rPr>
                <w:rFonts w:ascii="宋体" w:hAnsi="宋体" w:cs="宋体" w:eastAsia="宋体" w:hint="default"/>
                <w:w w:val="101"/>
                <w:sz w:val="18"/>
                <w:szCs w:val="18"/>
              </w:rPr>
              <w:t> </w:t>
            </w:r>
            <w:r>
              <w:rPr>
                <w:rFonts w:ascii="宋体" w:hAnsi="宋体" w:cs="宋体" w:eastAsia="宋体" w:hint="default"/>
                <w:sz w:val="18"/>
                <w:szCs w:val="18"/>
              </w:rPr>
              <w:t>的投资收益</w:t>
            </w:r>
          </w:p>
        </w:tc>
        <w:tc>
          <w:tcPr>
            <w:tcW w:w="322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2084" w:right="0"/>
              <w:jc w:val="left"/>
              <w:rPr>
                <w:rFonts w:ascii="Times New Roman" w:hAnsi="Times New Roman" w:cs="Times New Roman" w:eastAsia="Times New Roman" w:hint="default"/>
                <w:sz w:val="18"/>
                <w:szCs w:val="18"/>
              </w:rPr>
            </w:pPr>
            <w:r>
              <w:rPr>
                <w:rFonts w:ascii="Times New Roman"/>
                <w:sz w:val="18"/>
              </w:rPr>
              <w:t>-18,234,278.03</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2"/>
                <w:sz w:val="18"/>
              </w:rPr>
              <w:t>-62,411,753.54</w:t>
            </w:r>
          </w:p>
        </w:tc>
      </w:tr>
      <w:tr>
        <w:trPr>
          <w:trHeight w:val="710"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 w:right="149" w:firstLine="1080"/>
              <w:jc w:val="left"/>
              <w:rPr>
                <w:rFonts w:ascii="宋体" w:hAnsi="宋体" w:cs="宋体" w:eastAsia="宋体" w:hint="default"/>
                <w:sz w:val="18"/>
                <w:szCs w:val="18"/>
              </w:rPr>
            </w:pPr>
            <w:r>
              <w:rPr>
                <w:rFonts w:ascii="宋体" w:hAnsi="宋体" w:cs="宋体" w:eastAsia="宋体" w:hint="default"/>
                <w:spacing w:val="-2"/>
                <w:sz w:val="18"/>
                <w:szCs w:val="18"/>
              </w:rPr>
              <w:t>以摊余成本计量的金融</w:t>
            </w:r>
            <w:r>
              <w:rPr>
                <w:rFonts w:ascii="宋体" w:hAnsi="宋体" w:cs="宋体" w:eastAsia="宋体" w:hint="default"/>
                <w:w w:val="101"/>
                <w:sz w:val="18"/>
                <w:szCs w:val="18"/>
              </w:rPr>
              <w:t> </w:t>
            </w:r>
            <w:r>
              <w:rPr>
                <w:rFonts w:ascii="宋体" w:hAnsi="宋体" w:cs="宋体" w:eastAsia="宋体" w:hint="default"/>
                <w:sz w:val="18"/>
                <w:szCs w:val="18"/>
              </w:rPr>
              <w:t>资产终止确认收益</w:t>
            </w:r>
          </w:p>
        </w:tc>
        <w:tc>
          <w:tcPr>
            <w:tcW w:w="3220" w:type="dxa"/>
            <w:gridSpan w:val="2"/>
            <w:tcBorders>
              <w:top w:val="single" w:sz="4" w:space="0" w:color="000000"/>
              <w:left w:val="single" w:sz="13" w:space="0" w:color="D2D2D2"/>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731" w:right="0"/>
              <w:jc w:val="left"/>
              <w:rPr>
                <w:rFonts w:ascii="宋体" w:hAnsi="宋体" w:cs="宋体" w:eastAsia="宋体" w:hint="default"/>
                <w:sz w:val="18"/>
                <w:szCs w:val="18"/>
              </w:rPr>
            </w:pPr>
            <w:r>
              <w:rPr>
                <w:rFonts w:ascii="宋体" w:hAnsi="宋体" w:cs="宋体" w:eastAsia="宋体" w:hint="default"/>
                <w:spacing w:val="-3"/>
                <w:sz w:val="18"/>
                <w:szCs w:val="18"/>
              </w:rPr>
              <w:t>汇兑收益（损失以</w:t>
            </w:r>
            <w:r>
              <w:rPr>
                <w:rFonts w:ascii="Times New Roman" w:hAnsi="Times New Roman" w:cs="Times New Roman" w:eastAsia="Times New Roman" w:hint="default"/>
                <w:spacing w:val="-3"/>
                <w:sz w:val="18"/>
                <w:szCs w:val="18"/>
              </w:rPr>
              <w:t>“</w:t>
            </w:r>
            <w:r>
              <w:rPr>
                <w:rFonts w:ascii="Times New Roman" w:hAnsi="Times New Roman" w:cs="Times New Roman" w:eastAsia="Times New Roman"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322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58"/>
              <w:ind w:left="-135" w:right="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4" w:lineRule="auto" w:before="53"/>
              <w:ind w:left="11" w:right="5" w:firstLine="720"/>
              <w:jc w:val="left"/>
              <w:rPr>
                <w:rFonts w:ascii="宋体" w:hAnsi="宋体" w:cs="宋体" w:eastAsia="宋体" w:hint="default"/>
                <w:sz w:val="18"/>
                <w:szCs w:val="18"/>
              </w:rPr>
            </w:pPr>
            <w:r>
              <w:rPr>
                <w:rFonts w:ascii="宋体" w:hAnsi="宋体" w:cs="宋体" w:eastAsia="宋体" w:hint="default"/>
                <w:spacing w:val="-4"/>
                <w:sz w:val="18"/>
                <w:szCs w:val="18"/>
              </w:rPr>
              <w:t>净敞口套期收益（损失以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101"/>
                <w:sz w:val="18"/>
                <w:szCs w:val="18"/>
              </w:rPr>
              <w:t> </w:t>
            </w:r>
            <w:r>
              <w:rPr>
                <w:rFonts w:ascii="宋体" w:hAnsi="宋体" w:cs="宋体" w:eastAsia="宋体" w:hint="default"/>
                <w:sz w:val="18"/>
                <w:szCs w:val="18"/>
              </w:rPr>
              <w:t>号填列）</w:t>
            </w:r>
          </w:p>
        </w:tc>
        <w:tc>
          <w:tcPr>
            <w:tcW w:w="3220" w:type="dxa"/>
            <w:gridSpan w:val="2"/>
            <w:tcBorders>
              <w:top w:val="single" w:sz="4" w:space="0" w:color="000000"/>
              <w:left w:val="single" w:sz="13" w:space="0" w:color="D2D2D2"/>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31" w:right="0"/>
              <w:jc w:val="left"/>
              <w:rPr>
                <w:rFonts w:ascii="宋体" w:hAnsi="宋体" w:cs="宋体" w:eastAsia="宋体" w:hint="default"/>
                <w:sz w:val="18"/>
                <w:szCs w:val="18"/>
              </w:rPr>
            </w:pPr>
            <w:r>
              <w:rPr>
                <w:rFonts w:ascii="宋体" w:hAnsi="宋体" w:cs="宋体" w:eastAsia="宋体" w:hint="default"/>
                <w:spacing w:val="-3"/>
                <w:sz w:val="18"/>
                <w:szCs w:val="18"/>
              </w:rPr>
              <w:t>公允价值变动收益（损失以</w:t>
            </w:r>
          </w:p>
          <w:p>
            <w:pPr>
              <w:pStyle w:val="TableParagraph"/>
              <w:spacing w:line="240" w:lineRule="auto" w:before="76"/>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2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-50,455.50</w:t>
            </w: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31" w:right="0"/>
              <w:jc w:val="left"/>
              <w:rPr>
                <w:rFonts w:ascii="宋体" w:hAnsi="宋体" w:cs="宋体" w:eastAsia="宋体" w:hint="default"/>
                <w:sz w:val="18"/>
                <w:szCs w:val="18"/>
              </w:rPr>
            </w:pPr>
            <w:r>
              <w:rPr>
                <w:rFonts w:ascii="宋体" w:hAnsi="宋体" w:cs="宋体" w:eastAsia="宋体" w:hint="default"/>
                <w:w w:val="101"/>
                <w:sz w:val="18"/>
                <w:szCs w:val="18"/>
              </w:rPr>
              <w:t>信</w:t>
            </w:r>
            <w:r>
              <w:rPr>
                <w:rFonts w:ascii="宋体" w:hAnsi="宋体" w:cs="宋体" w:eastAsia="宋体" w:hint="default"/>
                <w:spacing w:val="-5"/>
                <w:w w:val="101"/>
                <w:sz w:val="18"/>
                <w:szCs w:val="18"/>
              </w:rPr>
              <w:t>用</w:t>
            </w:r>
            <w:r>
              <w:rPr>
                <w:rFonts w:ascii="宋体" w:hAnsi="宋体" w:cs="宋体" w:eastAsia="宋体" w:hint="default"/>
                <w:w w:val="101"/>
                <w:sz w:val="18"/>
                <w:szCs w:val="18"/>
              </w:rPr>
              <w:t>减</w:t>
            </w:r>
            <w:r>
              <w:rPr>
                <w:rFonts w:ascii="宋体" w:hAnsi="宋体" w:cs="宋体" w:eastAsia="宋体" w:hint="default"/>
                <w:spacing w:val="-5"/>
                <w:w w:val="101"/>
                <w:sz w:val="18"/>
                <w:szCs w:val="18"/>
              </w:rPr>
              <w:t>值</w:t>
            </w:r>
            <w:r>
              <w:rPr>
                <w:rFonts w:ascii="宋体" w:hAnsi="宋体" w:cs="宋体" w:eastAsia="宋体" w:hint="default"/>
                <w:w w:val="101"/>
                <w:sz w:val="18"/>
                <w:szCs w:val="18"/>
              </w:rPr>
              <w:t>损</w:t>
            </w:r>
            <w:r>
              <w:rPr>
                <w:rFonts w:ascii="宋体" w:hAnsi="宋体" w:cs="宋体" w:eastAsia="宋体" w:hint="default"/>
                <w:spacing w:val="-77"/>
                <w:w w:val="101"/>
                <w:sz w:val="18"/>
                <w:szCs w:val="18"/>
              </w:rPr>
              <w:t>失</w:t>
            </w:r>
            <w:r>
              <w:rPr>
                <w:rFonts w:ascii="宋体" w:hAnsi="宋体" w:cs="宋体" w:eastAsia="宋体" w:hint="default"/>
                <w:spacing w:val="-5"/>
                <w:w w:val="101"/>
                <w:sz w:val="18"/>
                <w:szCs w:val="18"/>
              </w:rPr>
              <w:t>（</w:t>
            </w:r>
            <w:r>
              <w:rPr>
                <w:rFonts w:ascii="宋体" w:hAnsi="宋体" w:cs="宋体" w:eastAsia="宋体" w:hint="default"/>
                <w:w w:val="101"/>
                <w:sz w:val="18"/>
                <w:szCs w:val="18"/>
              </w:rPr>
              <w:t>损</w:t>
            </w:r>
            <w:r>
              <w:rPr>
                <w:rFonts w:ascii="宋体" w:hAnsi="宋体" w:cs="宋体" w:eastAsia="宋体" w:hint="default"/>
                <w:spacing w:val="-5"/>
                <w:w w:val="101"/>
                <w:sz w:val="18"/>
                <w:szCs w:val="18"/>
              </w:rPr>
              <w:t>失</w:t>
            </w:r>
            <w:r>
              <w:rPr>
                <w:rFonts w:ascii="宋体" w:hAnsi="宋体" w:cs="宋体" w:eastAsia="宋体" w:hint="default"/>
                <w:w w:val="101"/>
                <w:sz w:val="18"/>
                <w:szCs w:val="18"/>
              </w:rPr>
              <w:t>以</w:t>
            </w:r>
            <w:r>
              <w:rPr>
                <w:rFonts w:ascii="Times New Roman" w:hAnsi="Times New Roman" w:cs="Times New Roman" w:eastAsia="Times New Roman" w:hint="default"/>
                <w:w w:val="101"/>
                <w:sz w:val="18"/>
                <w:szCs w:val="18"/>
              </w:rPr>
              <w:t>“</w:t>
            </w:r>
            <w:r>
              <w:rPr>
                <w:rFonts w:ascii="Times New Roman" w:hAnsi="Times New Roman" w:cs="Times New Roman" w:eastAsia="Times New Roman" w:hint="default"/>
                <w:spacing w:val="-4"/>
                <w:w w:val="101"/>
                <w:sz w:val="18"/>
                <w:szCs w:val="18"/>
              </w:rPr>
              <w:t>-</w:t>
            </w:r>
            <w:r>
              <w:rPr>
                <w:rFonts w:ascii="Times New Roman" w:hAnsi="Times New Roman" w:cs="Times New Roman" w:eastAsia="Times New Roman" w:hint="default"/>
                <w:spacing w:val="-5"/>
                <w:w w:val="101"/>
                <w:sz w:val="18"/>
                <w:szCs w:val="18"/>
              </w:rPr>
              <w:t>”</w:t>
            </w:r>
            <w:r>
              <w:rPr>
                <w:rFonts w:ascii="宋体" w:hAnsi="宋体" w:cs="宋体" w:eastAsia="宋体" w:hint="default"/>
                <w:w w:val="101"/>
                <w:sz w:val="18"/>
                <w:szCs w:val="18"/>
              </w:rPr>
              <w:t>号填</w:t>
            </w:r>
            <w:r>
              <w:rPr>
                <w:rFonts w:ascii="宋体" w:hAnsi="宋体" w:cs="宋体" w:eastAsia="宋体" w:hint="default"/>
                <w:sz w:val="18"/>
                <w:szCs w:val="18"/>
              </w:rPr>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2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084" w:right="0"/>
              <w:jc w:val="left"/>
              <w:rPr>
                <w:rFonts w:ascii="Times New Roman" w:hAnsi="Times New Roman" w:cs="Times New Roman" w:eastAsia="Times New Roman" w:hint="default"/>
                <w:sz w:val="18"/>
                <w:szCs w:val="18"/>
              </w:rPr>
            </w:pPr>
            <w:r>
              <w:rPr>
                <w:rFonts w:ascii="Times New Roman"/>
                <w:sz w:val="18"/>
              </w:rPr>
              <w:t>-15,542,518.98</w:t>
            </w: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731" w:right="0"/>
              <w:jc w:val="left"/>
              <w:rPr>
                <w:rFonts w:ascii="宋体" w:hAnsi="宋体" w:cs="宋体" w:eastAsia="宋体" w:hint="default"/>
                <w:sz w:val="18"/>
                <w:szCs w:val="18"/>
              </w:rPr>
            </w:pPr>
            <w:r>
              <w:rPr>
                <w:rFonts w:ascii="宋体" w:hAnsi="宋体" w:cs="宋体" w:eastAsia="宋体" w:hint="default"/>
                <w:w w:val="101"/>
                <w:sz w:val="18"/>
                <w:szCs w:val="18"/>
              </w:rPr>
              <w:t>资</w:t>
            </w:r>
            <w:r>
              <w:rPr>
                <w:rFonts w:ascii="宋体" w:hAnsi="宋体" w:cs="宋体" w:eastAsia="宋体" w:hint="default"/>
                <w:spacing w:val="-5"/>
                <w:w w:val="101"/>
                <w:sz w:val="18"/>
                <w:szCs w:val="18"/>
              </w:rPr>
              <w:t>产</w:t>
            </w:r>
            <w:r>
              <w:rPr>
                <w:rFonts w:ascii="宋体" w:hAnsi="宋体" w:cs="宋体" w:eastAsia="宋体" w:hint="default"/>
                <w:w w:val="101"/>
                <w:sz w:val="18"/>
                <w:szCs w:val="18"/>
              </w:rPr>
              <w:t>减</w:t>
            </w:r>
            <w:r>
              <w:rPr>
                <w:rFonts w:ascii="宋体" w:hAnsi="宋体" w:cs="宋体" w:eastAsia="宋体" w:hint="default"/>
                <w:spacing w:val="-5"/>
                <w:w w:val="101"/>
                <w:sz w:val="18"/>
                <w:szCs w:val="18"/>
              </w:rPr>
              <w:t>值</w:t>
            </w:r>
            <w:r>
              <w:rPr>
                <w:rFonts w:ascii="宋体" w:hAnsi="宋体" w:cs="宋体" w:eastAsia="宋体" w:hint="default"/>
                <w:w w:val="101"/>
                <w:sz w:val="18"/>
                <w:szCs w:val="18"/>
              </w:rPr>
              <w:t>损</w:t>
            </w:r>
            <w:r>
              <w:rPr>
                <w:rFonts w:ascii="宋体" w:hAnsi="宋体" w:cs="宋体" w:eastAsia="宋体" w:hint="default"/>
                <w:spacing w:val="-77"/>
                <w:w w:val="101"/>
                <w:sz w:val="18"/>
                <w:szCs w:val="18"/>
              </w:rPr>
              <w:t>失</w:t>
            </w:r>
            <w:r>
              <w:rPr>
                <w:rFonts w:ascii="宋体" w:hAnsi="宋体" w:cs="宋体" w:eastAsia="宋体" w:hint="default"/>
                <w:spacing w:val="-5"/>
                <w:w w:val="101"/>
                <w:sz w:val="18"/>
                <w:szCs w:val="18"/>
              </w:rPr>
              <w:t>（</w:t>
            </w:r>
            <w:r>
              <w:rPr>
                <w:rFonts w:ascii="宋体" w:hAnsi="宋体" w:cs="宋体" w:eastAsia="宋体" w:hint="default"/>
                <w:w w:val="101"/>
                <w:sz w:val="18"/>
                <w:szCs w:val="18"/>
              </w:rPr>
              <w:t>损</w:t>
            </w:r>
            <w:r>
              <w:rPr>
                <w:rFonts w:ascii="宋体" w:hAnsi="宋体" w:cs="宋体" w:eastAsia="宋体" w:hint="default"/>
                <w:spacing w:val="-5"/>
                <w:w w:val="101"/>
                <w:sz w:val="18"/>
                <w:szCs w:val="18"/>
              </w:rPr>
              <w:t>失</w:t>
            </w:r>
            <w:r>
              <w:rPr>
                <w:rFonts w:ascii="宋体" w:hAnsi="宋体" w:cs="宋体" w:eastAsia="宋体" w:hint="default"/>
                <w:w w:val="101"/>
                <w:sz w:val="18"/>
                <w:szCs w:val="18"/>
              </w:rPr>
              <w:t>以</w:t>
            </w:r>
            <w:r>
              <w:rPr>
                <w:rFonts w:ascii="Times New Roman" w:hAnsi="Times New Roman" w:cs="Times New Roman" w:eastAsia="Times New Roman" w:hint="default"/>
                <w:w w:val="101"/>
                <w:sz w:val="18"/>
                <w:szCs w:val="18"/>
              </w:rPr>
              <w:t>“</w:t>
            </w:r>
            <w:r>
              <w:rPr>
                <w:rFonts w:ascii="Times New Roman" w:hAnsi="Times New Roman" w:cs="Times New Roman" w:eastAsia="Times New Roman" w:hint="default"/>
                <w:spacing w:val="-4"/>
                <w:w w:val="101"/>
                <w:sz w:val="18"/>
                <w:szCs w:val="18"/>
              </w:rPr>
              <w:t>-</w:t>
            </w:r>
            <w:r>
              <w:rPr>
                <w:rFonts w:ascii="Times New Roman" w:hAnsi="Times New Roman" w:cs="Times New Roman" w:eastAsia="Times New Roman" w:hint="default"/>
                <w:spacing w:val="-5"/>
                <w:w w:val="101"/>
                <w:sz w:val="18"/>
                <w:szCs w:val="18"/>
              </w:rPr>
              <w:t>”</w:t>
            </w:r>
            <w:r>
              <w:rPr>
                <w:rFonts w:ascii="宋体" w:hAnsi="宋体" w:cs="宋体" w:eastAsia="宋体" w:hint="default"/>
                <w:w w:val="101"/>
                <w:sz w:val="18"/>
                <w:szCs w:val="18"/>
              </w:rPr>
              <w:t>号填</w:t>
            </w:r>
            <w:r>
              <w:rPr>
                <w:rFonts w:ascii="宋体" w:hAnsi="宋体" w:cs="宋体" w:eastAsia="宋体" w:hint="default"/>
                <w:sz w:val="18"/>
                <w:szCs w:val="18"/>
              </w:rPr>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2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-801,245.61</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2"/>
                <w:sz w:val="18"/>
              </w:rPr>
              <w:t>-11,673,592.72</w:t>
            </w:r>
          </w:p>
        </w:tc>
      </w:tr>
      <w:tr>
        <w:trPr>
          <w:trHeight w:val="715"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31" w:right="0"/>
              <w:jc w:val="left"/>
              <w:rPr>
                <w:rFonts w:ascii="宋体" w:hAnsi="宋体" w:cs="宋体" w:eastAsia="宋体" w:hint="default"/>
                <w:sz w:val="18"/>
                <w:szCs w:val="18"/>
              </w:rPr>
            </w:pPr>
            <w:r>
              <w:rPr>
                <w:rFonts w:ascii="宋体" w:hAnsi="宋体" w:cs="宋体" w:eastAsia="宋体" w:hint="default"/>
                <w:w w:val="101"/>
                <w:sz w:val="18"/>
                <w:szCs w:val="18"/>
              </w:rPr>
              <w:t>资</w:t>
            </w:r>
            <w:r>
              <w:rPr>
                <w:rFonts w:ascii="宋体" w:hAnsi="宋体" w:cs="宋体" w:eastAsia="宋体" w:hint="default"/>
                <w:spacing w:val="-5"/>
                <w:w w:val="101"/>
                <w:sz w:val="18"/>
                <w:szCs w:val="18"/>
              </w:rPr>
              <w:t>产</w:t>
            </w:r>
            <w:r>
              <w:rPr>
                <w:rFonts w:ascii="宋体" w:hAnsi="宋体" w:cs="宋体" w:eastAsia="宋体" w:hint="default"/>
                <w:w w:val="101"/>
                <w:sz w:val="18"/>
                <w:szCs w:val="18"/>
              </w:rPr>
              <w:t>处</w:t>
            </w:r>
            <w:r>
              <w:rPr>
                <w:rFonts w:ascii="宋体" w:hAnsi="宋体" w:cs="宋体" w:eastAsia="宋体" w:hint="default"/>
                <w:spacing w:val="-5"/>
                <w:w w:val="101"/>
                <w:sz w:val="18"/>
                <w:szCs w:val="18"/>
              </w:rPr>
              <w:t>置</w:t>
            </w:r>
            <w:r>
              <w:rPr>
                <w:rFonts w:ascii="宋体" w:hAnsi="宋体" w:cs="宋体" w:eastAsia="宋体" w:hint="default"/>
                <w:w w:val="101"/>
                <w:sz w:val="18"/>
                <w:szCs w:val="18"/>
              </w:rPr>
              <w:t>收</w:t>
            </w:r>
            <w:r>
              <w:rPr>
                <w:rFonts w:ascii="宋体" w:hAnsi="宋体" w:cs="宋体" w:eastAsia="宋体" w:hint="default"/>
                <w:spacing w:val="-77"/>
                <w:w w:val="101"/>
                <w:sz w:val="18"/>
                <w:szCs w:val="18"/>
              </w:rPr>
              <w:t>益</w:t>
            </w:r>
            <w:r>
              <w:rPr>
                <w:rFonts w:ascii="宋体" w:hAnsi="宋体" w:cs="宋体" w:eastAsia="宋体" w:hint="default"/>
                <w:spacing w:val="-5"/>
                <w:w w:val="101"/>
                <w:sz w:val="18"/>
                <w:szCs w:val="18"/>
              </w:rPr>
              <w:t>（</w:t>
            </w:r>
            <w:r>
              <w:rPr>
                <w:rFonts w:ascii="宋体" w:hAnsi="宋体" w:cs="宋体" w:eastAsia="宋体" w:hint="default"/>
                <w:w w:val="101"/>
                <w:sz w:val="18"/>
                <w:szCs w:val="18"/>
              </w:rPr>
              <w:t>损</w:t>
            </w:r>
            <w:r>
              <w:rPr>
                <w:rFonts w:ascii="宋体" w:hAnsi="宋体" w:cs="宋体" w:eastAsia="宋体" w:hint="default"/>
                <w:spacing w:val="-5"/>
                <w:w w:val="101"/>
                <w:sz w:val="18"/>
                <w:szCs w:val="18"/>
              </w:rPr>
              <w:t>失</w:t>
            </w:r>
            <w:r>
              <w:rPr>
                <w:rFonts w:ascii="宋体" w:hAnsi="宋体" w:cs="宋体" w:eastAsia="宋体" w:hint="default"/>
                <w:w w:val="101"/>
                <w:sz w:val="18"/>
                <w:szCs w:val="18"/>
              </w:rPr>
              <w:t>以</w:t>
            </w:r>
            <w:r>
              <w:rPr>
                <w:rFonts w:ascii="Times New Roman" w:hAnsi="Times New Roman" w:cs="Times New Roman" w:eastAsia="Times New Roman" w:hint="default"/>
                <w:w w:val="101"/>
                <w:sz w:val="18"/>
                <w:szCs w:val="18"/>
              </w:rPr>
              <w:t>“</w:t>
            </w:r>
            <w:r>
              <w:rPr>
                <w:rFonts w:ascii="Times New Roman" w:hAnsi="Times New Roman" w:cs="Times New Roman" w:eastAsia="Times New Roman" w:hint="default"/>
                <w:spacing w:val="-4"/>
                <w:w w:val="101"/>
                <w:sz w:val="18"/>
                <w:szCs w:val="18"/>
              </w:rPr>
              <w:t>-</w:t>
            </w:r>
            <w:r>
              <w:rPr>
                <w:rFonts w:ascii="Times New Roman" w:hAnsi="Times New Roman" w:cs="Times New Roman" w:eastAsia="Times New Roman" w:hint="default"/>
                <w:spacing w:val="-5"/>
                <w:w w:val="101"/>
                <w:sz w:val="18"/>
                <w:szCs w:val="18"/>
              </w:rPr>
              <w:t>”</w:t>
            </w:r>
            <w:r>
              <w:rPr>
                <w:rFonts w:ascii="宋体" w:hAnsi="宋体" w:cs="宋体" w:eastAsia="宋体" w:hint="default"/>
                <w:w w:val="101"/>
                <w:sz w:val="18"/>
                <w:szCs w:val="18"/>
              </w:rPr>
              <w:t>号填</w:t>
            </w:r>
            <w:r>
              <w:rPr>
                <w:rFonts w:ascii="宋体" w:hAnsi="宋体" w:cs="宋体" w:eastAsia="宋体" w:hint="default"/>
                <w:sz w:val="18"/>
                <w:szCs w:val="18"/>
              </w:rPr>
            </w:r>
          </w:p>
          <w:p>
            <w:pPr>
              <w:pStyle w:val="TableParagraph"/>
              <w:spacing w:line="240" w:lineRule="auto" w:before="67"/>
              <w:ind w:left="11"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2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-15,688.52</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35,462,882.06</w:t>
            </w:r>
          </w:p>
        </w:tc>
      </w:tr>
      <w:tr>
        <w:trPr>
          <w:trHeight w:val="404"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三、营业利润（亏损以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322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4,877,809.42</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29,798,666.24</w:t>
            </w:r>
          </w:p>
        </w:tc>
      </w:tr>
      <w:tr>
        <w:trPr>
          <w:trHeight w:val="398"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加：营业外收入</w:t>
            </w:r>
          </w:p>
        </w:tc>
        <w:tc>
          <w:tcPr>
            <w:tcW w:w="322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3"/>
                <w:sz w:val="18"/>
              </w:rPr>
              <w:t>123,111.14</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3,723,070.21</w:t>
            </w:r>
          </w:p>
        </w:tc>
      </w:tr>
      <w:tr>
        <w:trPr>
          <w:trHeight w:val="403"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pacing w:val="-3"/>
                <w:sz w:val="18"/>
                <w:szCs w:val="18"/>
              </w:rPr>
              <w:t>减：营业外支出</w:t>
            </w:r>
          </w:p>
        </w:tc>
        <w:tc>
          <w:tcPr>
            <w:tcW w:w="322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599,928.97</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895,980.64</w:t>
            </w:r>
          </w:p>
        </w:tc>
      </w:tr>
      <w:tr>
        <w:trPr>
          <w:trHeight w:val="403"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9"/>
                <w:sz w:val="18"/>
                <w:szCs w:val="18"/>
              </w:rPr>
              <w:t>四、利润总额（亏损总额以</w:t>
            </w:r>
            <w:r>
              <w:rPr>
                <w:rFonts w:ascii="Times New Roman" w:hAnsi="Times New Roman" w:cs="Times New Roman" w:eastAsia="Times New Roman" w:hint="default"/>
                <w:spacing w:val="-9"/>
                <w:sz w:val="18"/>
                <w:szCs w:val="18"/>
              </w:rPr>
              <w:t>“</w:t>
            </w:r>
            <w:r>
              <w:rPr>
                <w:rFonts w:ascii="宋体" w:hAnsi="宋体" w:cs="宋体" w:eastAsia="宋体" w:hint="default"/>
                <w:spacing w:val="-9"/>
                <w:sz w:val="18"/>
                <w:szCs w:val="18"/>
              </w:rPr>
              <w:t>－</w:t>
            </w:r>
            <w:r>
              <w:rPr>
                <w:rFonts w:ascii="Times New Roman" w:hAnsi="Times New Roman" w:cs="Times New Roman" w:eastAsia="Times New Roman" w:hint="default"/>
                <w:spacing w:val="-9"/>
                <w:sz w:val="18"/>
                <w:szCs w:val="18"/>
              </w:rPr>
              <w:t>”</w:t>
            </w:r>
            <w:r>
              <w:rPr>
                <w:rFonts w:ascii="宋体" w:hAnsi="宋体" w:cs="宋体" w:eastAsia="宋体" w:hint="default"/>
                <w:spacing w:val="-9"/>
                <w:sz w:val="18"/>
                <w:szCs w:val="18"/>
              </w:rPr>
              <w:t>号填列</w:t>
            </w:r>
          </w:p>
        </w:tc>
        <w:tc>
          <w:tcPr>
            <w:tcW w:w="1165"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53"/>
              <w:ind w:left="-120" w:right="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tc>
        <w:tc>
          <w:tcPr>
            <w:tcW w:w="20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6"/>
              <w:ind w:left="1085" w:right="0"/>
              <w:jc w:val="left"/>
              <w:rPr>
                <w:rFonts w:ascii="Times New Roman" w:hAnsi="Times New Roman" w:cs="Times New Roman" w:eastAsia="Times New Roman" w:hint="default"/>
                <w:sz w:val="18"/>
                <w:szCs w:val="18"/>
              </w:rPr>
            </w:pPr>
            <w:r>
              <w:rPr>
                <w:rFonts w:ascii="Times New Roman"/>
                <w:sz w:val="18"/>
              </w:rPr>
              <w:t>4,400,991.59</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32,625,755.81</w:t>
            </w:r>
          </w:p>
        </w:tc>
      </w:tr>
      <w:tr>
        <w:trPr>
          <w:trHeight w:val="404"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减：所得税费用</w:t>
            </w:r>
          </w:p>
        </w:tc>
        <w:tc>
          <w:tcPr>
            <w:tcW w:w="322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-3,000,607.43</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10,951,952.06</w:t>
            </w:r>
          </w:p>
        </w:tc>
      </w:tr>
      <w:tr>
        <w:trPr>
          <w:trHeight w:val="399"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五、净利润（净亏损以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322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7,401,599.02</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21,673,803.75</w:t>
            </w:r>
          </w:p>
        </w:tc>
      </w:tr>
      <w:tr>
        <w:trPr>
          <w:trHeight w:val="403"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94" w:right="0"/>
              <w:jc w:val="left"/>
              <w:rPr>
                <w:rFonts w:ascii="宋体" w:hAnsi="宋体" w:cs="宋体" w:eastAsia="宋体" w:hint="default"/>
                <w:sz w:val="18"/>
                <w:szCs w:val="18"/>
              </w:rPr>
            </w:pPr>
            <w:r>
              <w:rPr>
                <w:rFonts w:ascii="宋体" w:hAnsi="宋体" w:cs="宋体" w:eastAsia="宋体" w:hint="default"/>
                <w:spacing w:val="-3"/>
                <w:sz w:val="18"/>
                <w:szCs w:val="18"/>
              </w:rPr>
              <w:t>（一）按经营持续性分类</w:t>
            </w:r>
          </w:p>
        </w:tc>
        <w:tc>
          <w:tcPr>
            <w:tcW w:w="3220" w:type="dxa"/>
            <w:gridSpan w:val="2"/>
            <w:tcBorders>
              <w:top w:val="single" w:sz="4" w:space="0" w:color="000000"/>
              <w:left w:val="single" w:sz="4" w:space="0" w:color="000000"/>
              <w:bottom w:val="single" w:sz="4" w:space="0" w:color="000000"/>
              <w:right w:val="single" w:sz="4" w:space="0" w:color="000000"/>
            </w:tcBorders>
            <w:shd w:val="clear" w:color="auto" w:fill="D2D2D2"/>
          </w:tcPr>
          <w:p>
            <w:pPr/>
          </w:p>
        </w:tc>
        <w:tc>
          <w:tcPr>
            <w:tcW w:w="3279"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871" w:footer="1186" w:top="1100" w:bottom="1380" w:left="980" w:right="0"/>
        </w:sectPr>
      </w:pPr>
    </w:p>
    <w:p>
      <w:pPr>
        <w:spacing w:line="240" w:lineRule="auto" w:before="2"/>
        <w:rPr>
          <w:rFonts w:ascii="Times New Roman" w:hAnsi="Times New Roman" w:cs="Times New Roman" w:eastAsia="Times New Roman"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3059"/>
        <w:gridCol w:w="3220"/>
        <w:gridCol w:w="3279"/>
      </w:tblGrid>
      <w:tr>
        <w:trPr>
          <w:trHeight w:val="715"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37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持续经营净利润（净亏损以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号填列）</w:t>
            </w:r>
          </w:p>
        </w:tc>
        <w:tc>
          <w:tcPr>
            <w:tcW w:w="32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7,401,599.02</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21,673,803.75</w:t>
            </w:r>
          </w:p>
        </w:tc>
      </w:tr>
      <w:tr>
        <w:trPr>
          <w:trHeight w:val="711"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37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终止经营净利润（净亏损以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号填列）</w:t>
            </w:r>
          </w:p>
        </w:tc>
        <w:tc>
          <w:tcPr>
            <w:tcW w:w="3220" w:type="dxa"/>
            <w:tcBorders>
              <w:top w:val="single" w:sz="4" w:space="0" w:color="000000"/>
              <w:left w:val="single" w:sz="13" w:space="0" w:color="D2D2D2"/>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194" w:right="0"/>
              <w:jc w:val="left"/>
              <w:rPr>
                <w:rFonts w:ascii="宋体" w:hAnsi="宋体" w:cs="宋体" w:eastAsia="宋体" w:hint="default"/>
                <w:sz w:val="18"/>
                <w:szCs w:val="18"/>
              </w:rPr>
            </w:pPr>
            <w:r>
              <w:rPr>
                <w:rFonts w:ascii="宋体" w:hAnsi="宋体" w:cs="宋体" w:eastAsia="宋体" w:hint="default"/>
                <w:spacing w:val="-3"/>
                <w:sz w:val="18"/>
                <w:szCs w:val="18"/>
              </w:rPr>
              <w:t>（二）按所有权归属分类</w:t>
            </w:r>
          </w:p>
        </w:tc>
        <w:tc>
          <w:tcPr>
            <w:tcW w:w="322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7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right="192"/>
              <w:jc w:val="righ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归属于母公司所有者的净利润</w:t>
            </w:r>
          </w:p>
        </w:tc>
        <w:tc>
          <w:tcPr>
            <w:tcW w:w="32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5"/>
              <w:ind w:right="13"/>
              <w:jc w:val="right"/>
              <w:rPr>
                <w:rFonts w:ascii="Times New Roman" w:hAnsi="Times New Roman" w:cs="Times New Roman" w:eastAsia="Times New Roman" w:hint="default"/>
                <w:sz w:val="18"/>
                <w:szCs w:val="18"/>
              </w:rPr>
            </w:pPr>
            <w:r>
              <w:rPr>
                <w:rFonts w:ascii="Times New Roman"/>
                <w:spacing w:val="-1"/>
                <w:sz w:val="18"/>
              </w:rPr>
              <w:t>4,917,894.10</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pacing w:val="-1"/>
                <w:sz w:val="18"/>
              </w:rPr>
              <w:t>35,750,737.69</w:t>
            </w:r>
          </w:p>
        </w:tc>
      </w:tr>
      <w:tr>
        <w:trPr>
          <w:trHeight w:val="403"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376"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少数股东损益</w:t>
            </w:r>
          </w:p>
        </w:tc>
        <w:tc>
          <w:tcPr>
            <w:tcW w:w="32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5"/>
              <w:ind w:right="13"/>
              <w:jc w:val="right"/>
              <w:rPr>
                <w:rFonts w:ascii="Times New Roman" w:hAnsi="Times New Roman" w:cs="Times New Roman" w:eastAsia="Times New Roman" w:hint="default"/>
                <w:sz w:val="18"/>
                <w:szCs w:val="18"/>
              </w:rPr>
            </w:pPr>
            <w:r>
              <w:rPr>
                <w:rFonts w:ascii="Times New Roman"/>
                <w:spacing w:val="-1"/>
                <w:sz w:val="18"/>
              </w:rPr>
              <w:t>2,483,704.92</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pacing w:val="-1"/>
                <w:sz w:val="18"/>
              </w:rPr>
              <w:t>-14,076,933.94</w:t>
            </w:r>
          </w:p>
        </w:tc>
      </w:tr>
      <w:tr>
        <w:trPr>
          <w:trHeight w:val="399"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pacing w:val="-3"/>
                <w:sz w:val="18"/>
                <w:szCs w:val="18"/>
              </w:rPr>
              <w:t>六、其他综合收益的税后净额</w:t>
            </w:r>
          </w:p>
        </w:tc>
        <w:tc>
          <w:tcPr>
            <w:tcW w:w="32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6"/>
              <w:ind w:right="12"/>
              <w:jc w:val="right"/>
              <w:rPr>
                <w:rFonts w:ascii="Times New Roman" w:hAnsi="Times New Roman" w:cs="Times New Roman" w:eastAsia="Times New Roman" w:hint="default"/>
                <w:sz w:val="18"/>
                <w:szCs w:val="18"/>
              </w:rPr>
            </w:pPr>
            <w:r>
              <w:rPr>
                <w:rFonts w:ascii="Times New Roman"/>
                <w:spacing w:val="-1"/>
                <w:sz w:val="18"/>
              </w:rPr>
              <w:t>-102,449.33</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7"/>
              <w:jc w:val="right"/>
              <w:rPr>
                <w:rFonts w:ascii="Times New Roman" w:hAnsi="Times New Roman" w:cs="Times New Roman" w:eastAsia="Times New Roman" w:hint="default"/>
                <w:sz w:val="18"/>
                <w:szCs w:val="18"/>
              </w:rPr>
            </w:pPr>
            <w:r>
              <w:rPr>
                <w:rFonts w:ascii="Times New Roman"/>
                <w:spacing w:val="-1"/>
                <w:sz w:val="18"/>
              </w:rPr>
              <w:t>-8,009,124.90</w:t>
            </w:r>
          </w:p>
        </w:tc>
      </w:tr>
      <w:tr>
        <w:trPr>
          <w:trHeight w:val="715"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8"/>
              <w:ind w:left="11" w:right="149" w:firstLine="182"/>
              <w:jc w:val="left"/>
              <w:rPr>
                <w:rFonts w:ascii="宋体" w:hAnsi="宋体" w:cs="宋体" w:eastAsia="宋体" w:hint="default"/>
                <w:sz w:val="18"/>
                <w:szCs w:val="18"/>
              </w:rPr>
            </w:pPr>
            <w:r>
              <w:rPr>
                <w:rFonts w:ascii="宋体" w:hAnsi="宋体" w:cs="宋体" w:eastAsia="宋体" w:hint="default"/>
                <w:spacing w:val="-3"/>
                <w:sz w:val="18"/>
                <w:szCs w:val="18"/>
              </w:rPr>
              <w:t>归属母公司所有者的其他综合收益</w:t>
            </w:r>
            <w:r>
              <w:rPr>
                <w:rFonts w:ascii="宋体" w:hAnsi="宋体" w:cs="宋体" w:eastAsia="宋体" w:hint="default"/>
                <w:w w:val="101"/>
                <w:sz w:val="18"/>
                <w:szCs w:val="18"/>
              </w:rPr>
              <w:t> </w:t>
            </w:r>
            <w:r>
              <w:rPr>
                <w:rFonts w:ascii="宋体" w:hAnsi="宋体" w:cs="宋体" w:eastAsia="宋体" w:hint="default"/>
                <w:sz w:val="18"/>
                <w:szCs w:val="18"/>
              </w:rPr>
              <w:t>的税后净额</w:t>
            </w:r>
          </w:p>
        </w:tc>
        <w:tc>
          <w:tcPr>
            <w:tcW w:w="32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-102,449.33</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-8,009,124.90</w:t>
            </w:r>
          </w:p>
        </w:tc>
      </w:tr>
      <w:tr>
        <w:trPr>
          <w:trHeight w:val="716"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63"/>
              <w:ind w:left="11" w:right="5" w:firstLine="345"/>
              <w:jc w:val="left"/>
              <w:rPr>
                <w:rFonts w:ascii="宋体" w:hAnsi="宋体" w:cs="宋体" w:eastAsia="宋体" w:hint="default"/>
                <w:sz w:val="18"/>
                <w:szCs w:val="18"/>
              </w:rPr>
            </w:pPr>
            <w:r>
              <w:rPr>
                <w:rFonts w:ascii="宋体" w:hAnsi="宋体" w:cs="宋体" w:eastAsia="宋体" w:hint="default"/>
                <w:spacing w:val="-4"/>
                <w:sz w:val="18"/>
                <w:szCs w:val="18"/>
              </w:rPr>
              <w:t>（一）不能重分类进损益的其他综</w:t>
            </w:r>
            <w:r>
              <w:rPr>
                <w:rFonts w:ascii="宋体" w:hAnsi="宋体" w:cs="宋体" w:eastAsia="宋体" w:hint="default"/>
                <w:w w:val="101"/>
                <w:sz w:val="18"/>
                <w:szCs w:val="18"/>
              </w:rPr>
              <w:t> </w:t>
            </w:r>
            <w:r>
              <w:rPr>
                <w:rFonts w:ascii="宋体" w:hAnsi="宋体" w:cs="宋体" w:eastAsia="宋体" w:hint="default"/>
                <w:sz w:val="18"/>
                <w:szCs w:val="18"/>
              </w:rPr>
              <w:t>合收益</w:t>
            </w:r>
          </w:p>
        </w:tc>
        <w:tc>
          <w:tcPr>
            <w:tcW w:w="3220" w:type="dxa"/>
            <w:tcBorders>
              <w:top w:val="single" w:sz="4" w:space="0" w:color="000000"/>
              <w:left w:val="single" w:sz="13" w:space="0" w:color="D2D2D2"/>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914"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重新计量设定受益计划变</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动额</w:t>
            </w:r>
          </w:p>
        </w:tc>
        <w:tc>
          <w:tcPr>
            <w:tcW w:w="3220" w:type="dxa"/>
            <w:tcBorders>
              <w:top w:val="single" w:sz="4" w:space="0" w:color="000000"/>
              <w:left w:val="single" w:sz="13" w:space="0" w:color="D2D2D2"/>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914"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权益法下不能转损益的其</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他综合收益</w:t>
            </w:r>
          </w:p>
        </w:tc>
        <w:tc>
          <w:tcPr>
            <w:tcW w:w="3220" w:type="dxa"/>
            <w:tcBorders>
              <w:top w:val="single" w:sz="4" w:space="0" w:color="000000"/>
              <w:left w:val="single" w:sz="13" w:space="0" w:color="D2D2D2"/>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914"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其他权益工具投资公允价</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值变动</w:t>
            </w:r>
          </w:p>
        </w:tc>
        <w:tc>
          <w:tcPr>
            <w:tcW w:w="3220" w:type="dxa"/>
            <w:tcBorders>
              <w:top w:val="single" w:sz="4" w:space="0" w:color="000000"/>
              <w:left w:val="single" w:sz="13" w:space="0" w:color="D2D2D2"/>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914"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4.</w:t>
            </w:r>
            <w:r>
              <w:rPr>
                <w:rFonts w:ascii="宋体" w:hAnsi="宋体" w:cs="宋体" w:eastAsia="宋体" w:hint="default"/>
                <w:spacing w:val="-3"/>
                <w:sz w:val="18"/>
                <w:szCs w:val="18"/>
              </w:rPr>
              <w:t>企业自身信用风险公允价</w:t>
            </w:r>
          </w:p>
          <w:p>
            <w:pPr>
              <w:pStyle w:val="TableParagraph"/>
              <w:spacing w:line="240" w:lineRule="auto" w:before="67"/>
              <w:ind w:left="11" w:right="0"/>
              <w:jc w:val="left"/>
              <w:rPr>
                <w:rFonts w:ascii="宋体" w:hAnsi="宋体" w:cs="宋体" w:eastAsia="宋体" w:hint="default"/>
                <w:sz w:val="18"/>
                <w:szCs w:val="18"/>
              </w:rPr>
            </w:pPr>
            <w:r>
              <w:rPr>
                <w:rFonts w:ascii="宋体" w:hAnsi="宋体" w:cs="宋体" w:eastAsia="宋体" w:hint="default"/>
                <w:sz w:val="18"/>
                <w:szCs w:val="18"/>
              </w:rPr>
              <w:t>值变动</w:t>
            </w:r>
          </w:p>
        </w:tc>
        <w:tc>
          <w:tcPr>
            <w:tcW w:w="3220" w:type="dxa"/>
            <w:tcBorders>
              <w:top w:val="single" w:sz="4" w:space="0" w:color="000000"/>
              <w:left w:val="single" w:sz="13" w:space="0" w:color="D2D2D2"/>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9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3220" w:type="dxa"/>
            <w:tcBorders>
              <w:top w:val="single" w:sz="4" w:space="0" w:color="000000"/>
              <w:left w:val="single" w:sz="13" w:space="0" w:color="D2D2D2"/>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711"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3"/>
              <w:ind w:left="11" w:right="5" w:firstLine="345"/>
              <w:jc w:val="left"/>
              <w:rPr>
                <w:rFonts w:ascii="宋体" w:hAnsi="宋体" w:cs="宋体" w:eastAsia="宋体" w:hint="default"/>
                <w:sz w:val="18"/>
                <w:szCs w:val="18"/>
              </w:rPr>
            </w:pPr>
            <w:r>
              <w:rPr>
                <w:rFonts w:ascii="宋体" w:hAnsi="宋体" w:cs="宋体" w:eastAsia="宋体" w:hint="default"/>
                <w:spacing w:val="-4"/>
                <w:sz w:val="18"/>
                <w:szCs w:val="18"/>
              </w:rPr>
              <w:t>（二）将重分类进损益的其他综合</w:t>
            </w:r>
            <w:r>
              <w:rPr>
                <w:rFonts w:ascii="宋体" w:hAnsi="宋体" w:cs="宋体" w:eastAsia="宋体" w:hint="default"/>
                <w:w w:val="101"/>
                <w:sz w:val="18"/>
                <w:szCs w:val="18"/>
              </w:rPr>
              <w:t> </w:t>
            </w:r>
            <w:r>
              <w:rPr>
                <w:rFonts w:ascii="宋体" w:hAnsi="宋体" w:cs="宋体" w:eastAsia="宋体" w:hint="default"/>
                <w:sz w:val="18"/>
                <w:szCs w:val="18"/>
              </w:rPr>
              <w:t>收益</w:t>
            </w:r>
          </w:p>
        </w:tc>
        <w:tc>
          <w:tcPr>
            <w:tcW w:w="32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-102,449.33</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-8,009,124.90</w:t>
            </w:r>
          </w:p>
        </w:tc>
      </w:tr>
      <w:tr>
        <w:trPr>
          <w:trHeight w:val="715"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914"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权益法下可转损益的其他</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综合收益</w:t>
            </w:r>
          </w:p>
        </w:tc>
        <w:tc>
          <w:tcPr>
            <w:tcW w:w="32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-102,449.33</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-8,009,124.90</w:t>
            </w:r>
          </w:p>
        </w:tc>
      </w:tr>
      <w:tr>
        <w:trPr>
          <w:trHeight w:val="716"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914"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其他债权投资公允价值变</w:t>
            </w:r>
          </w:p>
          <w:p>
            <w:pPr>
              <w:pStyle w:val="TableParagraph"/>
              <w:spacing w:line="240" w:lineRule="auto" w:before="68"/>
              <w:ind w:left="11" w:right="0"/>
              <w:jc w:val="left"/>
              <w:rPr>
                <w:rFonts w:ascii="宋体" w:hAnsi="宋体" w:cs="宋体" w:eastAsia="宋体" w:hint="default"/>
                <w:sz w:val="18"/>
                <w:szCs w:val="18"/>
              </w:rPr>
            </w:pPr>
            <w:r>
              <w:rPr>
                <w:rFonts w:ascii="宋体" w:hAnsi="宋体" w:cs="宋体" w:eastAsia="宋体" w:hint="default"/>
                <w:w w:val="101"/>
                <w:sz w:val="18"/>
                <w:szCs w:val="18"/>
              </w:rPr>
              <w:t>动</w:t>
            </w:r>
            <w:r>
              <w:rPr>
                <w:rFonts w:ascii="宋体" w:hAnsi="宋体" w:cs="宋体" w:eastAsia="宋体" w:hint="default"/>
                <w:sz w:val="18"/>
                <w:szCs w:val="18"/>
              </w:rPr>
            </w:r>
          </w:p>
        </w:tc>
        <w:tc>
          <w:tcPr>
            <w:tcW w:w="3220" w:type="dxa"/>
            <w:tcBorders>
              <w:top w:val="single" w:sz="4" w:space="0" w:color="000000"/>
              <w:left w:val="single" w:sz="13" w:space="0" w:color="D2D2D2"/>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914"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可供出售金融资产公允价</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值变动损益</w:t>
            </w:r>
          </w:p>
        </w:tc>
        <w:tc>
          <w:tcPr>
            <w:tcW w:w="3220" w:type="dxa"/>
            <w:tcBorders>
              <w:top w:val="single" w:sz="4" w:space="0" w:color="000000"/>
              <w:left w:val="single" w:sz="13" w:space="0" w:color="D2D2D2"/>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711"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63"/>
              <w:ind w:left="11" w:right="14" w:firstLine="902"/>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4.</w:t>
            </w:r>
            <w:r>
              <w:rPr>
                <w:rFonts w:ascii="宋体" w:hAnsi="宋体" w:cs="宋体" w:eastAsia="宋体" w:hint="default"/>
                <w:spacing w:val="-3"/>
                <w:sz w:val="18"/>
                <w:szCs w:val="18"/>
              </w:rPr>
              <w:t>金融资产重分类计入其他</w:t>
            </w:r>
            <w:r>
              <w:rPr>
                <w:rFonts w:ascii="宋体" w:hAnsi="宋体" w:cs="宋体" w:eastAsia="宋体" w:hint="default"/>
                <w:w w:val="101"/>
                <w:sz w:val="18"/>
                <w:szCs w:val="18"/>
              </w:rPr>
              <w:t> </w:t>
            </w:r>
            <w:r>
              <w:rPr>
                <w:rFonts w:ascii="宋体" w:hAnsi="宋体" w:cs="宋体" w:eastAsia="宋体" w:hint="default"/>
                <w:spacing w:val="-3"/>
                <w:sz w:val="18"/>
                <w:szCs w:val="18"/>
              </w:rPr>
              <w:t>综合收益的金额</w:t>
            </w:r>
          </w:p>
        </w:tc>
        <w:tc>
          <w:tcPr>
            <w:tcW w:w="3220" w:type="dxa"/>
            <w:tcBorders>
              <w:top w:val="single" w:sz="4" w:space="0" w:color="000000"/>
              <w:left w:val="single" w:sz="13" w:space="0" w:color="D2D2D2"/>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68"/>
              <w:ind w:left="11" w:right="14" w:firstLine="902"/>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5.</w:t>
            </w:r>
            <w:r>
              <w:rPr>
                <w:rFonts w:ascii="宋体" w:hAnsi="宋体" w:cs="宋体" w:eastAsia="宋体" w:hint="default"/>
                <w:spacing w:val="-3"/>
                <w:sz w:val="18"/>
                <w:szCs w:val="18"/>
              </w:rPr>
              <w:t>持有至到期投资重分类为</w:t>
            </w:r>
            <w:r>
              <w:rPr>
                <w:rFonts w:ascii="宋体" w:hAnsi="宋体" w:cs="宋体" w:eastAsia="宋体" w:hint="default"/>
                <w:w w:val="101"/>
                <w:sz w:val="18"/>
                <w:szCs w:val="18"/>
              </w:rPr>
              <w:t> </w:t>
            </w:r>
            <w:r>
              <w:rPr>
                <w:rFonts w:ascii="宋体" w:hAnsi="宋体" w:cs="宋体" w:eastAsia="宋体" w:hint="default"/>
                <w:sz w:val="18"/>
                <w:szCs w:val="18"/>
              </w:rPr>
              <w:t>可供出售金融资产损益</w:t>
            </w:r>
          </w:p>
        </w:tc>
        <w:tc>
          <w:tcPr>
            <w:tcW w:w="3220" w:type="dxa"/>
            <w:tcBorders>
              <w:top w:val="single" w:sz="4" w:space="0" w:color="000000"/>
              <w:left w:val="single" w:sz="13" w:space="0" w:color="D2D2D2"/>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914"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6.</w:t>
            </w:r>
            <w:r>
              <w:rPr>
                <w:rFonts w:ascii="宋体" w:hAnsi="宋体" w:cs="宋体" w:eastAsia="宋体" w:hint="default"/>
                <w:spacing w:val="-3"/>
                <w:sz w:val="18"/>
                <w:szCs w:val="18"/>
              </w:rPr>
              <w:t>其他债权投资信用减值准</w:t>
            </w:r>
          </w:p>
          <w:p>
            <w:pPr>
              <w:pStyle w:val="TableParagraph"/>
              <w:spacing w:line="240" w:lineRule="auto" w:before="67"/>
              <w:ind w:left="11" w:right="0"/>
              <w:jc w:val="left"/>
              <w:rPr>
                <w:rFonts w:ascii="宋体" w:hAnsi="宋体" w:cs="宋体" w:eastAsia="宋体" w:hint="default"/>
                <w:sz w:val="18"/>
                <w:szCs w:val="18"/>
              </w:rPr>
            </w:pPr>
            <w:r>
              <w:rPr>
                <w:rFonts w:ascii="宋体" w:hAnsi="宋体" w:cs="宋体" w:eastAsia="宋体" w:hint="default"/>
                <w:w w:val="101"/>
                <w:sz w:val="18"/>
                <w:szCs w:val="18"/>
              </w:rPr>
              <w:t>备</w:t>
            </w:r>
            <w:r>
              <w:rPr>
                <w:rFonts w:ascii="宋体" w:hAnsi="宋体" w:cs="宋体" w:eastAsia="宋体" w:hint="default"/>
                <w:sz w:val="18"/>
                <w:szCs w:val="18"/>
              </w:rPr>
            </w:r>
          </w:p>
        </w:tc>
        <w:tc>
          <w:tcPr>
            <w:tcW w:w="3220" w:type="dxa"/>
            <w:tcBorders>
              <w:top w:val="single" w:sz="4" w:space="0" w:color="000000"/>
              <w:left w:val="single" w:sz="13" w:space="0" w:color="D2D2D2"/>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left="9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现金流量套期储备</w:t>
            </w:r>
          </w:p>
        </w:tc>
        <w:tc>
          <w:tcPr>
            <w:tcW w:w="3220" w:type="dxa"/>
            <w:tcBorders>
              <w:top w:val="single" w:sz="4" w:space="0" w:color="000000"/>
              <w:left w:val="single" w:sz="13" w:space="0" w:color="D2D2D2"/>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right="192"/>
              <w:jc w:val="right"/>
              <w:rPr>
                <w:rFonts w:ascii="宋体" w:hAnsi="宋体" w:cs="宋体" w:eastAsia="宋体" w:hint="default"/>
                <w:sz w:val="18"/>
                <w:szCs w:val="18"/>
              </w:rPr>
            </w:pPr>
            <w:r>
              <w:rPr>
                <w:rFonts w:ascii="Times New Roman" w:hAnsi="Times New Roman" w:cs="Times New Roman" w:eastAsia="Times New Roman" w:hint="default"/>
                <w:spacing w:val="-2"/>
                <w:sz w:val="18"/>
                <w:szCs w:val="18"/>
              </w:rPr>
              <w:t>8.</w:t>
            </w:r>
            <w:r>
              <w:rPr>
                <w:rFonts w:ascii="宋体" w:hAnsi="宋体" w:cs="宋体" w:eastAsia="宋体" w:hint="default"/>
                <w:spacing w:val="-2"/>
                <w:sz w:val="18"/>
                <w:szCs w:val="18"/>
              </w:rPr>
              <w:t>外币财务报表折算差额</w:t>
            </w:r>
          </w:p>
        </w:tc>
        <w:tc>
          <w:tcPr>
            <w:tcW w:w="3220" w:type="dxa"/>
            <w:tcBorders>
              <w:top w:val="single" w:sz="4" w:space="0" w:color="000000"/>
              <w:left w:val="single" w:sz="13" w:space="0" w:color="D2D2D2"/>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9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宋体" w:hAnsi="宋体" w:cs="宋体" w:eastAsia="宋体" w:hint="default"/>
                <w:sz w:val="18"/>
                <w:szCs w:val="18"/>
              </w:rPr>
              <w:t>其他</w:t>
            </w:r>
          </w:p>
        </w:tc>
        <w:tc>
          <w:tcPr>
            <w:tcW w:w="3220" w:type="dxa"/>
            <w:tcBorders>
              <w:top w:val="single" w:sz="4" w:space="0" w:color="000000"/>
              <w:left w:val="single" w:sz="13" w:space="0" w:color="D2D2D2"/>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1" w:footer="1186" w:top="1100" w:bottom="14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3059"/>
        <w:gridCol w:w="3220"/>
        <w:gridCol w:w="3279"/>
      </w:tblGrid>
      <w:tr>
        <w:trPr>
          <w:trHeight w:val="715"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 w:right="149" w:firstLine="182"/>
              <w:jc w:val="left"/>
              <w:rPr>
                <w:rFonts w:ascii="宋体" w:hAnsi="宋体" w:cs="宋体" w:eastAsia="宋体" w:hint="default"/>
                <w:sz w:val="18"/>
                <w:szCs w:val="18"/>
              </w:rPr>
            </w:pPr>
            <w:r>
              <w:rPr>
                <w:rFonts w:ascii="宋体" w:hAnsi="宋体" w:cs="宋体" w:eastAsia="宋体" w:hint="default"/>
                <w:spacing w:val="-3"/>
                <w:sz w:val="18"/>
                <w:szCs w:val="18"/>
              </w:rPr>
              <w:t>归属于少数股东的其他综合收益的</w:t>
            </w:r>
            <w:r>
              <w:rPr>
                <w:rFonts w:ascii="宋体" w:hAnsi="宋体" w:cs="宋体" w:eastAsia="宋体" w:hint="default"/>
                <w:w w:val="101"/>
                <w:sz w:val="18"/>
                <w:szCs w:val="18"/>
              </w:rPr>
              <w:t> </w:t>
            </w:r>
            <w:r>
              <w:rPr>
                <w:rFonts w:ascii="宋体" w:hAnsi="宋体" w:cs="宋体" w:eastAsia="宋体" w:hint="default"/>
                <w:sz w:val="18"/>
                <w:szCs w:val="18"/>
              </w:rPr>
              <w:t>税后净额</w:t>
            </w:r>
          </w:p>
        </w:tc>
        <w:tc>
          <w:tcPr>
            <w:tcW w:w="3220" w:type="dxa"/>
            <w:tcBorders>
              <w:top w:val="single" w:sz="4" w:space="0" w:color="000000"/>
              <w:left w:val="single" w:sz="13" w:space="0" w:color="D2D2D2"/>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2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7,299,149.69</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13,664,678.85</w:t>
            </w:r>
          </w:p>
        </w:tc>
      </w:tr>
      <w:tr>
        <w:trPr>
          <w:trHeight w:val="715"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8"/>
              <w:ind w:left="11" w:right="149" w:firstLine="360"/>
              <w:jc w:val="left"/>
              <w:rPr>
                <w:rFonts w:ascii="宋体" w:hAnsi="宋体" w:cs="宋体" w:eastAsia="宋体" w:hint="default"/>
                <w:sz w:val="18"/>
                <w:szCs w:val="18"/>
              </w:rPr>
            </w:pPr>
            <w:r>
              <w:rPr>
                <w:rFonts w:ascii="宋体" w:hAnsi="宋体" w:cs="宋体" w:eastAsia="宋体" w:hint="default"/>
                <w:spacing w:val="-3"/>
                <w:sz w:val="18"/>
                <w:szCs w:val="18"/>
              </w:rPr>
              <w:t>归属于母公司所有者的综合收益</w:t>
            </w:r>
            <w:r>
              <w:rPr>
                <w:rFonts w:ascii="宋体" w:hAnsi="宋体" w:cs="宋体" w:eastAsia="宋体" w:hint="default"/>
                <w:w w:val="101"/>
                <w:sz w:val="18"/>
                <w:szCs w:val="18"/>
              </w:rPr>
              <w:t> </w:t>
            </w:r>
            <w:r>
              <w:rPr>
                <w:rFonts w:ascii="宋体" w:hAnsi="宋体" w:cs="宋体" w:eastAsia="宋体" w:hint="default"/>
                <w:sz w:val="18"/>
                <w:szCs w:val="18"/>
              </w:rPr>
              <w:t>总额</w:t>
            </w:r>
          </w:p>
        </w:tc>
        <w:tc>
          <w:tcPr>
            <w:tcW w:w="32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4,815,444.77</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27,741,612.79</w:t>
            </w:r>
          </w:p>
        </w:tc>
      </w:tr>
      <w:tr>
        <w:trPr>
          <w:trHeight w:val="403"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归属于少数股东的综合收益总额</w:t>
            </w:r>
          </w:p>
        </w:tc>
        <w:tc>
          <w:tcPr>
            <w:tcW w:w="32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2,483,704.92</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-14,076,933.94</w:t>
            </w:r>
          </w:p>
        </w:tc>
      </w:tr>
      <w:tr>
        <w:trPr>
          <w:trHeight w:val="403"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八、每股收益：</w:t>
            </w:r>
          </w:p>
        </w:tc>
        <w:tc>
          <w:tcPr>
            <w:tcW w:w="322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7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99"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pacing w:val="-3"/>
                <w:sz w:val="18"/>
                <w:szCs w:val="18"/>
              </w:rPr>
              <w:t>（一）基本每股收益</w:t>
            </w:r>
          </w:p>
        </w:tc>
        <w:tc>
          <w:tcPr>
            <w:tcW w:w="32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0.0070</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0.0506</w:t>
            </w:r>
          </w:p>
        </w:tc>
      </w:tr>
      <w:tr>
        <w:trPr>
          <w:trHeight w:val="403"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pacing w:val="-3"/>
                <w:sz w:val="18"/>
                <w:szCs w:val="18"/>
              </w:rPr>
              <w:t>（二）稀释每股收益</w:t>
            </w:r>
          </w:p>
        </w:tc>
        <w:tc>
          <w:tcPr>
            <w:tcW w:w="32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0.0070</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0.0506</w:t>
            </w:r>
          </w:p>
        </w:tc>
      </w:tr>
    </w:tbl>
    <w:p>
      <w:pPr>
        <w:pStyle w:val="BodyText"/>
        <w:tabs>
          <w:tab w:pos="3668" w:val="left" w:leader="none"/>
          <w:tab w:pos="7720" w:val="left" w:leader="none"/>
        </w:tabs>
        <w:spacing w:line="590" w:lineRule="auto" w:before="53"/>
        <w:ind w:right="1218"/>
        <w:jc w:val="both"/>
        <w:rPr>
          <w:rFonts w:ascii="宋体" w:hAnsi="宋体" w:cs="宋体" w:eastAsia="宋体" w:hint="default"/>
          <w:sz w:val="21"/>
          <w:szCs w:val="21"/>
        </w:rPr>
      </w:pPr>
      <w:r>
        <w:rPr>
          <w:spacing w:val="-3"/>
        </w:rPr>
        <w:t>本期发生同一控制下企业合并的，被合并方在合并前实现的净利润为：</w:t>
      </w:r>
      <w:r>
        <w:rPr>
          <w:rFonts w:ascii="Times New Roman" w:hAnsi="Times New Roman" w:cs="Times New Roman" w:eastAsia="Times New Roman" w:hint="default"/>
          <w:spacing w:val="-3"/>
        </w:rPr>
        <w:t>0.00 </w:t>
      </w:r>
      <w:r>
        <w:rPr/>
        <w:t>元，上期被合并方实现的净利润为：</w:t>
      </w:r>
      <w:r>
        <w:rPr>
          <w:rFonts w:ascii="Times New Roman" w:hAnsi="Times New Roman" w:cs="Times New Roman" w:eastAsia="Times New Roman" w:hint="default"/>
        </w:rPr>
        <w:t>0.00 </w:t>
      </w:r>
      <w:r>
        <w:rPr/>
        <w:t>元。</w:t>
      </w:r>
      <w:r>
        <w:rPr>
          <w:spacing w:val="-73"/>
        </w:rPr>
        <w:t> </w:t>
      </w:r>
      <w:r>
        <w:rPr>
          <w:spacing w:val="-3"/>
        </w:rPr>
        <w:t>法定代表人：陈向军</w:t>
        <w:tab/>
        <w:t>主管会计工作负责人：刘奕</w:t>
        <w:tab/>
        <w:t>会计机构负责人：张春雷</w:t>
      </w:r>
      <w:r>
        <w:rPr>
          <w:spacing w:val="-56"/>
        </w:rPr>
        <w:t> </w:t>
      </w:r>
      <w:r>
        <w:rPr>
          <w:spacing w:val="-56"/>
        </w:rPr>
      </w:r>
      <w:bookmarkStart w:name="4、母公司利润表" w:id="161"/>
      <w:bookmarkEnd w:id="161"/>
      <w:r>
        <w:rPr>
          <w:spacing w:val="-56"/>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、母公司利润表</w:t>
      </w:r>
      <w:r>
        <w:rPr>
          <w:rFonts w:ascii="宋体" w:hAnsi="宋体" w:cs="宋体" w:eastAsia="宋体" w:hint="default"/>
          <w:sz w:val="21"/>
          <w:szCs w:val="21"/>
        </w:rPr>
      </w:r>
    </w:p>
    <w:p>
      <w:pPr>
        <w:pStyle w:val="BodyText"/>
        <w:spacing w:line="240" w:lineRule="auto" w:before="14"/>
        <w:ind w:left="0" w:right="1122"/>
        <w:jc w:val="right"/>
      </w:pPr>
      <w:r>
        <w:rPr>
          <w:spacing w:val="-2"/>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946"/>
        <w:gridCol w:w="3313"/>
        <w:gridCol w:w="3299"/>
      </w:tblGrid>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7"/>
                <w:sz w:val="18"/>
                <w:szCs w:val="18"/>
              </w:rPr>
              <w:t> </w:t>
            </w:r>
            <w:r>
              <w:rPr>
                <w:rFonts w:ascii="宋体" w:hAnsi="宋体" w:cs="宋体" w:eastAsia="宋体" w:hint="default"/>
                <w:spacing w:val="-5"/>
                <w:sz w:val="18"/>
                <w:szCs w:val="18"/>
              </w:rPr>
              <w:t>年度</w:t>
            </w:r>
            <w:r>
              <w:rPr>
                <w:rFonts w:ascii="宋体" w:hAnsi="宋体" w:cs="宋体" w:eastAsia="宋体" w:hint="default"/>
                <w:sz w:val="18"/>
                <w:szCs w:val="18"/>
              </w:rPr>
            </w: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7"/>
                <w:sz w:val="18"/>
                <w:szCs w:val="18"/>
              </w:rPr>
              <w:t> </w:t>
            </w:r>
            <w:r>
              <w:rPr>
                <w:rFonts w:ascii="宋体" w:hAnsi="宋体" w:cs="宋体" w:eastAsia="宋体" w:hint="default"/>
                <w:spacing w:val="-5"/>
                <w:sz w:val="18"/>
                <w:szCs w:val="18"/>
              </w:rPr>
              <w:t>年度</w:t>
            </w:r>
            <w:r>
              <w:rPr>
                <w:rFonts w:ascii="宋体" w:hAnsi="宋体" w:cs="宋体" w:eastAsia="宋体" w:hint="default"/>
                <w:sz w:val="18"/>
                <w:szCs w:val="18"/>
              </w:rPr>
            </w:r>
          </w:p>
        </w:tc>
      </w:tr>
      <w:tr>
        <w:trPr>
          <w:trHeight w:val="399"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170,450,465.69</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310,175,979.89</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116,986,961.33</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200,850,652.13</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31"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501,188.54</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2,172,797.59</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3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13,861,190.95</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23,920,714.36</w:t>
            </w:r>
          </w:p>
        </w:tc>
      </w:tr>
      <w:tr>
        <w:trPr>
          <w:trHeight w:val="399"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73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23,702,789.01</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23,187,946.87</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31"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33,741,007.41</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23,374,265.36</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31"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9,167,266.54</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10,938,833.69</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14" w:right="0"/>
              <w:jc w:val="left"/>
              <w:rPr>
                <w:rFonts w:ascii="宋体" w:hAnsi="宋体" w:cs="宋体" w:eastAsia="宋体" w:hint="default"/>
                <w:sz w:val="18"/>
                <w:szCs w:val="18"/>
              </w:rPr>
            </w:pPr>
            <w:r>
              <w:rPr>
                <w:rFonts w:ascii="宋体" w:hAnsi="宋体" w:cs="宋体" w:eastAsia="宋体" w:hint="default"/>
                <w:spacing w:val="-3"/>
                <w:sz w:val="18"/>
                <w:szCs w:val="18"/>
              </w:rPr>
              <w:t>其中：利息费用</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19,317,005.75</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25,065,972.15</w:t>
            </w:r>
          </w:p>
        </w:tc>
      </w:tr>
      <w:tr>
        <w:trPr>
          <w:trHeight w:val="399"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45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10,236,035.52</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14,632,854.12</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加：其他收益</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2,450,841.69</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3,599,059.44</w:t>
            </w:r>
          </w:p>
        </w:tc>
      </w:tr>
      <w:tr>
        <w:trPr>
          <w:trHeight w:val="715"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31"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30,617,481.76</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-34,545,591.34</w:t>
            </w:r>
          </w:p>
        </w:tc>
      </w:tr>
      <w:tr>
        <w:trPr>
          <w:trHeight w:val="716"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11" w:right="37" w:firstLine="720"/>
              <w:jc w:val="left"/>
              <w:rPr>
                <w:rFonts w:ascii="宋体" w:hAnsi="宋体" w:cs="宋体" w:eastAsia="宋体" w:hint="default"/>
                <w:sz w:val="18"/>
                <w:szCs w:val="18"/>
              </w:rPr>
            </w:pPr>
            <w:r>
              <w:rPr>
                <w:rFonts w:ascii="宋体" w:hAnsi="宋体" w:cs="宋体" w:eastAsia="宋体" w:hint="default"/>
                <w:spacing w:val="-3"/>
                <w:sz w:val="18"/>
                <w:szCs w:val="18"/>
              </w:rPr>
              <w:t>其中：对联营企业和合营企</w:t>
            </w:r>
            <w:r>
              <w:rPr>
                <w:rFonts w:ascii="宋体" w:hAnsi="宋体" w:cs="宋体" w:eastAsia="宋体" w:hint="default"/>
                <w:w w:val="101"/>
                <w:sz w:val="18"/>
                <w:szCs w:val="18"/>
              </w:rPr>
              <w:t> </w:t>
            </w:r>
            <w:r>
              <w:rPr>
                <w:rFonts w:ascii="宋体" w:hAnsi="宋体" w:cs="宋体" w:eastAsia="宋体" w:hint="default"/>
                <w:sz w:val="18"/>
                <w:szCs w:val="18"/>
              </w:rPr>
              <w:t>业的投资收益</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-20,612,514.13</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-54,545,591.34</w:t>
            </w:r>
          </w:p>
        </w:tc>
      </w:tr>
      <w:tr>
        <w:trPr>
          <w:trHeight w:val="1022"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3"/>
              <w:ind w:left="11" w:right="36" w:firstLine="1080"/>
              <w:jc w:val="left"/>
              <w:rPr>
                <w:rFonts w:ascii="宋体" w:hAnsi="宋体" w:cs="宋体" w:eastAsia="宋体" w:hint="default"/>
                <w:sz w:val="18"/>
                <w:szCs w:val="18"/>
              </w:rPr>
            </w:pPr>
            <w:r>
              <w:rPr>
                <w:rFonts w:ascii="宋体" w:hAnsi="宋体" w:cs="宋体" w:eastAsia="宋体" w:hint="default"/>
                <w:spacing w:val="-2"/>
                <w:sz w:val="18"/>
                <w:szCs w:val="18"/>
              </w:rPr>
              <w:t>以摊余成本计量的金融</w:t>
            </w:r>
            <w:r>
              <w:rPr>
                <w:rFonts w:ascii="宋体" w:hAnsi="宋体" w:cs="宋体" w:eastAsia="宋体" w:hint="default"/>
                <w:w w:val="101"/>
                <w:sz w:val="18"/>
                <w:szCs w:val="18"/>
              </w:rPr>
              <w:t> </w:t>
            </w:r>
            <w:r>
              <w:rPr>
                <w:rFonts w:ascii="宋体" w:hAnsi="宋体" w:cs="宋体" w:eastAsia="宋体" w:hint="default"/>
                <w:sz w:val="18"/>
                <w:szCs w:val="18"/>
              </w:rPr>
              <w:t>资产终止确认收益（损失以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r>
              <w:rPr>
                <w:rFonts w:ascii="宋体" w:hAnsi="宋体" w:cs="宋体" w:eastAsia="宋体" w:hint="default"/>
                <w:spacing w:val="-88"/>
                <w:sz w:val="18"/>
                <w:szCs w:val="18"/>
              </w:rPr>
              <w:t> </w:t>
            </w:r>
            <w:r>
              <w:rPr>
                <w:rFonts w:ascii="宋体" w:hAnsi="宋体" w:cs="宋体" w:eastAsia="宋体" w:hint="default"/>
                <w:sz w:val="18"/>
                <w:szCs w:val="18"/>
              </w:rPr>
              <w:t>列）</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31" w:right="0"/>
              <w:jc w:val="left"/>
              <w:rPr>
                <w:rFonts w:ascii="宋体" w:hAnsi="宋体" w:cs="宋体" w:eastAsia="宋体" w:hint="default"/>
                <w:sz w:val="18"/>
                <w:szCs w:val="18"/>
              </w:rPr>
            </w:pPr>
            <w:r>
              <w:rPr>
                <w:rFonts w:ascii="宋体" w:hAnsi="宋体" w:cs="宋体" w:eastAsia="宋体" w:hint="default"/>
                <w:spacing w:val="-3"/>
                <w:sz w:val="18"/>
                <w:szCs w:val="18"/>
              </w:rPr>
              <w:t>净敞口套期收益（损失以</w:t>
            </w:r>
          </w:p>
          <w:p>
            <w:pPr>
              <w:pStyle w:val="TableParagraph"/>
              <w:spacing w:line="240" w:lineRule="auto" w:before="8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3"/>
              <w:ind w:left="731" w:right="0"/>
              <w:jc w:val="left"/>
              <w:rPr>
                <w:rFonts w:ascii="宋体" w:hAnsi="宋体" w:cs="宋体" w:eastAsia="宋体" w:hint="default"/>
                <w:sz w:val="18"/>
                <w:szCs w:val="18"/>
              </w:rPr>
            </w:pPr>
            <w:r>
              <w:rPr>
                <w:rFonts w:ascii="宋体" w:hAnsi="宋体" w:cs="宋体" w:eastAsia="宋体" w:hint="default"/>
                <w:spacing w:val="-3"/>
                <w:sz w:val="18"/>
                <w:szCs w:val="18"/>
              </w:rPr>
              <w:t>公允价值变动收益（损失以</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1" w:footer="1186" w:top="1100" w:bottom="138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48" w:type="dxa"/>
        <w:tblLayout w:type="fixed"/>
        <w:tblCellMar>
          <w:top w:w="0" w:type="dxa"/>
          <w:left w:w="0" w:type="dxa"/>
          <w:bottom w:w="0" w:type="dxa"/>
          <w:right w:w="0" w:type="dxa"/>
        </w:tblCellMar>
        <w:tblLook w:val="01E0"/>
      </w:tblPr>
      <w:tblGrid>
        <w:gridCol w:w="2967"/>
        <w:gridCol w:w="3304"/>
        <w:gridCol w:w="3299"/>
      </w:tblGrid>
      <w:tr>
        <w:trPr>
          <w:trHeight w:val="360"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44" w:right="0"/>
              <w:jc w:val="left"/>
              <w:rPr>
                <w:rFonts w:ascii="宋体" w:hAnsi="宋体" w:cs="宋体" w:eastAsia="宋体" w:hint="default"/>
                <w:sz w:val="18"/>
                <w:szCs w:val="18"/>
              </w:rPr>
            </w:pPr>
            <w:r>
              <w:rPr>
                <w:rFonts w:ascii="宋体" w:hAnsi="宋体" w:cs="宋体" w:eastAsia="宋体" w:hint="default"/>
                <w:spacing w:val="-3"/>
                <w:sz w:val="18"/>
                <w:szCs w:val="18"/>
              </w:rPr>
              <w:t>信用减值损失（损失以</w:t>
            </w:r>
            <w:r>
              <w:rPr>
                <w:rFonts w:ascii="Times New Roman" w:hAnsi="Times New Roman" w:cs="Times New Roman" w:eastAsia="Times New Roman" w:hint="default"/>
                <w:spacing w:val="-3"/>
                <w:sz w:val="18"/>
                <w:szCs w:val="18"/>
              </w:rPr>
              <w:t>“</w:t>
            </w:r>
            <w:r>
              <w:rPr>
                <w:rFonts w:ascii="Times New Roman" w:hAnsi="Times New Roman" w:cs="Times New Roman" w:eastAsia="Times New Roman"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w:t>
            </w:r>
          </w:p>
          <w:p>
            <w:pPr>
              <w:pStyle w:val="TableParagraph"/>
              <w:spacing w:line="240" w:lineRule="auto" w:before="67"/>
              <w:ind w:left="24"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-2,749,194.41</w:t>
            </w: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44" w:right="0"/>
              <w:jc w:val="left"/>
              <w:rPr>
                <w:rFonts w:ascii="宋体" w:hAnsi="宋体" w:cs="宋体" w:eastAsia="宋体" w:hint="default"/>
                <w:sz w:val="18"/>
                <w:szCs w:val="18"/>
              </w:rPr>
            </w:pPr>
            <w:r>
              <w:rPr>
                <w:rFonts w:ascii="宋体" w:hAnsi="宋体" w:cs="宋体" w:eastAsia="宋体" w:hint="default"/>
                <w:spacing w:val="-3"/>
                <w:sz w:val="18"/>
                <w:szCs w:val="18"/>
              </w:rPr>
              <w:t>资产减值损失（损失以</w:t>
            </w:r>
            <w:r>
              <w:rPr>
                <w:rFonts w:ascii="Times New Roman" w:hAnsi="Times New Roman" w:cs="Times New Roman" w:eastAsia="Times New Roman" w:hint="default"/>
                <w:spacing w:val="-3"/>
                <w:sz w:val="18"/>
                <w:szCs w:val="18"/>
              </w:rPr>
              <w:t>“</w:t>
            </w:r>
            <w:r>
              <w:rPr>
                <w:rFonts w:ascii="Times New Roman" w:hAnsi="Times New Roman" w:cs="Times New Roman" w:eastAsia="Times New Roman"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w:t>
            </w:r>
          </w:p>
          <w:p>
            <w:pPr>
              <w:pStyle w:val="TableParagraph"/>
              <w:spacing w:line="240" w:lineRule="auto" w:before="67"/>
              <w:ind w:left="24"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-6,900,203.52</w:t>
            </w: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44" w:right="0"/>
              <w:jc w:val="left"/>
              <w:rPr>
                <w:rFonts w:ascii="宋体" w:hAnsi="宋体" w:cs="宋体" w:eastAsia="宋体" w:hint="default"/>
                <w:sz w:val="18"/>
                <w:szCs w:val="18"/>
              </w:rPr>
            </w:pPr>
            <w:r>
              <w:rPr>
                <w:rFonts w:ascii="宋体" w:hAnsi="宋体" w:cs="宋体" w:eastAsia="宋体" w:hint="default"/>
                <w:spacing w:val="-3"/>
                <w:sz w:val="18"/>
                <w:szCs w:val="18"/>
              </w:rPr>
              <w:t>资产处置收益（损失以</w:t>
            </w:r>
            <w:r>
              <w:rPr>
                <w:rFonts w:ascii="Times New Roman" w:hAnsi="Times New Roman" w:cs="Times New Roman" w:eastAsia="Times New Roman" w:hint="default"/>
                <w:spacing w:val="-3"/>
                <w:sz w:val="18"/>
                <w:szCs w:val="18"/>
              </w:rPr>
              <w:t>“</w:t>
            </w:r>
            <w:r>
              <w:rPr>
                <w:rFonts w:ascii="Times New Roman" w:hAnsi="Times New Roman" w:cs="Times New Roman" w:eastAsia="Times New Roman"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-14,538.10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35,391,157.57</w:t>
            </w:r>
          </w:p>
        </w:tc>
      </w:tr>
      <w:tr>
        <w:trPr>
          <w:trHeight w:val="399"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pacing w:val="-3"/>
                <w:sz w:val="18"/>
                <w:szCs w:val="18"/>
              </w:rPr>
              <w:t>二、营业利润（亏损以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2,794,652.85</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23,275,192.04</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pacing w:val="-3"/>
                <w:sz w:val="18"/>
                <w:szCs w:val="18"/>
              </w:rPr>
              <w:t>加：营业外收入</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2,800.00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pacing w:val="-3"/>
                <w:sz w:val="18"/>
                <w:szCs w:val="18"/>
              </w:rPr>
              <w:t>减：营业外支出</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40,742.91</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458,463.72</w:t>
            </w: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24" w:right="65"/>
              <w:jc w:val="left"/>
              <w:rPr>
                <w:rFonts w:ascii="宋体" w:hAnsi="宋体" w:cs="宋体" w:eastAsia="宋体" w:hint="default"/>
                <w:sz w:val="18"/>
                <w:szCs w:val="18"/>
              </w:rPr>
            </w:pPr>
            <w:r>
              <w:rPr>
                <w:rFonts w:ascii="宋体" w:hAnsi="宋体" w:cs="宋体" w:eastAsia="宋体" w:hint="default"/>
                <w:spacing w:val="-3"/>
                <w:sz w:val="18"/>
                <w:szCs w:val="18"/>
              </w:rPr>
              <w:t>三、利润总额（亏损总额以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w:t>
            </w:r>
            <w:r>
              <w:rPr>
                <w:rFonts w:ascii="宋体" w:hAnsi="宋体" w:cs="宋体" w:eastAsia="宋体" w:hint="default"/>
                <w:spacing w:val="-36"/>
                <w:sz w:val="18"/>
                <w:szCs w:val="18"/>
              </w:rPr>
              <w:t> </w:t>
            </w:r>
            <w:r>
              <w:rPr>
                <w:rFonts w:ascii="宋体" w:hAnsi="宋体" w:cs="宋体" w:eastAsia="宋体" w:hint="default"/>
                <w:sz w:val="18"/>
                <w:szCs w:val="18"/>
              </w:rPr>
              <w:t>列）</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2,753,909.94</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22,819,528.32</w:t>
            </w:r>
          </w:p>
        </w:tc>
      </w:tr>
      <w:tr>
        <w:trPr>
          <w:trHeight w:val="399"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84" w:right="0"/>
              <w:jc w:val="left"/>
              <w:rPr>
                <w:rFonts w:ascii="宋体" w:hAnsi="宋体" w:cs="宋体" w:eastAsia="宋体" w:hint="default"/>
                <w:sz w:val="18"/>
                <w:szCs w:val="18"/>
              </w:rPr>
            </w:pPr>
            <w:r>
              <w:rPr>
                <w:rFonts w:ascii="宋体" w:hAnsi="宋体" w:cs="宋体" w:eastAsia="宋体" w:hint="default"/>
                <w:spacing w:val="-3"/>
                <w:sz w:val="18"/>
                <w:szCs w:val="18"/>
              </w:rPr>
              <w:t>减：所得税费用</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-6,692,578.09</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6,415,724.83</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四、净利润（净亏损以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9,446,488.03</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16,403,803.49</w:t>
            </w: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24" w:right="46" w:firstLine="360"/>
              <w:jc w:val="left"/>
              <w:rPr>
                <w:rFonts w:ascii="宋体" w:hAnsi="宋体" w:cs="宋体" w:eastAsia="宋体" w:hint="default"/>
                <w:sz w:val="18"/>
                <w:szCs w:val="18"/>
              </w:rPr>
            </w:pPr>
            <w:r>
              <w:rPr>
                <w:rFonts w:ascii="宋体" w:hAnsi="宋体" w:cs="宋体" w:eastAsia="宋体" w:hint="default"/>
                <w:spacing w:val="-3"/>
                <w:sz w:val="18"/>
                <w:szCs w:val="18"/>
              </w:rPr>
              <w:t>（一）持续经营净利润（净亏损</w:t>
            </w:r>
            <w:r>
              <w:rPr>
                <w:rFonts w:ascii="宋体" w:hAnsi="宋体" w:cs="宋体" w:eastAsia="宋体" w:hint="default"/>
                <w:w w:val="101"/>
                <w:sz w:val="18"/>
                <w:szCs w:val="18"/>
              </w:rPr>
              <w:t> </w:t>
            </w:r>
            <w:r>
              <w:rPr>
                <w:rFonts w:ascii="宋体" w:hAnsi="宋体" w:cs="宋体" w:eastAsia="宋体" w:hint="default"/>
                <w:sz w:val="18"/>
                <w:szCs w:val="18"/>
              </w:rPr>
              <w:t>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9,446,488.03</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16,403,803.49</w:t>
            </w:r>
          </w:p>
        </w:tc>
      </w:tr>
      <w:tr>
        <w:trPr>
          <w:trHeight w:val="716"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4"/>
              <w:ind w:left="24" w:right="46" w:firstLine="360"/>
              <w:jc w:val="left"/>
              <w:rPr>
                <w:rFonts w:ascii="宋体" w:hAnsi="宋体" w:cs="宋体" w:eastAsia="宋体" w:hint="default"/>
                <w:sz w:val="18"/>
                <w:szCs w:val="18"/>
              </w:rPr>
            </w:pPr>
            <w:r>
              <w:rPr>
                <w:rFonts w:ascii="宋体" w:hAnsi="宋体" w:cs="宋体" w:eastAsia="宋体" w:hint="default"/>
                <w:spacing w:val="-3"/>
                <w:sz w:val="18"/>
                <w:szCs w:val="18"/>
              </w:rPr>
              <w:t>（二）终止经营净利润（净亏损</w:t>
            </w:r>
            <w:r>
              <w:rPr>
                <w:rFonts w:ascii="宋体" w:hAnsi="宋体" w:cs="宋体" w:eastAsia="宋体" w:hint="default"/>
                <w:w w:val="101"/>
                <w:sz w:val="18"/>
                <w:szCs w:val="18"/>
              </w:rPr>
              <w:t> </w:t>
            </w:r>
            <w:r>
              <w:rPr>
                <w:rFonts w:ascii="宋体" w:hAnsi="宋体" w:cs="宋体" w:eastAsia="宋体" w:hint="default"/>
                <w:sz w:val="18"/>
                <w:szCs w:val="18"/>
              </w:rPr>
              <w:t>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五、其他综合收益的税后净额</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-102,449.33</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-8,009,124.90</w:t>
            </w: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24" w:right="46" w:firstLine="360"/>
              <w:jc w:val="left"/>
              <w:rPr>
                <w:rFonts w:ascii="宋体" w:hAnsi="宋体" w:cs="宋体" w:eastAsia="宋体" w:hint="default"/>
                <w:sz w:val="18"/>
                <w:szCs w:val="18"/>
              </w:rPr>
            </w:pPr>
            <w:r>
              <w:rPr>
                <w:rFonts w:ascii="宋体" w:hAnsi="宋体" w:cs="宋体" w:eastAsia="宋体" w:hint="default"/>
                <w:spacing w:val="-3"/>
                <w:sz w:val="18"/>
                <w:szCs w:val="18"/>
              </w:rPr>
              <w:t>（一）不能重分类进损益的其他</w:t>
            </w:r>
            <w:r>
              <w:rPr>
                <w:rFonts w:ascii="宋体" w:hAnsi="宋体" w:cs="宋体" w:eastAsia="宋体" w:hint="default"/>
                <w:w w:val="101"/>
                <w:sz w:val="18"/>
                <w:szCs w:val="18"/>
              </w:rPr>
              <w:t> </w:t>
            </w:r>
            <w:r>
              <w:rPr>
                <w:rFonts w:ascii="宋体" w:hAnsi="宋体" w:cs="宋体" w:eastAsia="宋体" w:hint="default"/>
                <w:sz w:val="18"/>
                <w:szCs w:val="18"/>
              </w:rPr>
              <w:t>综合收益</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9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w:t>
            </w:r>
          </w:p>
          <w:p>
            <w:pPr>
              <w:pStyle w:val="TableParagraph"/>
              <w:spacing w:line="240" w:lineRule="auto" w:before="67"/>
              <w:ind w:left="24" w:right="0"/>
              <w:jc w:val="left"/>
              <w:rPr>
                <w:rFonts w:ascii="宋体" w:hAnsi="宋体" w:cs="宋体" w:eastAsia="宋体" w:hint="default"/>
                <w:sz w:val="18"/>
                <w:szCs w:val="18"/>
              </w:rPr>
            </w:pPr>
            <w:r>
              <w:rPr>
                <w:rFonts w:ascii="宋体" w:hAnsi="宋体" w:cs="宋体" w:eastAsia="宋体" w:hint="default"/>
                <w:sz w:val="18"/>
                <w:szCs w:val="18"/>
              </w:rPr>
              <w:t>变动额</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24" w:right="89" w:firstLine="902"/>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权益法下不能转损益的</w:t>
            </w:r>
            <w:r>
              <w:rPr>
                <w:rFonts w:ascii="宋体" w:hAnsi="宋体" w:cs="宋体" w:eastAsia="宋体" w:hint="default"/>
                <w:w w:val="101"/>
                <w:sz w:val="18"/>
                <w:szCs w:val="18"/>
              </w:rPr>
              <w:t> </w:t>
            </w:r>
            <w:r>
              <w:rPr>
                <w:rFonts w:ascii="宋体" w:hAnsi="宋体" w:cs="宋体" w:eastAsia="宋体" w:hint="default"/>
                <w:sz w:val="18"/>
                <w:szCs w:val="18"/>
              </w:rPr>
              <w:t>其他综合收益</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其他权益工具投资公允</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价值变动</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企业自身信用风险公允</w:t>
            </w:r>
          </w:p>
          <w:p>
            <w:pPr>
              <w:pStyle w:val="TableParagraph"/>
              <w:spacing w:line="240" w:lineRule="auto" w:before="67"/>
              <w:ind w:left="24" w:right="0"/>
              <w:jc w:val="left"/>
              <w:rPr>
                <w:rFonts w:ascii="宋体" w:hAnsi="宋体" w:cs="宋体" w:eastAsia="宋体" w:hint="default"/>
                <w:sz w:val="18"/>
                <w:szCs w:val="18"/>
              </w:rPr>
            </w:pPr>
            <w:r>
              <w:rPr>
                <w:rFonts w:ascii="宋体" w:hAnsi="宋体" w:cs="宋体" w:eastAsia="宋体" w:hint="default"/>
                <w:sz w:val="18"/>
                <w:szCs w:val="18"/>
              </w:rPr>
              <w:t>价值变动</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4"/>
              <w:ind w:left="24" w:right="46" w:firstLine="360"/>
              <w:jc w:val="left"/>
              <w:rPr>
                <w:rFonts w:ascii="宋体" w:hAnsi="宋体" w:cs="宋体" w:eastAsia="宋体" w:hint="default"/>
                <w:sz w:val="18"/>
                <w:szCs w:val="18"/>
              </w:rPr>
            </w:pPr>
            <w:r>
              <w:rPr>
                <w:rFonts w:ascii="宋体" w:hAnsi="宋体" w:cs="宋体" w:eastAsia="宋体" w:hint="default"/>
                <w:spacing w:val="-3"/>
                <w:sz w:val="18"/>
                <w:szCs w:val="18"/>
              </w:rPr>
              <w:t>（二）将重分类进损益的其他综</w:t>
            </w:r>
            <w:r>
              <w:rPr>
                <w:rFonts w:ascii="宋体" w:hAnsi="宋体" w:cs="宋体" w:eastAsia="宋体" w:hint="default"/>
                <w:w w:val="101"/>
                <w:sz w:val="18"/>
                <w:szCs w:val="18"/>
              </w:rPr>
              <w:t> </w:t>
            </w:r>
            <w:r>
              <w:rPr>
                <w:rFonts w:ascii="宋体" w:hAnsi="宋体" w:cs="宋体" w:eastAsia="宋体" w:hint="default"/>
                <w:sz w:val="18"/>
                <w:szCs w:val="18"/>
              </w:rPr>
              <w:t>合收益</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-102,449.33</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-8,009,124.90</w:t>
            </w:r>
          </w:p>
        </w:tc>
      </w:tr>
      <w:tr>
        <w:trPr>
          <w:trHeight w:val="710"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权益法下可转损益的其</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他综合收益</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-102,449.33</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-8,009,124.90</w:t>
            </w:r>
          </w:p>
        </w:tc>
      </w:tr>
      <w:tr>
        <w:trPr>
          <w:trHeight w:val="716"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其他债权投资公允价值</w:t>
            </w:r>
          </w:p>
          <w:p>
            <w:pPr>
              <w:pStyle w:val="TableParagraph"/>
              <w:spacing w:line="240" w:lineRule="auto" w:before="68"/>
              <w:ind w:left="24" w:right="0"/>
              <w:jc w:val="left"/>
              <w:rPr>
                <w:rFonts w:ascii="宋体" w:hAnsi="宋体" w:cs="宋体" w:eastAsia="宋体" w:hint="default"/>
                <w:sz w:val="18"/>
                <w:szCs w:val="18"/>
              </w:rPr>
            </w:pPr>
            <w:r>
              <w:rPr>
                <w:rFonts w:ascii="宋体" w:hAnsi="宋体" w:cs="宋体" w:eastAsia="宋体" w:hint="default"/>
                <w:sz w:val="18"/>
                <w:szCs w:val="18"/>
              </w:rPr>
              <w:t>变动</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4" w:lineRule="auto" w:before="53"/>
              <w:ind w:left="24" w:right="89" w:firstLine="902"/>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可供出售金融资产公允</w:t>
            </w:r>
            <w:r>
              <w:rPr>
                <w:rFonts w:ascii="宋体" w:hAnsi="宋体" w:cs="宋体" w:eastAsia="宋体" w:hint="default"/>
                <w:w w:val="101"/>
                <w:sz w:val="18"/>
                <w:szCs w:val="18"/>
              </w:rPr>
              <w:t> </w:t>
            </w:r>
            <w:r>
              <w:rPr>
                <w:rFonts w:ascii="宋体" w:hAnsi="宋体" w:cs="宋体" w:eastAsia="宋体" w:hint="default"/>
                <w:sz w:val="18"/>
                <w:szCs w:val="18"/>
              </w:rPr>
              <w:t>价值变动损益</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1" w:footer="1186" w:top="1100" w:bottom="138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2946"/>
        <w:gridCol w:w="3313"/>
        <w:gridCol w:w="3299"/>
      </w:tblGrid>
      <w:tr>
        <w:trPr>
          <w:trHeight w:val="715"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11" w:right="79" w:firstLine="902"/>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4.</w:t>
            </w:r>
            <w:r>
              <w:rPr>
                <w:rFonts w:ascii="宋体" w:hAnsi="宋体" w:cs="宋体" w:eastAsia="宋体" w:hint="default"/>
                <w:spacing w:val="-2"/>
                <w:sz w:val="18"/>
                <w:szCs w:val="18"/>
              </w:rPr>
              <w:t>金融资产重分类计入其</w:t>
            </w:r>
            <w:r>
              <w:rPr>
                <w:rFonts w:ascii="宋体" w:hAnsi="宋体" w:cs="宋体" w:eastAsia="宋体" w:hint="default"/>
                <w:w w:val="101"/>
                <w:sz w:val="18"/>
                <w:szCs w:val="18"/>
              </w:rPr>
              <w:t> </w:t>
            </w:r>
            <w:r>
              <w:rPr>
                <w:rFonts w:ascii="宋体" w:hAnsi="宋体" w:cs="宋体" w:eastAsia="宋体" w:hint="default"/>
                <w:sz w:val="18"/>
                <w:szCs w:val="18"/>
              </w:rPr>
              <w:t>他综合收益的金额</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1"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11" w:right="79" w:firstLine="902"/>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5.</w:t>
            </w:r>
            <w:r>
              <w:rPr>
                <w:rFonts w:ascii="宋体" w:hAnsi="宋体" w:cs="宋体" w:eastAsia="宋体" w:hint="default"/>
                <w:spacing w:val="-2"/>
                <w:sz w:val="18"/>
                <w:szCs w:val="18"/>
              </w:rPr>
              <w:t>持有至到期投资重分类</w:t>
            </w:r>
            <w:r>
              <w:rPr>
                <w:rFonts w:ascii="宋体" w:hAnsi="宋体" w:cs="宋体" w:eastAsia="宋体" w:hint="default"/>
                <w:w w:val="101"/>
                <w:sz w:val="18"/>
                <w:szCs w:val="18"/>
              </w:rPr>
              <w:t> </w:t>
            </w:r>
            <w:r>
              <w:rPr>
                <w:rFonts w:ascii="宋体" w:hAnsi="宋体" w:cs="宋体" w:eastAsia="宋体" w:hint="default"/>
                <w:spacing w:val="-3"/>
                <w:sz w:val="18"/>
                <w:szCs w:val="18"/>
              </w:rPr>
              <w:t>为可供出售金融资产损益</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9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其他债权投资信用减值</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准备</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现金流量套期储备</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9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外币财务报表折算差额</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宋体" w:hAnsi="宋体" w:cs="宋体" w:eastAsia="宋体" w:hint="default"/>
                <w:sz w:val="18"/>
                <w:szCs w:val="18"/>
              </w:rPr>
              <w:t>其他</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1"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9,344,038.70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8,394,678.59</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七、每股收益：</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（一）基本每股收益</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0.0134</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0.0232</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（二）稀释每股收益</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0.0134</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0.0232</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right="0"/>
        <w:jc w:val="left"/>
        <w:rPr>
          <w:b w:val="0"/>
          <w:bCs w:val="0"/>
        </w:rPr>
      </w:pPr>
      <w:bookmarkStart w:name="5、合并现金流量表" w:id="162"/>
      <w:bookmarkEnd w:id="162"/>
      <w:r>
        <w:rPr>
          <w:b w:val="0"/>
          <w:bCs w:val="0"/>
        </w:rPr>
      </w:r>
      <w:r>
        <w:rPr>
          <w:rFonts w:ascii="Times New Roman" w:hAnsi="Times New Roman" w:cs="Times New Roman" w:eastAsia="Times New Roman" w:hint="default"/>
        </w:rPr>
        <w:t>5</w:t>
      </w:r>
      <w:r>
        <w:rPr/>
        <w:t>、合并现金流量表</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1122"/>
        <w:jc w:val="right"/>
      </w:pPr>
      <w:r>
        <w:rPr>
          <w:spacing w:val="-2"/>
        </w:rPr>
        <w:t>单位：元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943"/>
        <w:gridCol w:w="3316"/>
        <w:gridCol w:w="3299"/>
      </w:tblGrid>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7"/>
                <w:sz w:val="18"/>
                <w:szCs w:val="18"/>
              </w:rPr>
              <w:t> </w:t>
            </w:r>
            <w:r>
              <w:rPr>
                <w:rFonts w:ascii="宋体" w:hAnsi="宋体" w:cs="宋体" w:eastAsia="宋体" w:hint="default"/>
                <w:spacing w:val="-5"/>
                <w:sz w:val="18"/>
                <w:szCs w:val="18"/>
              </w:rPr>
              <w:t>年度</w:t>
            </w:r>
            <w:r>
              <w:rPr>
                <w:rFonts w:ascii="宋体" w:hAnsi="宋体" w:cs="宋体" w:eastAsia="宋体" w:hint="default"/>
                <w:sz w:val="18"/>
                <w:szCs w:val="18"/>
              </w:rPr>
            </w: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7"/>
                <w:sz w:val="18"/>
                <w:szCs w:val="18"/>
              </w:rPr>
              <w:t> </w:t>
            </w:r>
            <w:r>
              <w:rPr>
                <w:rFonts w:ascii="宋体" w:hAnsi="宋体" w:cs="宋体" w:eastAsia="宋体" w:hint="default"/>
                <w:spacing w:val="-5"/>
                <w:sz w:val="18"/>
                <w:szCs w:val="18"/>
              </w:rPr>
              <w:t>年度</w:t>
            </w:r>
            <w:r>
              <w:rPr>
                <w:rFonts w:ascii="宋体" w:hAnsi="宋体" w:cs="宋体" w:eastAsia="宋体" w:hint="default"/>
                <w:sz w:val="18"/>
                <w:szCs w:val="18"/>
              </w:rPr>
            </w: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一、经营活动产生的现金流量：</w:t>
            </w:r>
          </w:p>
        </w:tc>
        <w:tc>
          <w:tcPr>
            <w:tcW w:w="331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98"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34"/>
              <w:jc w:val="right"/>
              <w:rPr>
                <w:rFonts w:ascii="宋体" w:hAnsi="宋体" w:cs="宋体" w:eastAsia="宋体" w:hint="default"/>
                <w:sz w:val="18"/>
                <w:szCs w:val="18"/>
              </w:rPr>
            </w:pPr>
            <w:r>
              <w:rPr>
                <w:rFonts w:ascii="宋体" w:hAnsi="宋体" w:cs="宋体" w:eastAsia="宋体" w:hint="default"/>
                <w:spacing w:val="-3"/>
                <w:sz w:val="18"/>
                <w:szCs w:val="18"/>
              </w:rPr>
              <w:t>销售商品、提供劳务收到的现金</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1,139,449,088.78</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1,275,791,103.12</w:t>
            </w:r>
          </w:p>
        </w:tc>
      </w:tr>
      <w:tr>
        <w:trPr>
          <w:trHeight w:val="716"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pacing w:val="-3"/>
                <w:sz w:val="18"/>
                <w:szCs w:val="18"/>
              </w:rPr>
              <w:t>客户存款和同业存放款项净增加</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w w:val="101"/>
                <w:sz w:val="18"/>
                <w:szCs w:val="18"/>
              </w:rPr>
              <w:t>额</w:t>
            </w:r>
            <w:r>
              <w:rPr>
                <w:rFonts w:ascii="宋体" w:hAnsi="宋体" w:cs="宋体" w:eastAsia="宋体" w:hint="default"/>
                <w:sz w:val="18"/>
                <w:szCs w:val="18"/>
              </w:rPr>
            </w:r>
          </w:p>
        </w:tc>
        <w:tc>
          <w:tcPr>
            <w:tcW w:w="3316" w:type="dxa"/>
            <w:tcBorders>
              <w:top w:val="single" w:sz="4" w:space="0" w:color="000000"/>
              <w:left w:val="single" w:sz="10"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向中央银行借款净增加额</w:t>
            </w:r>
          </w:p>
        </w:tc>
        <w:tc>
          <w:tcPr>
            <w:tcW w:w="3316" w:type="dxa"/>
            <w:tcBorders>
              <w:top w:val="single" w:sz="4" w:space="0" w:color="000000"/>
              <w:left w:val="single" w:sz="10"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向其他金融机构拆入资金净增加</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w w:val="101"/>
                <w:sz w:val="18"/>
                <w:szCs w:val="18"/>
              </w:rPr>
              <w:t>额</w:t>
            </w:r>
            <w:r>
              <w:rPr>
                <w:rFonts w:ascii="宋体" w:hAnsi="宋体" w:cs="宋体" w:eastAsia="宋体" w:hint="default"/>
                <w:sz w:val="18"/>
                <w:szCs w:val="18"/>
              </w:rPr>
            </w:r>
          </w:p>
        </w:tc>
        <w:tc>
          <w:tcPr>
            <w:tcW w:w="3316" w:type="dxa"/>
            <w:tcBorders>
              <w:top w:val="single" w:sz="4" w:space="0" w:color="000000"/>
              <w:left w:val="single" w:sz="10"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34"/>
              <w:jc w:val="right"/>
              <w:rPr>
                <w:rFonts w:ascii="宋体" w:hAnsi="宋体" w:cs="宋体" w:eastAsia="宋体" w:hint="default"/>
                <w:sz w:val="18"/>
                <w:szCs w:val="18"/>
              </w:rPr>
            </w:pPr>
            <w:r>
              <w:rPr>
                <w:rFonts w:ascii="宋体" w:hAnsi="宋体" w:cs="宋体" w:eastAsia="宋体" w:hint="default"/>
                <w:spacing w:val="-3"/>
                <w:sz w:val="18"/>
                <w:szCs w:val="18"/>
              </w:rPr>
              <w:t>收到原保险合同保费取得的现金</w:t>
            </w:r>
          </w:p>
        </w:tc>
        <w:tc>
          <w:tcPr>
            <w:tcW w:w="3316" w:type="dxa"/>
            <w:tcBorders>
              <w:top w:val="single" w:sz="4" w:space="0" w:color="000000"/>
              <w:left w:val="single" w:sz="10"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收到再保业务现金净额</w:t>
            </w:r>
          </w:p>
        </w:tc>
        <w:tc>
          <w:tcPr>
            <w:tcW w:w="3316" w:type="dxa"/>
            <w:tcBorders>
              <w:top w:val="single" w:sz="4" w:space="0" w:color="000000"/>
              <w:left w:val="single" w:sz="10"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保户储金及投资款净增加额</w:t>
            </w:r>
          </w:p>
        </w:tc>
        <w:tc>
          <w:tcPr>
            <w:tcW w:w="3316" w:type="dxa"/>
            <w:tcBorders>
              <w:top w:val="single" w:sz="4" w:space="0" w:color="000000"/>
              <w:left w:val="single" w:sz="10"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34"/>
              <w:jc w:val="right"/>
              <w:rPr>
                <w:rFonts w:ascii="宋体" w:hAnsi="宋体" w:cs="宋体" w:eastAsia="宋体" w:hint="default"/>
                <w:sz w:val="18"/>
                <w:szCs w:val="18"/>
              </w:rPr>
            </w:pPr>
            <w:r>
              <w:rPr>
                <w:rFonts w:ascii="宋体" w:hAnsi="宋体" w:cs="宋体" w:eastAsia="宋体" w:hint="default"/>
                <w:spacing w:val="-3"/>
                <w:sz w:val="18"/>
                <w:szCs w:val="18"/>
              </w:rPr>
              <w:t>收取利息、手续费及佣金的现金</w:t>
            </w:r>
          </w:p>
        </w:tc>
        <w:tc>
          <w:tcPr>
            <w:tcW w:w="3316" w:type="dxa"/>
            <w:tcBorders>
              <w:top w:val="single" w:sz="4" w:space="0" w:color="000000"/>
              <w:left w:val="single" w:sz="10"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3316" w:type="dxa"/>
            <w:tcBorders>
              <w:top w:val="single" w:sz="4" w:space="0" w:color="000000"/>
              <w:left w:val="single" w:sz="10"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3316" w:type="dxa"/>
            <w:tcBorders>
              <w:top w:val="single" w:sz="4" w:space="0" w:color="000000"/>
              <w:left w:val="single" w:sz="10"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代理买卖证券收到的现金净额</w:t>
            </w:r>
          </w:p>
        </w:tc>
        <w:tc>
          <w:tcPr>
            <w:tcW w:w="3316" w:type="dxa"/>
            <w:tcBorders>
              <w:top w:val="single" w:sz="4" w:space="0" w:color="000000"/>
              <w:left w:val="single" w:sz="10"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收到的税费返还</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19,198,234.13</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31,429,919.35</w:t>
            </w:r>
          </w:p>
        </w:tc>
      </w:tr>
      <w:tr>
        <w:trPr>
          <w:trHeight w:val="399"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34"/>
              <w:jc w:val="right"/>
              <w:rPr>
                <w:rFonts w:ascii="宋体" w:hAnsi="宋体" w:cs="宋体" w:eastAsia="宋体" w:hint="default"/>
                <w:sz w:val="18"/>
                <w:szCs w:val="18"/>
              </w:rPr>
            </w:pPr>
            <w:r>
              <w:rPr>
                <w:rFonts w:ascii="宋体" w:hAnsi="宋体" w:cs="宋体" w:eastAsia="宋体" w:hint="default"/>
                <w:spacing w:val="-3"/>
                <w:sz w:val="18"/>
                <w:szCs w:val="18"/>
              </w:rPr>
              <w:t>收到其他与经营活动有关的现金</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45,572,821.11</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32,464,915.13</w:t>
            </w: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2"/>
                <w:sz w:val="18"/>
              </w:rPr>
              <w:t>1,204,220,144.02</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2"/>
                <w:sz w:val="18"/>
              </w:rPr>
              <w:t>1,339,685,937.60</w:t>
            </w: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34"/>
              <w:jc w:val="right"/>
              <w:rPr>
                <w:rFonts w:ascii="宋体" w:hAnsi="宋体" w:cs="宋体" w:eastAsia="宋体" w:hint="default"/>
                <w:sz w:val="18"/>
                <w:szCs w:val="18"/>
              </w:rPr>
            </w:pPr>
            <w:r>
              <w:rPr>
                <w:rFonts w:ascii="宋体" w:hAnsi="宋体" w:cs="宋体" w:eastAsia="宋体" w:hint="default"/>
                <w:spacing w:val="-3"/>
                <w:sz w:val="18"/>
                <w:szCs w:val="18"/>
              </w:rPr>
              <w:t>购买商品、接受劳务支付的现金</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896,097,174.81</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821,524,091.22</w:t>
            </w:r>
          </w:p>
        </w:tc>
      </w:tr>
    </w:tbl>
    <w:p>
      <w:pPr>
        <w:spacing w:after="0" w:line="240" w:lineRule="auto"/>
        <w:jc w:val="right"/>
        <w:rPr>
          <w:rFonts w:ascii="Times New Roman" w:hAnsi="Times New Roman" w:cs="Times New Roman" w:eastAsia="Times New Roman" w:hint="default"/>
          <w:sz w:val="18"/>
          <w:szCs w:val="18"/>
        </w:rPr>
        <w:sectPr>
          <w:pgSz w:w="11910" w:h="16840"/>
          <w:pgMar w:header="871" w:footer="1186" w:top="1100" w:bottom="138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2943"/>
        <w:gridCol w:w="3316"/>
        <w:gridCol w:w="3299"/>
      </w:tblGrid>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客户贷款及垫款净增加额</w:t>
            </w:r>
          </w:p>
        </w:tc>
        <w:tc>
          <w:tcPr>
            <w:tcW w:w="3316" w:type="dxa"/>
            <w:tcBorders>
              <w:top w:val="single" w:sz="4" w:space="0" w:color="000000"/>
              <w:left w:val="single" w:sz="10"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1"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存放中央银行和同业款项净增加</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w w:val="101"/>
                <w:sz w:val="18"/>
                <w:szCs w:val="18"/>
              </w:rPr>
              <w:t>额</w:t>
            </w:r>
            <w:r>
              <w:rPr>
                <w:rFonts w:ascii="宋体" w:hAnsi="宋体" w:cs="宋体" w:eastAsia="宋体" w:hint="default"/>
                <w:sz w:val="18"/>
                <w:szCs w:val="18"/>
              </w:rPr>
            </w:r>
          </w:p>
        </w:tc>
        <w:tc>
          <w:tcPr>
            <w:tcW w:w="3316" w:type="dxa"/>
            <w:tcBorders>
              <w:top w:val="single" w:sz="4" w:space="0" w:color="000000"/>
              <w:left w:val="single" w:sz="10"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34"/>
              <w:jc w:val="right"/>
              <w:rPr>
                <w:rFonts w:ascii="宋体" w:hAnsi="宋体" w:cs="宋体" w:eastAsia="宋体" w:hint="default"/>
                <w:sz w:val="18"/>
                <w:szCs w:val="18"/>
              </w:rPr>
            </w:pPr>
            <w:r>
              <w:rPr>
                <w:rFonts w:ascii="宋体" w:hAnsi="宋体" w:cs="宋体" w:eastAsia="宋体" w:hint="default"/>
                <w:spacing w:val="-3"/>
                <w:sz w:val="18"/>
                <w:szCs w:val="18"/>
              </w:rPr>
              <w:t>支付原保险合同赔付款项的现金</w:t>
            </w:r>
          </w:p>
        </w:tc>
        <w:tc>
          <w:tcPr>
            <w:tcW w:w="3316" w:type="dxa"/>
            <w:tcBorders>
              <w:top w:val="single" w:sz="4" w:space="0" w:color="000000"/>
              <w:left w:val="single" w:sz="10"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拆出资金净增加额</w:t>
            </w:r>
          </w:p>
        </w:tc>
        <w:tc>
          <w:tcPr>
            <w:tcW w:w="3316" w:type="dxa"/>
            <w:tcBorders>
              <w:top w:val="single" w:sz="4" w:space="0" w:color="000000"/>
              <w:left w:val="single" w:sz="10"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34"/>
              <w:jc w:val="right"/>
              <w:rPr>
                <w:rFonts w:ascii="宋体" w:hAnsi="宋体" w:cs="宋体" w:eastAsia="宋体" w:hint="default"/>
                <w:sz w:val="18"/>
                <w:szCs w:val="18"/>
              </w:rPr>
            </w:pPr>
            <w:r>
              <w:rPr>
                <w:rFonts w:ascii="宋体" w:hAnsi="宋体" w:cs="宋体" w:eastAsia="宋体" w:hint="default"/>
                <w:spacing w:val="-3"/>
                <w:sz w:val="18"/>
                <w:szCs w:val="18"/>
              </w:rPr>
              <w:t>支付利息、手续费及佣金的现金</w:t>
            </w:r>
          </w:p>
        </w:tc>
        <w:tc>
          <w:tcPr>
            <w:tcW w:w="3316" w:type="dxa"/>
            <w:tcBorders>
              <w:top w:val="single" w:sz="4" w:space="0" w:color="000000"/>
              <w:left w:val="single" w:sz="10"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支付保单红利的现金</w:t>
            </w:r>
          </w:p>
        </w:tc>
        <w:tc>
          <w:tcPr>
            <w:tcW w:w="3316" w:type="dxa"/>
            <w:tcBorders>
              <w:top w:val="single" w:sz="4" w:space="0" w:color="000000"/>
              <w:left w:val="single" w:sz="10"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371" w:right="0"/>
              <w:jc w:val="left"/>
              <w:rPr>
                <w:rFonts w:ascii="宋体" w:hAnsi="宋体" w:cs="宋体" w:eastAsia="宋体" w:hint="default"/>
                <w:sz w:val="18"/>
                <w:szCs w:val="18"/>
              </w:rPr>
            </w:pPr>
            <w:r>
              <w:rPr>
                <w:rFonts w:ascii="宋体" w:hAnsi="宋体" w:cs="宋体" w:eastAsia="宋体" w:hint="default"/>
                <w:spacing w:val="-3"/>
                <w:sz w:val="18"/>
                <w:szCs w:val="18"/>
              </w:rPr>
              <w:t>支付给职工以及为职工支付的现</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w w:val="101"/>
                <w:sz w:val="18"/>
                <w:szCs w:val="18"/>
              </w:rPr>
              <w:t>金</w:t>
            </w:r>
            <w:r>
              <w:rPr>
                <w:rFonts w:ascii="宋体" w:hAnsi="宋体" w:cs="宋体" w:eastAsia="宋体" w:hint="default"/>
                <w:sz w:val="18"/>
                <w:szCs w:val="18"/>
              </w:rPr>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105,224,960.15</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105,726,234.49</w:t>
            </w: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支付的各项税费</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34,583,590.86</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40,019,228.36</w:t>
            </w: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34"/>
              <w:jc w:val="right"/>
              <w:rPr>
                <w:rFonts w:ascii="宋体" w:hAnsi="宋体" w:cs="宋体" w:eastAsia="宋体" w:hint="default"/>
                <w:sz w:val="18"/>
                <w:szCs w:val="18"/>
              </w:rPr>
            </w:pPr>
            <w:r>
              <w:rPr>
                <w:rFonts w:ascii="宋体" w:hAnsi="宋体" w:cs="宋体" w:eastAsia="宋体" w:hint="default"/>
                <w:spacing w:val="-3"/>
                <w:sz w:val="18"/>
                <w:szCs w:val="18"/>
              </w:rPr>
              <w:t>支付其他与经营活动有关的现金</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221,740,091.99</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275,230,523.10</w:t>
            </w:r>
          </w:p>
        </w:tc>
      </w:tr>
      <w:tr>
        <w:trPr>
          <w:trHeight w:val="399"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1,257,645,817.81</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1,242,500,077.17</w:t>
            </w: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1" w:right="0"/>
              <w:jc w:val="left"/>
              <w:rPr>
                <w:rFonts w:ascii="宋体" w:hAnsi="宋体" w:cs="宋体" w:eastAsia="宋体" w:hint="default"/>
                <w:sz w:val="18"/>
                <w:szCs w:val="18"/>
              </w:rPr>
            </w:pPr>
            <w:r>
              <w:rPr>
                <w:rFonts w:ascii="宋体" w:hAnsi="宋体" w:cs="宋体" w:eastAsia="宋体" w:hint="default"/>
                <w:spacing w:val="-3"/>
                <w:sz w:val="18"/>
                <w:szCs w:val="18"/>
              </w:rPr>
              <w:t>经营活动产生的现金流量净额</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-53,425,673.79</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97,185,860.43</w:t>
            </w: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二、投资活动产生的现金流量：</w:t>
            </w:r>
          </w:p>
        </w:tc>
        <w:tc>
          <w:tcPr>
            <w:tcW w:w="331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收回投资收到的现金</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136,490,024.05</w:t>
            </w: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取得投资收益收到的现金</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1,229,995.89</w:t>
            </w: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8"/>
              <w:ind w:left="11" w:right="34" w:firstLine="360"/>
              <w:jc w:val="left"/>
              <w:rPr>
                <w:rFonts w:ascii="宋体" w:hAnsi="宋体" w:cs="宋体" w:eastAsia="宋体" w:hint="default"/>
                <w:sz w:val="18"/>
                <w:szCs w:val="18"/>
              </w:rPr>
            </w:pPr>
            <w:r>
              <w:rPr>
                <w:rFonts w:ascii="宋体" w:hAnsi="宋体" w:cs="宋体" w:eastAsia="宋体" w:hint="default"/>
                <w:spacing w:val="-3"/>
                <w:sz w:val="18"/>
                <w:szCs w:val="18"/>
              </w:rPr>
              <w:t>处置固定资产、无形资产和其他</w:t>
            </w:r>
            <w:r>
              <w:rPr>
                <w:rFonts w:ascii="宋体" w:hAnsi="宋体" w:cs="宋体" w:eastAsia="宋体" w:hint="default"/>
                <w:w w:val="101"/>
                <w:sz w:val="18"/>
                <w:szCs w:val="18"/>
              </w:rPr>
              <w:t> </w:t>
            </w:r>
            <w:r>
              <w:rPr>
                <w:rFonts w:ascii="宋体" w:hAnsi="宋体" w:cs="宋体" w:eastAsia="宋体" w:hint="default"/>
                <w:spacing w:val="-3"/>
                <w:sz w:val="18"/>
                <w:szCs w:val="18"/>
              </w:rPr>
              <w:t>长期资产收回的现金净额</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2"/>
                <w:sz w:val="18"/>
              </w:rPr>
              <w:t>119,710.00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73,132,543.00</w:t>
            </w:r>
          </w:p>
        </w:tc>
      </w:tr>
      <w:tr>
        <w:trPr>
          <w:trHeight w:val="715"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11" w:right="34" w:firstLine="360"/>
              <w:jc w:val="left"/>
              <w:rPr>
                <w:rFonts w:ascii="宋体" w:hAnsi="宋体" w:cs="宋体" w:eastAsia="宋体" w:hint="default"/>
                <w:sz w:val="18"/>
                <w:szCs w:val="18"/>
              </w:rPr>
            </w:pPr>
            <w:r>
              <w:rPr>
                <w:rFonts w:ascii="宋体" w:hAnsi="宋体" w:cs="宋体" w:eastAsia="宋体" w:hint="default"/>
                <w:spacing w:val="-3"/>
                <w:sz w:val="18"/>
                <w:szCs w:val="18"/>
              </w:rPr>
              <w:t>处置子公司及其他营业单位收到</w:t>
            </w:r>
            <w:r>
              <w:rPr>
                <w:rFonts w:ascii="宋体" w:hAnsi="宋体" w:cs="宋体" w:eastAsia="宋体" w:hint="default"/>
                <w:w w:val="101"/>
                <w:sz w:val="18"/>
                <w:szCs w:val="18"/>
              </w:rPr>
              <w:t> </w:t>
            </w:r>
            <w:r>
              <w:rPr>
                <w:rFonts w:ascii="宋体" w:hAnsi="宋体" w:cs="宋体" w:eastAsia="宋体" w:hint="default"/>
                <w:sz w:val="18"/>
                <w:szCs w:val="18"/>
              </w:rPr>
              <w:t>的现金净额</w:t>
            </w:r>
          </w:p>
        </w:tc>
        <w:tc>
          <w:tcPr>
            <w:tcW w:w="3316" w:type="dxa"/>
            <w:tcBorders>
              <w:top w:val="single" w:sz="4" w:space="0" w:color="000000"/>
              <w:left w:val="single" w:sz="10"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34"/>
              <w:jc w:val="right"/>
              <w:rPr>
                <w:rFonts w:ascii="宋体" w:hAnsi="宋体" w:cs="宋体" w:eastAsia="宋体" w:hint="default"/>
                <w:sz w:val="18"/>
                <w:szCs w:val="18"/>
              </w:rPr>
            </w:pPr>
            <w:r>
              <w:rPr>
                <w:rFonts w:ascii="宋体" w:hAnsi="宋体" w:cs="宋体" w:eastAsia="宋体" w:hint="default"/>
                <w:spacing w:val="-3"/>
                <w:sz w:val="18"/>
                <w:szCs w:val="18"/>
              </w:rPr>
              <w:t>收到其他与投资活动有关的现金</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405,967,012.89</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2"/>
                <w:sz w:val="18"/>
              </w:rPr>
              <w:t>411,438,074.60</w:t>
            </w:r>
          </w:p>
        </w:tc>
      </w:tr>
      <w:tr>
        <w:trPr>
          <w:trHeight w:val="398"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543,806,742.83</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484,570,617.60</w:t>
            </w:r>
          </w:p>
        </w:tc>
      </w:tr>
      <w:tr>
        <w:trPr>
          <w:trHeight w:val="715"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8"/>
              <w:ind w:left="11" w:right="34" w:firstLine="360"/>
              <w:jc w:val="left"/>
              <w:rPr>
                <w:rFonts w:ascii="宋体" w:hAnsi="宋体" w:cs="宋体" w:eastAsia="宋体" w:hint="default"/>
                <w:sz w:val="18"/>
                <w:szCs w:val="18"/>
              </w:rPr>
            </w:pPr>
            <w:r>
              <w:rPr>
                <w:rFonts w:ascii="宋体" w:hAnsi="宋体" w:cs="宋体" w:eastAsia="宋体" w:hint="default"/>
                <w:spacing w:val="-3"/>
                <w:sz w:val="18"/>
                <w:szCs w:val="18"/>
              </w:rPr>
              <w:t>购建固定资产、无形资产和其他</w:t>
            </w:r>
            <w:r>
              <w:rPr>
                <w:rFonts w:ascii="宋体" w:hAnsi="宋体" w:cs="宋体" w:eastAsia="宋体" w:hint="default"/>
                <w:w w:val="101"/>
                <w:sz w:val="18"/>
                <w:szCs w:val="18"/>
              </w:rPr>
              <w:t> </w:t>
            </w:r>
            <w:r>
              <w:rPr>
                <w:rFonts w:ascii="宋体" w:hAnsi="宋体" w:cs="宋体" w:eastAsia="宋体" w:hint="default"/>
                <w:spacing w:val="-3"/>
                <w:sz w:val="18"/>
                <w:szCs w:val="18"/>
              </w:rPr>
              <w:t>长期资产支付的现金</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18,105,647.73</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14,420,209.59</w:t>
            </w:r>
          </w:p>
        </w:tc>
      </w:tr>
      <w:tr>
        <w:trPr>
          <w:trHeight w:val="40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投资支付的现金</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120,000,000.00</w:t>
            </w: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3316" w:type="dxa"/>
            <w:tcBorders>
              <w:top w:val="single" w:sz="4" w:space="0" w:color="000000"/>
              <w:left w:val="single" w:sz="10"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 w:right="34" w:firstLine="360"/>
              <w:jc w:val="left"/>
              <w:rPr>
                <w:rFonts w:ascii="宋体" w:hAnsi="宋体" w:cs="宋体" w:eastAsia="宋体" w:hint="default"/>
                <w:sz w:val="18"/>
                <w:szCs w:val="18"/>
              </w:rPr>
            </w:pPr>
            <w:r>
              <w:rPr>
                <w:rFonts w:ascii="宋体" w:hAnsi="宋体" w:cs="宋体" w:eastAsia="宋体" w:hint="default"/>
                <w:spacing w:val="-3"/>
                <w:sz w:val="18"/>
                <w:szCs w:val="18"/>
              </w:rPr>
              <w:t>取得子公司及其他营业单位支付</w:t>
            </w:r>
            <w:r>
              <w:rPr>
                <w:rFonts w:ascii="宋体" w:hAnsi="宋体" w:cs="宋体" w:eastAsia="宋体" w:hint="default"/>
                <w:w w:val="101"/>
                <w:sz w:val="18"/>
                <w:szCs w:val="18"/>
              </w:rPr>
              <w:t> </w:t>
            </w:r>
            <w:r>
              <w:rPr>
                <w:rFonts w:ascii="宋体" w:hAnsi="宋体" w:cs="宋体" w:eastAsia="宋体" w:hint="default"/>
                <w:sz w:val="18"/>
                <w:szCs w:val="18"/>
              </w:rPr>
              <w:t>的现金净额</w:t>
            </w:r>
          </w:p>
        </w:tc>
        <w:tc>
          <w:tcPr>
            <w:tcW w:w="3316" w:type="dxa"/>
            <w:tcBorders>
              <w:top w:val="single" w:sz="4" w:space="0" w:color="000000"/>
              <w:left w:val="single" w:sz="10"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34"/>
              <w:jc w:val="right"/>
              <w:rPr>
                <w:rFonts w:ascii="宋体" w:hAnsi="宋体" w:cs="宋体" w:eastAsia="宋体" w:hint="default"/>
                <w:sz w:val="18"/>
                <w:szCs w:val="18"/>
              </w:rPr>
            </w:pPr>
            <w:r>
              <w:rPr>
                <w:rFonts w:ascii="宋体" w:hAnsi="宋体" w:cs="宋体" w:eastAsia="宋体" w:hint="default"/>
                <w:spacing w:val="-3"/>
                <w:sz w:val="18"/>
                <w:szCs w:val="18"/>
              </w:rPr>
              <w:t>支付其他与投资活动有关的现金</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403,104,000.00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413,394,187.91</w:t>
            </w:r>
          </w:p>
        </w:tc>
      </w:tr>
      <w:tr>
        <w:trPr>
          <w:trHeight w:val="40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541,209,647.73</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427,814,397.50</w:t>
            </w: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投资活动产生的现金流量净额</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2,597,095.10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56,756,220.10</w:t>
            </w:r>
          </w:p>
        </w:tc>
      </w:tr>
      <w:tr>
        <w:trPr>
          <w:trHeight w:val="398"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三、筹资活动产生的现金流量：</w:t>
            </w:r>
          </w:p>
        </w:tc>
        <w:tc>
          <w:tcPr>
            <w:tcW w:w="331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pacing w:val="-3"/>
                <w:sz w:val="18"/>
                <w:szCs w:val="18"/>
              </w:rPr>
              <w:t>吸收投资收到的现金</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2,000,000.00</w:t>
            </w: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4"/>
              <w:ind w:left="11" w:right="34" w:firstLine="360"/>
              <w:jc w:val="left"/>
              <w:rPr>
                <w:rFonts w:ascii="宋体" w:hAnsi="宋体" w:cs="宋体" w:eastAsia="宋体" w:hint="default"/>
                <w:sz w:val="18"/>
                <w:szCs w:val="18"/>
              </w:rPr>
            </w:pPr>
            <w:r>
              <w:rPr>
                <w:rFonts w:ascii="宋体" w:hAnsi="宋体" w:cs="宋体" w:eastAsia="宋体" w:hint="default"/>
                <w:spacing w:val="-3"/>
                <w:sz w:val="18"/>
                <w:szCs w:val="18"/>
              </w:rPr>
              <w:t>其中：子公司吸收少数股东投资</w:t>
            </w:r>
            <w:r>
              <w:rPr>
                <w:rFonts w:ascii="宋体" w:hAnsi="宋体" w:cs="宋体" w:eastAsia="宋体" w:hint="default"/>
                <w:w w:val="101"/>
                <w:sz w:val="18"/>
                <w:szCs w:val="18"/>
              </w:rPr>
              <w:t> </w:t>
            </w:r>
            <w:r>
              <w:rPr>
                <w:rFonts w:ascii="宋体" w:hAnsi="宋体" w:cs="宋体" w:eastAsia="宋体" w:hint="default"/>
                <w:sz w:val="18"/>
                <w:szCs w:val="18"/>
              </w:rPr>
              <w:t>收到的现金</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2,000,000.00</w:t>
            </w: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取得借款收到的现金</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392,000,000.00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377,900,000.00</w:t>
            </w:r>
          </w:p>
        </w:tc>
      </w:tr>
    </w:tbl>
    <w:p>
      <w:pPr>
        <w:spacing w:after="0" w:line="240" w:lineRule="auto"/>
        <w:jc w:val="right"/>
        <w:rPr>
          <w:rFonts w:ascii="Times New Roman" w:hAnsi="Times New Roman" w:cs="Times New Roman" w:eastAsia="Times New Roman" w:hint="default"/>
          <w:sz w:val="18"/>
          <w:szCs w:val="18"/>
        </w:rPr>
        <w:sectPr>
          <w:pgSz w:w="11910" w:h="16840"/>
          <w:pgMar w:header="871" w:footer="1186" w:top="1100" w:bottom="138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48" w:type="dxa"/>
        <w:tblLayout w:type="fixed"/>
        <w:tblCellMar>
          <w:top w:w="0" w:type="dxa"/>
          <w:left w:w="0" w:type="dxa"/>
          <w:bottom w:w="0" w:type="dxa"/>
          <w:right w:w="0" w:type="dxa"/>
        </w:tblCellMar>
        <w:tblLook w:val="01E0"/>
      </w:tblPr>
      <w:tblGrid>
        <w:gridCol w:w="2967"/>
        <w:gridCol w:w="3304"/>
        <w:gridCol w:w="3299"/>
      </w:tblGrid>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46"/>
              <w:jc w:val="right"/>
              <w:rPr>
                <w:rFonts w:ascii="宋体" w:hAnsi="宋体" w:cs="宋体" w:eastAsia="宋体" w:hint="default"/>
                <w:sz w:val="18"/>
                <w:szCs w:val="18"/>
              </w:rPr>
            </w:pPr>
            <w:r>
              <w:rPr>
                <w:rFonts w:ascii="宋体" w:hAnsi="宋体" w:cs="宋体" w:eastAsia="宋体" w:hint="default"/>
                <w:spacing w:val="-3"/>
                <w:sz w:val="18"/>
                <w:szCs w:val="18"/>
              </w:rPr>
              <w:t>收到其他与筹资活动有关的现金</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31,950,000.00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14,376,396.63</w:t>
            </w:r>
          </w:p>
        </w:tc>
      </w:tr>
      <w:tr>
        <w:trPr>
          <w:trHeight w:val="39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425,950,000.00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392,276,396.63</w:t>
            </w: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84" w:right="0"/>
              <w:jc w:val="left"/>
              <w:rPr>
                <w:rFonts w:ascii="宋体" w:hAnsi="宋体" w:cs="宋体" w:eastAsia="宋体" w:hint="default"/>
                <w:sz w:val="18"/>
                <w:szCs w:val="18"/>
              </w:rPr>
            </w:pPr>
            <w:r>
              <w:rPr>
                <w:rFonts w:ascii="宋体" w:hAnsi="宋体" w:cs="宋体" w:eastAsia="宋体" w:hint="default"/>
                <w:spacing w:val="-3"/>
                <w:sz w:val="18"/>
                <w:szCs w:val="18"/>
              </w:rPr>
              <w:t>偿还债务支付的现金</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409,900,000.00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414,000,000.00</w:t>
            </w: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24" w:right="46" w:firstLine="360"/>
              <w:jc w:val="left"/>
              <w:rPr>
                <w:rFonts w:ascii="宋体" w:hAnsi="宋体" w:cs="宋体" w:eastAsia="宋体" w:hint="default"/>
                <w:sz w:val="18"/>
                <w:szCs w:val="18"/>
              </w:rPr>
            </w:pPr>
            <w:r>
              <w:rPr>
                <w:rFonts w:ascii="宋体" w:hAnsi="宋体" w:cs="宋体" w:eastAsia="宋体" w:hint="default"/>
                <w:spacing w:val="-3"/>
                <w:sz w:val="18"/>
                <w:szCs w:val="18"/>
              </w:rPr>
              <w:t>分配股利、利润或偿付利息支付</w:t>
            </w:r>
            <w:r>
              <w:rPr>
                <w:rFonts w:ascii="宋体" w:hAnsi="宋体" w:cs="宋体" w:eastAsia="宋体" w:hint="default"/>
                <w:w w:val="101"/>
                <w:sz w:val="18"/>
                <w:szCs w:val="18"/>
              </w:rPr>
              <w:t> </w:t>
            </w:r>
            <w:r>
              <w:rPr>
                <w:rFonts w:ascii="宋体" w:hAnsi="宋体" w:cs="宋体" w:eastAsia="宋体" w:hint="default"/>
                <w:sz w:val="18"/>
                <w:szCs w:val="18"/>
              </w:rPr>
              <w:t>的现金</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39,834,803.52</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28,264,897.76</w:t>
            </w: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46" w:firstLine="360"/>
              <w:jc w:val="left"/>
              <w:rPr>
                <w:rFonts w:ascii="宋体" w:hAnsi="宋体" w:cs="宋体" w:eastAsia="宋体" w:hint="default"/>
                <w:sz w:val="18"/>
                <w:szCs w:val="18"/>
              </w:rPr>
            </w:pPr>
            <w:r>
              <w:rPr>
                <w:rFonts w:ascii="宋体" w:hAnsi="宋体" w:cs="宋体" w:eastAsia="宋体" w:hint="default"/>
                <w:spacing w:val="-3"/>
                <w:sz w:val="18"/>
                <w:szCs w:val="18"/>
              </w:rPr>
              <w:t>其中：子公司支付给少数股东的</w:t>
            </w:r>
            <w:r>
              <w:rPr>
                <w:rFonts w:ascii="宋体" w:hAnsi="宋体" w:cs="宋体" w:eastAsia="宋体" w:hint="default"/>
                <w:w w:val="101"/>
                <w:sz w:val="18"/>
                <w:szCs w:val="18"/>
              </w:rPr>
              <w:t> </w:t>
            </w:r>
            <w:r>
              <w:rPr>
                <w:rFonts w:ascii="宋体" w:hAnsi="宋体" w:cs="宋体" w:eastAsia="宋体" w:hint="default"/>
                <w:sz w:val="18"/>
                <w:szCs w:val="18"/>
              </w:rPr>
              <w:t>股利、利润</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46"/>
              <w:jc w:val="right"/>
              <w:rPr>
                <w:rFonts w:ascii="宋体" w:hAnsi="宋体" w:cs="宋体" w:eastAsia="宋体" w:hint="default"/>
                <w:sz w:val="18"/>
                <w:szCs w:val="18"/>
              </w:rPr>
            </w:pPr>
            <w:r>
              <w:rPr>
                <w:rFonts w:ascii="宋体" w:hAnsi="宋体" w:cs="宋体" w:eastAsia="宋体" w:hint="default"/>
                <w:spacing w:val="-3"/>
                <w:sz w:val="18"/>
                <w:szCs w:val="18"/>
              </w:rPr>
              <w:t>支付其他与筹资活动有关的现金</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32,022,465.30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24,969,898.52</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481,757,268.82</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467,234,796.28</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筹资活动产生的现金流量净额</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-55,807,268.82</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-74,958,399.65</w:t>
            </w:r>
          </w:p>
        </w:tc>
      </w:tr>
      <w:tr>
        <w:trPr>
          <w:trHeight w:val="716"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46"/>
              <w:jc w:val="left"/>
              <w:rPr>
                <w:rFonts w:ascii="宋体" w:hAnsi="宋体" w:cs="宋体" w:eastAsia="宋体" w:hint="default"/>
                <w:sz w:val="18"/>
                <w:szCs w:val="18"/>
              </w:rPr>
            </w:pPr>
            <w:r>
              <w:rPr>
                <w:rFonts w:ascii="宋体" w:hAnsi="宋体" w:cs="宋体" w:eastAsia="宋体" w:hint="default"/>
                <w:spacing w:val="-3"/>
                <w:sz w:val="18"/>
                <w:szCs w:val="18"/>
              </w:rPr>
              <w:t>四、汇率变动对现金及现金等价物的</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z w:val="18"/>
                <w:szCs w:val="18"/>
              </w:rPr>
              <w:t>影响</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-99,474.97</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-2,391,974.02</w:t>
            </w:r>
          </w:p>
        </w:tc>
      </w:tr>
      <w:tr>
        <w:trPr>
          <w:trHeight w:val="39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五、现金及现金等价物净增加额</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-106,735,322.48</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76,591,706.86</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46"/>
              <w:jc w:val="right"/>
              <w:rPr>
                <w:rFonts w:ascii="宋体" w:hAnsi="宋体" w:cs="宋体" w:eastAsia="宋体" w:hint="default"/>
                <w:sz w:val="18"/>
                <w:szCs w:val="18"/>
              </w:rPr>
            </w:pPr>
            <w:r>
              <w:rPr>
                <w:rFonts w:ascii="宋体" w:hAnsi="宋体" w:cs="宋体" w:eastAsia="宋体" w:hint="default"/>
                <w:spacing w:val="-3"/>
                <w:sz w:val="18"/>
                <w:szCs w:val="18"/>
              </w:rPr>
              <w:t>加：期初现金及现金等价物余额</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377,399,461.89</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300,807,755.03</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六、期末现金及现金等价物余额</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270,664,139.41</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377,399,461.89</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right="0"/>
        <w:jc w:val="left"/>
        <w:rPr>
          <w:b w:val="0"/>
          <w:bCs w:val="0"/>
        </w:rPr>
      </w:pPr>
      <w:bookmarkStart w:name="6、母公司现金流量表" w:id="163"/>
      <w:bookmarkEnd w:id="163"/>
      <w:r>
        <w:rPr>
          <w:b w:val="0"/>
          <w:bCs w:val="0"/>
        </w:rPr>
      </w:r>
      <w:r>
        <w:rPr>
          <w:rFonts w:ascii="Times New Roman" w:hAnsi="Times New Roman" w:cs="Times New Roman" w:eastAsia="Times New Roman" w:hint="default"/>
        </w:rPr>
        <w:t>6</w:t>
      </w:r>
      <w:r>
        <w:rPr/>
        <w:t>、母公司现金流量表</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1122"/>
        <w:jc w:val="right"/>
      </w:pPr>
      <w:r>
        <w:rPr>
          <w:spacing w:val="-2"/>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943"/>
        <w:gridCol w:w="3316"/>
        <w:gridCol w:w="3299"/>
      </w:tblGrid>
      <w:tr>
        <w:trPr>
          <w:trHeight w:val="401"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7"/>
                <w:sz w:val="18"/>
                <w:szCs w:val="18"/>
              </w:rPr>
              <w:t> </w:t>
            </w:r>
            <w:r>
              <w:rPr>
                <w:rFonts w:ascii="宋体" w:hAnsi="宋体" w:cs="宋体" w:eastAsia="宋体" w:hint="default"/>
                <w:spacing w:val="-5"/>
                <w:sz w:val="18"/>
                <w:szCs w:val="18"/>
              </w:rPr>
              <w:t>年度</w:t>
            </w:r>
            <w:r>
              <w:rPr>
                <w:rFonts w:ascii="宋体" w:hAnsi="宋体" w:cs="宋体" w:eastAsia="宋体" w:hint="default"/>
                <w:sz w:val="18"/>
                <w:szCs w:val="18"/>
              </w:rPr>
            </w: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7"/>
                <w:sz w:val="18"/>
                <w:szCs w:val="18"/>
              </w:rPr>
              <w:t> </w:t>
            </w:r>
            <w:r>
              <w:rPr>
                <w:rFonts w:ascii="宋体" w:hAnsi="宋体" w:cs="宋体" w:eastAsia="宋体" w:hint="default"/>
                <w:spacing w:val="-5"/>
                <w:sz w:val="18"/>
                <w:szCs w:val="18"/>
              </w:rPr>
              <w:t>年度</w:t>
            </w:r>
            <w:r>
              <w:rPr>
                <w:rFonts w:ascii="宋体" w:hAnsi="宋体" w:cs="宋体" w:eastAsia="宋体" w:hint="default"/>
                <w:sz w:val="18"/>
                <w:szCs w:val="18"/>
              </w:rPr>
            </w:r>
          </w:p>
        </w:tc>
      </w:tr>
      <w:tr>
        <w:trPr>
          <w:trHeight w:val="401"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1" w:right="0"/>
              <w:jc w:val="left"/>
              <w:rPr>
                <w:rFonts w:ascii="宋体" w:hAnsi="宋体" w:cs="宋体" w:eastAsia="宋体" w:hint="default"/>
                <w:sz w:val="18"/>
                <w:szCs w:val="18"/>
              </w:rPr>
            </w:pPr>
            <w:r>
              <w:rPr>
                <w:rFonts w:ascii="宋体" w:hAnsi="宋体" w:cs="宋体" w:eastAsia="宋体" w:hint="default"/>
                <w:spacing w:val="-3"/>
                <w:sz w:val="18"/>
                <w:szCs w:val="18"/>
              </w:rPr>
              <w:t>一、经营活动产生的现金流量：</w:t>
            </w:r>
          </w:p>
        </w:tc>
        <w:tc>
          <w:tcPr>
            <w:tcW w:w="331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34"/>
              <w:jc w:val="right"/>
              <w:rPr>
                <w:rFonts w:ascii="宋体" w:hAnsi="宋体" w:cs="宋体" w:eastAsia="宋体" w:hint="default"/>
                <w:sz w:val="18"/>
                <w:szCs w:val="18"/>
              </w:rPr>
            </w:pPr>
            <w:r>
              <w:rPr>
                <w:rFonts w:ascii="宋体" w:hAnsi="宋体" w:cs="宋体" w:eastAsia="宋体" w:hint="default"/>
                <w:spacing w:val="-3"/>
                <w:sz w:val="18"/>
                <w:szCs w:val="18"/>
              </w:rPr>
              <w:t>销售商品、提供劳务收到的现金</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163,591,133.61</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304,070,878.02</w:t>
            </w: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收到的税费返还</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392,672.48</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391,305.92</w:t>
            </w:r>
          </w:p>
        </w:tc>
      </w:tr>
      <w:tr>
        <w:trPr>
          <w:trHeight w:val="398"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34"/>
              <w:jc w:val="right"/>
              <w:rPr>
                <w:rFonts w:ascii="宋体" w:hAnsi="宋体" w:cs="宋体" w:eastAsia="宋体" w:hint="default"/>
                <w:sz w:val="18"/>
                <w:szCs w:val="18"/>
              </w:rPr>
            </w:pPr>
            <w:r>
              <w:rPr>
                <w:rFonts w:ascii="宋体" w:hAnsi="宋体" w:cs="宋体" w:eastAsia="宋体" w:hint="default"/>
                <w:spacing w:val="-3"/>
                <w:sz w:val="18"/>
                <w:szCs w:val="18"/>
              </w:rPr>
              <w:t>收到其他与经营活动有关的现金</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15,849,850.64</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24,522,755.41</w:t>
            </w: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179,833,656.73</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328,984,939.35</w:t>
            </w:r>
          </w:p>
        </w:tc>
      </w:tr>
      <w:tr>
        <w:trPr>
          <w:trHeight w:val="40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34"/>
              <w:jc w:val="right"/>
              <w:rPr>
                <w:rFonts w:ascii="宋体" w:hAnsi="宋体" w:cs="宋体" w:eastAsia="宋体" w:hint="default"/>
                <w:sz w:val="18"/>
                <w:szCs w:val="18"/>
              </w:rPr>
            </w:pPr>
            <w:r>
              <w:rPr>
                <w:rFonts w:ascii="宋体" w:hAnsi="宋体" w:cs="宋体" w:eastAsia="宋体" w:hint="default"/>
                <w:spacing w:val="-3"/>
                <w:sz w:val="18"/>
                <w:szCs w:val="18"/>
              </w:rPr>
              <w:t>购买商品、接受劳务支付的现金</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143,057,488.29</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142,305,543.82</w:t>
            </w:r>
          </w:p>
        </w:tc>
      </w:tr>
      <w:tr>
        <w:trPr>
          <w:trHeight w:val="715"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支付给职工以及为职工支付的现</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w w:val="101"/>
                <w:sz w:val="18"/>
                <w:szCs w:val="18"/>
              </w:rPr>
              <w:t>金</w:t>
            </w:r>
            <w:r>
              <w:rPr>
                <w:rFonts w:ascii="宋体" w:hAnsi="宋体" w:cs="宋体" w:eastAsia="宋体" w:hint="default"/>
                <w:sz w:val="18"/>
                <w:szCs w:val="18"/>
              </w:rPr>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31,862,578.73</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33,536,337.16</w:t>
            </w:r>
          </w:p>
        </w:tc>
      </w:tr>
      <w:tr>
        <w:trPr>
          <w:trHeight w:val="398"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支付的各项税费</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8,940,555.42</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10,438,613.14</w:t>
            </w:r>
          </w:p>
        </w:tc>
      </w:tr>
      <w:tr>
        <w:trPr>
          <w:trHeight w:val="40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right="34"/>
              <w:jc w:val="right"/>
              <w:rPr>
                <w:rFonts w:ascii="宋体" w:hAnsi="宋体" w:cs="宋体" w:eastAsia="宋体" w:hint="default"/>
                <w:sz w:val="18"/>
                <w:szCs w:val="18"/>
              </w:rPr>
            </w:pPr>
            <w:r>
              <w:rPr>
                <w:rFonts w:ascii="宋体" w:hAnsi="宋体" w:cs="宋体" w:eastAsia="宋体" w:hint="default"/>
                <w:spacing w:val="-3"/>
                <w:sz w:val="18"/>
                <w:szCs w:val="18"/>
              </w:rPr>
              <w:t>支付其他与经营活动有关的现金</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1"/>
              <w:ind w:right="17"/>
              <w:jc w:val="right"/>
              <w:rPr>
                <w:rFonts w:ascii="Times New Roman" w:hAnsi="Times New Roman" w:cs="Times New Roman" w:eastAsia="Times New Roman" w:hint="default"/>
                <w:sz w:val="18"/>
                <w:szCs w:val="18"/>
              </w:rPr>
            </w:pPr>
            <w:r>
              <w:rPr>
                <w:rFonts w:ascii="Times New Roman"/>
                <w:spacing w:val="-1"/>
                <w:sz w:val="18"/>
              </w:rPr>
              <w:t>101,542,010.71</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2"/>
              <w:jc w:val="right"/>
              <w:rPr>
                <w:rFonts w:ascii="Times New Roman" w:hAnsi="Times New Roman" w:cs="Times New Roman" w:eastAsia="Times New Roman" w:hint="default"/>
                <w:sz w:val="18"/>
                <w:szCs w:val="18"/>
              </w:rPr>
            </w:pPr>
            <w:r>
              <w:rPr>
                <w:rFonts w:ascii="Times New Roman"/>
                <w:spacing w:val="-2"/>
                <w:sz w:val="18"/>
              </w:rPr>
              <w:t>111,465,059.94</w:t>
            </w: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285,402,633.15</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297,745,554.06</w:t>
            </w: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经营活动产生的现金流量净额</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-105,568,976.42</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31,239,385.29</w:t>
            </w:r>
          </w:p>
        </w:tc>
      </w:tr>
      <w:tr>
        <w:trPr>
          <w:trHeight w:val="398"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二、投资活动产生的现金流量：</w:t>
            </w:r>
          </w:p>
        </w:tc>
        <w:tc>
          <w:tcPr>
            <w:tcW w:w="331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pacing w:val="-3"/>
                <w:sz w:val="18"/>
                <w:szCs w:val="18"/>
              </w:rPr>
              <w:t>收回投资收到的现金</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128,000,000.00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取得投资收益收到的现金</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21,229,995.89</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50,000,000.00</w:t>
            </w: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3"/>
              <w:ind w:right="34"/>
              <w:jc w:val="right"/>
              <w:rPr>
                <w:rFonts w:ascii="宋体" w:hAnsi="宋体" w:cs="宋体" w:eastAsia="宋体" w:hint="default"/>
                <w:sz w:val="18"/>
                <w:szCs w:val="18"/>
              </w:rPr>
            </w:pPr>
            <w:r>
              <w:rPr>
                <w:rFonts w:ascii="宋体" w:hAnsi="宋体" w:cs="宋体" w:eastAsia="宋体" w:hint="default"/>
                <w:spacing w:val="-3"/>
                <w:sz w:val="18"/>
                <w:szCs w:val="18"/>
              </w:rPr>
              <w:t>处置固定资产、无形资产和其他</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20,400.00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73,124,993.00</w:t>
            </w:r>
          </w:p>
        </w:tc>
      </w:tr>
    </w:tbl>
    <w:p>
      <w:pPr>
        <w:spacing w:after="0" w:line="240" w:lineRule="auto"/>
        <w:jc w:val="right"/>
        <w:rPr>
          <w:rFonts w:ascii="Times New Roman" w:hAnsi="Times New Roman" w:cs="Times New Roman" w:eastAsia="Times New Roman" w:hint="default"/>
          <w:sz w:val="18"/>
          <w:szCs w:val="18"/>
        </w:rPr>
        <w:sectPr>
          <w:pgSz w:w="11910" w:h="16840"/>
          <w:pgMar w:header="871" w:footer="1186" w:top="1100" w:bottom="1380" w:left="980" w:right="0"/>
        </w:sectPr>
      </w:pPr>
    </w:p>
    <w:p>
      <w:pPr>
        <w:spacing w:line="240" w:lineRule="auto" w:before="8"/>
        <w:rPr>
          <w:rFonts w:ascii="宋体" w:hAnsi="宋体" w:cs="宋体" w:eastAsia="宋体" w:hint="default"/>
          <w:sz w:val="24"/>
          <w:szCs w:val="24"/>
        </w:rPr>
      </w:pPr>
    </w:p>
    <w:tbl>
      <w:tblPr>
        <w:tblW w:w="0" w:type="auto"/>
        <w:jc w:val="left"/>
        <w:tblInd w:w="160" w:type="dxa"/>
        <w:tblLayout w:type="fixed"/>
        <w:tblCellMar>
          <w:top w:w="0" w:type="dxa"/>
          <w:left w:w="0" w:type="dxa"/>
          <w:bottom w:w="0" w:type="dxa"/>
          <w:right w:w="0" w:type="dxa"/>
        </w:tblCellMar>
        <w:tblLook w:val="01E0"/>
      </w:tblPr>
      <w:tblGrid>
        <w:gridCol w:w="2943"/>
        <w:gridCol w:w="3316"/>
        <w:gridCol w:w="3299"/>
      </w:tblGrid>
      <w:tr>
        <w:trPr>
          <w:trHeight w:val="360"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left="11" w:right="0"/>
              <w:jc w:val="left"/>
              <w:rPr>
                <w:rFonts w:ascii="宋体" w:hAnsi="宋体" w:cs="宋体" w:eastAsia="宋体" w:hint="default"/>
                <w:sz w:val="18"/>
                <w:szCs w:val="18"/>
              </w:rPr>
            </w:pPr>
            <w:r>
              <w:rPr>
                <w:rFonts w:ascii="宋体" w:hAnsi="宋体" w:cs="宋体" w:eastAsia="宋体" w:hint="default"/>
                <w:spacing w:val="-3"/>
                <w:sz w:val="18"/>
                <w:szCs w:val="18"/>
              </w:rPr>
              <w:t>长期资产收回的现金净额</w:t>
            </w:r>
          </w:p>
        </w:tc>
        <w:tc>
          <w:tcPr>
            <w:tcW w:w="3316" w:type="dxa"/>
            <w:tcBorders>
              <w:top w:val="single" w:sz="4" w:space="0" w:color="000000"/>
              <w:left w:val="single" w:sz="10"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11" w:right="34" w:firstLine="360"/>
              <w:jc w:val="left"/>
              <w:rPr>
                <w:rFonts w:ascii="宋体" w:hAnsi="宋体" w:cs="宋体" w:eastAsia="宋体" w:hint="default"/>
                <w:sz w:val="18"/>
                <w:szCs w:val="18"/>
              </w:rPr>
            </w:pPr>
            <w:r>
              <w:rPr>
                <w:rFonts w:ascii="宋体" w:hAnsi="宋体" w:cs="宋体" w:eastAsia="宋体" w:hint="default"/>
                <w:spacing w:val="-3"/>
                <w:sz w:val="18"/>
                <w:szCs w:val="18"/>
              </w:rPr>
              <w:t>处置子公司及其他营业单位收到</w:t>
            </w:r>
            <w:r>
              <w:rPr>
                <w:rFonts w:ascii="宋体" w:hAnsi="宋体" w:cs="宋体" w:eastAsia="宋体" w:hint="default"/>
                <w:w w:val="101"/>
                <w:sz w:val="18"/>
                <w:szCs w:val="18"/>
              </w:rPr>
              <w:t> </w:t>
            </w:r>
            <w:r>
              <w:rPr>
                <w:rFonts w:ascii="宋体" w:hAnsi="宋体" w:cs="宋体" w:eastAsia="宋体" w:hint="default"/>
                <w:sz w:val="18"/>
                <w:szCs w:val="18"/>
              </w:rPr>
              <w:t>的现金净额</w:t>
            </w:r>
          </w:p>
        </w:tc>
        <w:tc>
          <w:tcPr>
            <w:tcW w:w="3316" w:type="dxa"/>
            <w:tcBorders>
              <w:top w:val="single" w:sz="4" w:space="0" w:color="000000"/>
              <w:left w:val="single" w:sz="10"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34"/>
              <w:jc w:val="right"/>
              <w:rPr>
                <w:rFonts w:ascii="宋体" w:hAnsi="宋体" w:cs="宋体" w:eastAsia="宋体" w:hint="default"/>
                <w:sz w:val="18"/>
                <w:szCs w:val="18"/>
              </w:rPr>
            </w:pPr>
            <w:r>
              <w:rPr>
                <w:rFonts w:ascii="宋体" w:hAnsi="宋体" w:cs="宋体" w:eastAsia="宋体" w:hint="default"/>
                <w:spacing w:val="-3"/>
                <w:sz w:val="18"/>
                <w:szCs w:val="18"/>
              </w:rPr>
              <w:t>收到其他与投资活动有关的现金</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462,615,063.86</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476,314,223.38</w:t>
            </w: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611,865,459.75</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599,439,216.38</w:t>
            </w:r>
          </w:p>
        </w:tc>
      </w:tr>
      <w:tr>
        <w:trPr>
          <w:trHeight w:val="710"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 w:right="34" w:firstLine="360"/>
              <w:jc w:val="left"/>
              <w:rPr>
                <w:rFonts w:ascii="宋体" w:hAnsi="宋体" w:cs="宋体" w:eastAsia="宋体" w:hint="default"/>
                <w:sz w:val="18"/>
                <w:szCs w:val="18"/>
              </w:rPr>
            </w:pPr>
            <w:r>
              <w:rPr>
                <w:rFonts w:ascii="宋体" w:hAnsi="宋体" w:cs="宋体" w:eastAsia="宋体" w:hint="default"/>
                <w:spacing w:val="-3"/>
                <w:sz w:val="18"/>
                <w:szCs w:val="18"/>
              </w:rPr>
              <w:t>购建固定资产、无形资产和其他</w:t>
            </w:r>
            <w:r>
              <w:rPr>
                <w:rFonts w:ascii="宋体" w:hAnsi="宋体" w:cs="宋体" w:eastAsia="宋体" w:hint="default"/>
                <w:w w:val="101"/>
                <w:sz w:val="18"/>
                <w:szCs w:val="18"/>
              </w:rPr>
              <w:t> </w:t>
            </w:r>
            <w:r>
              <w:rPr>
                <w:rFonts w:ascii="宋体" w:hAnsi="宋体" w:cs="宋体" w:eastAsia="宋体" w:hint="default"/>
                <w:spacing w:val="-3"/>
                <w:sz w:val="18"/>
                <w:szCs w:val="18"/>
              </w:rPr>
              <w:t>长期资产支付的现金</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2"/>
                <w:sz w:val="18"/>
              </w:rPr>
              <w:t>13,312,711.42</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12,921,768.01</w:t>
            </w:r>
          </w:p>
        </w:tc>
      </w:tr>
      <w:tr>
        <w:trPr>
          <w:trHeight w:val="40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pacing w:val="-3"/>
                <w:sz w:val="18"/>
                <w:szCs w:val="18"/>
              </w:rPr>
              <w:t>投资支付的现金</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120,000,000.00</w:t>
            </w: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11" w:right="34" w:firstLine="360"/>
              <w:jc w:val="left"/>
              <w:rPr>
                <w:rFonts w:ascii="宋体" w:hAnsi="宋体" w:cs="宋体" w:eastAsia="宋体" w:hint="default"/>
                <w:sz w:val="18"/>
                <w:szCs w:val="18"/>
              </w:rPr>
            </w:pPr>
            <w:r>
              <w:rPr>
                <w:rFonts w:ascii="宋体" w:hAnsi="宋体" w:cs="宋体" w:eastAsia="宋体" w:hint="default"/>
                <w:spacing w:val="-3"/>
                <w:sz w:val="18"/>
                <w:szCs w:val="18"/>
              </w:rPr>
              <w:t>取得子公司及其他营业单位支付</w:t>
            </w:r>
            <w:r>
              <w:rPr>
                <w:rFonts w:ascii="宋体" w:hAnsi="宋体" w:cs="宋体" w:eastAsia="宋体" w:hint="default"/>
                <w:w w:val="101"/>
                <w:sz w:val="18"/>
                <w:szCs w:val="18"/>
              </w:rPr>
              <w:t> </w:t>
            </w:r>
            <w:r>
              <w:rPr>
                <w:rFonts w:ascii="宋体" w:hAnsi="宋体" w:cs="宋体" w:eastAsia="宋体" w:hint="default"/>
                <w:sz w:val="18"/>
                <w:szCs w:val="18"/>
              </w:rPr>
              <w:t>的现金净额</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2,750,000.00</w:t>
            </w: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34"/>
              <w:jc w:val="right"/>
              <w:rPr>
                <w:rFonts w:ascii="宋体" w:hAnsi="宋体" w:cs="宋体" w:eastAsia="宋体" w:hint="default"/>
                <w:sz w:val="18"/>
                <w:szCs w:val="18"/>
              </w:rPr>
            </w:pPr>
            <w:r>
              <w:rPr>
                <w:rFonts w:ascii="宋体" w:hAnsi="宋体" w:cs="宋体" w:eastAsia="宋体" w:hint="default"/>
                <w:spacing w:val="-3"/>
                <w:sz w:val="18"/>
                <w:szCs w:val="18"/>
              </w:rPr>
              <w:t>支付其他与投资活动有关的现金</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403,104,000.00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440,394,187.91</w:t>
            </w:r>
          </w:p>
        </w:tc>
      </w:tr>
      <w:tr>
        <w:trPr>
          <w:trHeight w:val="399"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539,166,711.42</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453,315,955.92</w:t>
            </w: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投资活动产生的现金流量净额</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72,698,748.33</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146,123,260.46</w:t>
            </w: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三、筹资活动产生的现金流量：</w:t>
            </w:r>
          </w:p>
        </w:tc>
        <w:tc>
          <w:tcPr>
            <w:tcW w:w="331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吸收投资收到的现金</w:t>
            </w:r>
          </w:p>
        </w:tc>
        <w:tc>
          <w:tcPr>
            <w:tcW w:w="3316" w:type="dxa"/>
            <w:tcBorders>
              <w:top w:val="single" w:sz="4" w:space="0" w:color="000000"/>
              <w:left w:val="single" w:sz="10"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取得借款收到的现金</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272,000,000.00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280,000,000.00</w:t>
            </w:r>
          </w:p>
        </w:tc>
      </w:tr>
      <w:tr>
        <w:trPr>
          <w:trHeight w:val="40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34"/>
              <w:jc w:val="right"/>
              <w:rPr>
                <w:rFonts w:ascii="宋体" w:hAnsi="宋体" w:cs="宋体" w:eastAsia="宋体" w:hint="default"/>
                <w:sz w:val="18"/>
                <w:szCs w:val="18"/>
              </w:rPr>
            </w:pPr>
            <w:r>
              <w:rPr>
                <w:rFonts w:ascii="宋体" w:hAnsi="宋体" w:cs="宋体" w:eastAsia="宋体" w:hint="default"/>
                <w:spacing w:val="-3"/>
                <w:sz w:val="18"/>
                <w:szCs w:val="18"/>
              </w:rPr>
              <w:t>收到其他与筹资活动有关的现金</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31,950,000.00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14,376,396.63</w:t>
            </w: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303,950,000.00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294,376,396.63</w:t>
            </w: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偿还债务支付的现金</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314,000,000.00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373,000,000.00</w:t>
            </w:r>
          </w:p>
        </w:tc>
      </w:tr>
      <w:tr>
        <w:trPr>
          <w:trHeight w:val="711"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11" w:right="34" w:firstLine="360"/>
              <w:jc w:val="left"/>
              <w:rPr>
                <w:rFonts w:ascii="宋体" w:hAnsi="宋体" w:cs="宋体" w:eastAsia="宋体" w:hint="default"/>
                <w:sz w:val="18"/>
                <w:szCs w:val="18"/>
              </w:rPr>
            </w:pPr>
            <w:r>
              <w:rPr>
                <w:rFonts w:ascii="宋体" w:hAnsi="宋体" w:cs="宋体" w:eastAsia="宋体" w:hint="default"/>
                <w:spacing w:val="-3"/>
                <w:sz w:val="18"/>
                <w:szCs w:val="18"/>
              </w:rPr>
              <w:t>分配股利、利润或偿付利息支付</w:t>
            </w:r>
            <w:r>
              <w:rPr>
                <w:rFonts w:ascii="宋体" w:hAnsi="宋体" w:cs="宋体" w:eastAsia="宋体" w:hint="default"/>
                <w:w w:val="101"/>
                <w:sz w:val="18"/>
                <w:szCs w:val="18"/>
              </w:rPr>
              <w:t> </w:t>
            </w:r>
            <w:r>
              <w:rPr>
                <w:rFonts w:ascii="宋体" w:hAnsi="宋体" w:cs="宋体" w:eastAsia="宋体" w:hint="default"/>
                <w:sz w:val="18"/>
                <w:szCs w:val="18"/>
              </w:rPr>
              <w:t>的现金</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33,551,913.49</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25,541,964.05</w:t>
            </w: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34"/>
              <w:jc w:val="right"/>
              <w:rPr>
                <w:rFonts w:ascii="宋体" w:hAnsi="宋体" w:cs="宋体" w:eastAsia="宋体" w:hint="default"/>
                <w:sz w:val="18"/>
                <w:szCs w:val="18"/>
              </w:rPr>
            </w:pPr>
            <w:r>
              <w:rPr>
                <w:rFonts w:ascii="宋体" w:hAnsi="宋体" w:cs="宋体" w:eastAsia="宋体" w:hint="default"/>
                <w:spacing w:val="-3"/>
                <w:sz w:val="18"/>
                <w:szCs w:val="18"/>
              </w:rPr>
              <w:t>支付其他与筹资活动有关的现金</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22,294,000.00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24,496,391.92</w:t>
            </w: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369,845,913.49</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423,038,355.97</w:t>
            </w: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筹资活动产生的现金流量净额</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-65,895,913.49</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-128,661,959.34</w:t>
            </w:r>
          </w:p>
        </w:tc>
      </w:tr>
      <w:tr>
        <w:trPr>
          <w:trHeight w:val="711"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4"/>
              <w:ind w:left="11" w:right="34"/>
              <w:jc w:val="left"/>
              <w:rPr>
                <w:rFonts w:ascii="宋体" w:hAnsi="宋体" w:cs="宋体" w:eastAsia="宋体" w:hint="default"/>
                <w:sz w:val="18"/>
                <w:szCs w:val="18"/>
              </w:rPr>
            </w:pPr>
            <w:r>
              <w:rPr>
                <w:rFonts w:ascii="宋体" w:hAnsi="宋体" w:cs="宋体" w:eastAsia="宋体" w:hint="default"/>
                <w:spacing w:val="-3"/>
                <w:sz w:val="18"/>
                <w:szCs w:val="18"/>
              </w:rPr>
              <w:t>四、汇率变动对现金及现金等价物的</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z w:val="18"/>
                <w:szCs w:val="18"/>
              </w:rPr>
              <w:t>影响</w:t>
            </w:r>
          </w:p>
        </w:tc>
        <w:tc>
          <w:tcPr>
            <w:tcW w:w="3316" w:type="dxa"/>
            <w:tcBorders>
              <w:top w:val="single" w:sz="4" w:space="0" w:color="000000"/>
              <w:left w:val="single" w:sz="10"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五、现金及现金等价物净增加额</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-98,766,141.58</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48,700,686.41</w:t>
            </w: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34"/>
              <w:jc w:val="right"/>
              <w:rPr>
                <w:rFonts w:ascii="宋体" w:hAnsi="宋体" w:cs="宋体" w:eastAsia="宋体" w:hint="default"/>
                <w:sz w:val="18"/>
                <w:szCs w:val="18"/>
              </w:rPr>
            </w:pPr>
            <w:r>
              <w:rPr>
                <w:rFonts w:ascii="宋体" w:hAnsi="宋体" w:cs="宋体" w:eastAsia="宋体" w:hint="default"/>
                <w:spacing w:val="-3"/>
                <w:sz w:val="18"/>
                <w:szCs w:val="18"/>
              </w:rPr>
              <w:t>加：期初现金及现金等价物余额</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252,049,492.17</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203,348,805.76</w:t>
            </w: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六、期末现金及现金等价物余额</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153,283,350.59</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252,049,492.17</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7、合并所有者权益变动表" w:id="164"/>
      <w:bookmarkEnd w:id="164"/>
      <w:r>
        <w:rPr>
          <w:b w:val="0"/>
          <w:bCs w:val="0"/>
        </w:rPr>
      </w:r>
      <w:r>
        <w:rPr>
          <w:rFonts w:ascii="Times New Roman" w:hAnsi="Times New Roman" w:cs="Times New Roman" w:eastAsia="Times New Roman" w:hint="default"/>
        </w:rPr>
        <w:t>7</w:t>
      </w:r>
      <w:r>
        <w:rPr/>
        <w:t>、合并所有者权益变动表</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right="0"/>
        <w:jc w:val="left"/>
      </w:pPr>
      <w:r>
        <w:rPr/>
        <w:t>本期金额</w:t>
      </w:r>
    </w:p>
    <w:p>
      <w:pPr>
        <w:pStyle w:val="BodyText"/>
        <w:spacing w:line="240" w:lineRule="auto" w:before="115"/>
        <w:ind w:left="0" w:right="1122"/>
        <w:jc w:val="right"/>
      </w:pPr>
      <w:r>
        <w:rPr>
          <w:spacing w:val="-2"/>
        </w:rPr>
        <w:t>单位：元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253"/>
        <w:gridCol w:w="7150"/>
        <w:gridCol w:w="586"/>
        <w:gridCol w:w="576"/>
      </w:tblGrid>
      <w:tr>
        <w:trPr>
          <w:trHeight w:val="399" w:hRule="exact"/>
        </w:trPr>
        <w:tc>
          <w:tcPr>
            <w:tcW w:w="125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31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7"/>
                <w:sz w:val="18"/>
                <w:szCs w:val="18"/>
              </w:rPr>
              <w:t> </w:t>
            </w:r>
            <w:r>
              <w:rPr>
                <w:rFonts w:ascii="宋体" w:hAnsi="宋体" w:cs="宋体" w:eastAsia="宋体" w:hint="default"/>
                <w:spacing w:val="-5"/>
                <w:sz w:val="18"/>
                <w:szCs w:val="18"/>
              </w:rPr>
              <w:t>年度</w:t>
            </w:r>
            <w:r>
              <w:rPr>
                <w:rFonts w:ascii="宋体" w:hAnsi="宋体" w:cs="宋体" w:eastAsia="宋体" w:hint="default"/>
                <w:sz w:val="18"/>
                <w:szCs w:val="18"/>
              </w:rPr>
            </w:r>
          </w:p>
        </w:tc>
      </w:tr>
      <w:tr>
        <w:trPr>
          <w:trHeight w:val="403" w:hRule="exact"/>
        </w:trPr>
        <w:tc>
          <w:tcPr>
            <w:tcW w:w="1253" w:type="dxa"/>
            <w:vMerge/>
            <w:tcBorders>
              <w:left w:val="single" w:sz="4" w:space="0" w:color="000000"/>
              <w:bottom w:val="single" w:sz="4" w:space="0" w:color="000000"/>
              <w:right w:val="single" w:sz="4" w:space="0" w:color="000000"/>
            </w:tcBorders>
            <w:shd w:val="clear" w:color="auto" w:fill="D2D2D2"/>
          </w:tcPr>
          <w:p>
            <w:pPr/>
          </w:p>
        </w:tc>
        <w:tc>
          <w:tcPr>
            <w:tcW w:w="71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9" w:right="0"/>
              <w:jc w:val="center"/>
              <w:rPr>
                <w:rFonts w:ascii="宋体" w:hAnsi="宋体" w:cs="宋体" w:eastAsia="宋体" w:hint="default"/>
                <w:sz w:val="18"/>
                <w:szCs w:val="18"/>
              </w:rPr>
            </w:pPr>
            <w:r>
              <w:rPr>
                <w:rFonts w:ascii="宋体" w:hAnsi="宋体" w:cs="宋体" w:eastAsia="宋体" w:hint="default"/>
                <w:spacing w:val="-3"/>
                <w:sz w:val="18"/>
                <w:szCs w:val="18"/>
              </w:rPr>
              <w:t>归属于母公司所有者权益</w:t>
            </w:r>
          </w:p>
        </w:tc>
        <w:tc>
          <w:tcPr>
            <w:tcW w:w="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7"/>
              <w:ind w:left="105" w:right="0"/>
              <w:jc w:val="left"/>
              <w:rPr>
                <w:rFonts w:ascii="宋体" w:hAnsi="宋体" w:cs="宋体" w:eastAsia="宋体" w:hint="default"/>
                <w:sz w:val="18"/>
                <w:szCs w:val="18"/>
              </w:rPr>
            </w:pPr>
            <w:r>
              <w:rPr>
                <w:rFonts w:ascii="宋体" w:hAnsi="宋体" w:cs="宋体" w:eastAsia="宋体" w:hint="default"/>
                <w:sz w:val="18"/>
                <w:szCs w:val="18"/>
              </w:rPr>
              <w:t>少数</w:t>
            </w:r>
          </w:p>
        </w:tc>
        <w:tc>
          <w:tcPr>
            <w:tcW w:w="5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7"/>
              <w:ind w:left="105" w:right="0"/>
              <w:jc w:val="left"/>
              <w:rPr>
                <w:rFonts w:ascii="宋体" w:hAnsi="宋体" w:cs="宋体" w:eastAsia="宋体" w:hint="default"/>
                <w:sz w:val="18"/>
                <w:szCs w:val="18"/>
              </w:rPr>
            </w:pPr>
            <w:r>
              <w:rPr>
                <w:rFonts w:ascii="宋体" w:hAnsi="宋体" w:cs="宋体" w:eastAsia="宋体" w:hint="default"/>
                <w:sz w:val="18"/>
                <w:szCs w:val="18"/>
              </w:rPr>
              <w:t>所有</w:t>
            </w:r>
          </w:p>
        </w:tc>
      </w:tr>
    </w:tbl>
    <w:p>
      <w:pPr>
        <w:spacing w:after="0" w:line="240" w:lineRule="auto"/>
        <w:jc w:val="left"/>
        <w:rPr>
          <w:rFonts w:ascii="宋体" w:hAnsi="宋体" w:cs="宋体" w:eastAsia="宋体" w:hint="default"/>
          <w:sz w:val="18"/>
          <w:szCs w:val="18"/>
        </w:rPr>
        <w:sectPr>
          <w:pgSz w:w="11910" w:h="16840"/>
          <w:pgMar w:header="871" w:footer="1186" w:top="1100" w:bottom="1380" w:left="980" w:right="0"/>
        </w:sectPr>
      </w:pPr>
    </w:p>
    <w:p>
      <w:pPr>
        <w:spacing w:line="240" w:lineRule="auto" w:before="2"/>
        <w:rPr>
          <w:rFonts w:ascii="Times New Roman" w:hAnsi="Times New Roman" w:cs="Times New Roman" w:eastAsia="Times New Roman"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1229"/>
        <w:gridCol w:w="506"/>
        <w:gridCol w:w="466"/>
        <w:gridCol w:w="466"/>
        <w:gridCol w:w="470"/>
        <w:gridCol w:w="581"/>
        <w:gridCol w:w="586"/>
        <w:gridCol w:w="581"/>
        <w:gridCol w:w="586"/>
        <w:gridCol w:w="586"/>
        <w:gridCol w:w="581"/>
        <w:gridCol w:w="586"/>
        <w:gridCol w:w="586"/>
        <w:gridCol w:w="581"/>
        <w:gridCol w:w="586"/>
        <w:gridCol w:w="576"/>
      </w:tblGrid>
      <w:tr>
        <w:trPr>
          <w:trHeight w:val="206" w:hRule="exact"/>
        </w:trPr>
        <w:tc>
          <w:tcPr>
            <w:tcW w:w="1229" w:type="dxa"/>
            <w:vMerge w:val="restart"/>
            <w:tcBorders>
              <w:top w:val="single" w:sz="4" w:space="0" w:color="000000"/>
              <w:left w:val="single" w:sz="4" w:space="0" w:color="000000"/>
              <w:right w:val="single" w:sz="4" w:space="0" w:color="000000"/>
            </w:tcBorders>
            <w:shd w:val="clear" w:color="auto" w:fill="D2D2D2"/>
          </w:tcPr>
          <w:p>
            <w:pPr/>
          </w:p>
        </w:tc>
        <w:tc>
          <w:tcPr>
            <w:tcW w:w="506" w:type="dxa"/>
            <w:vMerge w:val="restart"/>
            <w:tcBorders>
              <w:top w:val="single" w:sz="4" w:space="0" w:color="000000"/>
              <w:left w:val="single" w:sz="4" w:space="0" w:color="000000"/>
              <w:right w:val="single" w:sz="4" w:space="0" w:color="000000"/>
            </w:tcBorders>
            <w:shd w:val="clear" w:color="auto" w:fill="D2D2D2"/>
          </w:tcPr>
          <w:p>
            <w:pPr/>
          </w:p>
        </w:tc>
        <w:tc>
          <w:tcPr>
            <w:tcW w:w="14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3"/>
              <w:ind w:left="153"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581" w:type="dxa"/>
            <w:tcBorders>
              <w:top w:val="single" w:sz="4" w:space="0" w:color="000000"/>
              <w:left w:val="single" w:sz="4" w:space="0" w:color="000000"/>
              <w:bottom w:val="nil" w:sz="6" w:space="0" w:color="auto"/>
              <w:right w:val="single" w:sz="4" w:space="0" w:color="000000"/>
            </w:tcBorders>
            <w:shd w:val="clear" w:color="auto" w:fill="D2D2D2"/>
          </w:tcPr>
          <w:p>
            <w:pPr/>
          </w:p>
        </w:tc>
        <w:tc>
          <w:tcPr>
            <w:tcW w:w="586" w:type="dxa"/>
            <w:tcBorders>
              <w:top w:val="single" w:sz="4" w:space="0" w:color="000000"/>
              <w:left w:val="single" w:sz="4" w:space="0" w:color="000000"/>
              <w:bottom w:val="nil" w:sz="6" w:space="0" w:color="auto"/>
              <w:right w:val="single" w:sz="4" w:space="0" w:color="000000"/>
            </w:tcBorders>
            <w:shd w:val="clear" w:color="auto" w:fill="D2D2D2"/>
          </w:tcPr>
          <w:p>
            <w:pPr/>
          </w:p>
        </w:tc>
        <w:tc>
          <w:tcPr>
            <w:tcW w:w="581"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106"/>
              <w:ind w:left="105" w:right="99"/>
              <w:jc w:val="both"/>
              <w:rPr>
                <w:rFonts w:ascii="宋体" w:hAnsi="宋体" w:cs="宋体" w:eastAsia="宋体" w:hint="default"/>
                <w:sz w:val="18"/>
                <w:szCs w:val="18"/>
              </w:rPr>
            </w:pPr>
            <w:r>
              <w:rPr>
                <w:rFonts w:ascii="宋体" w:hAnsi="宋体" w:cs="宋体" w:eastAsia="宋体" w:hint="default"/>
                <w:sz w:val="18"/>
                <w:szCs w:val="18"/>
              </w:rPr>
              <w:t>其他</w:t>
            </w:r>
            <w:r>
              <w:rPr>
                <w:rFonts w:ascii="宋体" w:hAnsi="宋体" w:cs="宋体" w:eastAsia="宋体" w:hint="default"/>
                <w:spacing w:val="-86"/>
                <w:sz w:val="18"/>
                <w:szCs w:val="18"/>
              </w:rPr>
              <w:t> </w:t>
            </w:r>
            <w:r>
              <w:rPr>
                <w:rFonts w:ascii="宋体" w:hAnsi="宋体" w:cs="宋体" w:eastAsia="宋体" w:hint="default"/>
                <w:sz w:val="18"/>
                <w:szCs w:val="18"/>
              </w:rPr>
              <w:t>综合</w:t>
            </w:r>
            <w:r>
              <w:rPr>
                <w:rFonts w:ascii="宋体" w:hAnsi="宋体" w:cs="宋体" w:eastAsia="宋体" w:hint="default"/>
                <w:spacing w:val="-86"/>
                <w:sz w:val="18"/>
                <w:szCs w:val="18"/>
              </w:rPr>
              <w:t> </w:t>
            </w:r>
            <w:r>
              <w:rPr>
                <w:rFonts w:ascii="宋体" w:hAnsi="宋体" w:cs="宋体" w:eastAsia="宋体" w:hint="default"/>
                <w:sz w:val="18"/>
                <w:szCs w:val="18"/>
              </w:rPr>
              <w:t>收益</w:t>
            </w:r>
          </w:p>
        </w:tc>
        <w:tc>
          <w:tcPr>
            <w:tcW w:w="586" w:type="dxa"/>
            <w:tcBorders>
              <w:top w:val="single" w:sz="4" w:space="0" w:color="000000"/>
              <w:left w:val="single" w:sz="4" w:space="0" w:color="000000"/>
              <w:bottom w:val="nil" w:sz="6" w:space="0" w:color="auto"/>
              <w:right w:val="single" w:sz="4" w:space="0" w:color="000000"/>
            </w:tcBorders>
            <w:shd w:val="clear" w:color="auto" w:fill="D2D2D2"/>
          </w:tcPr>
          <w:p>
            <w:pPr/>
          </w:p>
        </w:tc>
        <w:tc>
          <w:tcPr>
            <w:tcW w:w="586" w:type="dxa"/>
            <w:tcBorders>
              <w:top w:val="single" w:sz="4" w:space="0" w:color="000000"/>
              <w:left w:val="single" w:sz="4" w:space="0" w:color="000000"/>
              <w:bottom w:val="nil" w:sz="6" w:space="0" w:color="auto"/>
              <w:right w:val="single" w:sz="4" w:space="0" w:color="000000"/>
            </w:tcBorders>
            <w:shd w:val="clear" w:color="auto" w:fill="D2D2D2"/>
          </w:tcPr>
          <w:p>
            <w:pPr/>
          </w:p>
        </w:tc>
        <w:tc>
          <w:tcPr>
            <w:tcW w:w="581"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106"/>
              <w:ind w:left="105" w:right="98"/>
              <w:jc w:val="both"/>
              <w:rPr>
                <w:rFonts w:ascii="宋体" w:hAnsi="宋体" w:cs="宋体" w:eastAsia="宋体" w:hint="default"/>
                <w:sz w:val="18"/>
                <w:szCs w:val="18"/>
              </w:rPr>
            </w:pPr>
            <w:r>
              <w:rPr>
                <w:rFonts w:ascii="宋体" w:hAnsi="宋体" w:cs="宋体" w:eastAsia="宋体" w:hint="default"/>
                <w:sz w:val="18"/>
                <w:szCs w:val="18"/>
              </w:rPr>
              <w:t>一般</w:t>
            </w:r>
            <w:r>
              <w:rPr>
                <w:rFonts w:ascii="宋体" w:hAnsi="宋体" w:cs="宋体" w:eastAsia="宋体" w:hint="default"/>
                <w:spacing w:val="-86"/>
                <w:sz w:val="18"/>
                <w:szCs w:val="18"/>
              </w:rPr>
              <w:t> </w:t>
            </w:r>
            <w:r>
              <w:rPr>
                <w:rFonts w:ascii="宋体" w:hAnsi="宋体" w:cs="宋体" w:eastAsia="宋体" w:hint="default"/>
                <w:sz w:val="18"/>
                <w:szCs w:val="18"/>
              </w:rPr>
              <w:t>风险</w:t>
            </w:r>
            <w:r>
              <w:rPr>
                <w:rFonts w:ascii="宋体" w:hAnsi="宋体" w:cs="宋体" w:eastAsia="宋体" w:hint="default"/>
                <w:spacing w:val="-86"/>
                <w:sz w:val="18"/>
                <w:szCs w:val="18"/>
              </w:rPr>
              <w:t> </w:t>
            </w:r>
            <w:r>
              <w:rPr>
                <w:rFonts w:ascii="宋体" w:hAnsi="宋体" w:cs="宋体" w:eastAsia="宋体" w:hint="default"/>
                <w:sz w:val="18"/>
                <w:szCs w:val="18"/>
              </w:rPr>
              <w:t>准备</w:t>
            </w:r>
          </w:p>
        </w:tc>
        <w:tc>
          <w:tcPr>
            <w:tcW w:w="586"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106"/>
              <w:ind w:left="105" w:right="104"/>
              <w:jc w:val="both"/>
              <w:rPr>
                <w:rFonts w:ascii="宋体" w:hAnsi="宋体" w:cs="宋体" w:eastAsia="宋体" w:hint="default"/>
                <w:sz w:val="18"/>
                <w:szCs w:val="18"/>
              </w:rPr>
            </w:pPr>
            <w:r>
              <w:rPr>
                <w:rFonts w:ascii="宋体" w:hAnsi="宋体" w:cs="宋体" w:eastAsia="宋体" w:hint="default"/>
                <w:sz w:val="18"/>
                <w:szCs w:val="18"/>
              </w:rPr>
              <w:t>未分</w:t>
            </w:r>
            <w:r>
              <w:rPr>
                <w:rFonts w:ascii="宋体" w:hAnsi="宋体" w:cs="宋体" w:eastAsia="宋体" w:hint="default"/>
                <w:spacing w:val="-86"/>
                <w:sz w:val="18"/>
                <w:szCs w:val="18"/>
              </w:rPr>
              <w:t> </w:t>
            </w:r>
            <w:r>
              <w:rPr>
                <w:rFonts w:ascii="宋体" w:hAnsi="宋体" w:cs="宋体" w:eastAsia="宋体" w:hint="default"/>
                <w:sz w:val="18"/>
                <w:szCs w:val="18"/>
              </w:rPr>
              <w:t>配利</w:t>
            </w:r>
            <w:r>
              <w:rPr>
                <w:rFonts w:ascii="宋体" w:hAnsi="宋体" w:cs="宋体" w:eastAsia="宋体" w:hint="default"/>
                <w:spacing w:val="-86"/>
                <w:sz w:val="18"/>
                <w:szCs w:val="18"/>
              </w:rPr>
              <w:t> </w:t>
            </w:r>
            <w:r>
              <w:rPr>
                <w:rFonts w:ascii="宋体" w:hAnsi="宋体" w:cs="宋体" w:eastAsia="宋体" w:hint="default"/>
                <w:sz w:val="18"/>
                <w:szCs w:val="18"/>
              </w:rPr>
              <w:t>润</w:t>
            </w:r>
          </w:p>
        </w:tc>
        <w:tc>
          <w:tcPr>
            <w:tcW w:w="586" w:type="dxa"/>
            <w:vMerge w:val="restart"/>
            <w:tcBorders>
              <w:top w:val="single" w:sz="4" w:space="0" w:color="000000"/>
              <w:left w:val="single" w:sz="4" w:space="0" w:color="000000"/>
              <w:right w:val="single" w:sz="4" w:space="0" w:color="000000"/>
            </w:tcBorders>
            <w:shd w:val="clear" w:color="auto" w:fill="D2D2D2"/>
          </w:tcPr>
          <w:p>
            <w:pPr/>
          </w:p>
        </w:tc>
        <w:tc>
          <w:tcPr>
            <w:tcW w:w="581" w:type="dxa"/>
            <w:vMerge w:val="restart"/>
            <w:tcBorders>
              <w:top w:val="single" w:sz="4" w:space="0" w:color="000000"/>
              <w:left w:val="single" w:sz="4" w:space="0" w:color="000000"/>
              <w:right w:val="single" w:sz="4" w:space="0" w:color="000000"/>
            </w:tcBorders>
            <w:shd w:val="clear" w:color="auto" w:fill="D2D2D2"/>
          </w:tcPr>
          <w:p>
            <w:pPr/>
          </w:p>
        </w:tc>
        <w:tc>
          <w:tcPr>
            <w:tcW w:w="586" w:type="dxa"/>
            <w:vMerge w:val="restart"/>
            <w:tcBorders>
              <w:top w:val="single" w:sz="4" w:space="0" w:color="000000"/>
              <w:left w:val="single" w:sz="8" w:space="0" w:color="D2D2D2"/>
              <w:right w:val="single" w:sz="4" w:space="0" w:color="000000"/>
            </w:tcBorders>
          </w:tcPr>
          <w:p>
            <w:pPr>
              <w:pStyle w:val="TableParagraph"/>
              <w:spacing w:line="321" w:lineRule="auto" w:before="20"/>
              <w:ind w:left="100" w:right="103"/>
              <w:jc w:val="left"/>
              <w:rPr>
                <w:rFonts w:ascii="宋体" w:hAnsi="宋体" w:cs="宋体" w:eastAsia="宋体" w:hint="default"/>
                <w:sz w:val="18"/>
                <w:szCs w:val="18"/>
              </w:rPr>
            </w:pPr>
            <w:r>
              <w:rPr>
                <w:rFonts w:ascii="宋体" w:hAnsi="宋体" w:cs="宋体" w:eastAsia="宋体" w:hint="default"/>
                <w:sz w:val="18"/>
                <w:szCs w:val="18"/>
              </w:rPr>
              <w:t>股东</w:t>
            </w:r>
            <w:r>
              <w:rPr>
                <w:rFonts w:ascii="宋体" w:hAnsi="宋体" w:cs="宋体" w:eastAsia="宋体" w:hint="default"/>
                <w:spacing w:val="-86"/>
                <w:sz w:val="18"/>
                <w:szCs w:val="18"/>
              </w:rPr>
              <w:t> </w:t>
            </w:r>
            <w:r>
              <w:rPr>
                <w:rFonts w:ascii="宋体" w:hAnsi="宋体" w:cs="宋体" w:eastAsia="宋体" w:hint="default"/>
                <w:sz w:val="18"/>
                <w:szCs w:val="18"/>
              </w:rPr>
              <w:t>权益</w:t>
            </w:r>
          </w:p>
        </w:tc>
        <w:tc>
          <w:tcPr>
            <w:tcW w:w="576" w:type="dxa"/>
            <w:vMerge w:val="restart"/>
            <w:tcBorders>
              <w:top w:val="single" w:sz="4" w:space="0" w:color="000000"/>
              <w:left w:val="single" w:sz="4" w:space="0" w:color="000000"/>
              <w:right w:val="single" w:sz="4" w:space="0" w:color="000000"/>
            </w:tcBorders>
          </w:tcPr>
          <w:p>
            <w:pPr>
              <w:pStyle w:val="TableParagraph"/>
              <w:spacing w:line="319" w:lineRule="auto" w:before="20"/>
              <w:ind w:left="105" w:right="95"/>
              <w:jc w:val="both"/>
              <w:rPr>
                <w:rFonts w:ascii="宋体" w:hAnsi="宋体" w:cs="宋体" w:eastAsia="宋体" w:hint="default"/>
                <w:sz w:val="18"/>
                <w:szCs w:val="18"/>
              </w:rPr>
            </w:pPr>
            <w:r>
              <w:rPr>
                <w:rFonts w:ascii="宋体" w:hAnsi="宋体" w:cs="宋体" w:eastAsia="宋体" w:hint="default"/>
                <w:sz w:val="18"/>
                <w:szCs w:val="18"/>
              </w:rPr>
              <w:t>者权</w:t>
            </w:r>
            <w:r>
              <w:rPr>
                <w:rFonts w:ascii="宋体" w:hAnsi="宋体" w:cs="宋体" w:eastAsia="宋体" w:hint="default"/>
                <w:spacing w:val="-86"/>
                <w:sz w:val="18"/>
                <w:szCs w:val="18"/>
              </w:rPr>
              <w:t> </w:t>
            </w:r>
            <w:r>
              <w:rPr>
                <w:rFonts w:ascii="宋体" w:hAnsi="宋体" w:cs="宋体" w:eastAsia="宋体" w:hint="default"/>
                <w:sz w:val="18"/>
                <w:szCs w:val="18"/>
              </w:rPr>
              <w:t>益合</w:t>
            </w:r>
            <w:r>
              <w:rPr>
                <w:rFonts w:ascii="宋体" w:hAnsi="宋体" w:cs="宋体" w:eastAsia="宋体" w:hint="default"/>
                <w:spacing w:val="-86"/>
                <w:sz w:val="18"/>
                <w:szCs w:val="18"/>
              </w:rPr>
              <w:t> </w:t>
            </w:r>
            <w:r>
              <w:rPr>
                <w:rFonts w:ascii="宋体" w:hAnsi="宋体" w:cs="宋体" w:eastAsia="宋体" w:hint="default"/>
                <w:sz w:val="18"/>
                <w:szCs w:val="18"/>
              </w:rPr>
              <w:t>计</w:t>
            </w:r>
          </w:p>
        </w:tc>
      </w:tr>
      <w:tr>
        <w:trPr>
          <w:trHeight w:val="173" w:hRule="exact"/>
        </w:trPr>
        <w:tc>
          <w:tcPr>
            <w:tcW w:w="1229" w:type="dxa"/>
            <w:vMerge/>
            <w:tcBorders>
              <w:left w:val="single" w:sz="4" w:space="0" w:color="000000"/>
              <w:right w:val="single" w:sz="4" w:space="0" w:color="000000"/>
            </w:tcBorders>
            <w:shd w:val="clear" w:color="auto" w:fill="D2D2D2"/>
          </w:tcPr>
          <w:p>
            <w:pPr/>
          </w:p>
        </w:tc>
        <w:tc>
          <w:tcPr>
            <w:tcW w:w="506" w:type="dxa"/>
            <w:vMerge/>
            <w:tcBorders>
              <w:left w:val="single" w:sz="4" w:space="0" w:color="000000"/>
              <w:bottom w:val="nil" w:sz="6" w:space="0" w:color="auto"/>
              <w:right w:val="single" w:sz="4" w:space="0" w:color="000000"/>
            </w:tcBorders>
            <w:shd w:val="clear" w:color="auto" w:fill="D2D2D2"/>
          </w:tcPr>
          <w:p>
            <w:pPr/>
          </w:p>
        </w:tc>
        <w:tc>
          <w:tcPr>
            <w:tcW w:w="1402" w:type="dxa"/>
            <w:gridSpan w:val="3"/>
            <w:vMerge/>
            <w:tcBorders>
              <w:left w:val="single" w:sz="4" w:space="0" w:color="000000"/>
              <w:bottom w:val="single" w:sz="4" w:space="0" w:color="000000"/>
              <w:right w:val="single" w:sz="4" w:space="0" w:color="000000"/>
            </w:tcBorders>
            <w:shd w:val="clear" w:color="auto" w:fill="D2D2D2"/>
          </w:tcPr>
          <w:p>
            <w:pPr/>
          </w:p>
        </w:tc>
        <w:tc>
          <w:tcPr>
            <w:tcW w:w="581"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63"/>
              <w:ind w:left="105" w:right="99"/>
              <w:jc w:val="left"/>
              <w:rPr>
                <w:rFonts w:ascii="宋体" w:hAnsi="宋体" w:cs="宋体" w:eastAsia="宋体" w:hint="default"/>
                <w:sz w:val="18"/>
                <w:szCs w:val="18"/>
              </w:rPr>
            </w:pPr>
            <w:r>
              <w:rPr>
                <w:rFonts w:ascii="宋体" w:hAnsi="宋体" w:cs="宋体" w:eastAsia="宋体" w:hint="default"/>
                <w:sz w:val="18"/>
                <w:szCs w:val="18"/>
              </w:rPr>
              <w:t>资本</w:t>
            </w:r>
            <w:r>
              <w:rPr>
                <w:rFonts w:ascii="宋体" w:hAnsi="宋体" w:cs="宋体" w:eastAsia="宋体" w:hint="default"/>
                <w:spacing w:val="-86"/>
                <w:sz w:val="18"/>
                <w:szCs w:val="18"/>
              </w:rPr>
              <w:t> </w:t>
            </w:r>
            <w:r>
              <w:rPr>
                <w:rFonts w:ascii="宋体" w:hAnsi="宋体" w:cs="宋体" w:eastAsia="宋体" w:hint="default"/>
                <w:sz w:val="18"/>
                <w:szCs w:val="18"/>
              </w:rPr>
              <w:t>公积</w:t>
            </w:r>
          </w:p>
        </w:tc>
        <w:tc>
          <w:tcPr>
            <w:tcW w:w="58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63"/>
              <w:ind w:left="105" w:right="17" w:hanging="82"/>
              <w:jc w:val="left"/>
              <w:rPr>
                <w:rFonts w:ascii="宋体" w:hAnsi="宋体" w:cs="宋体" w:eastAsia="宋体" w:hint="default"/>
                <w:sz w:val="18"/>
                <w:szCs w:val="18"/>
              </w:rPr>
            </w:pPr>
            <w:r>
              <w:rPr>
                <w:rFonts w:ascii="宋体" w:hAnsi="宋体" w:cs="宋体" w:eastAsia="宋体" w:hint="default"/>
                <w:spacing w:val="-5"/>
                <w:sz w:val="18"/>
                <w:szCs w:val="18"/>
              </w:rPr>
              <w:t>减：库</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存股</w:t>
            </w:r>
          </w:p>
        </w:tc>
        <w:tc>
          <w:tcPr>
            <w:tcW w:w="581" w:type="dxa"/>
            <w:vMerge/>
            <w:tcBorders>
              <w:left w:val="single" w:sz="4" w:space="0" w:color="000000"/>
              <w:right w:val="single" w:sz="4" w:space="0" w:color="000000"/>
            </w:tcBorders>
            <w:shd w:val="clear" w:color="auto" w:fill="D2D2D2"/>
          </w:tcPr>
          <w:p>
            <w:pPr/>
          </w:p>
        </w:tc>
        <w:tc>
          <w:tcPr>
            <w:tcW w:w="58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63"/>
              <w:ind w:left="105" w:right="103"/>
              <w:jc w:val="left"/>
              <w:rPr>
                <w:rFonts w:ascii="宋体" w:hAnsi="宋体" w:cs="宋体" w:eastAsia="宋体" w:hint="default"/>
                <w:sz w:val="18"/>
                <w:szCs w:val="18"/>
              </w:rPr>
            </w:pPr>
            <w:r>
              <w:rPr>
                <w:rFonts w:ascii="宋体" w:hAnsi="宋体" w:cs="宋体" w:eastAsia="宋体" w:hint="default"/>
                <w:sz w:val="18"/>
                <w:szCs w:val="18"/>
              </w:rPr>
              <w:t>专项</w:t>
            </w:r>
            <w:r>
              <w:rPr>
                <w:rFonts w:ascii="宋体" w:hAnsi="宋体" w:cs="宋体" w:eastAsia="宋体" w:hint="default"/>
                <w:spacing w:val="-86"/>
                <w:sz w:val="18"/>
                <w:szCs w:val="18"/>
              </w:rPr>
              <w:t> </w:t>
            </w:r>
            <w:r>
              <w:rPr>
                <w:rFonts w:ascii="宋体" w:hAnsi="宋体" w:cs="宋体" w:eastAsia="宋体" w:hint="default"/>
                <w:sz w:val="18"/>
                <w:szCs w:val="18"/>
              </w:rPr>
              <w:t>储备</w:t>
            </w:r>
          </w:p>
        </w:tc>
        <w:tc>
          <w:tcPr>
            <w:tcW w:w="58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63"/>
              <w:ind w:left="105" w:right="105"/>
              <w:jc w:val="left"/>
              <w:rPr>
                <w:rFonts w:ascii="宋体" w:hAnsi="宋体" w:cs="宋体" w:eastAsia="宋体" w:hint="default"/>
                <w:sz w:val="18"/>
                <w:szCs w:val="18"/>
              </w:rPr>
            </w:pPr>
            <w:r>
              <w:rPr>
                <w:rFonts w:ascii="宋体" w:hAnsi="宋体" w:cs="宋体" w:eastAsia="宋体" w:hint="default"/>
                <w:sz w:val="18"/>
                <w:szCs w:val="18"/>
              </w:rPr>
              <w:t>盈余</w:t>
            </w:r>
            <w:r>
              <w:rPr>
                <w:rFonts w:ascii="宋体" w:hAnsi="宋体" w:cs="宋体" w:eastAsia="宋体" w:hint="default"/>
                <w:spacing w:val="-86"/>
                <w:sz w:val="18"/>
                <w:szCs w:val="18"/>
              </w:rPr>
              <w:t> </w:t>
            </w:r>
            <w:r>
              <w:rPr>
                <w:rFonts w:ascii="宋体" w:hAnsi="宋体" w:cs="宋体" w:eastAsia="宋体" w:hint="default"/>
                <w:sz w:val="18"/>
                <w:szCs w:val="18"/>
              </w:rPr>
              <w:t>公积</w:t>
            </w:r>
          </w:p>
        </w:tc>
        <w:tc>
          <w:tcPr>
            <w:tcW w:w="581" w:type="dxa"/>
            <w:vMerge/>
            <w:tcBorders>
              <w:left w:val="single" w:sz="4" w:space="0" w:color="000000"/>
              <w:right w:val="single" w:sz="4" w:space="0" w:color="000000"/>
            </w:tcBorders>
            <w:shd w:val="clear" w:color="auto" w:fill="D2D2D2"/>
          </w:tcPr>
          <w:p>
            <w:pPr/>
          </w:p>
        </w:tc>
        <w:tc>
          <w:tcPr>
            <w:tcW w:w="586" w:type="dxa"/>
            <w:vMerge/>
            <w:tcBorders>
              <w:left w:val="single" w:sz="4" w:space="0" w:color="000000"/>
              <w:right w:val="single" w:sz="4" w:space="0" w:color="000000"/>
            </w:tcBorders>
            <w:shd w:val="clear" w:color="auto" w:fill="D2D2D2"/>
          </w:tcPr>
          <w:p>
            <w:pPr/>
          </w:p>
        </w:tc>
        <w:tc>
          <w:tcPr>
            <w:tcW w:w="586" w:type="dxa"/>
            <w:vMerge/>
            <w:tcBorders>
              <w:left w:val="single" w:sz="4" w:space="0" w:color="000000"/>
              <w:bottom w:val="nil" w:sz="6" w:space="0" w:color="auto"/>
              <w:right w:val="single" w:sz="4" w:space="0" w:color="000000"/>
            </w:tcBorders>
            <w:shd w:val="clear" w:color="auto" w:fill="D2D2D2"/>
          </w:tcPr>
          <w:p>
            <w:pPr/>
          </w:p>
        </w:tc>
        <w:tc>
          <w:tcPr>
            <w:tcW w:w="581" w:type="dxa"/>
            <w:vMerge/>
            <w:tcBorders>
              <w:left w:val="single" w:sz="4" w:space="0" w:color="000000"/>
              <w:bottom w:val="nil" w:sz="6" w:space="0" w:color="auto"/>
              <w:right w:val="single" w:sz="4" w:space="0" w:color="000000"/>
            </w:tcBorders>
            <w:shd w:val="clear" w:color="auto" w:fill="D2D2D2"/>
          </w:tcPr>
          <w:p>
            <w:pPr/>
          </w:p>
        </w:tc>
        <w:tc>
          <w:tcPr>
            <w:tcW w:w="586" w:type="dxa"/>
            <w:vMerge/>
            <w:tcBorders>
              <w:left w:val="single" w:sz="8" w:space="0" w:color="D2D2D2"/>
              <w:right w:val="single" w:sz="4" w:space="0" w:color="000000"/>
            </w:tcBorders>
          </w:tcPr>
          <w:p>
            <w:pPr/>
          </w:p>
        </w:tc>
        <w:tc>
          <w:tcPr>
            <w:tcW w:w="576" w:type="dxa"/>
            <w:vMerge/>
            <w:tcBorders>
              <w:left w:val="single" w:sz="4" w:space="0" w:color="000000"/>
              <w:right w:val="single" w:sz="4" w:space="0" w:color="000000"/>
            </w:tcBorders>
          </w:tcPr>
          <w:p>
            <w:pPr/>
          </w:p>
        </w:tc>
      </w:tr>
      <w:tr>
        <w:trPr>
          <w:trHeight w:val="182" w:hRule="exact"/>
        </w:trPr>
        <w:tc>
          <w:tcPr>
            <w:tcW w:w="1229" w:type="dxa"/>
            <w:vMerge/>
            <w:tcBorders>
              <w:left w:val="single" w:sz="4" w:space="0" w:color="000000"/>
              <w:right w:val="single" w:sz="4" w:space="0" w:color="000000"/>
            </w:tcBorders>
            <w:shd w:val="clear" w:color="auto" w:fill="D2D2D2"/>
          </w:tcPr>
          <w:p>
            <w:pPr/>
          </w:p>
        </w:tc>
        <w:tc>
          <w:tcPr>
            <w:tcW w:w="50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4"/>
              <w:ind w:left="74"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46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87"/>
              <w:ind w:left="139" w:right="41" w:hanging="92"/>
              <w:jc w:val="left"/>
              <w:rPr>
                <w:rFonts w:ascii="宋体" w:hAnsi="宋体" w:cs="宋体" w:eastAsia="宋体" w:hint="default"/>
                <w:sz w:val="18"/>
                <w:szCs w:val="18"/>
              </w:rPr>
            </w:pPr>
            <w:r>
              <w:rPr>
                <w:rFonts w:ascii="宋体" w:hAnsi="宋体" w:cs="宋体" w:eastAsia="宋体" w:hint="default"/>
                <w:sz w:val="18"/>
                <w:szCs w:val="18"/>
              </w:rPr>
              <w:t>优先</w:t>
            </w:r>
            <w:r>
              <w:rPr>
                <w:rFonts w:ascii="宋体" w:hAnsi="宋体" w:cs="宋体" w:eastAsia="宋体" w:hint="default"/>
                <w:spacing w:val="-86"/>
                <w:sz w:val="18"/>
                <w:szCs w:val="18"/>
              </w:rPr>
              <w:t> </w:t>
            </w:r>
            <w:r>
              <w:rPr>
                <w:rFonts w:ascii="宋体" w:hAnsi="宋体" w:cs="宋体" w:eastAsia="宋体" w:hint="default"/>
                <w:sz w:val="18"/>
                <w:szCs w:val="18"/>
              </w:rPr>
              <w:t>股</w:t>
            </w:r>
          </w:p>
        </w:tc>
        <w:tc>
          <w:tcPr>
            <w:tcW w:w="46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87"/>
              <w:ind w:left="139" w:right="41" w:hanging="92"/>
              <w:jc w:val="left"/>
              <w:rPr>
                <w:rFonts w:ascii="宋体" w:hAnsi="宋体" w:cs="宋体" w:eastAsia="宋体" w:hint="default"/>
                <w:sz w:val="18"/>
                <w:szCs w:val="18"/>
              </w:rPr>
            </w:pPr>
            <w:r>
              <w:rPr>
                <w:rFonts w:ascii="宋体" w:hAnsi="宋体" w:cs="宋体" w:eastAsia="宋体" w:hint="default"/>
                <w:sz w:val="18"/>
                <w:szCs w:val="18"/>
              </w:rPr>
              <w:t>永续</w:t>
            </w:r>
            <w:r>
              <w:rPr>
                <w:rFonts w:ascii="宋体" w:hAnsi="宋体" w:cs="宋体" w:eastAsia="宋体" w:hint="default"/>
                <w:spacing w:val="-86"/>
                <w:sz w:val="18"/>
                <w:szCs w:val="18"/>
              </w:rPr>
              <w:t> </w:t>
            </w:r>
            <w:r>
              <w:rPr>
                <w:rFonts w:ascii="宋体" w:hAnsi="宋体" w:cs="宋体" w:eastAsia="宋体" w:hint="default"/>
                <w:sz w:val="18"/>
                <w:szCs w:val="18"/>
              </w:rPr>
              <w:t>债</w:t>
            </w:r>
          </w:p>
        </w:tc>
        <w:tc>
          <w:tcPr>
            <w:tcW w:w="470" w:type="dxa"/>
            <w:tcBorders>
              <w:top w:val="single" w:sz="4" w:space="0" w:color="000000"/>
              <w:left w:val="single" w:sz="4" w:space="0" w:color="000000"/>
              <w:bottom w:val="nil" w:sz="6" w:space="0" w:color="auto"/>
              <w:right w:val="single" w:sz="4" w:space="0" w:color="000000"/>
            </w:tcBorders>
            <w:shd w:val="clear" w:color="auto" w:fill="D2D2D2"/>
          </w:tcPr>
          <w:p>
            <w:pPr/>
          </w:p>
        </w:tc>
        <w:tc>
          <w:tcPr>
            <w:tcW w:w="581" w:type="dxa"/>
            <w:vMerge/>
            <w:tcBorders>
              <w:left w:val="single" w:sz="4" w:space="0" w:color="000000"/>
              <w:right w:val="single" w:sz="4" w:space="0" w:color="000000"/>
            </w:tcBorders>
            <w:shd w:val="clear" w:color="auto" w:fill="D2D2D2"/>
          </w:tcPr>
          <w:p>
            <w:pPr/>
          </w:p>
        </w:tc>
        <w:tc>
          <w:tcPr>
            <w:tcW w:w="586" w:type="dxa"/>
            <w:vMerge/>
            <w:tcBorders>
              <w:left w:val="single" w:sz="4" w:space="0" w:color="000000"/>
              <w:right w:val="single" w:sz="4" w:space="0" w:color="000000"/>
            </w:tcBorders>
            <w:shd w:val="clear" w:color="auto" w:fill="D2D2D2"/>
          </w:tcPr>
          <w:p>
            <w:pPr/>
          </w:p>
        </w:tc>
        <w:tc>
          <w:tcPr>
            <w:tcW w:w="581" w:type="dxa"/>
            <w:vMerge/>
            <w:tcBorders>
              <w:left w:val="single" w:sz="4" w:space="0" w:color="000000"/>
              <w:right w:val="single" w:sz="4" w:space="0" w:color="000000"/>
            </w:tcBorders>
            <w:shd w:val="clear" w:color="auto" w:fill="D2D2D2"/>
          </w:tcPr>
          <w:p>
            <w:pPr/>
          </w:p>
        </w:tc>
        <w:tc>
          <w:tcPr>
            <w:tcW w:w="586" w:type="dxa"/>
            <w:vMerge/>
            <w:tcBorders>
              <w:left w:val="single" w:sz="4" w:space="0" w:color="000000"/>
              <w:right w:val="single" w:sz="4" w:space="0" w:color="000000"/>
            </w:tcBorders>
            <w:shd w:val="clear" w:color="auto" w:fill="D2D2D2"/>
          </w:tcPr>
          <w:p>
            <w:pPr/>
          </w:p>
        </w:tc>
        <w:tc>
          <w:tcPr>
            <w:tcW w:w="586" w:type="dxa"/>
            <w:vMerge/>
            <w:tcBorders>
              <w:left w:val="single" w:sz="4" w:space="0" w:color="000000"/>
              <w:right w:val="single" w:sz="4" w:space="0" w:color="000000"/>
            </w:tcBorders>
            <w:shd w:val="clear" w:color="auto" w:fill="D2D2D2"/>
          </w:tcPr>
          <w:p>
            <w:pPr/>
          </w:p>
        </w:tc>
        <w:tc>
          <w:tcPr>
            <w:tcW w:w="581" w:type="dxa"/>
            <w:vMerge/>
            <w:tcBorders>
              <w:left w:val="single" w:sz="4" w:space="0" w:color="000000"/>
              <w:right w:val="single" w:sz="4" w:space="0" w:color="000000"/>
            </w:tcBorders>
            <w:shd w:val="clear" w:color="auto" w:fill="D2D2D2"/>
          </w:tcPr>
          <w:p>
            <w:pPr/>
          </w:p>
        </w:tc>
        <w:tc>
          <w:tcPr>
            <w:tcW w:w="586" w:type="dxa"/>
            <w:vMerge/>
            <w:tcBorders>
              <w:left w:val="single" w:sz="4" w:space="0" w:color="000000"/>
              <w:right w:val="single" w:sz="4" w:space="0" w:color="000000"/>
            </w:tcBorders>
            <w:shd w:val="clear" w:color="auto" w:fill="D2D2D2"/>
          </w:tcPr>
          <w:p>
            <w:pPr/>
          </w:p>
        </w:tc>
        <w:tc>
          <w:tcPr>
            <w:tcW w:w="58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4"/>
              <w:ind w:left="10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8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4"/>
              <w:ind w:left="105"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586" w:type="dxa"/>
            <w:vMerge/>
            <w:tcBorders>
              <w:left w:val="single" w:sz="8" w:space="0" w:color="D2D2D2"/>
              <w:right w:val="single" w:sz="4" w:space="0" w:color="000000"/>
            </w:tcBorders>
          </w:tcPr>
          <w:p>
            <w:pPr/>
          </w:p>
        </w:tc>
        <w:tc>
          <w:tcPr>
            <w:tcW w:w="576" w:type="dxa"/>
            <w:vMerge/>
            <w:tcBorders>
              <w:left w:val="single" w:sz="4" w:space="0" w:color="000000"/>
              <w:right w:val="single" w:sz="4" w:space="0" w:color="000000"/>
            </w:tcBorders>
          </w:tcPr>
          <w:p>
            <w:pPr/>
          </w:p>
        </w:tc>
      </w:tr>
      <w:tr>
        <w:trPr>
          <w:trHeight w:val="192" w:hRule="exact"/>
        </w:trPr>
        <w:tc>
          <w:tcPr>
            <w:tcW w:w="1229" w:type="dxa"/>
            <w:vMerge/>
            <w:tcBorders>
              <w:left w:val="single" w:sz="4" w:space="0" w:color="000000"/>
              <w:right w:val="single" w:sz="4" w:space="0" w:color="000000"/>
            </w:tcBorders>
            <w:shd w:val="clear" w:color="auto" w:fill="D2D2D2"/>
          </w:tcPr>
          <w:p>
            <w:pPr/>
          </w:p>
        </w:tc>
        <w:tc>
          <w:tcPr>
            <w:tcW w:w="506" w:type="dxa"/>
            <w:vMerge/>
            <w:tcBorders>
              <w:left w:val="single" w:sz="4" w:space="0" w:color="000000"/>
              <w:bottom w:val="nil" w:sz="6" w:space="0" w:color="auto"/>
              <w:right w:val="single" w:sz="4" w:space="0" w:color="000000"/>
            </w:tcBorders>
            <w:shd w:val="clear" w:color="auto" w:fill="D2D2D2"/>
          </w:tcPr>
          <w:p>
            <w:pPr/>
          </w:p>
        </w:tc>
        <w:tc>
          <w:tcPr>
            <w:tcW w:w="466" w:type="dxa"/>
            <w:vMerge/>
            <w:tcBorders>
              <w:left w:val="single" w:sz="4" w:space="0" w:color="000000"/>
              <w:right w:val="single" w:sz="4" w:space="0" w:color="000000"/>
            </w:tcBorders>
            <w:shd w:val="clear" w:color="auto" w:fill="D2D2D2"/>
          </w:tcPr>
          <w:p>
            <w:pPr/>
          </w:p>
        </w:tc>
        <w:tc>
          <w:tcPr>
            <w:tcW w:w="466" w:type="dxa"/>
            <w:vMerge/>
            <w:tcBorders>
              <w:left w:val="single" w:sz="4" w:space="0" w:color="000000"/>
              <w:right w:val="single" w:sz="4" w:space="0" w:color="000000"/>
            </w:tcBorders>
            <w:shd w:val="clear" w:color="auto" w:fill="D2D2D2"/>
          </w:tcPr>
          <w:p>
            <w:pPr/>
          </w:p>
        </w:tc>
        <w:tc>
          <w:tcPr>
            <w:tcW w:w="47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3"/>
              <w:ind w:left="4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81" w:type="dxa"/>
            <w:vMerge/>
            <w:tcBorders>
              <w:left w:val="single" w:sz="4" w:space="0" w:color="000000"/>
              <w:right w:val="single" w:sz="4" w:space="0" w:color="000000"/>
            </w:tcBorders>
            <w:shd w:val="clear" w:color="auto" w:fill="D2D2D2"/>
          </w:tcPr>
          <w:p>
            <w:pPr/>
          </w:p>
        </w:tc>
        <w:tc>
          <w:tcPr>
            <w:tcW w:w="586" w:type="dxa"/>
            <w:vMerge/>
            <w:tcBorders>
              <w:left w:val="single" w:sz="4" w:space="0" w:color="000000"/>
              <w:right w:val="single" w:sz="4" w:space="0" w:color="000000"/>
            </w:tcBorders>
            <w:shd w:val="clear" w:color="auto" w:fill="D2D2D2"/>
          </w:tcPr>
          <w:p>
            <w:pPr/>
          </w:p>
        </w:tc>
        <w:tc>
          <w:tcPr>
            <w:tcW w:w="581" w:type="dxa"/>
            <w:vMerge/>
            <w:tcBorders>
              <w:left w:val="single" w:sz="4" w:space="0" w:color="000000"/>
              <w:right w:val="single" w:sz="4" w:space="0" w:color="000000"/>
            </w:tcBorders>
            <w:shd w:val="clear" w:color="auto" w:fill="D2D2D2"/>
          </w:tcPr>
          <w:p>
            <w:pPr/>
          </w:p>
        </w:tc>
        <w:tc>
          <w:tcPr>
            <w:tcW w:w="586" w:type="dxa"/>
            <w:vMerge/>
            <w:tcBorders>
              <w:left w:val="single" w:sz="4" w:space="0" w:color="000000"/>
              <w:right w:val="single" w:sz="4" w:space="0" w:color="000000"/>
            </w:tcBorders>
            <w:shd w:val="clear" w:color="auto" w:fill="D2D2D2"/>
          </w:tcPr>
          <w:p>
            <w:pPr/>
          </w:p>
        </w:tc>
        <w:tc>
          <w:tcPr>
            <w:tcW w:w="586" w:type="dxa"/>
            <w:vMerge/>
            <w:tcBorders>
              <w:left w:val="single" w:sz="4" w:space="0" w:color="000000"/>
              <w:right w:val="single" w:sz="4" w:space="0" w:color="000000"/>
            </w:tcBorders>
            <w:shd w:val="clear" w:color="auto" w:fill="D2D2D2"/>
          </w:tcPr>
          <w:p>
            <w:pPr/>
          </w:p>
        </w:tc>
        <w:tc>
          <w:tcPr>
            <w:tcW w:w="581" w:type="dxa"/>
            <w:vMerge/>
            <w:tcBorders>
              <w:left w:val="single" w:sz="4" w:space="0" w:color="000000"/>
              <w:right w:val="single" w:sz="4" w:space="0" w:color="000000"/>
            </w:tcBorders>
            <w:shd w:val="clear" w:color="auto" w:fill="D2D2D2"/>
          </w:tcPr>
          <w:p>
            <w:pPr/>
          </w:p>
        </w:tc>
        <w:tc>
          <w:tcPr>
            <w:tcW w:w="586" w:type="dxa"/>
            <w:vMerge/>
            <w:tcBorders>
              <w:left w:val="single" w:sz="4" w:space="0" w:color="000000"/>
              <w:right w:val="single" w:sz="4" w:space="0" w:color="000000"/>
            </w:tcBorders>
            <w:shd w:val="clear" w:color="auto" w:fill="D2D2D2"/>
          </w:tcPr>
          <w:p>
            <w:pPr/>
          </w:p>
        </w:tc>
        <w:tc>
          <w:tcPr>
            <w:tcW w:w="586" w:type="dxa"/>
            <w:vMerge/>
            <w:tcBorders>
              <w:left w:val="single" w:sz="4" w:space="0" w:color="000000"/>
              <w:bottom w:val="nil" w:sz="6" w:space="0" w:color="auto"/>
              <w:right w:val="single" w:sz="4" w:space="0" w:color="000000"/>
            </w:tcBorders>
            <w:shd w:val="clear" w:color="auto" w:fill="D2D2D2"/>
          </w:tcPr>
          <w:p>
            <w:pPr/>
          </w:p>
        </w:tc>
        <w:tc>
          <w:tcPr>
            <w:tcW w:w="581" w:type="dxa"/>
            <w:vMerge/>
            <w:tcBorders>
              <w:left w:val="single" w:sz="4" w:space="0" w:color="000000"/>
              <w:bottom w:val="nil" w:sz="6" w:space="0" w:color="auto"/>
              <w:right w:val="single" w:sz="4" w:space="0" w:color="000000"/>
            </w:tcBorders>
            <w:shd w:val="clear" w:color="auto" w:fill="D2D2D2"/>
          </w:tcPr>
          <w:p>
            <w:pPr/>
          </w:p>
        </w:tc>
        <w:tc>
          <w:tcPr>
            <w:tcW w:w="586" w:type="dxa"/>
            <w:vMerge/>
            <w:tcBorders>
              <w:left w:val="single" w:sz="8" w:space="0" w:color="D2D2D2"/>
              <w:right w:val="single" w:sz="4" w:space="0" w:color="000000"/>
            </w:tcBorders>
          </w:tcPr>
          <w:p>
            <w:pPr/>
          </w:p>
        </w:tc>
        <w:tc>
          <w:tcPr>
            <w:tcW w:w="576" w:type="dxa"/>
            <w:vMerge/>
            <w:tcBorders>
              <w:left w:val="single" w:sz="4" w:space="0" w:color="000000"/>
              <w:right w:val="single" w:sz="4" w:space="0" w:color="000000"/>
            </w:tcBorders>
          </w:tcPr>
          <w:p>
            <w:pPr/>
          </w:p>
        </w:tc>
      </w:tr>
      <w:tr>
        <w:trPr>
          <w:trHeight w:val="158" w:hRule="exact"/>
        </w:trPr>
        <w:tc>
          <w:tcPr>
            <w:tcW w:w="1229" w:type="dxa"/>
            <w:vMerge/>
            <w:tcBorders>
              <w:left w:val="single" w:sz="4" w:space="0" w:color="000000"/>
              <w:right w:val="single" w:sz="4" w:space="0" w:color="000000"/>
            </w:tcBorders>
            <w:shd w:val="clear" w:color="auto" w:fill="D2D2D2"/>
          </w:tcPr>
          <w:p>
            <w:pPr/>
          </w:p>
        </w:tc>
        <w:tc>
          <w:tcPr>
            <w:tcW w:w="506" w:type="dxa"/>
            <w:vMerge w:val="restart"/>
            <w:tcBorders>
              <w:top w:val="nil" w:sz="6" w:space="0" w:color="auto"/>
              <w:left w:val="single" w:sz="4" w:space="0" w:color="000000"/>
              <w:right w:val="single" w:sz="4" w:space="0" w:color="000000"/>
            </w:tcBorders>
            <w:shd w:val="clear" w:color="auto" w:fill="D2D2D2"/>
          </w:tcPr>
          <w:p>
            <w:pPr/>
          </w:p>
        </w:tc>
        <w:tc>
          <w:tcPr>
            <w:tcW w:w="466" w:type="dxa"/>
            <w:vMerge/>
            <w:tcBorders>
              <w:left w:val="single" w:sz="4" w:space="0" w:color="000000"/>
              <w:right w:val="single" w:sz="4" w:space="0" w:color="000000"/>
            </w:tcBorders>
            <w:shd w:val="clear" w:color="auto" w:fill="D2D2D2"/>
          </w:tcPr>
          <w:p>
            <w:pPr/>
          </w:p>
        </w:tc>
        <w:tc>
          <w:tcPr>
            <w:tcW w:w="466" w:type="dxa"/>
            <w:vMerge/>
            <w:tcBorders>
              <w:left w:val="single" w:sz="4" w:space="0" w:color="000000"/>
              <w:right w:val="single" w:sz="4" w:space="0" w:color="000000"/>
            </w:tcBorders>
            <w:shd w:val="clear" w:color="auto" w:fill="D2D2D2"/>
          </w:tcPr>
          <w:p>
            <w:pPr/>
          </w:p>
        </w:tc>
        <w:tc>
          <w:tcPr>
            <w:tcW w:w="470" w:type="dxa"/>
            <w:vMerge/>
            <w:tcBorders>
              <w:left w:val="single" w:sz="4" w:space="0" w:color="000000"/>
              <w:bottom w:val="nil" w:sz="6" w:space="0" w:color="auto"/>
              <w:right w:val="single" w:sz="4" w:space="0" w:color="000000"/>
            </w:tcBorders>
            <w:shd w:val="clear" w:color="auto" w:fill="D2D2D2"/>
          </w:tcPr>
          <w:p>
            <w:pPr/>
          </w:p>
        </w:tc>
        <w:tc>
          <w:tcPr>
            <w:tcW w:w="581" w:type="dxa"/>
            <w:vMerge/>
            <w:tcBorders>
              <w:left w:val="single" w:sz="4" w:space="0" w:color="000000"/>
              <w:bottom w:val="nil" w:sz="6" w:space="0" w:color="auto"/>
              <w:right w:val="single" w:sz="4" w:space="0" w:color="000000"/>
            </w:tcBorders>
            <w:shd w:val="clear" w:color="auto" w:fill="D2D2D2"/>
          </w:tcPr>
          <w:p>
            <w:pPr/>
          </w:p>
        </w:tc>
        <w:tc>
          <w:tcPr>
            <w:tcW w:w="586" w:type="dxa"/>
            <w:vMerge/>
            <w:tcBorders>
              <w:left w:val="single" w:sz="4" w:space="0" w:color="000000"/>
              <w:bottom w:val="nil" w:sz="6" w:space="0" w:color="auto"/>
              <w:right w:val="single" w:sz="4" w:space="0" w:color="000000"/>
            </w:tcBorders>
            <w:shd w:val="clear" w:color="auto" w:fill="D2D2D2"/>
          </w:tcPr>
          <w:p>
            <w:pPr/>
          </w:p>
        </w:tc>
        <w:tc>
          <w:tcPr>
            <w:tcW w:w="581" w:type="dxa"/>
            <w:vMerge/>
            <w:tcBorders>
              <w:left w:val="single" w:sz="4" w:space="0" w:color="000000"/>
              <w:right w:val="single" w:sz="4" w:space="0" w:color="000000"/>
            </w:tcBorders>
            <w:shd w:val="clear" w:color="auto" w:fill="D2D2D2"/>
          </w:tcPr>
          <w:p>
            <w:pPr/>
          </w:p>
        </w:tc>
        <w:tc>
          <w:tcPr>
            <w:tcW w:w="586" w:type="dxa"/>
            <w:vMerge/>
            <w:tcBorders>
              <w:left w:val="single" w:sz="4" w:space="0" w:color="000000"/>
              <w:bottom w:val="nil" w:sz="6" w:space="0" w:color="auto"/>
              <w:right w:val="single" w:sz="4" w:space="0" w:color="000000"/>
            </w:tcBorders>
            <w:shd w:val="clear" w:color="auto" w:fill="D2D2D2"/>
          </w:tcPr>
          <w:p>
            <w:pPr/>
          </w:p>
        </w:tc>
        <w:tc>
          <w:tcPr>
            <w:tcW w:w="586" w:type="dxa"/>
            <w:vMerge/>
            <w:tcBorders>
              <w:left w:val="single" w:sz="4" w:space="0" w:color="000000"/>
              <w:bottom w:val="nil" w:sz="6" w:space="0" w:color="auto"/>
              <w:right w:val="single" w:sz="4" w:space="0" w:color="000000"/>
            </w:tcBorders>
            <w:shd w:val="clear" w:color="auto" w:fill="D2D2D2"/>
          </w:tcPr>
          <w:p>
            <w:pPr/>
          </w:p>
        </w:tc>
        <w:tc>
          <w:tcPr>
            <w:tcW w:w="581" w:type="dxa"/>
            <w:vMerge/>
            <w:tcBorders>
              <w:left w:val="single" w:sz="4" w:space="0" w:color="000000"/>
              <w:right w:val="single" w:sz="4" w:space="0" w:color="000000"/>
            </w:tcBorders>
            <w:shd w:val="clear" w:color="auto" w:fill="D2D2D2"/>
          </w:tcPr>
          <w:p>
            <w:pPr/>
          </w:p>
        </w:tc>
        <w:tc>
          <w:tcPr>
            <w:tcW w:w="586" w:type="dxa"/>
            <w:vMerge/>
            <w:tcBorders>
              <w:left w:val="single" w:sz="4" w:space="0" w:color="000000"/>
              <w:right w:val="single" w:sz="4" w:space="0" w:color="000000"/>
            </w:tcBorders>
            <w:shd w:val="clear" w:color="auto" w:fill="D2D2D2"/>
          </w:tcPr>
          <w:p>
            <w:pPr/>
          </w:p>
        </w:tc>
        <w:tc>
          <w:tcPr>
            <w:tcW w:w="586" w:type="dxa"/>
            <w:vMerge w:val="restart"/>
            <w:tcBorders>
              <w:top w:val="nil" w:sz="6" w:space="0" w:color="auto"/>
              <w:left w:val="single" w:sz="4" w:space="0" w:color="000000"/>
              <w:right w:val="single" w:sz="4" w:space="0" w:color="000000"/>
            </w:tcBorders>
            <w:shd w:val="clear" w:color="auto" w:fill="D2D2D2"/>
          </w:tcPr>
          <w:p>
            <w:pPr/>
          </w:p>
        </w:tc>
        <w:tc>
          <w:tcPr>
            <w:tcW w:w="581" w:type="dxa"/>
            <w:vMerge w:val="restart"/>
            <w:tcBorders>
              <w:top w:val="nil" w:sz="6" w:space="0" w:color="auto"/>
              <w:left w:val="single" w:sz="4" w:space="0" w:color="000000"/>
              <w:right w:val="single" w:sz="4" w:space="0" w:color="000000"/>
            </w:tcBorders>
            <w:shd w:val="clear" w:color="auto" w:fill="D2D2D2"/>
          </w:tcPr>
          <w:p>
            <w:pPr/>
          </w:p>
        </w:tc>
        <w:tc>
          <w:tcPr>
            <w:tcW w:w="586" w:type="dxa"/>
            <w:vMerge/>
            <w:tcBorders>
              <w:left w:val="single" w:sz="8" w:space="0" w:color="D2D2D2"/>
              <w:right w:val="single" w:sz="4" w:space="0" w:color="000000"/>
            </w:tcBorders>
          </w:tcPr>
          <w:p>
            <w:pPr/>
          </w:p>
        </w:tc>
        <w:tc>
          <w:tcPr>
            <w:tcW w:w="576" w:type="dxa"/>
            <w:vMerge/>
            <w:tcBorders>
              <w:left w:val="single" w:sz="4" w:space="0" w:color="000000"/>
              <w:right w:val="single" w:sz="4" w:space="0" w:color="000000"/>
            </w:tcBorders>
          </w:tcPr>
          <w:p>
            <w:pPr/>
          </w:p>
        </w:tc>
      </w:tr>
      <w:tr>
        <w:trPr>
          <w:trHeight w:val="202" w:hRule="exact"/>
        </w:trPr>
        <w:tc>
          <w:tcPr>
            <w:tcW w:w="1229" w:type="dxa"/>
            <w:vMerge/>
            <w:tcBorders>
              <w:left w:val="single" w:sz="4" w:space="0" w:color="000000"/>
              <w:bottom w:val="single" w:sz="4" w:space="0" w:color="000000"/>
              <w:right w:val="single" w:sz="4" w:space="0" w:color="000000"/>
            </w:tcBorders>
            <w:shd w:val="clear" w:color="auto" w:fill="D2D2D2"/>
          </w:tcPr>
          <w:p>
            <w:pPr/>
          </w:p>
        </w:tc>
        <w:tc>
          <w:tcPr>
            <w:tcW w:w="506" w:type="dxa"/>
            <w:vMerge/>
            <w:tcBorders>
              <w:left w:val="single" w:sz="4" w:space="0" w:color="000000"/>
              <w:bottom w:val="single" w:sz="4" w:space="0" w:color="000000"/>
              <w:right w:val="single" w:sz="4" w:space="0" w:color="000000"/>
            </w:tcBorders>
            <w:shd w:val="clear" w:color="auto" w:fill="D2D2D2"/>
          </w:tcPr>
          <w:p>
            <w:pPr/>
          </w:p>
        </w:tc>
        <w:tc>
          <w:tcPr>
            <w:tcW w:w="466" w:type="dxa"/>
            <w:vMerge/>
            <w:tcBorders>
              <w:left w:val="single" w:sz="4" w:space="0" w:color="000000"/>
              <w:bottom w:val="single" w:sz="4" w:space="0" w:color="000000"/>
              <w:right w:val="single" w:sz="4" w:space="0" w:color="000000"/>
            </w:tcBorders>
            <w:shd w:val="clear" w:color="auto" w:fill="D2D2D2"/>
          </w:tcPr>
          <w:p>
            <w:pPr/>
          </w:p>
        </w:tc>
        <w:tc>
          <w:tcPr>
            <w:tcW w:w="466" w:type="dxa"/>
            <w:vMerge/>
            <w:tcBorders>
              <w:left w:val="single" w:sz="4" w:space="0" w:color="000000"/>
              <w:bottom w:val="single" w:sz="4" w:space="0" w:color="000000"/>
              <w:right w:val="single" w:sz="4" w:space="0" w:color="000000"/>
            </w:tcBorders>
            <w:shd w:val="clear" w:color="auto" w:fill="D2D2D2"/>
          </w:tcPr>
          <w:p>
            <w:pPr/>
          </w:p>
        </w:tc>
        <w:tc>
          <w:tcPr>
            <w:tcW w:w="470" w:type="dxa"/>
            <w:tcBorders>
              <w:top w:val="nil" w:sz="6" w:space="0" w:color="auto"/>
              <w:left w:val="single" w:sz="4" w:space="0" w:color="000000"/>
              <w:bottom w:val="single" w:sz="4" w:space="0" w:color="000000"/>
              <w:right w:val="single" w:sz="4" w:space="0" w:color="000000"/>
            </w:tcBorders>
            <w:shd w:val="clear" w:color="auto" w:fill="D2D2D2"/>
          </w:tcPr>
          <w:p>
            <w:pPr/>
          </w:p>
        </w:tc>
        <w:tc>
          <w:tcPr>
            <w:tcW w:w="581" w:type="dxa"/>
            <w:tcBorders>
              <w:top w:val="nil" w:sz="6" w:space="0" w:color="auto"/>
              <w:left w:val="single" w:sz="4" w:space="0" w:color="000000"/>
              <w:bottom w:val="single" w:sz="4" w:space="0" w:color="000000"/>
              <w:right w:val="single" w:sz="4" w:space="0" w:color="000000"/>
            </w:tcBorders>
            <w:shd w:val="clear" w:color="auto" w:fill="D2D2D2"/>
          </w:tcPr>
          <w:p>
            <w:pPr/>
          </w:p>
        </w:tc>
        <w:tc>
          <w:tcPr>
            <w:tcW w:w="586" w:type="dxa"/>
            <w:tcBorders>
              <w:top w:val="nil" w:sz="6" w:space="0" w:color="auto"/>
              <w:left w:val="single" w:sz="4" w:space="0" w:color="000000"/>
              <w:bottom w:val="single" w:sz="4" w:space="0" w:color="000000"/>
              <w:right w:val="single" w:sz="4" w:space="0" w:color="000000"/>
            </w:tcBorders>
            <w:shd w:val="clear" w:color="auto" w:fill="D2D2D2"/>
          </w:tcPr>
          <w:p>
            <w:pPr/>
          </w:p>
        </w:tc>
        <w:tc>
          <w:tcPr>
            <w:tcW w:w="581" w:type="dxa"/>
            <w:vMerge/>
            <w:tcBorders>
              <w:left w:val="single" w:sz="4" w:space="0" w:color="000000"/>
              <w:bottom w:val="single" w:sz="4" w:space="0" w:color="000000"/>
              <w:right w:val="single" w:sz="4" w:space="0" w:color="000000"/>
            </w:tcBorders>
            <w:shd w:val="clear" w:color="auto" w:fill="D2D2D2"/>
          </w:tcPr>
          <w:p>
            <w:pPr/>
          </w:p>
        </w:tc>
        <w:tc>
          <w:tcPr>
            <w:tcW w:w="586" w:type="dxa"/>
            <w:tcBorders>
              <w:top w:val="nil" w:sz="6" w:space="0" w:color="auto"/>
              <w:left w:val="single" w:sz="4" w:space="0" w:color="000000"/>
              <w:bottom w:val="single" w:sz="4" w:space="0" w:color="000000"/>
              <w:right w:val="single" w:sz="4" w:space="0" w:color="000000"/>
            </w:tcBorders>
            <w:shd w:val="clear" w:color="auto" w:fill="D2D2D2"/>
          </w:tcPr>
          <w:p>
            <w:pPr/>
          </w:p>
        </w:tc>
        <w:tc>
          <w:tcPr>
            <w:tcW w:w="586" w:type="dxa"/>
            <w:tcBorders>
              <w:top w:val="nil" w:sz="6" w:space="0" w:color="auto"/>
              <w:left w:val="single" w:sz="4" w:space="0" w:color="000000"/>
              <w:bottom w:val="single" w:sz="4" w:space="0" w:color="000000"/>
              <w:right w:val="single" w:sz="4" w:space="0" w:color="000000"/>
            </w:tcBorders>
            <w:shd w:val="clear" w:color="auto" w:fill="D2D2D2"/>
          </w:tcPr>
          <w:p>
            <w:pPr/>
          </w:p>
        </w:tc>
        <w:tc>
          <w:tcPr>
            <w:tcW w:w="581" w:type="dxa"/>
            <w:vMerge/>
            <w:tcBorders>
              <w:left w:val="single" w:sz="4" w:space="0" w:color="000000"/>
              <w:bottom w:val="single" w:sz="4" w:space="0" w:color="000000"/>
              <w:right w:val="single" w:sz="4" w:space="0" w:color="000000"/>
            </w:tcBorders>
            <w:shd w:val="clear" w:color="auto" w:fill="D2D2D2"/>
          </w:tcPr>
          <w:p>
            <w:pPr/>
          </w:p>
        </w:tc>
        <w:tc>
          <w:tcPr>
            <w:tcW w:w="586" w:type="dxa"/>
            <w:vMerge/>
            <w:tcBorders>
              <w:left w:val="single" w:sz="4" w:space="0" w:color="000000"/>
              <w:bottom w:val="single" w:sz="4" w:space="0" w:color="000000"/>
              <w:right w:val="single" w:sz="4" w:space="0" w:color="000000"/>
            </w:tcBorders>
            <w:shd w:val="clear" w:color="auto" w:fill="D2D2D2"/>
          </w:tcPr>
          <w:p>
            <w:pPr/>
          </w:p>
        </w:tc>
        <w:tc>
          <w:tcPr>
            <w:tcW w:w="586" w:type="dxa"/>
            <w:vMerge/>
            <w:tcBorders>
              <w:left w:val="single" w:sz="4" w:space="0" w:color="000000"/>
              <w:bottom w:val="single" w:sz="4" w:space="0" w:color="000000"/>
              <w:right w:val="single" w:sz="4" w:space="0" w:color="000000"/>
            </w:tcBorders>
            <w:shd w:val="clear" w:color="auto" w:fill="D2D2D2"/>
          </w:tcPr>
          <w:p>
            <w:pPr/>
          </w:p>
        </w:tc>
        <w:tc>
          <w:tcPr>
            <w:tcW w:w="581" w:type="dxa"/>
            <w:vMerge/>
            <w:tcBorders>
              <w:left w:val="single" w:sz="4" w:space="0" w:color="000000"/>
              <w:bottom w:val="single" w:sz="4" w:space="0" w:color="000000"/>
              <w:right w:val="single" w:sz="4" w:space="0" w:color="000000"/>
            </w:tcBorders>
            <w:shd w:val="clear" w:color="auto" w:fill="D2D2D2"/>
          </w:tcPr>
          <w:p>
            <w:pPr/>
          </w:p>
        </w:tc>
        <w:tc>
          <w:tcPr>
            <w:tcW w:w="586" w:type="dxa"/>
            <w:vMerge/>
            <w:tcBorders>
              <w:left w:val="single" w:sz="8" w:space="0" w:color="D2D2D2"/>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r>
      <w:tr>
        <w:trPr>
          <w:trHeight w:val="163" w:hRule="exact"/>
        </w:trPr>
        <w:tc>
          <w:tcPr>
            <w:tcW w:w="1229" w:type="dxa"/>
            <w:tcBorders>
              <w:top w:val="single" w:sz="4" w:space="0" w:color="000000"/>
              <w:left w:val="single" w:sz="4" w:space="0" w:color="000000"/>
              <w:bottom w:val="nil" w:sz="6" w:space="0" w:color="auto"/>
              <w:right w:val="single" w:sz="4" w:space="0" w:color="000000"/>
            </w:tcBorders>
            <w:shd w:val="clear" w:color="auto" w:fill="D2D2D2"/>
          </w:tcPr>
          <w:p>
            <w:pPr/>
          </w:p>
        </w:tc>
        <w:tc>
          <w:tcPr>
            <w:tcW w:w="506" w:type="dxa"/>
            <w:vMerge w:val="restart"/>
            <w:tcBorders>
              <w:top w:val="single" w:sz="4" w:space="0" w:color="000000"/>
              <w:left w:val="single" w:sz="10" w:space="0" w:color="D2D2D2"/>
              <w:right w:val="single" w:sz="4" w:space="0" w:color="000000"/>
            </w:tcBorders>
          </w:tcPr>
          <w:p>
            <w:pPr>
              <w:pStyle w:val="TableParagraph"/>
              <w:spacing w:line="240" w:lineRule="auto" w:before="110"/>
              <w:ind w:left="62" w:right="0"/>
              <w:jc w:val="left"/>
              <w:rPr>
                <w:rFonts w:ascii="Times New Roman" w:hAnsi="Times New Roman" w:cs="Times New Roman" w:eastAsia="Times New Roman" w:hint="default"/>
                <w:sz w:val="18"/>
                <w:szCs w:val="18"/>
              </w:rPr>
            </w:pPr>
            <w:r>
              <w:rPr>
                <w:rFonts w:ascii="Times New Roman"/>
                <w:sz w:val="18"/>
              </w:rPr>
              <w:t>706,6</w:t>
            </w:r>
          </w:p>
          <w:p>
            <w:pPr>
              <w:pStyle w:val="TableParagraph"/>
              <w:spacing w:line="240" w:lineRule="auto" w:before="100"/>
              <w:ind w:left="62" w:right="0"/>
              <w:jc w:val="left"/>
              <w:rPr>
                <w:rFonts w:ascii="Times New Roman" w:hAnsi="Times New Roman" w:cs="Times New Roman" w:eastAsia="Times New Roman" w:hint="default"/>
                <w:sz w:val="18"/>
                <w:szCs w:val="18"/>
              </w:rPr>
            </w:pPr>
            <w:r>
              <w:rPr>
                <w:rFonts w:ascii="Times New Roman"/>
                <w:sz w:val="18"/>
              </w:rPr>
              <w:t>40,53</w:t>
            </w:r>
          </w:p>
          <w:p>
            <w:pPr>
              <w:pStyle w:val="TableParagraph"/>
              <w:spacing w:line="240" w:lineRule="auto" w:before="110"/>
              <w:ind w:left="148" w:right="0"/>
              <w:jc w:val="left"/>
              <w:rPr>
                <w:rFonts w:ascii="Times New Roman" w:hAnsi="Times New Roman" w:cs="Times New Roman" w:eastAsia="Times New Roman" w:hint="default"/>
                <w:sz w:val="18"/>
                <w:szCs w:val="18"/>
              </w:rPr>
            </w:pPr>
            <w:r>
              <w:rPr>
                <w:rFonts w:ascii="Times New Roman"/>
                <w:sz w:val="18"/>
              </w:rPr>
              <w:t>5.00</w:t>
            </w:r>
          </w:p>
        </w:tc>
        <w:tc>
          <w:tcPr>
            <w:tcW w:w="466" w:type="dxa"/>
            <w:vMerge w:val="restart"/>
            <w:tcBorders>
              <w:top w:val="single" w:sz="4" w:space="0" w:color="000000"/>
              <w:left w:val="single" w:sz="4" w:space="0" w:color="000000"/>
              <w:right w:val="single" w:sz="4" w:space="0" w:color="000000"/>
            </w:tcBorders>
          </w:tcPr>
          <w:p>
            <w:pPr/>
          </w:p>
        </w:tc>
        <w:tc>
          <w:tcPr>
            <w:tcW w:w="466" w:type="dxa"/>
            <w:vMerge w:val="restart"/>
            <w:tcBorders>
              <w:top w:val="single" w:sz="4" w:space="0" w:color="000000"/>
              <w:left w:val="single" w:sz="4" w:space="0" w:color="000000"/>
              <w:right w:val="single" w:sz="4" w:space="0" w:color="000000"/>
            </w:tcBorders>
          </w:tcPr>
          <w:p>
            <w:pPr/>
          </w:p>
        </w:tc>
        <w:tc>
          <w:tcPr>
            <w:tcW w:w="470" w:type="dxa"/>
            <w:vMerge w:val="restart"/>
            <w:tcBorders>
              <w:top w:val="single" w:sz="4" w:space="0" w:color="000000"/>
              <w:left w:val="single" w:sz="4" w:space="0" w:color="000000"/>
              <w:right w:val="single" w:sz="4" w:space="0" w:color="000000"/>
            </w:tcBorders>
          </w:tcPr>
          <w:p>
            <w:pPr/>
          </w:p>
        </w:tc>
        <w:tc>
          <w:tcPr>
            <w:tcW w:w="581" w:type="dxa"/>
            <w:vMerge w:val="restart"/>
            <w:tcBorders>
              <w:top w:val="single" w:sz="4" w:space="0" w:color="000000"/>
              <w:left w:val="single" w:sz="4" w:space="0" w:color="000000"/>
              <w:right w:val="single" w:sz="4" w:space="0" w:color="000000"/>
            </w:tcBorders>
          </w:tcPr>
          <w:p>
            <w:pPr>
              <w:pStyle w:val="TableParagraph"/>
              <w:spacing w:line="240" w:lineRule="auto" w:before="110"/>
              <w:ind w:left="57" w:right="0"/>
              <w:jc w:val="left"/>
              <w:rPr>
                <w:rFonts w:ascii="Times New Roman" w:hAnsi="Times New Roman" w:cs="Times New Roman" w:eastAsia="Times New Roman" w:hint="default"/>
                <w:sz w:val="18"/>
                <w:szCs w:val="18"/>
              </w:rPr>
            </w:pPr>
            <w:r>
              <w:rPr>
                <w:rFonts w:ascii="Times New Roman"/>
                <w:sz w:val="18"/>
              </w:rPr>
              <w:t>375,97</w:t>
            </w:r>
          </w:p>
          <w:p>
            <w:pPr>
              <w:pStyle w:val="TableParagraph"/>
              <w:spacing w:line="240" w:lineRule="auto" w:before="100"/>
              <w:ind w:left="100" w:right="0"/>
              <w:jc w:val="left"/>
              <w:rPr>
                <w:rFonts w:ascii="Times New Roman" w:hAnsi="Times New Roman" w:cs="Times New Roman" w:eastAsia="Times New Roman" w:hint="default"/>
                <w:sz w:val="18"/>
                <w:szCs w:val="18"/>
              </w:rPr>
            </w:pPr>
            <w:r>
              <w:rPr>
                <w:rFonts w:ascii="Times New Roman"/>
                <w:sz w:val="18"/>
              </w:rPr>
              <w:t>9,751.</w:t>
            </w:r>
          </w:p>
          <w:p>
            <w:pPr>
              <w:pStyle w:val="TableParagraph"/>
              <w:spacing w:line="240" w:lineRule="auto" w:before="110"/>
              <w:ind w:left="375" w:right="0"/>
              <w:jc w:val="left"/>
              <w:rPr>
                <w:rFonts w:ascii="Times New Roman" w:hAnsi="Times New Roman" w:cs="Times New Roman" w:eastAsia="Times New Roman" w:hint="default"/>
                <w:sz w:val="18"/>
                <w:szCs w:val="18"/>
              </w:rPr>
            </w:pPr>
            <w:r>
              <w:rPr>
                <w:rFonts w:ascii="Times New Roman"/>
                <w:sz w:val="18"/>
              </w:rPr>
              <w:t>21</w:t>
            </w:r>
          </w:p>
        </w:tc>
        <w:tc>
          <w:tcPr>
            <w:tcW w:w="586" w:type="dxa"/>
            <w:vMerge w:val="restart"/>
            <w:tcBorders>
              <w:top w:val="single" w:sz="4" w:space="0" w:color="000000"/>
              <w:left w:val="single" w:sz="4" w:space="0" w:color="000000"/>
              <w:right w:val="single" w:sz="4" w:space="0" w:color="000000"/>
            </w:tcBorders>
          </w:tcPr>
          <w:p>
            <w:pPr/>
          </w:p>
        </w:tc>
        <w:tc>
          <w:tcPr>
            <w:tcW w:w="581" w:type="dxa"/>
            <w:vMerge w:val="restart"/>
            <w:tcBorders>
              <w:top w:val="single" w:sz="21" w:space="0" w:color="D2D2D2"/>
              <w:left w:val="single" w:sz="4" w:space="0" w:color="000000"/>
              <w:right w:val="single" w:sz="4" w:space="0" w:color="000000"/>
            </w:tcBorders>
          </w:tcPr>
          <w:p>
            <w:pPr>
              <w:pStyle w:val="TableParagraph"/>
              <w:spacing w:line="240" w:lineRule="auto" w:before="88"/>
              <w:ind w:left="86" w:right="0"/>
              <w:jc w:val="left"/>
              <w:rPr>
                <w:rFonts w:ascii="Times New Roman" w:hAnsi="Times New Roman" w:cs="Times New Roman" w:eastAsia="Times New Roman" w:hint="default"/>
                <w:sz w:val="18"/>
                <w:szCs w:val="18"/>
              </w:rPr>
            </w:pPr>
            <w:r>
              <w:rPr>
                <w:rFonts w:ascii="Times New Roman"/>
                <w:sz w:val="18"/>
              </w:rPr>
              <w:t>-12,58</w:t>
            </w:r>
          </w:p>
          <w:p>
            <w:pPr>
              <w:pStyle w:val="TableParagraph"/>
              <w:spacing w:line="240" w:lineRule="auto" w:before="100"/>
              <w:ind w:left="100" w:right="0"/>
              <w:jc w:val="left"/>
              <w:rPr>
                <w:rFonts w:ascii="Times New Roman" w:hAnsi="Times New Roman" w:cs="Times New Roman" w:eastAsia="Times New Roman" w:hint="default"/>
                <w:sz w:val="18"/>
                <w:szCs w:val="18"/>
              </w:rPr>
            </w:pPr>
            <w:r>
              <w:rPr>
                <w:rFonts w:ascii="Times New Roman"/>
                <w:sz w:val="18"/>
              </w:rPr>
              <w:t>8,336.</w:t>
            </w:r>
          </w:p>
          <w:p>
            <w:pPr>
              <w:pStyle w:val="TableParagraph"/>
              <w:spacing w:line="240" w:lineRule="auto" w:before="110"/>
              <w:ind w:left="374" w:right="0"/>
              <w:jc w:val="left"/>
              <w:rPr>
                <w:rFonts w:ascii="Times New Roman" w:hAnsi="Times New Roman" w:cs="Times New Roman" w:eastAsia="Times New Roman" w:hint="default"/>
                <w:sz w:val="18"/>
                <w:szCs w:val="18"/>
              </w:rPr>
            </w:pPr>
            <w:r>
              <w:rPr>
                <w:rFonts w:ascii="Times New Roman"/>
                <w:sz w:val="18"/>
              </w:rPr>
              <w:t>41</w:t>
            </w:r>
          </w:p>
        </w:tc>
        <w:tc>
          <w:tcPr>
            <w:tcW w:w="586" w:type="dxa"/>
            <w:vMerge w:val="restart"/>
            <w:tcBorders>
              <w:top w:val="single" w:sz="4" w:space="0" w:color="000000"/>
              <w:left w:val="single" w:sz="4" w:space="0" w:color="000000"/>
              <w:right w:val="single" w:sz="4" w:space="0" w:color="000000"/>
            </w:tcBorders>
          </w:tcPr>
          <w:p>
            <w:pPr/>
          </w:p>
        </w:tc>
        <w:tc>
          <w:tcPr>
            <w:tcW w:w="586" w:type="dxa"/>
            <w:vMerge w:val="restart"/>
            <w:tcBorders>
              <w:top w:val="single" w:sz="4" w:space="0" w:color="000000"/>
              <w:left w:val="single" w:sz="4" w:space="0" w:color="000000"/>
              <w:right w:val="single" w:sz="4" w:space="0" w:color="000000"/>
            </w:tcBorders>
          </w:tcPr>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spacing w:val="-1"/>
                <w:sz w:val="18"/>
              </w:rPr>
              <w:t>27,821</w:t>
            </w:r>
          </w:p>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,403.2</w:t>
            </w:r>
          </w:p>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tc>
        <w:tc>
          <w:tcPr>
            <w:tcW w:w="581" w:type="dxa"/>
            <w:vMerge w:val="restart"/>
            <w:tcBorders>
              <w:top w:val="single" w:sz="21" w:space="0" w:color="D2D2D2"/>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0.00</w:t>
            </w:r>
          </w:p>
        </w:tc>
        <w:tc>
          <w:tcPr>
            <w:tcW w:w="586" w:type="dxa"/>
            <w:vMerge w:val="restart"/>
            <w:tcBorders>
              <w:top w:val="single" w:sz="21" w:space="0" w:color="D2D2D2"/>
              <w:left w:val="single" w:sz="4" w:space="0" w:color="000000"/>
              <w:right w:val="single" w:sz="4" w:space="0" w:color="000000"/>
            </w:tcBorders>
          </w:tcPr>
          <w:p>
            <w:pPr>
              <w:pStyle w:val="TableParagraph"/>
              <w:spacing w:line="240" w:lineRule="auto" w:before="88"/>
              <w:ind w:left="57" w:right="0"/>
              <w:jc w:val="left"/>
              <w:rPr>
                <w:rFonts w:ascii="Times New Roman" w:hAnsi="Times New Roman" w:cs="Times New Roman" w:eastAsia="Times New Roman" w:hint="default"/>
                <w:sz w:val="18"/>
                <w:szCs w:val="18"/>
              </w:rPr>
            </w:pPr>
            <w:r>
              <w:rPr>
                <w:rFonts w:ascii="Times New Roman"/>
                <w:sz w:val="18"/>
              </w:rPr>
              <w:t>253,41</w:t>
            </w:r>
          </w:p>
          <w:p>
            <w:pPr>
              <w:pStyle w:val="TableParagraph"/>
              <w:spacing w:line="240" w:lineRule="auto" w:before="100"/>
              <w:ind w:left="100" w:right="0"/>
              <w:jc w:val="left"/>
              <w:rPr>
                <w:rFonts w:ascii="Times New Roman" w:hAnsi="Times New Roman" w:cs="Times New Roman" w:eastAsia="Times New Roman" w:hint="default"/>
                <w:sz w:val="18"/>
                <w:szCs w:val="18"/>
              </w:rPr>
            </w:pPr>
            <w:r>
              <w:rPr>
                <w:rFonts w:ascii="Times New Roman"/>
                <w:sz w:val="18"/>
              </w:rPr>
              <w:t>2,946.</w:t>
            </w:r>
          </w:p>
          <w:p>
            <w:pPr>
              <w:pStyle w:val="TableParagraph"/>
              <w:spacing w:line="240" w:lineRule="auto" w:before="110"/>
              <w:ind w:left="374" w:right="0"/>
              <w:jc w:val="left"/>
              <w:rPr>
                <w:rFonts w:ascii="Times New Roman" w:hAnsi="Times New Roman" w:cs="Times New Roman" w:eastAsia="Times New Roman" w:hint="default"/>
                <w:sz w:val="18"/>
                <w:szCs w:val="18"/>
              </w:rPr>
            </w:pPr>
            <w:r>
              <w:rPr>
                <w:rFonts w:ascii="Times New Roman"/>
                <w:sz w:val="18"/>
              </w:rPr>
              <w:t>83</w:t>
            </w:r>
          </w:p>
        </w:tc>
        <w:tc>
          <w:tcPr>
            <w:tcW w:w="586" w:type="dxa"/>
            <w:vMerge w:val="restart"/>
            <w:tcBorders>
              <w:top w:val="single" w:sz="4" w:space="0" w:color="000000"/>
              <w:left w:val="single" w:sz="4" w:space="0" w:color="000000"/>
              <w:right w:val="single" w:sz="4" w:space="0" w:color="000000"/>
            </w:tcBorders>
          </w:tcPr>
          <w:p>
            <w:pPr/>
          </w:p>
        </w:tc>
        <w:tc>
          <w:tcPr>
            <w:tcW w:w="581" w:type="dxa"/>
            <w:vMerge w:val="restart"/>
            <w:tcBorders>
              <w:top w:val="single" w:sz="4" w:space="0" w:color="000000"/>
              <w:left w:val="single" w:sz="4" w:space="0" w:color="000000"/>
              <w:right w:val="single" w:sz="4" w:space="0" w:color="000000"/>
            </w:tcBorders>
          </w:tcPr>
          <w:p>
            <w:pPr>
              <w:pStyle w:val="TableParagraph"/>
              <w:spacing w:line="240" w:lineRule="auto" w:before="110"/>
              <w:ind w:left="83" w:right="0"/>
              <w:jc w:val="center"/>
              <w:rPr>
                <w:rFonts w:ascii="Times New Roman" w:hAnsi="Times New Roman" w:cs="Times New Roman" w:eastAsia="Times New Roman" w:hint="default"/>
                <w:sz w:val="18"/>
                <w:szCs w:val="18"/>
              </w:rPr>
            </w:pPr>
            <w:r>
              <w:rPr>
                <w:rFonts w:ascii="Times New Roman"/>
                <w:sz w:val="18"/>
              </w:rPr>
              <w:t>1,351,</w:t>
            </w:r>
          </w:p>
          <w:p>
            <w:pPr>
              <w:pStyle w:val="TableParagraph"/>
              <w:spacing w:line="240" w:lineRule="auto" w:before="100"/>
              <w:ind w:left="42" w:right="0"/>
              <w:jc w:val="center"/>
              <w:rPr>
                <w:rFonts w:ascii="Times New Roman" w:hAnsi="Times New Roman" w:cs="Times New Roman" w:eastAsia="Times New Roman" w:hint="default"/>
                <w:sz w:val="18"/>
                <w:szCs w:val="18"/>
              </w:rPr>
            </w:pPr>
            <w:r>
              <w:rPr>
                <w:rFonts w:ascii="Times New Roman"/>
                <w:sz w:val="18"/>
              </w:rPr>
              <w:t>266,29</w:t>
            </w:r>
          </w:p>
          <w:p>
            <w:pPr>
              <w:pStyle w:val="TableParagraph"/>
              <w:spacing w:line="240" w:lineRule="auto" w:before="110"/>
              <w:ind w:left="220" w:right="0"/>
              <w:jc w:val="center"/>
              <w:rPr>
                <w:rFonts w:ascii="Times New Roman" w:hAnsi="Times New Roman" w:cs="Times New Roman" w:eastAsia="Times New Roman" w:hint="default"/>
                <w:sz w:val="18"/>
                <w:szCs w:val="18"/>
              </w:rPr>
            </w:pPr>
            <w:r>
              <w:rPr>
                <w:rFonts w:ascii="Times New Roman"/>
                <w:sz w:val="18"/>
              </w:rPr>
              <w:t>9.89</w:t>
            </w:r>
          </w:p>
        </w:tc>
        <w:tc>
          <w:tcPr>
            <w:tcW w:w="586" w:type="dxa"/>
            <w:vMerge w:val="restart"/>
            <w:tcBorders>
              <w:top w:val="single" w:sz="4" w:space="0" w:color="000000"/>
              <w:left w:val="single" w:sz="4" w:space="0" w:color="000000"/>
              <w:right w:val="single" w:sz="4" w:space="0" w:color="000000"/>
            </w:tcBorders>
          </w:tcPr>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spacing w:val="-1"/>
                <w:sz w:val="18"/>
              </w:rPr>
              <w:t>14,628</w:t>
            </w:r>
          </w:p>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2"/>
                <w:sz w:val="18"/>
              </w:rPr>
              <w:t>,115.8</w:t>
            </w:r>
          </w:p>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tc>
        <w:tc>
          <w:tcPr>
            <w:tcW w:w="576" w:type="dxa"/>
            <w:vMerge w:val="restart"/>
            <w:tcBorders>
              <w:top w:val="single" w:sz="4" w:space="0" w:color="000000"/>
              <w:left w:val="single" w:sz="4" w:space="0" w:color="000000"/>
              <w:right w:val="single" w:sz="4" w:space="0" w:color="000000"/>
            </w:tcBorders>
          </w:tcPr>
          <w:p>
            <w:pPr>
              <w:pStyle w:val="TableParagraph"/>
              <w:spacing w:line="240" w:lineRule="auto" w:before="110"/>
              <w:ind w:left="79" w:right="0"/>
              <w:jc w:val="center"/>
              <w:rPr>
                <w:rFonts w:ascii="Times New Roman" w:hAnsi="Times New Roman" w:cs="Times New Roman" w:eastAsia="Times New Roman" w:hint="default"/>
                <w:sz w:val="18"/>
                <w:szCs w:val="18"/>
              </w:rPr>
            </w:pPr>
            <w:r>
              <w:rPr>
                <w:rFonts w:ascii="Times New Roman"/>
                <w:sz w:val="18"/>
              </w:rPr>
              <w:t>1,365,</w:t>
            </w:r>
          </w:p>
          <w:p>
            <w:pPr>
              <w:pStyle w:val="TableParagraph"/>
              <w:spacing w:line="240" w:lineRule="auto" w:before="100"/>
              <w:ind w:left="38" w:right="0"/>
              <w:jc w:val="center"/>
              <w:rPr>
                <w:rFonts w:ascii="Times New Roman" w:hAnsi="Times New Roman" w:cs="Times New Roman" w:eastAsia="Times New Roman" w:hint="default"/>
                <w:sz w:val="18"/>
                <w:szCs w:val="18"/>
              </w:rPr>
            </w:pPr>
            <w:r>
              <w:rPr>
                <w:rFonts w:ascii="Times New Roman"/>
                <w:sz w:val="18"/>
              </w:rPr>
              <w:t>894,41</w:t>
            </w:r>
          </w:p>
          <w:p>
            <w:pPr>
              <w:pStyle w:val="TableParagraph"/>
              <w:spacing w:line="240" w:lineRule="auto" w:before="110"/>
              <w:ind w:left="215" w:right="0"/>
              <w:jc w:val="center"/>
              <w:rPr>
                <w:rFonts w:ascii="Times New Roman" w:hAnsi="Times New Roman" w:cs="Times New Roman" w:eastAsia="Times New Roman" w:hint="default"/>
                <w:sz w:val="18"/>
                <w:szCs w:val="18"/>
              </w:rPr>
            </w:pPr>
            <w:r>
              <w:rPr>
                <w:rFonts w:ascii="Times New Roman"/>
                <w:sz w:val="18"/>
              </w:rPr>
              <w:t>5.71</w:t>
            </w:r>
          </w:p>
        </w:tc>
      </w:tr>
      <w:tr>
        <w:trPr>
          <w:trHeight w:val="706" w:hRule="exact"/>
        </w:trPr>
        <w:tc>
          <w:tcPr>
            <w:tcW w:w="122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63"/>
              <w:ind w:left="11" w:right="5"/>
              <w:jc w:val="left"/>
              <w:rPr>
                <w:rFonts w:ascii="宋体" w:hAnsi="宋体" w:cs="宋体" w:eastAsia="宋体" w:hint="default"/>
                <w:sz w:val="18"/>
                <w:szCs w:val="18"/>
              </w:rPr>
            </w:pPr>
            <w:r>
              <w:rPr>
                <w:rFonts w:ascii="宋体" w:hAnsi="宋体" w:cs="宋体" w:eastAsia="宋体" w:hint="default"/>
                <w:spacing w:val="-12"/>
                <w:sz w:val="18"/>
                <w:szCs w:val="18"/>
              </w:rPr>
              <w:t>一、上年期末余</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额</w:t>
            </w:r>
          </w:p>
        </w:tc>
        <w:tc>
          <w:tcPr>
            <w:tcW w:w="506" w:type="dxa"/>
            <w:vMerge/>
            <w:tcBorders>
              <w:left w:val="single" w:sz="10" w:space="0" w:color="D2D2D2"/>
              <w:right w:val="single" w:sz="4" w:space="0" w:color="000000"/>
            </w:tcBorders>
          </w:tcPr>
          <w:p>
            <w:pPr/>
          </w:p>
        </w:tc>
        <w:tc>
          <w:tcPr>
            <w:tcW w:w="466" w:type="dxa"/>
            <w:vMerge/>
            <w:tcBorders>
              <w:left w:val="single" w:sz="4" w:space="0" w:color="000000"/>
              <w:right w:val="single" w:sz="4" w:space="0" w:color="000000"/>
            </w:tcBorders>
          </w:tcPr>
          <w:p>
            <w:pPr/>
          </w:p>
        </w:tc>
        <w:tc>
          <w:tcPr>
            <w:tcW w:w="466" w:type="dxa"/>
            <w:vMerge/>
            <w:tcBorders>
              <w:left w:val="single" w:sz="4" w:space="0" w:color="000000"/>
              <w:right w:val="single" w:sz="4" w:space="0" w:color="000000"/>
            </w:tcBorders>
          </w:tcPr>
          <w:p>
            <w:pPr/>
          </w:p>
        </w:tc>
        <w:tc>
          <w:tcPr>
            <w:tcW w:w="470" w:type="dxa"/>
            <w:vMerge/>
            <w:tcBorders>
              <w:left w:val="single" w:sz="4" w:space="0" w:color="000000"/>
              <w:right w:val="single" w:sz="4" w:space="0" w:color="000000"/>
            </w:tcBorders>
          </w:tcPr>
          <w:p>
            <w:pPr/>
          </w:p>
        </w:tc>
        <w:tc>
          <w:tcPr>
            <w:tcW w:w="581"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81"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81"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81"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r>
      <w:tr>
        <w:trPr>
          <w:trHeight w:val="158" w:hRule="exact"/>
        </w:trPr>
        <w:tc>
          <w:tcPr>
            <w:tcW w:w="1229" w:type="dxa"/>
            <w:tcBorders>
              <w:top w:val="nil" w:sz="6" w:space="0" w:color="auto"/>
              <w:left w:val="single" w:sz="4" w:space="0" w:color="000000"/>
              <w:bottom w:val="single" w:sz="4" w:space="0" w:color="000000"/>
              <w:right w:val="single" w:sz="4" w:space="0" w:color="000000"/>
            </w:tcBorders>
            <w:shd w:val="clear" w:color="auto" w:fill="D2D2D2"/>
          </w:tcPr>
          <w:p>
            <w:pPr/>
          </w:p>
        </w:tc>
        <w:tc>
          <w:tcPr>
            <w:tcW w:w="506" w:type="dxa"/>
            <w:vMerge/>
            <w:tcBorders>
              <w:left w:val="single" w:sz="10" w:space="0" w:color="D2D2D2"/>
              <w:bottom w:val="single" w:sz="4" w:space="0" w:color="000000"/>
              <w:right w:val="single" w:sz="4" w:space="0" w:color="000000"/>
            </w:tcBorders>
          </w:tcPr>
          <w:p>
            <w:pPr/>
          </w:p>
        </w:tc>
        <w:tc>
          <w:tcPr>
            <w:tcW w:w="466" w:type="dxa"/>
            <w:vMerge/>
            <w:tcBorders>
              <w:left w:val="single" w:sz="4" w:space="0" w:color="000000"/>
              <w:bottom w:val="single" w:sz="4" w:space="0" w:color="000000"/>
              <w:right w:val="single" w:sz="4" w:space="0" w:color="000000"/>
            </w:tcBorders>
          </w:tcPr>
          <w:p>
            <w:pPr/>
          </w:p>
        </w:tc>
        <w:tc>
          <w:tcPr>
            <w:tcW w:w="466" w:type="dxa"/>
            <w:vMerge/>
            <w:tcBorders>
              <w:left w:val="single" w:sz="4" w:space="0" w:color="000000"/>
              <w:bottom w:val="single" w:sz="4" w:space="0" w:color="000000"/>
              <w:right w:val="single" w:sz="4" w:space="0" w:color="000000"/>
            </w:tcBorders>
          </w:tcPr>
          <w:p>
            <w:pPr/>
          </w:p>
        </w:tc>
        <w:tc>
          <w:tcPr>
            <w:tcW w:w="470" w:type="dxa"/>
            <w:vMerge/>
            <w:tcBorders>
              <w:left w:val="single" w:sz="4" w:space="0" w:color="000000"/>
              <w:bottom w:val="single" w:sz="4" w:space="0" w:color="000000"/>
              <w:right w:val="single" w:sz="4" w:space="0" w:color="000000"/>
            </w:tcBorders>
          </w:tcPr>
          <w:p>
            <w:pPr/>
          </w:p>
        </w:tc>
        <w:tc>
          <w:tcPr>
            <w:tcW w:w="581"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81"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81"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81"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r>
      <w:tr>
        <w:trPr>
          <w:trHeight w:val="163" w:hRule="exact"/>
        </w:trPr>
        <w:tc>
          <w:tcPr>
            <w:tcW w:w="1229" w:type="dxa"/>
            <w:tcBorders>
              <w:top w:val="single" w:sz="4" w:space="0" w:color="000000"/>
              <w:left w:val="single" w:sz="4" w:space="0" w:color="000000"/>
              <w:bottom w:val="nil" w:sz="6" w:space="0" w:color="auto"/>
              <w:right w:val="single" w:sz="4" w:space="0" w:color="000000"/>
            </w:tcBorders>
            <w:shd w:val="clear" w:color="auto" w:fill="D2D2D2"/>
          </w:tcPr>
          <w:p>
            <w:pPr/>
          </w:p>
        </w:tc>
        <w:tc>
          <w:tcPr>
            <w:tcW w:w="506" w:type="dxa"/>
            <w:vMerge w:val="restart"/>
            <w:tcBorders>
              <w:top w:val="single" w:sz="4" w:space="0" w:color="000000"/>
              <w:left w:val="single" w:sz="10" w:space="0" w:color="D2D2D2"/>
              <w:right w:val="single" w:sz="4" w:space="0" w:color="000000"/>
            </w:tcBorders>
          </w:tcPr>
          <w:p>
            <w:pPr/>
          </w:p>
        </w:tc>
        <w:tc>
          <w:tcPr>
            <w:tcW w:w="466" w:type="dxa"/>
            <w:vMerge w:val="restart"/>
            <w:tcBorders>
              <w:top w:val="single" w:sz="4" w:space="0" w:color="000000"/>
              <w:left w:val="single" w:sz="4" w:space="0" w:color="000000"/>
              <w:right w:val="single" w:sz="4" w:space="0" w:color="000000"/>
            </w:tcBorders>
          </w:tcPr>
          <w:p>
            <w:pPr/>
          </w:p>
        </w:tc>
        <w:tc>
          <w:tcPr>
            <w:tcW w:w="466" w:type="dxa"/>
            <w:vMerge w:val="restart"/>
            <w:tcBorders>
              <w:top w:val="single" w:sz="4" w:space="0" w:color="000000"/>
              <w:left w:val="single" w:sz="4" w:space="0" w:color="000000"/>
              <w:right w:val="single" w:sz="4" w:space="0" w:color="000000"/>
            </w:tcBorders>
          </w:tcPr>
          <w:p>
            <w:pPr/>
          </w:p>
        </w:tc>
        <w:tc>
          <w:tcPr>
            <w:tcW w:w="470" w:type="dxa"/>
            <w:vMerge w:val="restart"/>
            <w:tcBorders>
              <w:top w:val="single" w:sz="4" w:space="0" w:color="000000"/>
              <w:left w:val="single" w:sz="4" w:space="0" w:color="000000"/>
              <w:right w:val="single" w:sz="4" w:space="0" w:color="000000"/>
            </w:tcBorders>
          </w:tcPr>
          <w:p>
            <w:pPr/>
          </w:p>
        </w:tc>
        <w:tc>
          <w:tcPr>
            <w:tcW w:w="581" w:type="dxa"/>
            <w:vMerge w:val="restart"/>
            <w:tcBorders>
              <w:top w:val="single" w:sz="4" w:space="0" w:color="000000"/>
              <w:left w:val="single" w:sz="4" w:space="0" w:color="000000"/>
              <w:right w:val="single" w:sz="4" w:space="0" w:color="000000"/>
            </w:tcBorders>
          </w:tcPr>
          <w:p>
            <w:pPr/>
          </w:p>
        </w:tc>
        <w:tc>
          <w:tcPr>
            <w:tcW w:w="586" w:type="dxa"/>
            <w:vMerge w:val="restart"/>
            <w:tcBorders>
              <w:top w:val="single" w:sz="4" w:space="0" w:color="000000"/>
              <w:left w:val="single" w:sz="4" w:space="0" w:color="000000"/>
              <w:right w:val="single" w:sz="4" w:space="0" w:color="000000"/>
            </w:tcBorders>
          </w:tcPr>
          <w:p>
            <w:pPr/>
          </w:p>
        </w:tc>
        <w:tc>
          <w:tcPr>
            <w:tcW w:w="581" w:type="dxa"/>
            <w:vMerge w:val="restart"/>
            <w:tcBorders>
              <w:top w:val="single" w:sz="4" w:space="0" w:color="000000"/>
              <w:left w:val="single" w:sz="4" w:space="0" w:color="000000"/>
              <w:right w:val="single" w:sz="4" w:space="0" w:color="000000"/>
            </w:tcBorders>
          </w:tcPr>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pacing w:val="-1"/>
                <w:sz w:val="18"/>
              </w:rPr>
              <w:t>13,001</w:t>
            </w:r>
          </w:p>
          <w:p>
            <w:pPr>
              <w:pStyle w:val="TableParagraph"/>
              <w:spacing w:line="240" w:lineRule="auto" w:before="105"/>
              <w:ind w:right="13"/>
              <w:jc w:val="right"/>
              <w:rPr>
                <w:rFonts w:ascii="Times New Roman" w:hAnsi="Times New Roman" w:cs="Times New Roman" w:eastAsia="Times New Roman" w:hint="default"/>
                <w:sz w:val="18"/>
                <w:szCs w:val="18"/>
              </w:rPr>
            </w:pPr>
            <w:r>
              <w:rPr>
                <w:rFonts w:ascii="Times New Roman"/>
                <w:spacing w:val="-1"/>
                <w:sz w:val="18"/>
              </w:rPr>
              <w:t>,260.9</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tc>
        <w:tc>
          <w:tcPr>
            <w:tcW w:w="586" w:type="dxa"/>
            <w:vMerge w:val="restart"/>
            <w:tcBorders>
              <w:top w:val="single" w:sz="4" w:space="0" w:color="000000"/>
              <w:left w:val="single" w:sz="4" w:space="0" w:color="000000"/>
              <w:right w:val="single" w:sz="4" w:space="0" w:color="000000"/>
            </w:tcBorders>
          </w:tcPr>
          <w:p>
            <w:pPr/>
          </w:p>
        </w:tc>
        <w:tc>
          <w:tcPr>
            <w:tcW w:w="586" w:type="dxa"/>
            <w:vMerge w:val="restart"/>
            <w:tcBorders>
              <w:top w:val="single" w:sz="4" w:space="0" w:color="000000"/>
              <w:left w:val="single" w:sz="4" w:space="0" w:color="000000"/>
              <w:right w:val="single" w:sz="4" w:space="0" w:color="000000"/>
            </w:tcBorders>
          </w:tcPr>
          <w:p>
            <w:pPr/>
          </w:p>
        </w:tc>
        <w:tc>
          <w:tcPr>
            <w:tcW w:w="581" w:type="dxa"/>
            <w:vMerge w:val="restart"/>
            <w:tcBorders>
              <w:top w:val="single" w:sz="4" w:space="0" w:color="000000"/>
              <w:left w:val="single" w:sz="4" w:space="0" w:color="000000"/>
              <w:right w:val="single" w:sz="4" w:space="0" w:color="000000"/>
            </w:tcBorders>
          </w:tcPr>
          <w:p>
            <w:pPr/>
          </w:p>
        </w:tc>
        <w:tc>
          <w:tcPr>
            <w:tcW w:w="586" w:type="dxa"/>
            <w:vMerge w:val="restart"/>
            <w:tcBorders>
              <w:top w:val="single" w:sz="4" w:space="0" w:color="000000"/>
              <w:left w:val="single" w:sz="4" w:space="0" w:color="000000"/>
              <w:right w:val="single" w:sz="4" w:space="0" w:color="000000"/>
            </w:tcBorders>
          </w:tcPr>
          <w:p>
            <w:pPr>
              <w:pStyle w:val="TableParagraph"/>
              <w:spacing w:line="240" w:lineRule="auto" w:before="105"/>
              <w:ind w:left="86" w:right="0"/>
              <w:jc w:val="left"/>
              <w:rPr>
                <w:rFonts w:ascii="Times New Roman" w:hAnsi="Times New Roman" w:cs="Times New Roman" w:eastAsia="Times New Roman" w:hint="default"/>
                <w:sz w:val="18"/>
                <w:szCs w:val="18"/>
              </w:rPr>
            </w:pPr>
            <w:r>
              <w:rPr>
                <w:rFonts w:ascii="Times New Roman"/>
                <w:sz w:val="18"/>
              </w:rPr>
              <w:t>-15,16</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8,540.</w:t>
            </w:r>
          </w:p>
          <w:p>
            <w:pPr>
              <w:pStyle w:val="TableParagraph"/>
              <w:spacing w:line="240" w:lineRule="auto" w:before="110"/>
              <w:ind w:left="374" w:right="0"/>
              <w:jc w:val="left"/>
              <w:rPr>
                <w:rFonts w:ascii="Times New Roman" w:hAnsi="Times New Roman" w:cs="Times New Roman" w:eastAsia="Times New Roman" w:hint="default"/>
                <w:sz w:val="18"/>
                <w:szCs w:val="18"/>
              </w:rPr>
            </w:pPr>
            <w:r>
              <w:rPr>
                <w:rFonts w:ascii="Times New Roman"/>
                <w:sz w:val="18"/>
              </w:rPr>
              <w:t>56</w:t>
            </w:r>
          </w:p>
        </w:tc>
        <w:tc>
          <w:tcPr>
            <w:tcW w:w="586" w:type="dxa"/>
            <w:vMerge w:val="restart"/>
            <w:tcBorders>
              <w:top w:val="single" w:sz="4" w:space="0" w:color="000000"/>
              <w:left w:val="single" w:sz="4" w:space="0" w:color="000000"/>
              <w:right w:val="single" w:sz="4" w:space="0" w:color="000000"/>
            </w:tcBorders>
          </w:tcPr>
          <w:p>
            <w:pPr/>
          </w:p>
        </w:tc>
        <w:tc>
          <w:tcPr>
            <w:tcW w:w="581"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-2,167,</w:t>
            </w:r>
          </w:p>
          <w:p>
            <w:pPr>
              <w:pStyle w:val="TableParagraph"/>
              <w:spacing w:line="240" w:lineRule="auto" w:before="105"/>
              <w:ind w:left="57" w:right="0"/>
              <w:jc w:val="left"/>
              <w:rPr>
                <w:rFonts w:ascii="Times New Roman" w:hAnsi="Times New Roman" w:cs="Times New Roman" w:eastAsia="Times New Roman" w:hint="default"/>
                <w:sz w:val="18"/>
                <w:szCs w:val="18"/>
              </w:rPr>
            </w:pPr>
            <w:r>
              <w:rPr>
                <w:rFonts w:ascii="Times New Roman"/>
                <w:sz w:val="18"/>
              </w:rPr>
              <w:t>279.57</w:t>
            </w:r>
          </w:p>
        </w:tc>
        <w:tc>
          <w:tcPr>
            <w:tcW w:w="586"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66" w:right="0"/>
              <w:jc w:val="center"/>
              <w:rPr>
                <w:rFonts w:ascii="Times New Roman" w:hAnsi="Times New Roman" w:cs="Times New Roman" w:eastAsia="Times New Roman" w:hint="default"/>
                <w:sz w:val="18"/>
                <w:szCs w:val="18"/>
              </w:rPr>
            </w:pPr>
            <w:r>
              <w:rPr>
                <w:rFonts w:ascii="Times New Roman"/>
                <w:sz w:val="18"/>
              </w:rPr>
              <w:t>-62,04</w:t>
            </w:r>
          </w:p>
          <w:p>
            <w:pPr>
              <w:pStyle w:val="TableParagraph"/>
              <w:spacing w:line="240" w:lineRule="auto" w:before="105"/>
              <w:ind w:left="215" w:right="0"/>
              <w:jc w:val="center"/>
              <w:rPr>
                <w:rFonts w:ascii="Times New Roman" w:hAnsi="Times New Roman" w:cs="Times New Roman" w:eastAsia="Times New Roman" w:hint="default"/>
                <w:sz w:val="18"/>
                <w:szCs w:val="18"/>
              </w:rPr>
            </w:pPr>
            <w:r>
              <w:rPr>
                <w:rFonts w:ascii="Times New Roman"/>
                <w:sz w:val="18"/>
              </w:rPr>
              <w:t>9.83</w:t>
            </w:r>
          </w:p>
        </w:tc>
        <w:tc>
          <w:tcPr>
            <w:tcW w:w="576"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-2,229,</w:t>
            </w:r>
          </w:p>
          <w:p>
            <w:pPr>
              <w:pStyle w:val="TableParagraph"/>
              <w:spacing w:line="240" w:lineRule="auto" w:before="105"/>
              <w:ind w:left="52" w:right="0"/>
              <w:jc w:val="left"/>
              <w:rPr>
                <w:rFonts w:ascii="Times New Roman" w:hAnsi="Times New Roman" w:cs="Times New Roman" w:eastAsia="Times New Roman" w:hint="default"/>
                <w:sz w:val="18"/>
                <w:szCs w:val="18"/>
              </w:rPr>
            </w:pPr>
            <w:r>
              <w:rPr>
                <w:rFonts w:ascii="Times New Roman"/>
                <w:sz w:val="18"/>
              </w:rPr>
              <w:t>329.40</w:t>
            </w:r>
          </w:p>
        </w:tc>
      </w:tr>
      <w:tr>
        <w:trPr>
          <w:trHeight w:val="701" w:hRule="exact"/>
        </w:trPr>
        <w:tc>
          <w:tcPr>
            <w:tcW w:w="122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9" w:lineRule="auto" w:before="63"/>
              <w:ind w:left="11" w:right="5" w:firstLine="360"/>
              <w:jc w:val="left"/>
              <w:rPr>
                <w:rFonts w:ascii="宋体" w:hAnsi="宋体" w:cs="宋体" w:eastAsia="宋体" w:hint="default"/>
                <w:sz w:val="18"/>
                <w:szCs w:val="18"/>
              </w:rPr>
            </w:pPr>
            <w:r>
              <w:rPr>
                <w:rFonts w:ascii="宋体" w:hAnsi="宋体" w:cs="宋体" w:eastAsia="宋体" w:hint="default"/>
                <w:spacing w:val="-15"/>
                <w:sz w:val="18"/>
                <w:szCs w:val="18"/>
              </w:rPr>
              <w:t>加：会计政</w:t>
            </w:r>
            <w:r>
              <w:rPr>
                <w:rFonts w:ascii="宋体" w:hAnsi="宋体" w:cs="宋体" w:eastAsia="宋体" w:hint="default"/>
                <w:w w:val="101"/>
                <w:sz w:val="18"/>
                <w:szCs w:val="18"/>
              </w:rPr>
              <w:t> </w:t>
            </w:r>
            <w:r>
              <w:rPr>
                <w:rFonts w:ascii="宋体" w:hAnsi="宋体" w:cs="宋体" w:eastAsia="宋体" w:hint="default"/>
                <w:sz w:val="18"/>
                <w:szCs w:val="18"/>
              </w:rPr>
              <w:t>策变更</w:t>
            </w:r>
          </w:p>
        </w:tc>
        <w:tc>
          <w:tcPr>
            <w:tcW w:w="506" w:type="dxa"/>
            <w:vMerge/>
            <w:tcBorders>
              <w:left w:val="single" w:sz="10" w:space="0" w:color="D2D2D2"/>
              <w:right w:val="single" w:sz="4" w:space="0" w:color="000000"/>
            </w:tcBorders>
          </w:tcPr>
          <w:p>
            <w:pPr/>
          </w:p>
        </w:tc>
        <w:tc>
          <w:tcPr>
            <w:tcW w:w="466" w:type="dxa"/>
            <w:vMerge/>
            <w:tcBorders>
              <w:left w:val="single" w:sz="4" w:space="0" w:color="000000"/>
              <w:right w:val="single" w:sz="4" w:space="0" w:color="000000"/>
            </w:tcBorders>
          </w:tcPr>
          <w:p>
            <w:pPr/>
          </w:p>
        </w:tc>
        <w:tc>
          <w:tcPr>
            <w:tcW w:w="466" w:type="dxa"/>
            <w:vMerge/>
            <w:tcBorders>
              <w:left w:val="single" w:sz="4" w:space="0" w:color="000000"/>
              <w:right w:val="single" w:sz="4" w:space="0" w:color="000000"/>
            </w:tcBorders>
          </w:tcPr>
          <w:p>
            <w:pPr/>
          </w:p>
        </w:tc>
        <w:tc>
          <w:tcPr>
            <w:tcW w:w="470" w:type="dxa"/>
            <w:vMerge/>
            <w:tcBorders>
              <w:left w:val="single" w:sz="4" w:space="0" w:color="000000"/>
              <w:right w:val="single" w:sz="4" w:space="0" w:color="000000"/>
            </w:tcBorders>
          </w:tcPr>
          <w:p>
            <w:pPr/>
          </w:p>
        </w:tc>
        <w:tc>
          <w:tcPr>
            <w:tcW w:w="581"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81"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81"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81"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r>
      <w:tr>
        <w:trPr>
          <w:trHeight w:val="163" w:hRule="exact"/>
        </w:trPr>
        <w:tc>
          <w:tcPr>
            <w:tcW w:w="1229" w:type="dxa"/>
            <w:tcBorders>
              <w:top w:val="nil" w:sz="6" w:space="0" w:color="auto"/>
              <w:left w:val="single" w:sz="4" w:space="0" w:color="000000"/>
              <w:bottom w:val="single" w:sz="4" w:space="0" w:color="000000"/>
              <w:right w:val="single" w:sz="4" w:space="0" w:color="000000"/>
            </w:tcBorders>
            <w:shd w:val="clear" w:color="auto" w:fill="D2D2D2"/>
          </w:tcPr>
          <w:p>
            <w:pPr/>
          </w:p>
        </w:tc>
        <w:tc>
          <w:tcPr>
            <w:tcW w:w="506" w:type="dxa"/>
            <w:vMerge/>
            <w:tcBorders>
              <w:left w:val="single" w:sz="10" w:space="0" w:color="D2D2D2"/>
              <w:bottom w:val="single" w:sz="4" w:space="0" w:color="000000"/>
              <w:right w:val="single" w:sz="4" w:space="0" w:color="000000"/>
            </w:tcBorders>
          </w:tcPr>
          <w:p>
            <w:pPr/>
          </w:p>
        </w:tc>
        <w:tc>
          <w:tcPr>
            <w:tcW w:w="466" w:type="dxa"/>
            <w:vMerge/>
            <w:tcBorders>
              <w:left w:val="single" w:sz="4" w:space="0" w:color="000000"/>
              <w:bottom w:val="single" w:sz="4" w:space="0" w:color="000000"/>
              <w:right w:val="single" w:sz="4" w:space="0" w:color="000000"/>
            </w:tcBorders>
          </w:tcPr>
          <w:p>
            <w:pPr/>
          </w:p>
        </w:tc>
        <w:tc>
          <w:tcPr>
            <w:tcW w:w="466" w:type="dxa"/>
            <w:vMerge/>
            <w:tcBorders>
              <w:left w:val="single" w:sz="4" w:space="0" w:color="000000"/>
              <w:bottom w:val="single" w:sz="4" w:space="0" w:color="000000"/>
              <w:right w:val="single" w:sz="4" w:space="0" w:color="000000"/>
            </w:tcBorders>
          </w:tcPr>
          <w:p>
            <w:pPr/>
          </w:p>
        </w:tc>
        <w:tc>
          <w:tcPr>
            <w:tcW w:w="470" w:type="dxa"/>
            <w:vMerge/>
            <w:tcBorders>
              <w:left w:val="single" w:sz="4" w:space="0" w:color="000000"/>
              <w:bottom w:val="single" w:sz="4" w:space="0" w:color="000000"/>
              <w:right w:val="single" w:sz="4" w:space="0" w:color="000000"/>
            </w:tcBorders>
          </w:tcPr>
          <w:p>
            <w:pPr/>
          </w:p>
        </w:tc>
        <w:tc>
          <w:tcPr>
            <w:tcW w:w="581"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81"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81"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81"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r>
      <w:tr>
        <w:trPr>
          <w:trHeight w:val="715" w:hRule="exact"/>
        </w:trPr>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3"/>
              <w:ind w:left="11" w:right="120" w:firstLine="720"/>
              <w:jc w:val="left"/>
              <w:rPr>
                <w:rFonts w:ascii="宋体" w:hAnsi="宋体" w:cs="宋体" w:eastAsia="宋体" w:hint="default"/>
                <w:sz w:val="18"/>
                <w:szCs w:val="18"/>
              </w:rPr>
            </w:pPr>
            <w:r>
              <w:rPr>
                <w:rFonts w:ascii="宋体" w:hAnsi="宋体" w:cs="宋体" w:eastAsia="宋体" w:hint="default"/>
                <w:sz w:val="18"/>
                <w:szCs w:val="18"/>
              </w:rPr>
              <w:t>前期</w:t>
            </w:r>
            <w:r>
              <w:rPr>
                <w:rFonts w:ascii="宋体" w:hAnsi="宋体" w:cs="宋体" w:eastAsia="宋体" w:hint="default"/>
                <w:w w:val="101"/>
                <w:sz w:val="18"/>
                <w:szCs w:val="18"/>
              </w:rPr>
              <w:t> </w:t>
            </w:r>
            <w:r>
              <w:rPr>
                <w:rFonts w:ascii="宋体" w:hAnsi="宋体" w:cs="宋体" w:eastAsia="宋体" w:hint="default"/>
                <w:sz w:val="18"/>
                <w:szCs w:val="18"/>
              </w:rPr>
              <w:t>差错更正</w:t>
            </w:r>
          </w:p>
        </w:tc>
        <w:tc>
          <w:tcPr>
            <w:tcW w:w="506" w:type="dxa"/>
            <w:tcBorders>
              <w:top w:val="single" w:sz="4" w:space="0" w:color="000000"/>
              <w:left w:val="single" w:sz="13" w:space="0" w:color="D2D2D2"/>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r>
      <w:tr>
        <w:trPr>
          <w:trHeight w:val="1023" w:hRule="exact"/>
        </w:trPr>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63"/>
              <w:ind w:left="11" w:right="120" w:firstLine="720"/>
              <w:jc w:val="both"/>
              <w:rPr>
                <w:rFonts w:ascii="宋体" w:hAnsi="宋体" w:cs="宋体" w:eastAsia="宋体" w:hint="default"/>
                <w:sz w:val="18"/>
                <w:szCs w:val="18"/>
              </w:rPr>
            </w:pPr>
            <w:r>
              <w:rPr>
                <w:rFonts w:ascii="宋体" w:hAnsi="宋体" w:cs="宋体" w:eastAsia="宋体" w:hint="default"/>
                <w:sz w:val="18"/>
                <w:szCs w:val="18"/>
              </w:rPr>
              <w:t>同一</w:t>
            </w:r>
            <w:r>
              <w:rPr>
                <w:rFonts w:ascii="宋体" w:hAnsi="宋体" w:cs="宋体" w:eastAsia="宋体" w:hint="default"/>
                <w:w w:val="101"/>
                <w:sz w:val="18"/>
                <w:szCs w:val="18"/>
              </w:rPr>
              <w:t> </w:t>
            </w:r>
            <w:r>
              <w:rPr>
                <w:rFonts w:ascii="宋体" w:hAnsi="宋体" w:cs="宋体" w:eastAsia="宋体" w:hint="default"/>
                <w:spacing w:val="-2"/>
                <w:sz w:val="18"/>
                <w:szCs w:val="18"/>
              </w:rPr>
              <w:t>控制下企业合</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并</w:t>
            </w:r>
          </w:p>
        </w:tc>
        <w:tc>
          <w:tcPr>
            <w:tcW w:w="506" w:type="dxa"/>
            <w:tcBorders>
              <w:top w:val="single" w:sz="4" w:space="0" w:color="000000"/>
              <w:left w:val="single" w:sz="13" w:space="0" w:color="D2D2D2"/>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06" w:type="dxa"/>
            <w:tcBorders>
              <w:top w:val="single" w:sz="4" w:space="0" w:color="000000"/>
              <w:left w:val="single" w:sz="13" w:space="0" w:color="D2D2D2"/>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r>
      <w:tr>
        <w:trPr>
          <w:trHeight w:val="163" w:hRule="exact"/>
        </w:trPr>
        <w:tc>
          <w:tcPr>
            <w:tcW w:w="1229" w:type="dxa"/>
            <w:tcBorders>
              <w:top w:val="single" w:sz="4" w:space="0" w:color="000000"/>
              <w:left w:val="single" w:sz="4" w:space="0" w:color="000000"/>
              <w:bottom w:val="nil" w:sz="6" w:space="0" w:color="auto"/>
              <w:right w:val="single" w:sz="4" w:space="0" w:color="000000"/>
            </w:tcBorders>
            <w:shd w:val="clear" w:color="auto" w:fill="D2D2D2"/>
          </w:tcPr>
          <w:p>
            <w:pPr/>
          </w:p>
        </w:tc>
        <w:tc>
          <w:tcPr>
            <w:tcW w:w="506" w:type="dxa"/>
            <w:vMerge w:val="restart"/>
            <w:tcBorders>
              <w:top w:val="single" w:sz="4" w:space="0" w:color="000000"/>
              <w:left w:val="single" w:sz="10" w:space="0" w:color="D2D2D2"/>
              <w:right w:val="single" w:sz="4" w:space="0" w:color="000000"/>
            </w:tcBorders>
          </w:tcPr>
          <w:p>
            <w:pPr>
              <w:pStyle w:val="TableParagraph"/>
              <w:spacing w:line="240" w:lineRule="auto" w:before="105"/>
              <w:ind w:left="62" w:right="0"/>
              <w:jc w:val="left"/>
              <w:rPr>
                <w:rFonts w:ascii="Times New Roman" w:hAnsi="Times New Roman" w:cs="Times New Roman" w:eastAsia="Times New Roman" w:hint="default"/>
                <w:sz w:val="18"/>
                <w:szCs w:val="18"/>
              </w:rPr>
            </w:pPr>
            <w:r>
              <w:rPr>
                <w:rFonts w:ascii="Times New Roman"/>
                <w:sz w:val="18"/>
              </w:rPr>
              <w:t>706,6</w:t>
            </w:r>
          </w:p>
          <w:p>
            <w:pPr>
              <w:pStyle w:val="TableParagraph"/>
              <w:spacing w:line="240" w:lineRule="auto" w:before="105"/>
              <w:ind w:left="62" w:right="0"/>
              <w:jc w:val="left"/>
              <w:rPr>
                <w:rFonts w:ascii="Times New Roman" w:hAnsi="Times New Roman" w:cs="Times New Roman" w:eastAsia="Times New Roman" w:hint="default"/>
                <w:sz w:val="18"/>
                <w:szCs w:val="18"/>
              </w:rPr>
            </w:pPr>
            <w:r>
              <w:rPr>
                <w:rFonts w:ascii="Times New Roman"/>
                <w:sz w:val="18"/>
              </w:rPr>
              <w:t>40,53</w:t>
            </w:r>
          </w:p>
          <w:p>
            <w:pPr>
              <w:pStyle w:val="TableParagraph"/>
              <w:spacing w:line="240" w:lineRule="auto" w:before="110"/>
              <w:ind w:left="148" w:right="0"/>
              <w:jc w:val="left"/>
              <w:rPr>
                <w:rFonts w:ascii="Times New Roman" w:hAnsi="Times New Roman" w:cs="Times New Roman" w:eastAsia="Times New Roman" w:hint="default"/>
                <w:sz w:val="18"/>
                <w:szCs w:val="18"/>
              </w:rPr>
            </w:pPr>
            <w:r>
              <w:rPr>
                <w:rFonts w:ascii="Times New Roman"/>
                <w:sz w:val="18"/>
              </w:rPr>
              <w:t>5.00</w:t>
            </w:r>
          </w:p>
        </w:tc>
        <w:tc>
          <w:tcPr>
            <w:tcW w:w="466" w:type="dxa"/>
            <w:vMerge w:val="restart"/>
            <w:tcBorders>
              <w:top w:val="single" w:sz="4" w:space="0" w:color="000000"/>
              <w:left w:val="single" w:sz="4" w:space="0" w:color="000000"/>
              <w:right w:val="single" w:sz="4" w:space="0" w:color="000000"/>
            </w:tcBorders>
          </w:tcPr>
          <w:p>
            <w:pPr/>
          </w:p>
        </w:tc>
        <w:tc>
          <w:tcPr>
            <w:tcW w:w="466" w:type="dxa"/>
            <w:vMerge w:val="restart"/>
            <w:tcBorders>
              <w:top w:val="single" w:sz="4" w:space="0" w:color="000000"/>
              <w:left w:val="single" w:sz="4" w:space="0" w:color="000000"/>
              <w:right w:val="single" w:sz="4" w:space="0" w:color="000000"/>
            </w:tcBorders>
          </w:tcPr>
          <w:p>
            <w:pPr/>
          </w:p>
        </w:tc>
        <w:tc>
          <w:tcPr>
            <w:tcW w:w="470" w:type="dxa"/>
            <w:vMerge w:val="restart"/>
            <w:tcBorders>
              <w:top w:val="single" w:sz="4" w:space="0" w:color="000000"/>
              <w:left w:val="single" w:sz="4" w:space="0" w:color="000000"/>
              <w:right w:val="single" w:sz="4" w:space="0" w:color="000000"/>
            </w:tcBorders>
          </w:tcPr>
          <w:p>
            <w:pPr/>
          </w:p>
        </w:tc>
        <w:tc>
          <w:tcPr>
            <w:tcW w:w="581" w:type="dxa"/>
            <w:vMerge w:val="restart"/>
            <w:tcBorders>
              <w:top w:val="single" w:sz="4" w:space="0" w:color="000000"/>
              <w:left w:val="single" w:sz="4" w:space="0" w:color="000000"/>
              <w:right w:val="single" w:sz="4" w:space="0" w:color="000000"/>
            </w:tcBorders>
          </w:tcPr>
          <w:p>
            <w:pPr>
              <w:pStyle w:val="TableParagraph"/>
              <w:spacing w:line="240" w:lineRule="auto" w:before="105"/>
              <w:ind w:left="57" w:right="0"/>
              <w:jc w:val="left"/>
              <w:rPr>
                <w:rFonts w:ascii="Times New Roman" w:hAnsi="Times New Roman" w:cs="Times New Roman" w:eastAsia="Times New Roman" w:hint="default"/>
                <w:sz w:val="18"/>
                <w:szCs w:val="18"/>
              </w:rPr>
            </w:pPr>
            <w:r>
              <w:rPr>
                <w:rFonts w:ascii="Times New Roman"/>
                <w:sz w:val="18"/>
              </w:rPr>
              <w:t>375,97</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9,751.</w:t>
            </w:r>
          </w:p>
          <w:p>
            <w:pPr>
              <w:pStyle w:val="TableParagraph"/>
              <w:spacing w:line="240" w:lineRule="auto" w:before="110"/>
              <w:ind w:left="375" w:right="0"/>
              <w:jc w:val="left"/>
              <w:rPr>
                <w:rFonts w:ascii="Times New Roman" w:hAnsi="Times New Roman" w:cs="Times New Roman" w:eastAsia="Times New Roman" w:hint="default"/>
                <w:sz w:val="18"/>
                <w:szCs w:val="18"/>
              </w:rPr>
            </w:pPr>
            <w:r>
              <w:rPr>
                <w:rFonts w:ascii="Times New Roman"/>
                <w:sz w:val="18"/>
              </w:rPr>
              <w:t>21</w:t>
            </w:r>
          </w:p>
        </w:tc>
        <w:tc>
          <w:tcPr>
            <w:tcW w:w="586" w:type="dxa"/>
            <w:vMerge w:val="restart"/>
            <w:tcBorders>
              <w:top w:val="single" w:sz="4" w:space="0" w:color="000000"/>
              <w:left w:val="single" w:sz="4" w:space="0" w:color="000000"/>
              <w:right w:val="single" w:sz="4" w:space="0" w:color="000000"/>
            </w:tcBorders>
          </w:tcPr>
          <w:p>
            <w:pPr/>
          </w:p>
        </w:tc>
        <w:tc>
          <w:tcPr>
            <w:tcW w:w="581"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42" w:right="0"/>
              <w:jc w:val="center"/>
              <w:rPr>
                <w:rFonts w:ascii="Times New Roman" w:hAnsi="Times New Roman" w:cs="Times New Roman" w:eastAsia="Times New Roman" w:hint="default"/>
                <w:sz w:val="18"/>
                <w:szCs w:val="18"/>
              </w:rPr>
            </w:pPr>
            <w:r>
              <w:rPr>
                <w:rFonts w:ascii="Times New Roman"/>
                <w:sz w:val="18"/>
              </w:rPr>
              <w:t>412,92</w:t>
            </w:r>
          </w:p>
          <w:p>
            <w:pPr>
              <w:pStyle w:val="TableParagraph"/>
              <w:spacing w:line="240" w:lineRule="auto" w:before="105"/>
              <w:ind w:left="220" w:right="0"/>
              <w:jc w:val="center"/>
              <w:rPr>
                <w:rFonts w:ascii="Times New Roman" w:hAnsi="Times New Roman" w:cs="Times New Roman" w:eastAsia="Times New Roman" w:hint="default"/>
                <w:sz w:val="18"/>
                <w:szCs w:val="18"/>
              </w:rPr>
            </w:pPr>
            <w:r>
              <w:rPr>
                <w:rFonts w:ascii="Times New Roman"/>
                <w:sz w:val="18"/>
              </w:rPr>
              <w:t>4.58</w:t>
            </w:r>
          </w:p>
        </w:tc>
        <w:tc>
          <w:tcPr>
            <w:tcW w:w="586" w:type="dxa"/>
            <w:vMerge w:val="restart"/>
            <w:tcBorders>
              <w:top w:val="single" w:sz="4" w:space="0" w:color="000000"/>
              <w:left w:val="single" w:sz="4" w:space="0" w:color="000000"/>
              <w:right w:val="single" w:sz="4" w:space="0" w:color="000000"/>
            </w:tcBorders>
          </w:tcPr>
          <w:p>
            <w:pPr/>
          </w:p>
        </w:tc>
        <w:tc>
          <w:tcPr>
            <w:tcW w:w="586" w:type="dxa"/>
            <w:vMerge w:val="restart"/>
            <w:tcBorders>
              <w:top w:val="single" w:sz="4" w:space="0" w:color="000000"/>
              <w:left w:val="single" w:sz="4" w:space="0" w:color="000000"/>
              <w:right w:val="single" w:sz="4" w:space="0" w:color="000000"/>
            </w:tcBorders>
          </w:tcPr>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pacing w:val="-1"/>
                <w:sz w:val="18"/>
              </w:rPr>
              <w:t>27,821</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pacing w:val="-1"/>
                <w:sz w:val="18"/>
              </w:rPr>
              <w:t>,403.2</w:t>
            </w:r>
          </w:p>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tc>
        <w:tc>
          <w:tcPr>
            <w:tcW w:w="581" w:type="dxa"/>
            <w:vMerge w:val="restart"/>
            <w:tcBorders>
              <w:top w:val="single" w:sz="4" w:space="0" w:color="000000"/>
              <w:left w:val="single" w:sz="4" w:space="0" w:color="000000"/>
              <w:right w:val="single" w:sz="4" w:space="0" w:color="000000"/>
            </w:tcBorders>
          </w:tcPr>
          <w:p>
            <w:pPr/>
          </w:p>
        </w:tc>
        <w:tc>
          <w:tcPr>
            <w:tcW w:w="586" w:type="dxa"/>
            <w:vMerge w:val="restart"/>
            <w:tcBorders>
              <w:top w:val="single" w:sz="4" w:space="0" w:color="000000"/>
              <w:left w:val="single" w:sz="4" w:space="0" w:color="000000"/>
              <w:right w:val="single" w:sz="4" w:space="0" w:color="000000"/>
            </w:tcBorders>
          </w:tcPr>
          <w:p>
            <w:pPr>
              <w:pStyle w:val="TableParagraph"/>
              <w:spacing w:line="240" w:lineRule="auto" w:before="105"/>
              <w:ind w:left="57" w:right="0"/>
              <w:jc w:val="left"/>
              <w:rPr>
                <w:rFonts w:ascii="Times New Roman" w:hAnsi="Times New Roman" w:cs="Times New Roman" w:eastAsia="Times New Roman" w:hint="default"/>
                <w:sz w:val="18"/>
                <w:szCs w:val="18"/>
              </w:rPr>
            </w:pPr>
            <w:r>
              <w:rPr>
                <w:rFonts w:ascii="Times New Roman"/>
                <w:sz w:val="18"/>
              </w:rPr>
              <w:t>238,24</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4,406.</w:t>
            </w:r>
          </w:p>
          <w:p>
            <w:pPr>
              <w:pStyle w:val="TableParagraph"/>
              <w:spacing w:line="240" w:lineRule="auto" w:before="110"/>
              <w:ind w:left="374" w:right="0"/>
              <w:jc w:val="left"/>
              <w:rPr>
                <w:rFonts w:ascii="Times New Roman" w:hAnsi="Times New Roman" w:cs="Times New Roman" w:eastAsia="Times New Roman" w:hint="default"/>
                <w:sz w:val="18"/>
                <w:szCs w:val="18"/>
              </w:rPr>
            </w:pPr>
            <w:r>
              <w:rPr>
                <w:rFonts w:ascii="Times New Roman"/>
                <w:sz w:val="18"/>
              </w:rPr>
              <w:t>27</w:t>
            </w:r>
          </w:p>
        </w:tc>
        <w:tc>
          <w:tcPr>
            <w:tcW w:w="586" w:type="dxa"/>
            <w:vMerge w:val="restart"/>
            <w:tcBorders>
              <w:top w:val="single" w:sz="4" w:space="0" w:color="000000"/>
              <w:left w:val="single" w:sz="4" w:space="0" w:color="000000"/>
              <w:right w:val="single" w:sz="4" w:space="0" w:color="000000"/>
            </w:tcBorders>
          </w:tcPr>
          <w:p>
            <w:pPr/>
          </w:p>
        </w:tc>
        <w:tc>
          <w:tcPr>
            <w:tcW w:w="581" w:type="dxa"/>
            <w:vMerge w:val="restart"/>
            <w:tcBorders>
              <w:top w:val="single" w:sz="4" w:space="0" w:color="000000"/>
              <w:left w:val="single" w:sz="4" w:space="0" w:color="000000"/>
              <w:right w:val="single" w:sz="4" w:space="0" w:color="000000"/>
            </w:tcBorders>
          </w:tcPr>
          <w:p>
            <w:pPr>
              <w:pStyle w:val="TableParagraph"/>
              <w:spacing w:line="240" w:lineRule="auto" w:before="105"/>
              <w:ind w:left="83" w:right="0"/>
              <w:jc w:val="center"/>
              <w:rPr>
                <w:rFonts w:ascii="Times New Roman" w:hAnsi="Times New Roman" w:cs="Times New Roman" w:eastAsia="Times New Roman" w:hint="default"/>
                <w:sz w:val="18"/>
                <w:szCs w:val="18"/>
              </w:rPr>
            </w:pPr>
            <w:r>
              <w:rPr>
                <w:rFonts w:ascii="Times New Roman"/>
                <w:sz w:val="18"/>
              </w:rPr>
              <w:t>1,349,</w:t>
            </w:r>
          </w:p>
          <w:p>
            <w:pPr>
              <w:pStyle w:val="TableParagraph"/>
              <w:spacing w:line="240" w:lineRule="auto" w:before="105"/>
              <w:ind w:left="42" w:right="0"/>
              <w:jc w:val="center"/>
              <w:rPr>
                <w:rFonts w:ascii="Times New Roman" w:hAnsi="Times New Roman" w:cs="Times New Roman" w:eastAsia="Times New Roman" w:hint="default"/>
                <w:sz w:val="18"/>
                <w:szCs w:val="18"/>
              </w:rPr>
            </w:pPr>
            <w:r>
              <w:rPr>
                <w:rFonts w:ascii="Times New Roman"/>
                <w:sz w:val="18"/>
              </w:rPr>
              <w:t>099,02</w:t>
            </w:r>
          </w:p>
          <w:p>
            <w:pPr>
              <w:pStyle w:val="TableParagraph"/>
              <w:spacing w:line="240" w:lineRule="auto" w:before="110"/>
              <w:ind w:left="220" w:right="0"/>
              <w:jc w:val="center"/>
              <w:rPr>
                <w:rFonts w:ascii="Times New Roman" w:hAnsi="Times New Roman" w:cs="Times New Roman" w:eastAsia="Times New Roman" w:hint="default"/>
                <w:sz w:val="18"/>
                <w:szCs w:val="18"/>
              </w:rPr>
            </w:pPr>
            <w:r>
              <w:rPr>
                <w:rFonts w:ascii="Times New Roman"/>
                <w:sz w:val="18"/>
              </w:rPr>
              <w:t>0.32</w:t>
            </w:r>
          </w:p>
        </w:tc>
        <w:tc>
          <w:tcPr>
            <w:tcW w:w="586" w:type="dxa"/>
            <w:vMerge w:val="restart"/>
            <w:tcBorders>
              <w:top w:val="single" w:sz="4" w:space="0" w:color="000000"/>
              <w:left w:val="single" w:sz="4" w:space="0" w:color="000000"/>
              <w:right w:val="single" w:sz="4" w:space="0" w:color="000000"/>
            </w:tcBorders>
          </w:tcPr>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pacing w:val="-1"/>
                <w:sz w:val="18"/>
              </w:rPr>
              <w:t>14,566</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pacing w:val="-1"/>
                <w:sz w:val="18"/>
              </w:rPr>
              <w:t>,065.9</w:t>
            </w:r>
          </w:p>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tc>
        <w:tc>
          <w:tcPr>
            <w:tcW w:w="576" w:type="dxa"/>
            <w:vMerge w:val="restart"/>
            <w:tcBorders>
              <w:top w:val="single" w:sz="4" w:space="0" w:color="000000"/>
              <w:left w:val="single" w:sz="4" w:space="0" w:color="000000"/>
              <w:right w:val="single" w:sz="4" w:space="0" w:color="000000"/>
            </w:tcBorders>
          </w:tcPr>
          <w:p>
            <w:pPr>
              <w:pStyle w:val="TableParagraph"/>
              <w:spacing w:line="240" w:lineRule="auto" w:before="105"/>
              <w:ind w:left="79" w:right="0"/>
              <w:jc w:val="center"/>
              <w:rPr>
                <w:rFonts w:ascii="Times New Roman" w:hAnsi="Times New Roman" w:cs="Times New Roman" w:eastAsia="Times New Roman" w:hint="default"/>
                <w:sz w:val="18"/>
                <w:szCs w:val="18"/>
              </w:rPr>
            </w:pPr>
            <w:r>
              <w:rPr>
                <w:rFonts w:ascii="Times New Roman"/>
                <w:sz w:val="18"/>
              </w:rPr>
              <w:t>1,363,</w:t>
            </w:r>
          </w:p>
          <w:p>
            <w:pPr>
              <w:pStyle w:val="TableParagraph"/>
              <w:spacing w:line="240" w:lineRule="auto" w:before="105"/>
              <w:ind w:left="38" w:right="0"/>
              <w:jc w:val="center"/>
              <w:rPr>
                <w:rFonts w:ascii="Times New Roman" w:hAnsi="Times New Roman" w:cs="Times New Roman" w:eastAsia="Times New Roman" w:hint="default"/>
                <w:sz w:val="18"/>
                <w:szCs w:val="18"/>
              </w:rPr>
            </w:pPr>
            <w:r>
              <w:rPr>
                <w:rFonts w:ascii="Times New Roman"/>
                <w:sz w:val="18"/>
              </w:rPr>
              <w:t>665,08</w:t>
            </w:r>
          </w:p>
          <w:p>
            <w:pPr>
              <w:pStyle w:val="TableParagraph"/>
              <w:spacing w:line="240" w:lineRule="auto" w:before="110"/>
              <w:ind w:left="215" w:right="0"/>
              <w:jc w:val="center"/>
              <w:rPr>
                <w:rFonts w:ascii="Times New Roman" w:hAnsi="Times New Roman" w:cs="Times New Roman" w:eastAsia="Times New Roman" w:hint="default"/>
                <w:sz w:val="18"/>
                <w:szCs w:val="18"/>
              </w:rPr>
            </w:pPr>
            <w:r>
              <w:rPr>
                <w:rFonts w:ascii="Times New Roman"/>
                <w:sz w:val="18"/>
              </w:rPr>
              <w:t>6.31</w:t>
            </w:r>
          </w:p>
        </w:tc>
      </w:tr>
      <w:tr>
        <w:trPr>
          <w:trHeight w:val="701" w:hRule="exact"/>
        </w:trPr>
        <w:tc>
          <w:tcPr>
            <w:tcW w:w="122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63"/>
              <w:ind w:left="11" w:right="5"/>
              <w:jc w:val="left"/>
              <w:rPr>
                <w:rFonts w:ascii="宋体" w:hAnsi="宋体" w:cs="宋体" w:eastAsia="宋体" w:hint="default"/>
                <w:sz w:val="18"/>
                <w:szCs w:val="18"/>
              </w:rPr>
            </w:pPr>
            <w:r>
              <w:rPr>
                <w:rFonts w:ascii="宋体" w:hAnsi="宋体" w:cs="宋体" w:eastAsia="宋体" w:hint="default"/>
                <w:spacing w:val="-12"/>
                <w:sz w:val="18"/>
                <w:szCs w:val="18"/>
              </w:rPr>
              <w:t>二、本年期初余</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额</w:t>
            </w:r>
          </w:p>
        </w:tc>
        <w:tc>
          <w:tcPr>
            <w:tcW w:w="506" w:type="dxa"/>
            <w:vMerge/>
            <w:tcBorders>
              <w:left w:val="single" w:sz="10" w:space="0" w:color="D2D2D2"/>
              <w:right w:val="single" w:sz="4" w:space="0" w:color="000000"/>
            </w:tcBorders>
          </w:tcPr>
          <w:p>
            <w:pPr/>
          </w:p>
        </w:tc>
        <w:tc>
          <w:tcPr>
            <w:tcW w:w="466" w:type="dxa"/>
            <w:vMerge/>
            <w:tcBorders>
              <w:left w:val="single" w:sz="4" w:space="0" w:color="000000"/>
              <w:right w:val="single" w:sz="4" w:space="0" w:color="000000"/>
            </w:tcBorders>
          </w:tcPr>
          <w:p>
            <w:pPr/>
          </w:p>
        </w:tc>
        <w:tc>
          <w:tcPr>
            <w:tcW w:w="466" w:type="dxa"/>
            <w:vMerge/>
            <w:tcBorders>
              <w:left w:val="single" w:sz="4" w:space="0" w:color="000000"/>
              <w:right w:val="single" w:sz="4" w:space="0" w:color="000000"/>
            </w:tcBorders>
          </w:tcPr>
          <w:p>
            <w:pPr/>
          </w:p>
        </w:tc>
        <w:tc>
          <w:tcPr>
            <w:tcW w:w="470" w:type="dxa"/>
            <w:vMerge/>
            <w:tcBorders>
              <w:left w:val="single" w:sz="4" w:space="0" w:color="000000"/>
              <w:right w:val="single" w:sz="4" w:space="0" w:color="000000"/>
            </w:tcBorders>
          </w:tcPr>
          <w:p>
            <w:pPr/>
          </w:p>
        </w:tc>
        <w:tc>
          <w:tcPr>
            <w:tcW w:w="581"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81"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81"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81"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r>
      <w:tr>
        <w:trPr>
          <w:trHeight w:val="163" w:hRule="exact"/>
        </w:trPr>
        <w:tc>
          <w:tcPr>
            <w:tcW w:w="1229" w:type="dxa"/>
            <w:tcBorders>
              <w:top w:val="nil" w:sz="6" w:space="0" w:color="auto"/>
              <w:left w:val="single" w:sz="4" w:space="0" w:color="000000"/>
              <w:bottom w:val="single" w:sz="4" w:space="0" w:color="000000"/>
              <w:right w:val="single" w:sz="4" w:space="0" w:color="000000"/>
            </w:tcBorders>
            <w:shd w:val="clear" w:color="auto" w:fill="D2D2D2"/>
          </w:tcPr>
          <w:p>
            <w:pPr/>
          </w:p>
        </w:tc>
        <w:tc>
          <w:tcPr>
            <w:tcW w:w="506" w:type="dxa"/>
            <w:vMerge/>
            <w:tcBorders>
              <w:left w:val="single" w:sz="10" w:space="0" w:color="D2D2D2"/>
              <w:bottom w:val="single" w:sz="4" w:space="0" w:color="000000"/>
              <w:right w:val="single" w:sz="4" w:space="0" w:color="000000"/>
            </w:tcBorders>
          </w:tcPr>
          <w:p>
            <w:pPr/>
          </w:p>
        </w:tc>
        <w:tc>
          <w:tcPr>
            <w:tcW w:w="466" w:type="dxa"/>
            <w:vMerge/>
            <w:tcBorders>
              <w:left w:val="single" w:sz="4" w:space="0" w:color="000000"/>
              <w:bottom w:val="single" w:sz="4" w:space="0" w:color="000000"/>
              <w:right w:val="single" w:sz="4" w:space="0" w:color="000000"/>
            </w:tcBorders>
          </w:tcPr>
          <w:p>
            <w:pPr/>
          </w:p>
        </w:tc>
        <w:tc>
          <w:tcPr>
            <w:tcW w:w="466" w:type="dxa"/>
            <w:vMerge/>
            <w:tcBorders>
              <w:left w:val="single" w:sz="4" w:space="0" w:color="000000"/>
              <w:bottom w:val="single" w:sz="4" w:space="0" w:color="000000"/>
              <w:right w:val="single" w:sz="4" w:space="0" w:color="000000"/>
            </w:tcBorders>
          </w:tcPr>
          <w:p>
            <w:pPr/>
          </w:p>
        </w:tc>
        <w:tc>
          <w:tcPr>
            <w:tcW w:w="470" w:type="dxa"/>
            <w:vMerge/>
            <w:tcBorders>
              <w:left w:val="single" w:sz="4" w:space="0" w:color="000000"/>
              <w:bottom w:val="single" w:sz="4" w:space="0" w:color="000000"/>
              <w:right w:val="single" w:sz="4" w:space="0" w:color="000000"/>
            </w:tcBorders>
          </w:tcPr>
          <w:p>
            <w:pPr/>
          </w:p>
        </w:tc>
        <w:tc>
          <w:tcPr>
            <w:tcW w:w="581"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81"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81"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81"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r>
      <w:tr>
        <w:trPr>
          <w:trHeight w:val="1027" w:hRule="exact"/>
        </w:trPr>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3"/>
              <w:ind w:left="11" w:right="5"/>
              <w:jc w:val="both"/>
              <w:rPr>
                <w:rFonts w:ascii="宋体" w:hAnsi="宋体" w:cs="宋体" w:eastAsia="宋体" w:hint="default"/>
                <w:sz w:val="18"/>
                <w:szCs w:val="18"/>
              </w:rPr>
            </w:pPr>
            <w:r>
              <w:rPr>
                <w:rFonts w:ascii="宋体" w:hAnsi="宋体" w:cs="宋体" w:eastAsia="宋体" w:hint="default"/>
                <w:spacing w:val="-12"/>
                <w:sz w:val="18"/>
                <w:szCs w:val="18"/>
              </w:rPr>
              <w:t>三、本期增减变</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12"/>
                <w:sz w:val="18"/>
                <w:szCs w:val="18"/>
              </w:rPr>
              <w:t>动金额（减少以</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506" w:type="dxa"/>
            <w:tcBorders>
              <w:top w:val="single" w:sz="4" w:space="0" w:color="000000"/>
              <w:left w:val="single" w:sz="13" w:space="0" w:color="D2D2D2"/>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3"/>
              <w:jc w:val="right"/>
              <w:rPr>
                <w:rFonts w:ascii="Times New Roman" w:hAnsi="Times New Roman" w:cs="Times New Roman" w:eastAsia="Times New Roman" w:hint="default"/>
                <w:sz w:val="18"/>
                <w:szCs w:val="18"/>
              </w:rPr>
            </w:pPr>
            <w:r>
              <w:rPr>
                <w:rFonts w:ascii="Times New Roman"/>
                <w:spacing w:val="-1"/>
                <w:sz w:val="18"/>
              </w:rPr>
              <w:t>13,386</w:t>
            </w:r>
          </w:p>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,730.8</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-102,4</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49.33</w:t>
            </w: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38" w:right="0"/>
              <w:jc w:val="center"/>
              <w:rPr>
                <w:rFonts w:ascii="Times New Roman" w:hAnsi="Times New Roman" w:cs="Times New Roman" w:eastAsia="Times New Roman" w:hint="default"/>
                <w:sz w:val="18"/>
                <w:szCs w:val="18"/>
              </w:rPr>
            </w:pPr>
            <w:r>
              <w:rPr>
                <w:rFonts w:ascii="Times New Roman"/>
                <w:sz w:val="18"/>
              </w:rPr>
              <w:t>944,64</w:t>
            </w:r>
          </w:p>
          <w:p>
            <w:pPr>
              <w:pStyle w:val="TableParagraph"/>
              <w:spacing w:line="240" w:lineRule="auto" w:before="105"/>
              <w:ind w:left="215" w:right="0"/>
              <w:jc w:val="center"/>
              <w:rPr>
                <w:rFonts w:ascii="Times New Roman" w:hAnsi="Times New Roman" w:cs="Times New Roman" w:eastAsia="Times New Roman" w:hint="default"/>
                <w:sz w:val="18"/>
                <w:szCs w:val="18"/>
              </w:rPr>
            </w:pPr>
            <w:r>
              <w:rPr>
                <w:rFonts w:ascii="Times New Roman"/>
                <w:sz w:val="18"/>
              </w:rPr>
              <w:t>8.80</w:t>
            </w: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86" w:right="0"/>
              <w:jc w:val="left"/>
              <w:rPr>
                <w:rFonts w:ascii="Times New Roman" w:hAnsi="Times New Roman" w:cs="Times New Roman" w:eastAsia="Times New Roman" w:hint="default"/>
                <w:sz w:val="18"/>
                <w:szCs w:val="18"/>
              </w:rPr>
            </w:pPr>
            <w:r>
              <w:rPr>
                <w:rFonts w:ascii="Times New Roman"/>
                <w:sz w:val="18"/>
              </w:rPr>
              <w:t>-10,15</w:t>
            </w:r>
          </w:p>
          <w:p>
            <w:pPr>
              <w:pStyle w:val="TableParagraph"/>
              <w:spacing w:line="240" w:lineRule="auto" w:before="100"/>
              <w:ind w:left="100" w:right="0"/>
              <w:jc w:val="left"/>
              <w:rPr>
                <w:rFonts w:ascii="Times New Roman" w:hAnsi="Times New Roman" w:cs="Times New Roman" w:eastAsia="Times New Roman" w:hint="default"/>
                <w:sz w:val="18"/>
                <w:szCs w:val="18"/>
              </w:rPr>
            </w:pPr>
            <w:r>
              <w:rPr>
                <w:rFonts w:ascii="Times New Roman"/>
                <w:sz w:val="18"/>
              </w:rPr>
              <w:t>9,565.</w:t>
            </w:r>
          </w:p>
          <w:p>
            <w:pPr>
              <w:pStyle w:val="TableParagraph"/>
              <w:spacing w:line="240" w:lineRule="auto" w:before="110"/>
              <w:ind w:left="374" w:right="0"/>
              <w:jc w:val="left"/>
              <w:rPr>
                <w:rFonts w:ascii="Times New Roman" w:hAnsi="Times New Roman" w:cs="Times New Roman" w:eastAsia="Times New Roman" w:hint="default"/>
                <w:sz w:val="18"/>
                <w:szCs w:val="18"/>
              </w:rPr>
            </w:pPr>
            <w:r>
              <w:rPr>
                <w:rFonts w:ascii="Times New Roman"/>
                <w:sz w:val="18"/>
              </w:rPr>
              <w:t>40</w:t>
            </w: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4,069,</w:t>
            </w:r>
          </w:p>
          <w:p>
            <w:pPr>
              <w:pStyle w:val="TableParagraph"/>
              <w:spacing w:line="240" w:lineRule="auto" w:before="105"/>
              <w:ind w:left="57" w:right="0"/>
              <w:jc w:val="left"/>
              <w:rPr>
                <w:rFonts w:ascii="Times New Roman" w:hAnsi="Times New Roman" w:cs="Times New Roman" w:eastAsia="Times New Roman" w:hint="default"/>
                <w:sz w:val="18"/>
                <w:szCs w:val="18"/>
              </w:rPr>
            </w:pPr>
            <w:r>
              <w:rPr>
                <w:rFonts w:ascii="Times New Roman"/>
                <w:sz w:val="18"/>
              </w:rPr>
              <w:t>364.96</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6,733,</w:t>
            </w:r>
          </w:p>
          <w:p>
            <w:pPr>
              <w:pStyle w:val="TableParagraph"/>
              <w:spacing w:line="240" w:lineRule="auto" w:before="105"/>
              <w:ind w:left="57" w:right="0"/>
              <w:jc w:val="left"/>
              <w:rPr>
                <w:rFonts w:ascii="Times New Roman" w:hAnsi="Times New Roman" w:cs="Times New Roman" w:eastAsia="Times New Roman" w:hint="default"/>
                <w:sz w:val="18"/>
                <w:szCs w:val="18"/>
              </w:rPr>
            </w:pPr>
            <w:r>
              <w:rPr>
                <w:rFonts w:ascii="Times New Roman"/>
                <w:sz w:val="18"/>
              </w:rPr>
              <w:t>704.92</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pacing w:val="-1"/>
                <w:sz w:val="18"/>
              </w:rPr>
              <w:t>10,803</w:t>
            </w:r>
          </w:p>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,069.8</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tc>
      </w:tr>
      <w:tr>
        <w:trPr>
          <w:trHeight w:val="711" w:hRule="exact"/>
        </w:trPr>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63"/>
              <w:ind w:left="11" w:right="5"/>
              <w:jc w:val="left"/>
              <w:rPr>
                <w:rFonts w:ascii="宋体" w:hAnsi="宋体" w:cs="宋体" w:eastAsia="宋体" w:hint="default"/>
                <w:sz w:val="18"/>
                <w:szCs w:val="18"/>
              </w:rPr>
            </w:pPr>
            <w:r>
              <w:rPr>
                <w:rFonts w:ascii="宋体" w:hAnsi="宋体" w:cs="宋体" w:eastAsia="宋体" w:hint="default"/>
                <w:spacing w:val="-12"/>
                <w:sz w:val="18"/>
                <w:szCs w:val="18"/>
              </w:rPr>
              <w:t>（一）综合收益</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总额</w:t>
            </w:r>
          </w:p>
        </w:tc>
        <w:tc>
          <w:tcPr>
            <w:tcW w:w="506" w:type="dxa"/>
            <w:tcBorders>
              <w:top w:val="single" w:sz="4" w:space="0" w:color="000000"/>
              <w:left w:val="single" w:sz="13" w:space="0" w:color="D2D2D2"/>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86" w:right="0"/>
              <w:jc w:val="left"/>
              <w:rPr>
                <w:rFonts w:ascii="Times New Roman" w:hAnsi="Times New Roman" w:cs="Times New Roman" w:eastAsia="Times New Roman" w:hint="default"/>
                <w:sz w:val="18"/>
                <w:szCs w:val="18"/>
              </w:rPr>
            </w:pPr>
            <w:r>
              <w:rPr>
                <w:rFonts w:ascii="Times New Roman"/>
                <w:sz w:val="18"/>
              </w:rPr>
              <w:t>-102,4</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49.33</w:t>
            </w: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4,917,</w:t>
            </w:r>
          </w:p>
          <w:p>
            <w:pPr>
              <w:pStyle w:val="TableParagraph"/>
              <w:spacing w:line="240" w:lineRule="auto" w:before="105"/>
              <w:ind w:left="57" w:right="0"/>
              <w:jc w:val="left"/>
              <w:rPr>
                <w:rFonts w:ascii="Times New Roman" w:hAnsi="Times New Roman" w:cs="Times New Roman" w:eastAsia="Times New Roman" w:hint="default"/>
                <w:sz w:val="18"/>
                <w:szCs w:val="18"/>
              </w:rPr>
            </w:pPr>
            <w:r>
              <w:rPr>
                <w:rFonts w:ascii="Times New Roman"/>
                <w:sz w:val="18"/>
              </w:rPr>
              <w:t>894.10</w:t>
            </w: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4,815,</w:t>
            </w:r>
          </w:p>
          <w:p>
            <w:pPr>
              <w:pStyle w:val="TableParagraph"/>
              <w:spacing w:line="240" w:lineRule="auto" w:before="105"/>
              <w:ind w:left="57" w:right="0"/>
              <w:jc w:val="left"/>
              <w:rPr>
                <w:rFonts w:ascii="Times New Roman" w:hAnsi="Times New Roman" w:cs="Times New Roman" w:eastAsia="Times New Roman" w:hint="default"/>
                <w:sz w:val="18"/>
                <w:szCs w:val="18"/>
              </w:rPr>
            </w:pPr>
            <w:r>
              <w:rPr>
                <w:rFonts w:ascii="Times New Roman"/>
                <w:sz w:val="18"/>
              </w:rPr>
              <w:t>444.77</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2,483,</w:t>
            </w:r>
          </w:p>
          <w:p>
            <w:pPr>
              <w:pStyle w:val="TableParagraph"/>
              <w:spacing w:line="240" w:lineRule="auto" w:before="105"/>
              <w:ind w:left="57" w:right="0"/>
              <w:jc w:val="left"/>
              <w:rPr>
                <w:rFonts w:ascii="Times New Roman" w:hAnsi="Times New Roman" w:cs="Times New Roman" w:eastAsia="Times New Roman" w:hint="default"/>
                <w:sz w:val="18"/>
                <w:szCs w:val="18"/>
              </w:rPr>
            </w:pPr>
            <w:r>
              <w:rPr>
                <w:rFonts w:ascii="Times New Roman"/>
                <w:sz w:val="18"/>
              </w:rPr>
              <w:t>704.92</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96" w:right="0"/>
              <w:jc w:val="left"/>
              <w:rPr>
                <w:rFonts w:ascii="Times New Roman" w:hAnsi="Times New Roman" w:cs="Times New Roman" w:eastAsia="Times New Roman" w:hint="default"/>
                <w:sz w:val="18"/>
                <w:szCs w:val="18"/>
              </w:rPr>
            </w:pPr>
            <w:r>
              <w:rPr>
                <w:rFonts w:ascii="Times New Roman"/>
                <w:sz w:val="18"/>
              </w:rPr>
              <w:t>7,299,</w:t>
            </w:r>
          </w:p>
          <w:p>
            <w:pPr>
              <w:pStyle w:val="TableParagraph"/>
              <w:spacing w:line="240" w:lineRule="auto" w:before="105"/>
              <w:ind w:left="52" w:right="0"/>
              <w:jc w:val="left"/>
              <w:rPr>
                <w:rFonts w:ascii="Times New Roman" w:hAnsi="Times New Roman" w:cs="Times New Roman" w:eastAsia="Times New Roman" w:hint="default"/>
                <w:sz w:val="18"/>
                <w:szCs w:val="18"/>
              </w:rPr>
            </w:pPr>
            <w:r>
              <w:rPr>
                <w:rFonts w:ascii="Times New Roman"/>
                <w:sz w:val="18"/>
              </w:rPr>
              <w:t>149.69</w:t>
            </w:r>
          </w:p>
        </w:tc>
      </w:tr>
      <w:tr>
        <w:trPr>
          <w:trHeight w:val="163" w:hRule="exact"/>
        </w:trPr>
        <w:tc>
          <w:tcPr>
            <w:tcW w:w="1229" w:type="dxa"/>
            <w:tcBorders>
              <w:top w:val="single" w:sz="4" w:space="0" w:color="000000"/>
              <w:left w:val="single" w:sz="4" w:space="0" w:color="000000"/>
              <w:bottom w:val="nil" w:sz="6" w:space="0" w:color="auto"/>
              <w:right w:val="single" w:sz="4" w:space="0" w:color="000000"/>
            </w:tcBorders>
            <w:shd w:val="clear" w:color="auto" w:fill="D2D2D2"/>
          </w:tcPr>
          <w:p>
            <w:pPr/>
          </w:p>
        </w:tc>
        <w:tc>
          <w:tcPr>
            <w:tcW w:w="506" w:type="dxa"/>
            <w:vMerge w:val="restart"/>
            <w:tcBorders>
              <w:top w:val="single" w:sz="4" w:space="0" w:color="000000"/>
              <w:left w:val="single" w:sz="10" w:space="0" w:color="D2D2D2"/>
              <w:right w:val="single" w:sz="4" w:space="0" w:color="000000"/>
            </w:tcBorders>
          </w:tcPr>
          <w:p>
            <w:pPr/>
          </w:p>
        </w:tc>
        <w:tc>
          <w:tcPr>
            <w:tcW w:w="466" w:type="dxa"/>
            <w:vMerge w:val="restart"/>
            <w:tcBorders>
              <w:top w:val="single" w:sz="4" w:space="0" w:color="000000"/>
              <w:left w:val="single" w:sz="4" w:space="0" w:color="000000"/>
              <w:right w:val="single" w:sz="4" w:space="0" w:color="000000"/>
            </w:tcBorders>
          </w:tcPr>
          <w:p>
            <w:pPr/>
          </w:p>
        </w:tc>
        <w:tc>
          <w:tcPr>
            <w:tcW w:w="466" w:type="dxa"/>
            <w:vMerge w:val="restart"/>
            <w:tcBorders>
              <w:top w:val="single" w:sz="4" w:space="0" w:color="000000"/>
              <w:left w:val="single" w:sz="4" w:space="0" w:color="000000"/>
              <w:right w:val="single" w:sz="4" w:space="0" w:color="000000"/>
            </w:tcBorders>
          </w:tcPr>
          <w:p>
            <w:pPr/>
          </w:p>
        </w:tc>
        <w:tc>
          <w:tcPr>
            <w:tcW w:w="470" w:type="dxa"/>
            <w:vMerge w:val="restart"/>
            <w:tcBorders>
              <w:top w:val="single" w:sz="4" w:space="0" w:color="000000"/>
              <w:left w:val="single" w:sz="4" w:space="0" w:color="000000"/>
              <w:right w:val="single" w:sz="4" w:space="0" w:color="000000"/>
            </w:tcBorders>
          </w:tcPr>
          <w:p>
            <w:pPr/>
          </w:p>
        </w:tc>
        <w:tc>
          <w:tcPr>
            <w:tcW w:w="581" w:type="dxa"/>
            <w:vMerge w:val="restart"/>
            <w:tcBorders>
              <w:top w:val="single" w:sz="4" w:space="0" w:color="000000"/>
              <w:left w:val="single" w:sz="4" w:space="0" w:color="000000"/>
              <w:right w:val="single" w:sz="4" w:space="0" w:color="000000"/>
            </w:tcBorders>
          </w:tcPr>
          <w:p>
            <w:pPr>
              <w:pStyle w:val="TableParagraph"/>
              <w:spacing w:line="240" w:lineRule="auto" w:before="110"/>
              <w:ind w:right="13"/>
              <w:jc w:val="right"/>
              <w:rPr>
                <w:rFonts w:ascii="Times New Roman" w:hAnsi="Times New Roman" w:cs="Times New Roman" w:eastAsia="Times New Roman" w:hint="default"/>
                <w:sz w:val="18"/>
                <w:szCs w:val="18"/>
              </w:rPr>
            </w:pPr>
            <w:r>
              <w:rPr>
                <w:rFonts w:ascii="Times New Roman"/>
                <w:spacing w:val="-1"/>
                <w:sz w:val="18"/>
              </w:rPr>
              <w:t>13,386</w:t>
            </w:r>
          </w:p>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,730.8</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tc>
        <w:tc>
          <w:tcPr>
            <w:tcW w:w="586" w:type="dxa"/>
            <w:vMerge w:val="restart"/>
            <w:tcBorders>
              <w:top w:val="single" w:sz="4" w:space="0" w:color="000000"/>
              <w:left w:val="single" w:sz="4" w:space="0" w:color="000000"/>
              <w:right w:val="single" w:sz="4" w:space="0" w:color="000000"/>
            </w:tcBorders>
          </w:tcPr>
          <w:p>
            <w:pPr/>
          </w:p>
        </w:tc>
        <w:tc>
          <w:tcPr>
            <w:tcW w:w="581" w:type="dxa"/>
            <w:vMerge w:val="restart"/>
            <w:tcBorders>
              <w:top w:val="single" w:sz="4" w:space="0" w:color="000000"/>
              <w:left w:val="single" w:sz="4" w:space="0" w:color="000000"/>
              <w:right w:val="single" w:sz="4" w:space="0" w:color="000000"/>
            </w:tcBorders>
          </w:tcPr>
          <w:p>
            <w:pPr/>
          </w:p>
        </w:tc>
        <w:tc>
          <w:tcPr>
            <w:tcW w:w="586" w:type="dxa"/>
            <w:vMerge w:val="restart"/>
            <w:tcBorders>
              <w:top w:val="single" w:sz="4" w:space="0" w:color="000000"/>
              <w:left w:val="single" w:sz="4" w:space="0" w:color="000000"/>
              <w:right w:val="single" w:sz="4" w:space="0" w:color="000000"/>
            </w:tcBorders>
          </w:tcPr>
          <w:p>
            <w:pPr/>
          </w:p>
        </w:tc>
        <w:tc>
          <w:tcPr>
            <w:tcW w:w="586" w:type="dxa"/>
            <w:vMerge w:val="restart"/>
            <w:tcBorders>
              <w:top w:val="single" w:sz="4" w:space="0" w:color="000000"/>
              <w:left w:val="single" w:sz="4" w:space="0" w:color="000000"/>
              <w:right w:val="single" w:sz="4" w:space="0" w:color="000000"/>
            </w:tcBorders>
          </w:tcPr>
          <w:p>
            <w:pPr/>
          </w:p>
        </w:tc>
        <w:tc>
          <w:tcPr>
            <w:tcW w:w="581" w:type="dxa"/>
            <w:vMerge w:val="restart"/>
            <w:tcBorders>
              <w:top w:val="single" w:sz="4" w:space="0" w:color="000000"/>
              <w:left w:val="single" w:sz="4" w:space="0" w:color="000000"/>
              <w:right w:val="single" w:sz="4" w:space="0" w:color="000000"/>
            </w:tcBorders>
          </w:tcPr>
          <w:p>
            <w:pPr/>
          </w:p>
        </w:tc>
        <w:tc>
          <w:tcPr>
            <w:tcW w:w="586" w:type="dxa"/>
            <w:vMerge w:val="restart"/>
            <w:tcBorders>
              <w:top w:val="single" w:sz="4" w:space="0" w:color="000000"/>
              <w:left w:val="single" w:sz="4" w:space="0" w:color="000000"/>
              <w:right w:val="single" w:sz="4" w:space="0" w:color="000000"/>
            </w:tcBorders>
          </w:tcPr>
          <w:p>
            <w:pPr/>
          </w:p>
        </w:tc>
        <w:tc>
          <w:tcPr>
            <w:tcW w:w="586" w:type="dxa"/>
            <w:vMerge w:val="restart"/>
            <w:tcBorders>
              <w:top w:val="single" w:sz="4" w:space="0" w:color="000000"/>
              <w:left w:val="single" w:sz="4" w:space="0" w:color="000000"/>
              <w:right w:val="single" w:sz="4" w:space="0" w:color="000000"/>
            </w:tcBorders>
          </w:tcPr>
          <w:p>
            <w:pPr/>
          </w:p>
        </w:tc>
        <w:tc>
          <w:tcPr>
            <w:tcW w:w="581" w:type="dxa"/>
            <w:vMerge w:val="restart"/>
            <w:tcBorders>
              <w:top w:val="single" w:sz="4" w:space="0" w:color="000000"/>
              <w:left w:val="single" w:sz="4" w:space="0" w:color="000000"/>
              <w:right w:val="single" w:sz="4" w:space="0" w:color="000000"/>
            </w:tcBorders>
          </w:tcPr>
          <w:p>
            <w:pPr>
              <w:pStyle w:val="TableParagraph"/>
              <w:spacing w:line="240" w:lineRule="auto" w:before="110"/>
              <w:ind w:right="12"/>
              <w:jc w:val="right"/>
              <w:rPr>
                <w:rFonts w:ascii="Times New Roman" w:hAnsi="Times New Roman" w:cs="Times New Roman" w:eastAsia="Times New Roman" w:hint="default"/>
                <w:sz w:val="18"/>
                <w:szCs w:val="18"/>
              </w:rPr>
            </w:pPr>
            <w:r>
              <w:rPr>
                <w:rFonts w:ascii="Times New Roman"/>
                <w:spacing w:val="-1"/>
                <w:sz w:val="18"/>
              </w:rPr>
              <w:t>13,386</w:t>
            </w:r>
          </w:p>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,730.8</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tc>
        <w:tc>
          <w:tcPr>
            <w:tcW w:w="586"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4,250,</w:t>
            </w:r>
          </w:p>
          <w:p>
            <w:pPr>
              <w:pStyle w:val="TableParagraph"/>
              <w:spacing w:line="240" w:lineRule="auto" w:before="105"/>
              <w:ind w:left="57" w:right="0"/>
              <w:jc w:val="left"/>
              <w:rPr>
                <w:rFonts w:ascii="Times New Roman" w:hAnsi="Times New Roman" w:cs="Times New Roman" w:eastAsia="Times New Roman" w:hint="default"/>
                <w:sz w:val="18"/>
                <w:szCs w:val="18"/>
              </w:rPr>
            </w:pPr>
            <w:r>
              <w:rPr>
                <w:rFonts w:ascii="Times New Roman"/>
                <w:sz w:val="18"/>
              </w:rPr>
              <w:t>000.00</w:t>
            </w:r>
          </w:p>
        </w:tc>
        <w:tc>
          <w:tcPr>
            <w:tcW w:w="576" w:type="dxa"/>
            <w:vMerge w:val="restart"/>
            <w:tcBorders>
              <w:top w:val="single" w:sz="4" w:space="0" w:color="000000"/>
              <w:left w:val="single" w:sz="4" w:space="0" w:color="000000"/>
              <w:right w:val="single" w:sz="4" w:space="0" w:color="000000"/>
            </w:tcBorders>
          </w:tcPr>
          <w:p>
            <w:pPr>
              <w:pStyle w:val="TableParagraph"/>
              <w:spacing w:line="240" w:lineRule="auto" w:before="110"/>
              <w:ind w:right="12"/>
              <w:jc w:val="right"/>
              <w:rPr>
                <w:rFonts w:ascii="Times New Roman" w:hAnsi="Times New Roman" w:cs="Times New Roman" w:eastAsia="Times New Roman" w:hint="default"/>
                <w:sz w:val="18"/>
                <w:szCs w:val="18"/>
              </w:rPr>
            </w:pPr>
            <w:r>
              <w:rPr>
                <w:rFonts w:ascii="Times New Roman"/>
                <w:spacing w:val="-1"/>
                <w:sz w:val="18"/>
              </w:rPr>
              <w:t>17,636</w:t>
            </w:r>
          </w:p>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,730.8</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tc>
      </w:tr>
      <w:tr>
        <w:trPr>
          <w:trHeight w:val="706" w:hRule="exact"/>
        </w:trPr>
        <w:tc>
          <w:tcPr>
            <w:tcW w:w="122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63"/>
              <w:ind w:left="11" w:right="5"/>
              <w:jc w:val="left"/>
              <w:rPr>
                <w:rFonts w:ascii="宋体" w:hAnsi="宋体" w:cs="宋体" w:eastAsia="宋体" w:hint="default"/>
                <w:sz w:val="18"/>
                <w:szCs w:val="18"/>
              </w:rPr>
            </w:pPr>
            <w:r>
              <w:rPr>
                <w:rFonts w:ascii="宋体" w:hAnsi="宋体" w:cs="宋体" w:eastAsia="宋体" w:hint="default"/>
                <w:spacing w:val="-12"/>
                <w:sz w:val="18"/>
                <w:szCs w:val="18"/>
              </w:rPr>
              <w:t>（二）所有者投</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入和减少资本</w:t>
            </w:r>
          </w:p>
        </w:tc>
        <w:tc>
          <w:tcPr>
            <w:tcW w:w="506" w:type="dxa"/>
            <w:vMerge/>
            <w:tcBorders>
              <w:left w:val="single" w:sz="10" w:space="0" w:color="D2D2D2"/>
              <w:right w:val="single" w:sz="4" w:space="0" w:color="000000"/>
            </w:tcBorders>
          </w:tcPr>
          <w:p>
            <w:pPr/>
          </w:p>
        </w:tc>
        <w:tc>
          <w:tcPr>
            <w:tcW w:w="466" w:type="dxa"/>
            <w:vMerge/>
            <w:tcBorders>
              <w:left w:val="single" w:sz="4" w:space="0" w:color="000000"/>
              <w:right w:val="single" w:sz="4" w:space="0" w:color="000000"/>
            </w:tcBorders>
          </w:tcPr>
          <w:p>
            <w:pPr/>
          </w:p>
        </w:tc>
        <w:tc>
          <w:tcPr>
            <w:tcW w:w="466" w:type="dxa"/>
            <w:vMerge/>
            <w:tcBorders>
              <w:left w:val="single" w:sz="4" w:space="0" w:color="000000"/>
              <w:right w:val="single" w:sz="4" w:space="0" w:color="000000"/>
            </w:tcBorders>
          </w:tcPr>
          <w:p>
            <w:pPr/>
          </w:p>
        </w:tc>
        <w:tc>
          <w:tcPr>
            <w:tcW w:w="470" w:type="dxa"/>
            <w:vMerge/>
            <w:tcBorders>
              <w:left w:val="single" w:sz="4" w:space="0" w:color="000000"/>
              <w:right w:val="single" w:sz="4" w:space="0" w:color="000000"/>
            </w:tcBorders>
          </w:tcPr>
          <w:p>
            <w:pPr/>
          </w:p>
        </w:tc>
        <w:tc>
          <w:tcPr>
            <w:tcW w:w="581"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81"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81"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81"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r>
      <w:tr>
        <w:trPr>
          <w:trHeight w:val="158" w:hRule="exact"/>
        </w:trPr>
        <w:tc>
          <w:tcPr>
            <w:tcW w:w="1229" w:type="dxa"/>
            <w:tcBorders>
              <w:top w:val="nil" w:sz="6" w:space="0" w:color="auto"/>
              <w:left w:val="single" w:sz="4" w:space="0" w:color="000000"/>
              <w:bottom w:val="single" w:sz="4" w:space="0" w:color="000000"/>
              <w:right w:val="single" w:sz="4" w:space="0" w:color="000000"/>
            </w:tcBorders>
            <w:shd w:val="clear" w:color="auto" w:fill="D2D2D2"/>
          </w:tcPr>
          <w:p>
            <w:pPr/>
          </w:p>
        </w:tc>
        <w:tc>
          <w:tcPr>
            <w:tcW w:w="506" w:type="dxa"/>
            <w:vMerge/>
            <w:tcBorders>
              <w:left w:val="single" w:sz="10" w:space="0" w:color="D2D2D2"/>
              <w:bottom w:val="single" w:sz="4" w:space="0" w:color="000000"/>
              <w:right w:val="single" w:sz="4" w:space="0" w:color="000000"/>
            </w:tcBorders>
          </w:tcPr>
          <w:p>
            <w:pPr/>
          </w:p>
        </w:tc>
        <w:tc>
          <w:tcPr>
            <w:tcW w:w="466" w:type="dxa"/>
            <w:vMerge/>
            <w:tcBorders>
              <w:left w:val="single" w:sz="4" w:space="0" w:color="000000"/>
              <w:bottom w:val="single" w:sz="4" w:space="0" w:color="000000"/>
              <w:right w:val="single" w:sz="4" w:space="0" w:color="000000"/>
            </w:tcBorders>
          </w:tcPr>
          <w:p>
            <w:pPr/>
          </w:p>
        </w:tc>
        <w:tc>
          <w:tcPr>
            <w:tcW w:w="466" w:type="dxa"/>
            <w:vMerge/>
            <w:tcBorders>
              <w:left w:val="single" w:sz="4" w:space="0" w:color="000000"/>
              <w:bottom w:val="single" w:sz="4" w:space="0" w:color="000000"/>
              <w:right w:val="single" w:sz="4" w:space="0" w:color="000000"/>
            </w:tcBorders>
          </w:tcPr>
          <w:p>
            <w:pPr/>
          </w:p>
        </w:tc>
        <w:tc>
          <w:tcPr>
            <w:tcW w:w="470" w:type="dxa"/>
            <w:vMerge/>
            <w:tcBorders>
              <w:left w:val="single" w:sz="4" w:space="0" w:color="000000"/>
              <w:bottom w:val="single" w:sz="4" w:space="0" w:color="000000"/>
              <w:right w:val="single" w:sz="4" w:space="0" w:color="000000"/>
            </w:tcBorders>
          </w:tcPr>
          <w:p>
            <w:pPr/>
          </w:p>
        </w:tc>
        <w:tc>
          <w:tcPr>
            <w:tcW w:w="581"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81"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81"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81"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r>
      <w:tr>
        <w:trPr>
          <w:trHeight w:val="163" w:hRule="exact"/>
        </w:trPr>
        <w:tc>
          <w:tcPr>
            <w:tcW w:w="1229" w:type="dxa"/>
            <w:tcBorders>
              <w:top w:val="single" w:sz="4" w:space="0" w:color="000000"/>
              <w:left w:val="single" w:sz="4" w:space="0" w:color="000000"/>
              <w:bottom w:val="nil" w:sz="6" w:space="0" w:color="auto"/>
              <w:right w:val="single" w:sz="4" w:space="0" w:color="000000"/>
            </w:tcBorders>
            <w:shd w:val="clear" w:color="auto" w:fill="D2D2D2"/>
          </w:tcPr>
          <w:p>
            <w:pPr/>
          </w:p>
        </w:tc>
        <w:tc>
          <w:tcPr>
            <w:tcW w:w="506" w:type="dxa"/>
            <w:vMerge w:val="restart"/>
            <w:tcBorders>
              <w:top w:val="single" w:sz="4" w:space="0" w:color="000000"/>
              <w:left w:val="single" w:sz="10" w:space="0" w:color="D2D2D2"/>
              <w:right w:val="single" w:sz="4" w:space="0" w:color="000000"/>
            </w:tcBorders>
          </w:tcPr>
          <w:p>
            <w:pPr/>
          </w:p>
        </w:tc>
        <w:tc>
          <w:tcPr>
            <w:tcW w:w="466" w:type="dxa"/>
            <w:vMerge w:val="restart"/>
            <w:tcBorders>
              <w:top w:val="single" w:sz="4" w:space="0" w:color="000000"/>
              <w:left w:val="single" w:sz="4" w:space="0" w:color="000000"/>
              <w:right w:val="single" w:sz="4" w:space="0" w:color="000000"/>
            </w:tcBorders>
          </w:tcPr>
          <w:p>
            <w:pPr/>
          </w:p>
        </w:tc>
        <w:tc>
          <w:tcPr>
            <w:tcW w:w="466" w:type="dxa"/>
            <w:vMerge w:val="restart"/>
            <w:tcBorders>
              <w:top w:val="single" w:sz="4" w:space="0" w:color="000000"/>
              <w:left w:val="single" w:sz="4" w:space="0" w:color="000000"/>
              <w:right w:val="single" w:sz="4" w:space="0" w:color="000000"/>
            </w:tcBorders>
          </w:tcPr>
          <w:p>
            <w:pPr/>
          </w:p>
        </w:tc>
        <w:tc>
          <w:tcPr>
            <w:tcW w:w="470" w:type="dxa"/>
            <w:vMerge w:val="restart"/>
            <w:tcBorders>
              <w:top w:val="single" w:sz="4" w:space="0" w:color="000000"/>
              <w:left w:val="single" w:sz="4" w:space="0" w:color="000000"/>
              <w:right w:val="single" w:sz="4" w:space="0" w:color="000000"/>
            </w:tcBorders>
          </w:tcPr>
          <w:p>
            <w:pPr/>
          </w:p>
        </w:tc>
        <w:tc>
          <w:tcPr>
            <w:tcW w:w="581" w:type="dxa"/>
            <w:vMerge w:val="restart"/>
            <w:tcBorders>
              <w:top w:val="single" w:sz="4" w:space="0" w:color="000000"/>
              <w:left w:val="single" w:sz="4" w:space="0" w:color="000000"/>
              <w:right w:val="single" w:sz="4" w:space="0" w:color="000000"/>
            </w:tcBorders>
          </w:tcPr>
          <w:p>
            <w:pPr>
              <w:pStyle w:val="TableParagraph"/>
              <w:spacing w:line="240" w:lineRule="auto" w:before="105"/>
              <w:ind w:right="13"/>
              <w:jc w:val="right"/>
              <w:rPr>
                <w:rFonts w:ascii="Times New Roman" w:hAnsi="Times New Roman" w:cs="Times New Roman" w:eastAsia="Times New Roman" w:hint="default"/>
                <w:sz w:val="18"/>
                <w:szCs w:val="18"/>
              </w:rPr>
            </w:pPr>
            <w:r>
              <w:rPr>
                <w:rFonts w:ascii="Times New Roman"/>
                <w:spacing w:val="-1"/>
                <w:sz w:val="18"/>
              </w:rPr>
              <w:t>16,918</w:t>
            </w:r>
          </w:p>
          <w:p>
            <w:pPr>
              <w:pStyle w:val="TableParagraph"/>
              <w:spacing w:line="240" w:lineRule="auto" w:before="105"/>
              <w:ind w:right="13"/>
              <w:jc w:val="right"/>
              <w:rPr>
                <w:rFonts w:ascii="Times New Roman" w:hAnsi="Times New Roman" w:cs="Times New Roman" w:eastAsia="Times New Roman" w:hint="default"/>
                <w:sz w:val="18"/>
                <w:szCs w:val="18"/>
              </w:rPr>
            </w:pPr>
            <w:r>
              <w:rPr>
                <w:rFonts w:ascii="Times New Roman"/>
                <w:spacing w:val="-1"/>
                <w:sz w:val="18"/>
              </w:rPr>
              <w:t>,304.0</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tc>
        <w:tc>
          <w:tcPr>
            <w:tcW w:w="586" w:type="dxa"/>
            <w:vMerge w:val="restart"/>
            <w:tcBorders>
              <w:top w:val="single" w:sz="4" w:space="0" w:color="000000"/>
              <w:left w:val="single" w:sz="4" w:space="0" w:color="000000"/>
              <w:right w:val="single" w:sz="4" w:space="0" w:color="000000"/>
            </w:tcBorders>
          </w:tcPr>
          <w:p>
            <w:pPr/>
          </w:p>
        </w:tc>
        <w:tc>
          <w:tcPr>
            <w:tcW w:w="581" w:type="dxa"/>
            <w:vMerge w:val="restart"/>
            <w:tcBorders>
              <w:top w:val="single" w:sz="4" w:space="0" w:color="000000"/>
              <w:left w:val="single" w:sz="4" w:space="0" w:color="000000"/>
              <w:right w:val="single" w:sz="4" w:space="0" w:color="000000"/>
            </w:tcBorders>
          </w:tcPr>
          <w:p>
            <w:pPr/>
          </w:p>
        </w:tc>
        <w:tc>
          <w:tcPr>
            <w:tcW w:w="586" w:type="dxa"/>
            <w:vMerge w:val="restart"/>
            <w:tcBorders>
              <w:top w:val="single" w:sz="4" w:space="0" w:color="000000"/>
              <w:left w:val="single" w:sz="4" w:space="0" w:color="000000"/>
              <w:right w:val="single" w:sz="4" w:space="0" w:color="000000"/>
            </w:tcBorders>
          </w:tcPr>
          <w:p>
            <w:pPr/>
          </w:p>
        </w:tc>
        <w:tc>
          <w:tcPr>
            <w:tcW w:w="586" w:type="dxa"/>
            <w:vMerge w:val="restart"/>
            <w:tcBorders>
              <w:top w:val="single" w:sz="4" w:space="0" w:color="000000"/>
              <w:left w:val="single" w:sz="4" w:space="0" w:color="000000"/>
              <w:right w:val="single" w:sz="4" w:space="0" w:color="000000"/>
            </w:tcBorders>
          </w:tcPr>
          <w:p>
            <w:pPr/>
          </w:p>
        </w:tc>
        <w:tc>
          <w:tcPr>
            <w:tcW w:w="581" w:type="dxa"/>
            <w:vMerge w:val="restart"/>
            <w:tcBorders>
              <w:top w:val="single" w:sz="4" w:space="0" w:color="000000"/>
              <w:left w:val="single" w:sz="4" w:space="0" w:color="000000"/>
              <w:right w:val="single" w:sz="4" w:space="0" w:color="000000"/>
            </w:tcBorders>
          </w:tcPr>
          <w:p>
            <w:pPr/>
          </w:p>
        </w:tc>
        <w:tc>
          <w:tcPr>
            <w:tcW w:w="586" w:type="dxa"/>
            <w:vMerge w:val="restart"/>
            <w:tcBorders>
              <w:top w:val="single" w:sz="4" w:space="0" w:color="000000"/>
              <w:left w:val="single" w:sz="4" w:space="0" w:color="000000"/>
              <w:right w:val="single" w:sz="4" w:space="0" w:color="000000"/>
            </w:tcBorders>
          </w:tcPr>
          <w:p>
            <w:pPr/>
          </w:p>
        </w:tc>
        <w:tc>
          <w:tcPr>
            <w:tcW w:w="586" w:type="dxa"/>
            <w:vMerge w:val="restart"/>
            <w:tcBorders>
              <w:top w:val="single" w:sz="4" w:space="0" w:color="000000"/>
              <w:left w:val="single" w:sz="4" w:space="0" w:color="000000"/>
              <w:right w:val="single" w:sz="4" w:space="0" w:color="000000"/>
            </w:tcBorders>
          </w:tcPr>
          <w:p>
            <w:pPr/>
          </w:p>
        </w:tc>
        <w:tc>
          <w:tcPr>
            <w:tcW w:w="581" w:type="dxa"/>
            <w:vMerge w:val="restart"/>
            <w:tcBorders>
              <w:top w:val="single" w:sz="4" w:space="0" w:color="000000"/>
              <w:left w:val="single" w:sz="4" w:space="0" w:color="000000"/>
              <w:right w:val="single" w:sz="4" w:space="0" w:color="000000"/>
            </w:tcBorders>
          </w:tcPr>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pacing w:val="-1"/>
                <w:sz w:val="18"/>
              </w:rPr>
              <w:t>16,918</w:t>
            </w:r>
          </w:p>
          <w:p>
            <w:pPr>
              <w:pStyle w:val="TableParagraph"/>
              <w:spacing w:line="240" w:lineRule="auto" w:before="105"/>
              <w:ind w:right="13"/>
              <w:jc w:val="right"/>
              <w:rPr>
                <w:rFonts w:ascii="Times New Roman" w:hAnsi="Times New Roman" w:cs="Times New Roman" w:eastAsia="Times New Roman" w:hint="default"/>
                <w:sz w:val="18"/>
                <w:szCs w:val="18"/>
              </w:rPr>
            </w:pPr>
            <w:r>
              <w:rPr>
                <w:rFonts w:ascii="Times New Roman"/>
                <w:spacing w:val="-1"/>
                <w:sz w:val="18"/>
              </w:rPr>
              <w:t>,304.0</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tc>
        <w:tc>
          <w:tcPr>
            <w:tcW w:w="58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3"/>
                <w:szCs w:val="23"/>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4,250,</w:t>
            </w:r>
          </w:p>
          <w:p>
            <w:pPr>
              <w:pStyle w:val="TableParagraph"/>
              <w:spacing w:line="240" w:lineRule="auto" w:before="105"/>
              <w:ind w:left="57" w:right="0"/>
              <w:jc w:val="left"/>
              <w:rPr>
                <w:rFonts w:ascii="Times New Roman" w:hAnsi="Times New Roman" w:cs="Times New Roman" w:eastAsia="Times New Roman" w:hint="default"/>
                <w:sz w:val="18"/>
                <w:szCs w:val="18"/>
              </w:rPr>
            </w:pPr>
            <w:r>
              <w:rPr>
                <w:rFonts w:ascii="Times New Roman"/>
                <w:sz w:val="18"/>
              </w:rPr>
              <w:t>000.00</w:t>
            </w:r>
          </w:p>
        </w:tc>
        <w:tc>
          <w:tcPr>
            <w:tcW w:w="576" w:type="dxa"/>
            <w:vMerge w:val="restart"/>
            <w:tcBorders>
              <w:top w:val="single" w:sz="4" w:space="0" w:color="000000"/>
              <w:left w:val="single" w:sz="4" w:space="0" w:color="000000"/>
              <w:right w:val="single" w:sz="4" w:space="0" w:color="000000"/>
            </w:tcBorders>
          </w:tcPr>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pacing w:val="-1"/>
                <w:sz w:val="18"/>
              </w:rPr>
              <w:t>21,168</w:t>
            </w:r>
          </w:p>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pacing w:val="-1"/>
                <w:sz w:val="18"/>
              </w:rPr>
              <w:t>,304.0</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tc>
      </w:tr>
      <w:tr>
        <w:trPr>
          <w:trHeight w:val="701" w:hRule="exact"/>
        </w:trPr>
        <w:tc>
          <w:tcPr>
            <w:tcW w:w="122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00" w:lineRule="auto" w:before="64"/>
              <w:ind w:left="11" w:right="29"/>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．所有者投入</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的普通股</w:t>
            </w:r>
          </w:p>
        </w:tc>
        <w:tc>
          <w:tcPr>
            <w:tcW w:w="506" w:type="dxa"/>
            <w:vMerge/>
            <w:tcBorders>
              <w:left w:val="single" w:sz="10" w:space="0" w:color="D2D2D2"/>
              <w:right w:val="single" w:sz="4" w:space="0" w:color="000000"/>
            </w:tcBorders>
          </w:tcPr>
          <w:p>
            <w:pPr/>
          </w:p>
        </w:tc>
        <w:tc>
          <w:tcPr>
            <w:tcW w:w="466" w:type="dxa"/>
            <w:vMerge/>
            <w:tcBorders>
              <w:left w:val="single" w:sz="4" w:space="0" w:color="000000"/>
              <w:right w:val="single" w:sz="4" w:space="0" w:color="000000"/>
            </w:tcBorders>
          </w:tcPr>
          <w:p>
            <w:pPr/>
          </w:p>
        </w:tc>
        <w:tc>
          <w:tcPr>
            <w:tcW w:w="466" w:type="dxa"/>
            <w:vMerge/>
            <w:tcBorders>
              <w:left w:val="single" w:sz="4" w:space="0" w:color="000000"/>
              <w:right w:val="single" w:sz="4" w:space="0" w:color="000000"/>
            </w:tcBorders>
          </w:tcPr>
          <w:p>
            <w:pPr/>
          </w:p>
        </w:tc>
        <w:tc>
          <w:tcPr>
            <w:tcW w:w="470" w:type="dxa"/>
            <w:vMerge/>
            <w:tcBorders>
              <w:left w:val="single" w:sz="4" w:space="0" w:color="000000"/>
              <w:right w:val="single" w:sz="4" w:space="0" w:color="000000"/>
            </w:tcBorders>
          </w:tcPr>
          <w:p>
            <w:pPr/>
          </w:p>
        </w:tc>
        <w:tc>
          <w:tcPr>
            <w:tcW w:w="581"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81"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81"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81"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r>
      <w:tr>
        <w:trPr>
          <w:trHeight w:val="163" w:hRule="exact"/>
        </w:trPr>
        <w:tc>
          <w:tcPr>
            <w:tcW w:w="1229" w:type="dxa"/>
            <w:tcBorders>
              <w:top w:val="nil" w:sz="6" w:space="0" w:color="auto"/>
              <w:left w:val="single" w:sz="4" w:space="0" w:color="000000"/>
              <w:bottom w:val="single" w:sz="4" w:space="0" w:color="000000"/>
              <w:right w:val="single" w:sz="4" w:space="0" w:color="000000"/>
            </w:tcBorders>
            <w:shd w:val="clear" w:color="auto" w:fill="D2D2D2"/>
          </w:tcPr>
          <w:p>
            <w:pPr/>
          </w:p>
        </w:tc>
        <w:tc>
          <w:tcPr>
            <w:tcW w:w="506" w:type="dxa"/>
            <w:vMerge/>
            <w:tcBorders>
              <w:left w:val="single" w:sz="10" w:space="0" w:color="D2D2D2"/>
              <w:bottom w:val="single" w:sz="4" w:space="0" w:color="000000"/>
              <w:right w:val="single" w:sz="4" w:space="0" w:color="000000"/>
            </w:tcBorders>
          </w:tcPr>
          <w:p>
            <w:pPr/>
          </w:p>
        </w:tc>
        <w:tc>
          <w:tcPr>
            <w:tcW w:w="466" w:type="dxa"/>
            <w:vMerge/>
            <w:tcBorders>
              <w:left w:val="single" w:sz="4" w:space="0" w:color="000000"/>
              <w:bottom w:val="single" w:sz="4" w:space="0" w:color="000000"/>
              <w:right w:val="single" w:sz="4" w:space="0" w:color="000000"/>
            </w:tcBorders>
          </w:tcPr>
          <w:p>
            <w:pPr/>
          </w:p>
        </w:tc>
        <w:tc>
          <w:tcPr>
            <w:tcW w:w="466" w:type="dxa"/>
            <w:vMerge/>
            <w:tcBorders>
              <w:left w:val="single" w:sz="4" w:space="0" w:color="000000"/>
              <w:bottom w:val="single" w:sz="4" w:space="0" w:color="000000"/>
              <w:right w:val="single" w:sz="4" w:space="0" w:color="000000"/>
            </w:tcBorders>
          </w:tcPr>
          <w:p>
            <w:pPr/>
          </w:p>
        </w:tc>
        <w:tc>
          <w:tcPr>
            <w:tcW w:w="470" w:type="dxa"/>
            <w:vMerge/>
            <w:tcBorders>
              <w:left w:val="single" w:sz="4" w:space="0" w:color="000000"/>
              <w:bottom w:val="single" w:sz="4" w:space="0" w:color="000000"/>
              <w:right w:val="single" w:sz="4" w:space="0" w:color="000000"/>
            </w:tcBorders>
          </w:tcPr>
          <w:p>
            <w:pPr/>
          </w:p>
        </w:tc>
        <w:tc>
          <w:tcPr>
            <w:tcW w:w="581"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81"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81"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81"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r>
      <w:tr>
        <w:trPr>
          <w:trHeight w:val="1027" w:hRule="exact"/>
        </w:trPr>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63"/>
              <w:ind w:left="11" w:right="29"/>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．其他权益工</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具持有者投入</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资本</w:t>
            </w:r>
          </w:p>
        </w:tc>
        <w:tc>
          <w:tcPr>
            <w:tcW w:w="506" w:type="dxa"/>
            <w:tcBorders>
              <w:top w:val="single" w:sz="4" w:space="0" w:color="000000"/>
              <w:left w:val="single" w:sz="13" w:space="0" w:color="D2D2D2"/>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r>
      <w:tr>
        <w:trPr>
          <w:trHeight w:val="1023" w:hRule="exact"/>
        </w:trPr>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63"/>
              <w:ind w:left="11" w:right="29"/>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．股份支付计</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入所有者权益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的金额</w:t>
            </w:r>
          </w:p>
        </w:tc>
        <w:tc>
          <w:tcPr>
            <w:tcW w:w="506" w:type="dxa"/>
            <w:tcBorders>
              <w:top w:val="single" w:sz="4" w:space="0" w:color="000000"/>
              <w:left w:val="single" w:sz="13" w:space="0" w:color="D2D2D2"/>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r>
      <w:tr>
        <w:trPr>
          <w:trHeight w:val="163" w:hRule="exact"/>
        </w:trPr>
        <w:tc>
          <w:tcPr>
            <w:tcW w:w="1229" w:type="dxa"/>
            <w:tcBorders>
              <w:top w:val="single" w:sz="4" w:space="0" w:color="000000"/>
              <w:left w:val="single" w:sz="4" w:space="0" w:color="000000"/>
              <w:bottom w:val="nil" w:sz="6" w:space="0" w:color="auto"/>
              <w:right w:val="single" w:sz="4" w:space="0" w:color="000000"/>
            </w:tcBorders>
            <w:shd w:val="clear" w:color="auto" w:fill="D2D2D2"/>
          </w:tcPr>
          <w:p>
            <w:pPr/>
          </w:p>
        </w:tc>
        <w:tc>
          <w:tcPr>
            <w:tcW w:w="506" w:type="dxa"/>
            <w:vMerge w:val="restart"/>
            <w:tcBorders>
              <w:top w:val="single" w:sz="4" w:space="0" w:color="000000"/>
              <w:left w:val="single" w:sz="10" w:space="0" w:color="D2D2D2"/>
              <w:right w:val="single" w:sz="4" w:space="0" w:color="000000"/>
            </w:tcBorders>
          </w:tcPr>
          <w:p>
            <w:pPr/>
          </w:p>
        </w:tc>
        <w:tc>
          <w:tcPr>
            <w:tcW w:w="466" w:type="dxa"/>
            <w:vMerge w:val="restart"/>
            <w:tcBorders>
              <w:top w:val="single" w:sz="4" w:space="0" w:color="000000"/>
              <w:left w:val="single" w:sz="4" w:space="0" w:color="000000"/>
              <w:right w:val="single" w:sz="4" w:space="0" w:color="000000"/>
            </w:tcBorders>
          </w:tcPr>
          <w:p>
            <w:pPr/>
          </w:p>
        </w:tc>
        <w:tc>
          <w:tcPr>
            <w:tcW w:w="466" w:type="dxa"/>
            <w:vMerge w:val="restart"/>
            <w:tcBorders>
              <w:top w:val="single" w:sz="4" w:space="0" w:color="000000"/>
              <w:left w:val="single" w:sz="4" w:space="0" w:color="000000"/>
              <w:right w:val="single" w:sz="4" w:space="0" w:color="000000"/>
            </w:tcBorders>
          </w:tcPr>
          <w:p>
            <w:pPr/>
          </w:p>
        </w:tc>
        <w:tc>
          <w:tcPr>
            <w:tcW w:w="470" w:type="dxa"/>
            <w:vMerge w:val="restart"/>
            <w:tcBorders>
              <w:top w:val="single" w:sz="4" w:space="0" w:color="000000"/>
              <w:left w:val="single" w:sz="4" w:space="0" w:color="000000"/>
              <w:right w:val="single" w:sz="4" w:space="0" w:color="000000"/>
            </w:tcBorders>
          </w:tcPr>
          <w:p>
            <w:pPr/>
          </w:p>
        </w:tc>
        <w:tc>
          <w:tcPr>
            <w:tcW w:w="581" w:type="dxa"/>
            <w:vMerge w:val="restart"/>
            <w:tcBorders>
              <w:top w:val="single" w:sz="4" w:space="0" w:color="000000"/>
              <w:left w:val="single" w:sz="4" w:space="0" w:color="000000"/>
              <w:right w:val="single" w:sz="4" w:space="0" w:color="000000"/>
            </w:tcBorders>
          </w:tcPr>
          <w:p>
            <w:pPr>
              <w:pStyle w:val="TableParagraph"/>
              <w:spacing w:line="240" w:lineRule="auto" w:before="110"/>
              <w:ind w:left="43" w:right="0"/>
              <w:jc w:val="left"/>
              <w:rPr>
                <w:rFonts w:ascii="Times New Roman" w:hAnsi="Times New Roman" w:cs="Times New Roman" w:eastAsia="Times New Roman" w:hint="default"/>
                <w:sz w:val="18"/>
                <w:szCs w:val="18"/>
              </w:rPr>
            </w:pPr>
            <w:r>
              <w:rPr>
                <w:rFonts w:ascii="Times New Roman"/>
                <w:sz w:val="18"/>
              </w:rPr>
              <w:t>-3,531,</w:t>
            </w:r>
          </w:p>
          <w:p>
            <w:pPr>
              <w:pStyle w:val="TableParagraph"/>
              <w:spacing w:line="240" w:lineRule="auto" w:before="105"/>
              <w:ind w:left="57" w:right="0"/>
              <w:jc w:val="left"/>
              <w:rPr>
                <w:rFonts w:ascii="Times New Roman" w:hAnsi="Times New Roman" w:cs="Times New Roman" w:eastAsia="Times New Roman" w:hint="default"/>
                <w:sz w:val="18"/>
                <w:szCs w:val="18"/>
              </w:rPr>
            </w:pPr>
            <w:r>
              <w:rPr>
                <w:rFonts w:ascii="Times New Roman"/>
                <w:sz w:val="18"/>
              </w:rPr>
              <w:t>573.12</w:t>
            </w:r>
          </w:p>
        </w:tc>
        <w:tc>
          <w:tcPr>
            <w:tcW w:w="586" w:type="dxa"/>
            <w:vMerge w:val="restart"/>
            <w:tcBorders>
              <w:top w:val="single" w:sz="4" w:space="0" w:color="000000"/>
              <w:left w:val="single" w:sz="4" w:space="0" w:color="000000"/>
              <w:right w:val="single" w:sz="4" w:space="0" w:color="000000"/>
            </w:tcBorders>
          </w:tcPr>
          <w:p>
            <w:pPr/>
          </w:p>
        </w:tc>
        <w:tc>
          <w:tcPr>
            <w:tcW w:w="581" w:type="dxa"/>
            <w:vMerge w:val="restart"/>
            <w:tcBorders>
              <w:top w:val="single" w:sz="4" w:space="0" w:color="000000"/>
              <w:left w:val="single" w:sz="4" w:space="0" w:color="000000"/>
              <w:right w:val="single" w:sz="4" w:space="0" w:color="000000"/>
            </w:tcBorders>
          </w:tcPr>
          <w:p>
            <w:pPr/>
          </w:p>
        </w:tc>
        <w:tc>
          <w:tcPr>
            <w:tcW w:w="586" w:type="dxa"/>
            <w:vMerge w:val="restart"/>
            <w:tcBorders>
              <w:top w:val="single" w:sz="4" w:space="0" w:color="000000"/>
              <w:left w:val="single" w:sz="4" w:space="0" w:color="000000"/>
              <w:right w:val="single" w:sz="4" w:space="0" w:color="000000"/>
            </w:tcBorders>
          </w:tcPr>
          <w:p>
            <w:pPr/>
          </w:p>
        </w:tc>
        <w:tc>
          <w:tcPr>
            <w:tcW w:w="586" w:type="dxa"/>
            <w:vMerge w:val="restart"/>
            <w:tcBorders>
              <w:top w:val="single" w:sz="4" w:space="0" w:color="000000"/>
              <w:left w:val="single" w:sz="4" w:space="0" w:color="000000"/>
              <w:right w:val="single" w:sz="4" w:space="0" w:color="000000"/>
            </w:tcBorders>
          </w:tcPr>
          <w:p>
            <w:pPr/>
          </w:p>
        </w:tc>
        <w:tc>
          <w:tcPr>
            <w:tcW w:w="581" w:type="dxa"/>
            <w:vMerge w:val="restart"/>
            <w:tcBorders>
              <w:top w:val="single" w:sz="4" w:space="0" w:color="000000"/>
              <w:left w:val="single" w:sz="4" w:space="0" w:color="000000"/>
              <w:right w:val="single" w:sz="4" w:space="0" w:color="000000"/>
            </w:tcBorders>
          </w:tcPr>
          <w:p>
            <w:pPr/>
          </w:p>
        </w:tc>
        <w:tc>
          <w:tcPr>
            <w:tcW w:w="586" w:type="dxa"/>
            <w:vMerge w:val="restart"/>
            <w:tcBorders>
              <w:top w:val="single" w:sz="4" w:space="0" w:color="000000"/>
              <w:left w:val="single" w:sz="4" w:space="0" w:color="000000"/>
              <w:right w:val="single" w:sz="4" w:space="0" w:color="000000"/>
            </w:tcBorders>
          </w:tcPr>
          <w:p>
            <w:pPr/>
          </w:p>
        </w:tc>
        <w:tc>
          <w:tcPr>
            <w:tcW w:w="586" w:type="dxa"/>
            <w:vMerge w:val="restart"/>
            <w:tcBorders>
              <w:top w:val="single" w:sz="4" w:space="0" w:color="000000"/>
              <w:left w:val="single" w:sz="4" w:space="0" w:color="000000"/>
              <w:right w:val="single" w:sz="4" w:space="0" w:color="000000"/>
            </w:tcBorders>
          </w:tcPr>
          <w:p>
            <w:pPr/>
          </w:p>
        </w:tc>
        <w:tc>
          <w:tcPr>
            <w:tcW w:w="581" w:type="dxa"/>
            <w:vMerge w:val="restart"/>
            <w:tcBorders>
              <w:top w:val="single" w:sz="4" w:space="0" w:color="000000"/>
              <w:left w:val="single" w:sz="4" w:space="0" w:color="000000"/>
              <w:right w:val="single" w:sz="4" w:space="0" w:color="000000"/>
            </w:tcBorders>
          </w:tcPr>
          <w:p>
            <w:pPr>
              <w:pStyle w:val="TableParagraph"/>
              <w:spacing w:line="240" w:lineRule="auto" w:before="110"/>
              <w:ind w:left="43" w:right="0"/>
              <w:jc w:val="left"/>
              <w:rPr>
                <w:rFonts w:ascii="Times New Roman" w:hAnsi="Times New Roman" w:cs="Times New Roman" w:eastAsia="Times New Roman" w:hint="default"/>
                <w:sz w:val="18"/>
                <w:szCs w:val="18"/>
              </w:rPr>
            </w:pPr>
            <w:r>
              <w:rPr>
                <w:rFonts w:ascii="Times New Roman"/>
                <w:sz w:val="18"/>
              </w:rPr>
              <w:t>-3,531,</w:t>
            </w:r>
          </w:p>
          <w:p>
            <w:pPr>
              <w:pStyle w:val="TableParagraph"/>
              <w:spacing w:line="240" w:lineRule="auto" w:before="105"/>
              <w:ind w:left="57" w:right="0"/>
              <w:jc w:val="left"/>
              <w:rPr>
                <w:rFonts w:ascii="Times New Roman" w:hAnsi="Times New Roman" w:cs="Times New Roman" w:eastAsia="Times New Roman" w:hint="default"/>
                <w:sz w:val="18"/>
                <w:szCs w:val="18"/>
              </w:rPr>
            </w:pPr>
            <w:r>
              <w:rPr>
                <w:rFonts w:ascii="Times New Roman"/>
                <w:sz w:val="18"/>
              </w:rPr>
              <w:t>573.12</w:t>
            </w:r>
          </w:p>
        </w:tc>
        <w:tc>
          <w:tcPr>
            <w:tcW w:w="586" w:type="dxa"/>
            <w:vMerge w:val="restart"/>
            <w:tcBorders>
              <w:top w:val="single" w:sz="4" w:space="0" w:color="000000"/>
              <w:left w:val="single" w:sz="4" w:space="0" w:color="000000"/>
              <w:right w:val="single" w:sz="4" w:space="0" w:color="000000"/>
            </w:tcBorders>
          </w:tcPr>
          <w:p>
            <w:pPr/>
          </w:p>
        </w:tc>
        <w:tc>
          <w:tcPr>
            <w:tcW w:w="576" w:type="dxa"/>
            <w:vMerge w:val="restart"/>
            <w:tcBorders>
              <w:top w:val="single" w:sz="4" w:space="0" w:color="000000"/>
              <w:left w:val="single" w:sz="4" w:space="0" w:color="000000"/>
              <w:right w:val="single" w:sz="4" w:space="0" w:color="000000"/>
            </w:tcBorders>
          </w:tcPr>
          <w:p>
            <w:pPr>
              <w:pStyle w:val="TableParagraph"/>
              <w:spacing w:line="240" w:lineRule="auto" w:before="110"/>
              <w:ind w:left="38" w:right="0"/>
              <w:jc w:val="left"/>
              <w:rPr>
                <w:rFonts w:ascii="Times New Roman" w:hAnsi="Times New Roman" w:cs="Times New Roman" w:eastAsia="Times New Roman" w:hint="default"/>
                <w:sz w:val="18"/>
                <w:szCs w:val="18"/>
              </w:rPr>
            </w:pPr>
            <w:r>
              <w:rPr>
                <w:rFonts w:ascii="Times New Roman"/>
                <w:sz w:val="18"/>
              </w:rPr>
              <w:t>-3,531,</w:t>
            </w:r>
          </w:p>
          <w:p>
            <w:pPr>
              <w:pStyle w:val="TableParagraph"/>
              <w:spacing w:line="240" w:lineRule="auto" w:before="105"/>
              <w:ind w:left="52" w:right="0"/>
              <w:jc w:val="left"/>
              <w:rPr>
                <w:rFonts w:ascii="Times New Roman" w:hAnsi="Times New Roman" w:cs="Times New Roman" w:eastAsia="Times New Roman" w:hint="default"/>
                <w:sz w:val="18"/>
                <w:szCs w:val="18"/>
              </w:rPr>
            </w:pPr>
            <w:r>
              <w:rPr>
                <w:rFonts w:ascii="Times New Roman"/>
                <w:sz w:val="18"/>
              </w:rPr>
              <w:t>573.12</w:t>
            </w:r>
          </w:p>
        </w:tc>
      </w:tr>
      <w:tr>
        <w:trPr>
          <w:trHeight w:val="394" w:hRule="exact"/>
        </w:trPr>
        <w:tc>
          <w:tcPr>
            <w:tcW w:w="122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63"/>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06" w:type="dxa"/>
            <w:vMerge/>
            <w:tcBorders>
              <w:left w:val="single" w:sz="10" w:space="0" w:color="D2D2D2"/>
              <w:right w:val="single" w:sz="4" w:space="0" w:color="000000"/>
            </w:tcBorders>
          </w:tcPr>
          <w:p>
            <w:pPr/>
          </w:p>
        </w:tc>
        <w:tc>
          <w:tcPr>
            <w:tcW w:w="466" w:type="dxa"/>
            <w:vMerge/>
            <w:tcBorders>
              <w:left w:val="single" w:sz="4" w:space="0" w:color="000000"/>
              <w:right w:val="single" w:sz="4" w:space="0" w:color="000000"/>
            </w:tcBorders>
          </w:tcPr>
          <w:p>
            <w:pPr/>
          </w:p>
        </w:tc>
        <w:tc>
          <w:tcPr>
            <w:tcW w:w="466" w:type="dxa"/>
            <w:vMerge/>
            <w:tcBorders>
              <w:left w:val="single" w:sz="4" w:space="0" w:color="000000"/>
              <w:right w:val="single" w:sz="4" w:space="0" w:color="000000"/>
            </w:tcBorders>
          </w:tcPr>
          <w:p>
            <w:pPr/>
          </w:p>
        </w:tc>
        <w:tc>
          <w:tcPr>
            <w:tcW w:w="470" w:type="dxa"/>
            <w:vMerge/>
            <w:tcBorders>
              <w:left w:val="single" w:sz="4" w:space="0" w:color="000000"/>
              <w:right w:val="single" w:sz="4" w:space="0" w:color="000000"/>
            </w:tcBorders>
          </w:tcPr>
          <w:p>
            <w:pPr/>
          </w:p>
        </w:tc>
        <w:tc>
          <w:tcPr>
            <w:tcW w:w="581"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81"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81"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81"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r>
      <w:tr>
        <w:trPr>
          <w:trHeight w:val="159" w:hRule="exact"/>
        </w:trPr>
        <w:tc>
          <w:tcPr>
            <w:tcW w:w="1229" w:type="dxa"/>
            <w:tcBorders>
              <w:top w:val="nil" w:sz="6" w:space="0" w:color="auto"/>
              <w:left w:val="single" w:sz="4" w:space="0" w:color="000000"/>
              <w:bottom w:val="single" w:sz="4" w:space="0" w:color="000000"/>
              <w:right w:val="single" w:sz="4" w:space="0" w:color="000000"/>
            </w:tcBorders>
            <w:shd w:val="clear" w:color="auto" w:fill="D2D2D2"/>
          </w:tcPr>
          <w:p>
            <w:pPr/>
          </w:p>
        </w:tc>
        <w:tc>
          <w:tcPr>
            <w:tcW w:w="506" w:type="dxa"/>
            <w:vMerge/>
            <w:tcBorders>
              <w:left w:val="single" w:sz="10" w:space="0" w:color="D2D2D2"/>
              <w:bottom w:val="single" w:sz="4" w:space="0" w:color="000000"/>
              <w:right w:val="single" w:sz="4" w:space="0" w:color="000000"/>
            </w:tcBorders>
          </w:tcPr>
          <w:p>
            <w:pPr/>
          </w:p>
        </w:tc>
        <w:tc>
          <w:tcPr>
            <w:tcW w:w="466" w:type="dxa"/>
            <w:vMerge/>
            <w:tcBorders>
              <w:left w:val="single" w:sz="4" w:space="0" w:color="000000"/>
              <w:bottom w:val="single" w:sz="4" w:space="0" w:color="000000"/>
              <w:right w:val="single" w:sz="4" w:space="0" w:color="000000"/>
            </w:tcBorders>
          </w:tcPr>
          <w:p>
            <w:pPr/>
          </w:p>
        </w:tc>
        <w:tc>
          <w:tcPr>
            <w:tcW w:w="466" w:type="dxa"/>
            <w:vMerge/>
            <w:tcBorders>
              <w:left w:val="single" w:sz="4" w:space="0" w:color="000000"/>
              <w:bottom w:val="single" w:sz="4" w:space="0" w:color="000000"/>
              <w:right w:val="single" w:sz="4" w:space="0" w:color="000000"/>
            </w:tcBorders>
          </w:tcPr>
          <w:p>
            <w:pPr/>
          </w:p>
        </w:tc>
        <w:tc>
          <w:tcPr>
            <w:tcW w:w="470" w:type="dxa"/>
            <w:vMerge/>
            <w:tcBorders>
              <w:left w:val="single" w:sz="4" w:space="0" w:color="000000"/>
              <w:bottom w:val="single" w:sz="4" w:space="0" w:color="000000"/>
              <w:right w:val="single" w:sz="4" w:space="0" w:color="000000"/>
            </w:tcBorders>
          </w:tcPr>
          <w:p>
            <w:pPr/>
          </w:p>
        </w:tc>
        <w:tc>
          <w:tcPr>
            <w:tcW w:w="581"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81"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81"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81"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r>
      <w:tr>
        <w:trPr>
          <w:trHeight w:val="317" w:hRule="exact"/>
        </w:trPr>
        <w:tc>
          <w:tcPr>
            <w:tcW w:w="1229" w:type="dxa"/>
            <w:tcBorders>
              <w:top w:val="single" w:sz="4" w:space="0" w:color="000000"/>
              <w:left w:val="single" w:sz="4" w:space="0" w:color="000000"/>
              <w:bottom w:val="nil" w:sz="6" w:space="0" w:color="auto"/>
              <w:right w:val="single" w:sz="4" w:space="0" w:color="000000"/>
            </w:tcBorders>
            <w:shd w:val="clear" w:color="auto" w:fill="D2D2D2"/>
          </w:tcPr>
          <w:p>
            <w:pPr/>
          </w:p>
        </w:tc>
        <w:tc>
          <w:tcPr>
            <w:tcW w:w="506" w:type="dxa"/>
            <w:vMerge w:val="restart"/>
            <w:tcBorders>
              <w:top w:val="single" w:sz="4" w:space="0" w:color="000000"/>
              <w:left w:val="single" w:sz="10" w:space="0" w:color="D2D2D2"/>
              <w:right w:val="single" w:sz="4" w:space="0" w:color="000000"/>
            </w:tcBorders>
          </w:tcPr>
          <w:p>
            <w:pPr/>
          </w:p>
        </w:tc>
        <w:tc>
          <w:tcPr>
            <w:tcW w:w="466" w:type="dxa"/>
            <w:vMerge w:val="restart"/>
            <w:tcBorders>
              <w:top w:val="single" w:sz="4" w:space="0" w:color="000000"/>
              <w:left w:val="single" w:sz="4" w:space="0" w:color="000000"/>
              <w:right w:val="single" w:sz="4" w:space="0" w:color="000000"/>
            </w:tcBorders>
          </w:tcPr>
          <w:p>
            <w:pPr/>
          </w:p>
        </w:tc>
        <w:tc>
          <w:tcPr>
            <w:tcW w:w="466" w:type="dxa"/>
            <w:vMerge w:val="restart"/>
            <w:tcBorders>
              <w:top w:val="single" w:sz="4" w:space="0" w:color="000000"/>
              <w:left w:val="single" w:sz="4" w:space="0" w:color="000000"/>
              <w:right w:val="single" w:sz="4" w:space="0" w:color="000000"/>
            </w:tcBorders>
          </w:tcPr>
          <w:p>
            <w:pPr/>
          </w:p>
        </w:tc>
        <w:tc>
          <w:tcPr>
            <w:tcW w:w="470" w:type="dxa"/>
            <w:vMerge w:val="restart"/>
            <w:tcBorders>
              <w:top w:val="single" w:sz="4" w:space="0" w:color="000000"/>
              <w:left w:val="single" w:sz="4" w:space="0" w:color="000000"/>
              <w:right w:val="single" w:sz="4" w:space="0" w:color="000000"/>
            </w:tcBorders>
          </w:tcPr>
          <w:p>
            <w:pPr/>
          </w:p>
        </w:tc>
        <w:tc>
          <w:tcPr>
            <w:tcW w:w="581" w:type="dxa"/>
            <w:vMerge w:val="restart"/>
            <w:tcBorders>
              <w:top w:val="single" w:sz="4" w:space="0" w:color="000000"/>
              <w:left w:val="single" w:sz="4" w:space="0" w:color="000000"/>
              <w:right w:val="single" w:sz="4" w:space="0" w:color="000000"/>
            </w:tcBorders>
          </w:tcPr>
          <w:p>
            <w:pPr/>
          </w:p>
        </w:tc>
        <w:tc>
          <w:tcPr>
            <w:tcW w:w="586" w:type="dxa"/>
            <w:vMerge w:val="restart"/>
            <w:tcBorders>
              <w:top w:val="single" w:sz="4" w:space="0" w:color="000000"/>
              <w:left w:val="single" w:sz="4" w:space="0" w:color="000000"/>
              <w:right w:val="single" w:sz="4" w:space="0" w:color="000000"/>
            </w:tcBorders>
          </w:tcPr>
          <w:p>
            <w:pPr/>
          </w:p>
        </w:tc>
        <w:tc>
          <w:tcPr>
            <w:tcW w:w="581" w:type="dxa"/>
            <w:vMerge w:val="restart"/>
            <w:tcBorders>
              <w:top w:val="single" w:sz="4" w:space="0" w:color="000000"/>
              <w:left w:val="single" w:sz="4" w:space="0" w:color="000000"/>
              <w:right w:val="single" w:sz="4" w:space="0" w:color="000000"/>
            </w:tcBorders>
          </w:tcPr>
          <w:p>
            <w:pPr/>
          </w:p>
        </w:tc>
        <w:tc>
          <w:tcPr>
            <w:tcW w:w="586" w:type="dxa"/>
            <w:vMerge w:val="restart"/>
            <w:tcBorders>
              <w:top w:val="single" w:sz="4" w:space="0" w:color="000000"/>
              <w:left w:val="single" w:sz="4" w:space="0" w:color="000000"/>
              <w:right w:val="single" w:sz="4" w:space="0" w:color="000000"/>
            </w:tcBorders>
          </w:tcPr>
          <w:p>
            <w:pPr/>
          </w:p>
        </w:tc>
        <w:tc>
          <w:tcPr>
            <w:tcW w:w="586"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38" w:right="0"/>
              <w:jc w:val="center"/>
              <w:rPr>
                <w:rFonts w:ascii="Times New Roman" w:hAnsi="Times New Roman" w:cs="Times New Roman" w:eastAsia="Times New Roman" w:hint="default"/>
                <w:sz w:val="18"/>
                <w:szCs w:val="18"/>
              </w:rPr>
            </w:pPr>
            <w:r>
              <w:rPr>
                <w:rFonts w:ascii="Times New Roman"/>
                <w:sz w:val="18"/>
              </w:rPr>
              <w:t>944,64</w:t>
            </w:r>
          </w:p>
          <w:p>
            <w:pPr>
              <w:pStyle w:val="TableParagraph"/>
              <w:spacing w:line="240" w:lineRule="auto" w:before="105"/>
              <w:ind w:left="215" w:right="0"/>
              <w:jc w:val="center"/>
              <w:rPr>
                <w:rFonts w:ascii="Times New Roman" w:hAnsi="Times New Roman" w:cs="Times New Roman" w:eastAsia="Times New Roman" w:hint="default"/>
                <w:sz w:val="18"/>
                <w:szCs w:val="18"/>
              </w:rPr>
            </w:pPr>
            <w:r>
              <w:rPr>
                <w:rFonts w:ascii="Times New Roman"/>
                <w:sz w:val="18"/>
              </w:rPr>
              <w:t>8.80</w:t>
            </w:r>
          </w:p>
        </w:tc>
        <w:tc>
          <w:tcPr>
            <w:tcW w:w="581" w:type="dxa"/>
            <w:vMerge w:val="restart"/>
            <w:tcBorders>
              <w:top w:val="single" w:sz="4" w:space="0" w:color="000000"/>
              <w:left w:val="single" w:sz="4" w:space="0" w:color="000000"/>
              <w:right w:val="single" w:sz="4" w:space="0" w:color="000000"/>
            </w:tcBorders>
          </w:tcPr>
          <w:p>
            <w:pPr/>
          </w:p>
        </w:tc>
        <w:tc>
          <w:tcPr>
            <w:tcW w:w="586" w:type="dxa"/>
            <w:vMerge w:val="restart"/>
            <w:tcBorders>
              <w:top w:val="single" w:sz="4" w:space="0" w:color="000000"/>
              <w:left w:val="single" w:sz="4" w:space="0" w:color="000000"/>
              <w:right w:val="single" w:sz="4" w:space="0" w:color="000000"/>
            </w:tcBorders>
          </w:tcPr>
          <w:p>
            <w:pPr>
              <w:pStyle w:val="TableParagraph"/>
              <w:spacing w:line="240" w:lineRule="auto" w:before="105"/>
              <w:ind w:left="86" w:right="0"/>
              <w:jc w:val="left"/>
              <w:rPr>
                <w:rFonts w:ascii="Times New Roman" w:hAnsi="Times New Roman" w:cs="Times New Roman" w:eastAsia="Times New Roman" w:hint="default"/>
                <w:sz w:val="18"/>
                <w:szCs w:val="18"/>
              </w:rPr>
            </w:pPr>
            <w:r>
              <w:rPr>
                <w:rFonts w:ascii="Times New Roman"/>
                <w:sz w:val="18"/>
              </w:rPr>
              <w:t>-15,07</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7,459.</w:t>
            </w:r>
          </w:p>
          <w:p>
            <w:pPr>
              <w:pStyle w:val="TableParagraph"/>
              <w:spacing w:line="240" w:lineRule="auto" w:before="110"/>
              <w:ind w:left="374" w:right="0"/>
              <w:jc w:val="left"/>
              <w:rPr>
                <w:rFonts w:ascii="Times New Roman" w:hAnsi="Times New Roman" w:cs="Times New Roman" w:eastAsia="Times New Roman" w:hint="default"/>
                <w:sz w:val="18"/>
                <w:szCs w:val="18"/>
              </w:rPr>
            </w:pPr>
            <w:r>
              <w:rPr>
                <w:rFonts w:ascii="Times New Roman"/>
                <w:sz w:val="18"/>
              </w:rPr>
              <w:t>50</w:t>
            </w:r>
          </w:p>
        </w:tc>
        <w:tc>
          <w:tcPr>
            <w:tcW w:w="586" w:type="dxa"/>
            <w:vMerge w:val="restart"/>
            <w:tcBorders>
              <w:top w:val="single" w:sz="4" w:space="0" w:color="000000"/>
              <w:left w:val="single" w:sz="4" w:space="0" w:color="000000"/>
              <w:right w:val="single" w:sz="4" w:space="0" w:color="000000"/>
            </w:tcBorders>
          </w:tcPr>
          <w:p>
            <w:pPr/>
          </w:p>
        </w:tc>
        <w:tc>
          <w:tcPr>
            <w:tcW w:w="581" w:type="dxa"/>
            <w:vMerge w:val="restart"/>
            <w:tcBorders>
              <w:top w:val="single" w:sz="4" w:space="0" w:color="000000"/>
              <w:left w:val="single" w:sz="4" w:space="0" w:color="000000"/>
              <w:right w:val="single" w:sz="4" w:space="0" w:color="000000"/>
            </w:tcBorders>
          </w:tcPr>
          <w:p>
            <w:pPr>
              <w:pStyle w:val="TableParagraph"/>
              <w:spacing w:line="240" w:lineRule="auto" w:before="105"/>
              <w:ind w:left="86" w:right="0"/>
              <w:jc w:val="left"/>
              <w:rPr>
                <w:rFonts w:ascii="Times New Roman" w:hAnsi="Times New Roman" w:cs="Times New Roman" w:eastAsia="Times New Roman" w:hint="default"/>
                <w:sz w:val="18"/>
                <w:szCs w:val="18"/>
              </w:rPr>
            </w:pPr>
            <w:r>
              <w:rPr>
                <w:rFonts w:ascii="Times New Roman"/>
                <w:sz w:val="18"/>
              </w:rPr>
              <w:t>-14,13</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2,810.</w:t>
            </w:r>
          </w:p>
          <w:p>
            <w:pPr>
              <w:pStyle w:val="TableParagraph"/>
              <w:spacing w:line="240" w:lineRule="auto" w:before="110"/>
              <w:ind w:left="374" w:right="0"/>
              <w:jc w:val="left"/>
              <w:rPr>
                <w:rFonts w:ascii="Times New Roman" w:hAnsi="Times New Roman" w:cs="Times New Roman" w:eastAsia="Times New Roman" w:hint="default"/>
                <w:sz w:val="18"/>
                <w:szCs w:val="18"/>
              </w:rPr>
            </w:pPr>
            <w:r>
              <w:rPr>
                <w:rFonts w:ascii="Times New Roman"/>
                <w:sz w:val="18"/>
              </w:rPr>
              <w:t>70</w:t>
            </w:r>
          </w:p>
        </w:tc>
        <w:tc>
          <w:tcPr>
            <w:tcW w:w="586" w:type="dxa"/>
            <w:vMerge w:val="restart"/>
            <w:tcBorders>
              <w:top w:val="single" w:sz="4" w:space="0" w:color="000000"/>
              <w:left w:val="single" w:sz="4" w:space="0" w:color="000000"/>
              <w:right w:val="single" w:sz="4" w:space="0" w:color="000000"/>
            </w:tcBorders>
          </w:tcPr>
          <w:p>
            <w:pPr/>
          </w:p>
        </w:tc>
        <w:tc>
          <w:tcPr>
            <w:tcW w:w="576" w:type="dxa"/>
            <w:vMerge w:val="restart"/>
            <w:tcBorders>
              <w:top w:val="single" w:sz="4" w:space="0" w:color="000000"/>
              <w:left w:val="single" w:sz="4" w:space="0" w:color="000000"/>
              <w:right w:val="single" w:sz="4" w:space="0" w:color="000000"/>
            </w:tcBorders>
          </w:tcPr>
          <w:p>
            <w:pPr>
              <w:pStyle w:val="TableParagraph"/>
              <w:spacing w:line="240" w:lineRule="auto" w:before="105"/>
              <w:ind w:left="81" w:right="0"/>
              <w:jc w:val="left"/>
              <w:rPr>
                <w:rFonts w:ascii="Times New Roman" w:hAnsi="Times New Roman" w:cs="Times New Roman" w:eastAsia="Times New Roman" w:hint="default"/>
                <w:sz w:val="18"/>
                <w:szCs w:val="18"/>
              </w:rPr>
            </w:pPr>
            <w:r>
              <w:rPr>
                <w:rFonts w:ascii="Times New Roman"/>
                <w:sz w:val="18"/>
              </w:rPr>
              <w:t>-14,13</w:t>
            </w:r>
          </w:p>
          <w:p>
            <w:pPr>
              <w:pStyle w:val="TableParagraph"/>
              <w:spacing w:line="240" w:lineRule="auto" w:before="105"/>
              <w:ind w:left="96" w:right="0"/>
              <w:jc w:val="left"/>
              <w:rPr>
                <w:rFonts w:ascii="Times New Roman" w:hAnsi="Times New Roman" w:cs="Times New Roman" w:eastAsia="Times New Roman" w:hint="default"/>
                <w:sz w:val="18"/>
                <w:szCs w:val="18"/>
              </w:rPr>
            </w:pPr>
            <w:r>
              <w:rPr>
                <w:rFonts w:ascii="Times New Roman"/>
                <w:sz w:val="18"/>
              </w:rPr>
              <w:t>2,810.</w:t>
            </w:r>
          </w:p>
          <w:p>
            <w:pPr>
              <w:pStyle w:val="TableParagraph"/>
              <w:spacing w:line="240" w:lineRule="auto" w:before="110"/>
              <w:ind w:left="369" w:right="0"/>
              <w:jc w:val="left"/>
              <w:rPr>
                <w:rFonts w:ascii="Times New Roman" w:hAnsi="Times New Roman" w:cs="Times New Roman" w:eastAsia="Times New Roman" w:hint="default"/>
                <w:sz w:val="18"/>
                <w:szCs w:val="18"/>
              </w:rPr>
            </w:pPr>
            <w:r>
              <w:rPr>
                <w:rFonts w:ascii="Times New Roman"/>
                <w:sz w:val="18"/>
              </w:rPr>
              <w:t>70</w:t>
            </w:r>
          </w:p>
        </w:tc>
      </w:tr>
      <w:tr>
        <w:trPr>
          <w:trHeight w:val="394" w:hRule="exact"/>
        </w:trPr>
        <w:tc>
          <w:tcPr>
            <w:tcW w:w="122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pacing w:val="-12"/>
                <w:sz w:val="18"/>
                <w:szCs w:val="18"/>
              </w:rPr>
              <w:t>（三）利润分配</w:t>
            </w:r>
          </w:p>
        </w:tc>
        <w:tc>
          <w:tcPr>
            <w:tcW w:w="506" w:type="dxa"/>
            <w:vMerge/>
            <w:tcBorders>
              <w:left w:val="single" w:sz="10" w:space="0" w:color="D2D2D2"/>
              <w:right w:val="single" w:sz="4" w:space="0" w:color="000000"/>
            </w:tcBorders>
          </w:tcPr>
          <w:p>
            <w:pPr/>
          </w:p>
        </w:tc>
        <w:tc>
          <w:tcPr>
            <w:tcW w:w="466" w:type="dxa"/>
            <w:vMerge/>
            <w:tcBorders>
              <w:left w:val="single" w:sz="4" w:space="0" w:color="000000"/>
              <w:right w:val="single" w:sz="4" w:space="0" w:color="000000"/>
            </w:tcBorders>
          </w:tcPr>
          <w:p>
            <w:pPr/>
          </w:p>
        </w:tc>
        <w:tc>
          <w:tcPr>
            <w:tcW w:w="466" w:type="dxa"/>
            <w:vMerge/>
            <w:tcBorders>
              <w:left w:val="single" w:sz="4" w:space="0" w:color="000000"/>
              <w:right w:val="single" w:sz="4" w:space="0" w:color="000000"/>
            </w:tcBorders>
          </w:tcPr>
          <w:p>
            <w:pPr/>
          </w:p>
        </w:tc>
        <w:tc>
          <w:tcPr>
            <w:tcW w:w="470" w:type="dxa"/>
            <w:vMerge/>
            <w:tcBorders>
              <w:left w:val="single" w:sz="4" w:space="0" w:color="000000"/>
              <w:right w:val="single" w:sz="4" w:space="0" w:color="000000"/>
            </w:tcBorders>
          </w:tcPr>
          <w:p>
            <w:pPr/>
          </w:p>
        </w:tc>
        <w:tc>
          <w:tcPr>
            <w:tcW w:w="581"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81"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81"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81"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r>
      <w:tr>
        <w:trPr>
          <w:trHeight w:val="317" w:hRule="exact"/>
        </w:trPr>
        <w:tc>
          <w:tcPr>
            <w:tcW w:w="1229" w:type="dxa"/>
            <w:tcBorders>
              <w:top w:val="nil" w:sz="6" w:space="0" w:color="auto"/>
              <w:left w:val="single" w:sz="4" w:space="0" w:color="000000"/>
              <w:bottom w:val="single" w:sz="4" w:space="0" w:color="000000"/>
              <w:right w:val="single" w:sz="4" w:space="0" w:color="000000"/>
            </w:tcBorders>
            <w:shd w:val="clear" w:color="auto" w:fill="D2D2D2"/>
          </w:tcPr>
          <w:p>
            <w:pPr/>
          </w:p>
        </w:tc>
        <w:tc>
          <w:tcPr>
            <w:tcW w:w="506" w:type="dxa"/>
            <w:vMerge/>
            <w:tcBorders>
              <w:left w:val="single" w:sz="10" w:space="0" w:color="D2D2D2"/>
              <w:bottom w:val="single" w:sz="4" w:space="0" w:color="000000"/>
              <w:right w:val="single" w:sz="4" w:space="0" w:color="000000"/>
            </w:tcBorders>
          </w:tcPr>
          <w:p>
            <w:pPr/>
          </w:p>
        </w:tc>
        <w:tc>
          <w:tcPr>
            <w:tcW w:w="466" w:type="dxa"/>
            <w:vMerge/>
            <w:tcBorders>
              <w:left w:val="single" w:sz="4" w:space="0" w:color="000000"/>
              <w:bottom w:val="single" w:sz="4" w:space="0" w:color="000000"/>
              <w:right w:val="single" w:sz="4" w:space="0" w:color="000000"/>
            </w:tcBorders>
          </w:tcPr>
          <w:p>
            <w:pPr/>
          </w:p>
        </w:tc>
        <w:tc>
          <w:tcPr>
            <w:tcW w:w="466" w:type="dxa"/>
            <w:vMerge/>
            <w:tcBorders>
              <w:left w:val="single" w:sz="4" w:space="0" w:color="000000"/>
              <w:bottom w:val="single" w:sz="4" w:space="0" w:color="000000"/>
              <w:right w:val="single" w:sz="4" w:space="0" w:color="000000"/>
            </w:tcBorders>
          </w:tcPr>
          <w:p>
            <w:pPr/>
          </w:p>
        </w:tc>
        <w:tc>
          <w:tcPr>
            <w:tcW w:w="470" w:type="dxa"/>
            <w:vMerge/>
            <w:tcBorders>
              <w:left w:val="single" w:sz="4" w:space="0" w:color="000000"/>
              <w:bottom w:val="single" w:sz="4" w:space="0" w:color="000000"/>
              <w:right w:val="single" w:sz="4" w:space="0" w:color="000000"/>
            </w:tcBorders>
          </w:tcPr>
          <w:p>
            <w:pPr/>
          </w:p>
        </w:tc>
        <w:tc>
          <w:tcPr>
            <w:tcW w:w="581"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81"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81"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81"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r>
    </w:tbl>
    <w:p>
      <w:pPr>
        <w:spacing w:after="0"/>
        <w:sectPr>
          <w:pgSz w:w="11910" w:h="16840"/>
          <w:pgMar w:header="871" w:footer="1186" w:top="1100" w:bottom="14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48" w:type="dxa"/>
        <w:tblLayout w:type="fixed"/>
        <w:tblCellMar>
          <w:top w:w="0" w:type="dxa"/>
          <w:left w:w="0" w:type="dxa"/>
          <w:bottom w:w="0" w:type="dxa"/>
          <w:right w:w="0" w:type="dxa"/>
        </w:tblCellMar>
        <w:tblLook w:val="01E0"/>
      </w:tblPr>
      <w:tblGrid>
        <w:gridCol w:w="1253"/>
        <w:gridCol w:w="494"/>
        <w:gridCol w:w="466"/>
        <w:gridCol w:w="466"/>
        <w:gridCol w:w="470"/>
        <w:gridCol w:w="581"/>
        <w:gridCol w:w="586"/>
        <w:gridCol w:w="581"/>
        <w:gridCol w:w="586"/>
        <w:gridCol w:w="586"/>
        <w:gridCol w:w="581"/>
        <w:gridCol w:w="586"/>
        <w:gridCol w:w="586"/>
        <w:gridCol w:w="581"/>
        <w:gridCol w:w="586"/>
        <w:gridCol w:w="576"/>
      </w:tblGrid>
      <w:tr>
        <w:trPr>
          <w:trHeight w:val="715"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24" w:right="4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．提取盈余公</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积</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8" w:right="0"/>
              <w:jc w:val="center"/>
              <w:rPr>
                <w:rFonts w:ascii="Times New Roman" w:hAnsi="Times New Roman" w:cs="Times New Roman" w:eastAsia="Times New Roman" w:hint="default"/>
                <w:sz w:val="18"/>
                <w:szCs w:val="18"/>
              </w:rPr>
            </w:pPr>
            <w:r>
              <w:rPr>
                <w:rFonts w:ascii="Times New Roman"/>
                <w:sz w:val="18"/>
              </w:rPr>
              <w:t>944,64</w:t>
            </w:r>
          </w:p>
          <w:p>
            <w:pPr>
              <w:pStyle w:val="TableParagraph"/>
              <w:spacing w:line="240" w:lineRule="auto" w:before="105"/>
              <w:ind w:left="215" w:right="0"/>
              <w:jc w:val="center"/>
              <w:rPr>
                <w:rFonts w:ascii="Times New Roman" w:hAnsi="Times New Roman" w:cs="Times New Roman" w:eastAsia="Times New Roman" w:hint="default"/>
                <w:sz w:val="18"/>
                <w:szCs w:val="18"/>
              </w:rPr>
            </w:pPr>
            <w:r>
              <w:rPr>
                <w:rFonts w:ascii="Times New Roman"/>
                <w:sz w:val="18"/>
              </w:rPr>
              <w:t>8.80</w:t>
            </w: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86" w:right="0"/>
              <w:jc w:val="left"/>
              <w:rPr>
                <w:rFonts w:ascii="Times New Roman" w:hAnsi="Times New Roman" w:cs="Times New Roman" w:eastAsia="Times New Roman" w:hint="default"/>
                <w:sz w:val="18"/>
                <w:szCs w:val="18"/>
              </w:rPr>
            </w:pPr>
            <w:r>
              <w:rPr>
                <w:rFonts w:ascii="Times New Roman"/>
                <w:sz w:val="18"/>
              </w:rPr>
              <w:t>-944,6</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48.80</w:t>
            </w: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r>
      <w:tr>
        <w:trPr>
          <w:trHeight w:val="711"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24" w:right="4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．提取一般风</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险准备</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300" w:lineRule="auto"/>
              <w:ind w:left="24" w:right="17"/>
              <w:jc w:val="left"/>
              <w:rPr>
                <w:rFonts w:ascii="宋体" w:hAnsi="宋体" w:cs="宋体" w:eastAsia="宋体" w:hint="default"/>
                <w:sz w:val="18"/>
                <w:szCs w:val="18"/>
              </w:rPr>
            </w:pPr>
            <w:r>
              <w:rPr>
                <w:rFonts w:ascii="Times New Roman" w:hAnsi="Times New Roman" w:cs="Times New Roman" w:eastAsia="Times New Roman" w:hint="default"/>
                <w:spacing w:val="-21"/>
                <w:w w:val="101"/>
                <w:sz w:val="18"/>
                <w:szCs w:val="18"/>
              </w:rPr>
              <w:t>3</w:t>
            </w:r>
            <w:r>
              <w:rPr>
                <w:rFonts w:ascii="宋体" w:hAnsi="宋体" w:cs="宋体" w:eastAsia="宋体" w:hint="default"/>
                <w:spacing w:val="-21"/>
                <w:w w:val="101"/>
                <w:sz w:val="18"/>
                <w:szCs w:val="18"/>
              </w:rPr>
              <w:t>．对所有者（或</w:t>
            </w:r>
            <w:r>
              <w:rPr>
                <w:rFonts w:ascii="宋体" w:hAnsi="宋体" w:cs="宋体" w:eastAsia="宋体" w:hint="default"/>
                <w:w w:val="101"/>
                <w:sz w:val="18"/>
                <w:szCs w:val="18"/>
              </w:rPr>
              <w:t> </w:t>
            </w:r>
            <w:r>
              <w:rPr>
                <w:rFonts w:ascii="宋体" w:hAnsi="宋体" w:cs="宋体" w:eastAsia="宋体" w:hint="default"/>
                <w:sz w:val="18"/>
                <w:szCs w:val="18"/>
              </w:rPr>
              <w:t>股东）的分配</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86" w:right="0"/>
              <w:jc w:val="left"/>
              <w:rPr>
                <w:rFonts w:ascii="Times New Roman" w:hAnsi="Times New Roman" w:cs="Times New Roman" w:eastAsia="Times New Roman" w:hint="default"/>
                <w:sz w:val="18"/>
                <w:szCs w:val="18"/>
              </w:rPr>
            </w:pPr>
            <w:r>
              <w:rPr>
                <w:rFonts w:ascii="Times New Roman"/>
                <w:sz w:val="18"/>
              </w:rPr>
              <w:t>-14,13</w:t>
            </w:r>
          </w:p>
          <w:p>
            <w:pPr>
              <w:pStyle w:val="TableParagraph"/>
              <w:spacing w:line="240" w:lineRule="auto" w:before="100"/>
              <w:ind w:left="100" w:right="0"/>
              <w:jc w:val="left"/>
              <w:rPr>
                <w:rFonts w:ascii="Times New Roman" w:hAnsi="Times New Roman" w:cs="Times New Roman" w:eastAsia="Times New Roman" w:hint="default"/>
                <w:sz w:val="18"/>
                <w:szCs w:val="18"/>
              </w:rPr>
            </w:pPr>
            <w:r>
              <w:rPr>
                <w:rFonts w:ascii="Times New Roman"/>
                <w:sz w:val="18"/>
              </w:rPr>
              <w:t>2,810.</w:t>
            </w:r>
          </w:p>
          <w:p>
            <w:pPr>
              <w:pStyle w:val="TableParagraph"/>
              <w:spacing w:line="240" w:lineRule="auto" w:before="110"/>
              <w:ind w:left="374" w:right="0"/>
              <w:jc w:val="left"/>
              <w:rPr>
                <w:rFonts w:ascii="Times New Roman" w:hAnsi="Times New Roman" w:cs="Times New Roman" w:eastAsia="Times New Roman" w:hint="default"/>
                <w:sz w:val="18"/>
                <w:szCs w:val="18"/>
              </w:rPr>
            </w:pPr>
            <w:r>
              <w:rPr>
                <w:rFonts w:ascii="Times New Roman"/>
                <w:sz w:val="18"/>
              </w:rPr>
              <w:t>70</w:t>
            </w: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86" w:right="0"/>
              <w:jc w:val="left"/>
              <w:rPr>
                <w:rFonts w:ascii="Times New Roman" w:hAnsi="Times New Roman" w:cs="Times New Roman" w:eastAsia="Times New Roman" w:hint="default"/>
                <w:sz w:val="18"/>
                <w:szCs w:val="18"/>
              </w:rPr>
            </w:pPr>
            <w:r>
              <w:rPr>
                <w:rFonts w:ascii="Times New Roman"/>
                <w:sz w:val="18"/>
              </w:rPr>
              <w:t>-14,13</w:t>
            </w:r>
          </w:p>
          <w:p>
            <w:pPr>
              <w:pStyle w:val="TableParagraph"/>
              <w:spacing w:line="240" w:lineRule="auto" w:before="100"/>
              <w:ind w:left="100" w:right="0"/>
              <w:jc w:val="left"/>
              <w:rPr>
                <w:rFonts w:ascii="Times New Roman" w:hAnsi="Times New Roman" w:cs="Times New Roman" w:eastAsia="Times New Roman" w:hint="default"/>
                <w:sz w:val="18"/>
                <w:szCs w:val="18"/>
              </w:rPr>
            </w:pPr>
            <w:r>
              <w:rPr>
                <w:rFonts w:ascii="Times New Roman"/>
                <w:sz w:val="18"/>
              </w:rPr>
              <w:t>2,810.</w:t>
            </w:r>
          </w:p>
          <w:p>
            <w:pPr>
              <w:pStyle w:val="TableParagraph"/>
              <w:spacing w:line="240" w:lineRule="auto" w:before="110"/>
              <w:ind w:left="374" w:right="0"/>
              <w:jc w:val="left"/>
              <w:rPr>
                <w:rFonts w:ascii="Times New Roman" w:hAnsi="Times New Roman" w:cs="Times New Roman" w:eastAsia="Times New Roman" w:hint="default"/>
                <w:sz w:val="18"/>
                <w:szCs w:val="18"/>
              </w:rPr>
            </w:pPr>
            <w:r>
              <w:rPr>
                <w:rFonts w:ascii="Times New Roman"/>
                <w:sz w:val="18"/>
              </w:rPr>
              <w:t>70</w:t>
            </w:r>
          </w:p>
        </w:tc>
        <w:tc>
          <w:tcPr>
            <w:tcW w:w="58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81" w:right="0"/>
              <w:jc w:val="left"/>
              <w:rPr>
                <w:rFonts w:ascii="Times New Roman" w:hAnsi="Times New Roman" w:cs="Times New Roman" w:eastAsia="Times New Roman" w:hint="default"/>
                <w:sz w:val="18"/>
                <w:szCs w:val="18"/>
              </w:rPr>
            </w:pPr>
            <w:r>
              <w:rPr>
                <w:rFonts w:ascii="Times New Roman"/>
                <w:sz w:val="18"/>
              </w:rPr>
              <w:t>-14,13</w:t>
            </w:r>
          </w:p>
          <w:p>
            <w:pPr>
              <w:pStyle w:val="TableParagraph"/>
              <w:spacing w:line="240" w:lineRule="auto" w:before="100"/>
              <w:ind w:left="96" w:right="0"/>
              <w:jc w:val="left"/>
              <w:rPr>
                <w:rFonts w:ascii="Times New Roman" w:hAnsi="Times New Roman" w:cs="Times New Roman" w:eastAsia="Times New Roman" w:hint="default"/>
                <w:sz w:val="18"/>
                <w:szCs w:val="18"/>
              </w:rPr>
            </w:pPr>
            <w:r>
              <w:rPr>
                <w:rFonts w:ascii="Times New Roman"/>
                <w:sz w:val="18"/>
              </w:rPr>
              <w:t>2,810.</w:t>
            </w:r>
          </w:p>
          <w:p>
            <w:pPr>
              <w:pStyle w:val="TableParagraph"/>
              <w:spacing w:line="240" w:lineRule="auto" w:before="110"/>
              <w:ind w:left="369" w:right="0"/>
              <w:jc w:val="left"/>
              <w:rPr>
                <w:rFonts w:ascii="Times New Roman" w:hAnsi="Times New Roman" w:cs="Times New Roman" w:eastAsia="Times New Roman" w:hint="default"/>
                <w:sz w:val="18"/>
                <w:szCs w:val="18"/>
              </w:rPr>
            </w:pPr>
            <w:r>
              <w:rPr>
                <w:rFonts w:ascii="Times New Roman"/>
                <w:sz w:val="18"/>
              </w:rPr>
              <w:t>70</w:t>
            </w:r>
          </w:p>
        </w:tc>
      </w:tr>
      <w:tr>
        <w:trPr>
          <w:trHeight w:val="404"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17"/>
              <w:jc w:val="left"/>
              <w:rPr>
                <w:rFonts w:ascii="宋体" w:hAnsi="宋体" w:cs="宋体" w:eastAsia="宋体" w:hint="default"/>
                <w:sz w:val="18"/>
                <w:szCs w:val="18"/>
              </w:rPr>
            </w:pPr>
            <w:r>
              <w:rPr>
                <w:rFonts w:ascii="宋体" w:hAnsi="宋体" w:cs="宋体" w:eastAsia="宋体" w:hint="default"/>
                <w:spacing w:val="-12"/>
                <w:sz w:val="18"/>
                <w:szCs w:val="18"/>
              </w:rPr>
              <w:t>（四）所有者权</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益内部结转</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r>
      <w:tr>
        <w:trPr>
          <w:trHeight w:val="1023"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3"/>
              <w:ind w:left="24" w:right="4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．资本公积转</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增资本（或股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本）</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8"/>
              <w:ind w:left="24" w:right="4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．盈余公积转</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增资本（或股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本）</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4" w:lineRule="auto" w:before="53"/>
              <w:ind w:left="24" w:right="4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．盈余公积弥</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补亏损</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3"/>
              <w:ind w:left="24" w:right="4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4</w:t>
            </w:r>
            <w:r>
              <w:rPr>
                <w:rFonts w:ascii="宋体" w:hAnsi="宋体" w:cs="宋体" w:eastAsia="宋体" w:hint="default"/>
                <w:spacing w:val="-2"/>
                <w:sz w:val="18"/>
                <w:szCs w:val="18"/>
              </w:rPr>
              <w:t>．设定受益计</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划变动额结转</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留存收益</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r>
      <w:tr>
        <w:trPr>
          <w:trHeight w:val="1023"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3"/>
              <w:ind w:left="24" w:right="4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5</w:t>
            </w:r>
            <w:r>
              <w:rPr>
                <w:rFonts w:ascii="宋体" w:hAnsi="宋体" w:cs="宋体" w:eastAsia="宋体" w:hint="default"/>
                <w:spacing w:val="-2"/>
                <w:sz w:val="18"/>
                <w:szCs w:val="18"/>
              </w:rPr>
              <w:t>．其他综合收</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益结转留存收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益</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12"/>
                <w:sz w:val="18"/>
                <w:szCs w:val="18"/>
              </w:rPr>
              <w:t>（五）专项储备</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316" w:lineRule="auto"/>
              <w:ind w:left="24" w:right="17"/>
              <w:jc w:val="left"/>
              <w:rPr>
                <w:rFonts w:ascii="宋体" w:hAnsi="宋体" w:cs="宋体" w:eastAsia="宋体" w:hint="default"/>
                <w:sz w:val="18"/>
                <w:szCs w:val="18"/>
              </w:rPr>
            </w:pPr>
            <w:r>
              <w:rPr>
                <w:rFonts w:ascii="宋体" w:hAnsi="宋体" w:cs="宋体" w:eastAsia="宋体" w:hint="default"/>
                <w:spacing w:val="-12"/>
                <w:sz w:val="18"/>
                <w:szCs w:val="18"/>
              </w:rPr>
              <w:t>四、本期期末余</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额</w:t>
            </w:r>
          </w:p>
        </w:tc>
        <w:tc>
          <w:tcPr>
            <w:tcW w:w="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7" w:right="0"/>
              <w:jc w:val="left"/>
              <w:rPr>
                <w:rFonts w:ascii="Times New Roman" w:hAnsi="Times New Roman" w:cs="Times New Roman" w:eastAsia="Times New Roman" w:hint="default"/>
                <w:sz w:val="18"/>
                <w:szCs w:val="18"/>
              </w:rPr>
            </w:pPr>
            <w:r>
              <w:rPr>
                <w:rFonts w:ascii="Times New Roman"/>
                <w:sz w:val="18"/>
              </w:rPr>
              <w:t>706,6</w:t>
            </w:r>
          </w:p>
          <w:p>
            <w:pPr>
              <w:pStyle w:val="TableParagraph"/>
              <w:spacing w:line="240" w:lineRule="auto" w:before="105"/>
              <w:ind w:left="57" w:right="0"/>
              <w:jc w:val="left"/>
              <w:rPr>
                <w:rFonts w:ascii="Times New Roman" w:hAnsi="Times New Roman" w:cs="Times New Roman" w:eastAsia="Times New Roman" w:hint="default"/>
                <w:sz w:val="18"/>
                <w:szCs w:val="18"/>
              </w:rPr>
            </w:pPr>
            <w:r>
              <w:rPr>
                <w:rFonts w:ascii="Times New Roman"/>
                <w:sz w:val="18"/>
              </w:rPr>
              <w:t>40,53</w:t>
            </w:r>
          </w:p>
          <w:p>
            <w:pPr>
              <w:pStyle w:val="TableParagraph"/>
              <w:spacing w:line="240" w:lineRule="auto" w:before="110"/>
              <w:ind w:left="143" w:right="0"/>
              <w:jc w:val="left"/>
              <w:rPr>
                <w:rFonts w:ascii="Times New Roman" w:hAnsi="Times New Roman" w:cs="Times New Roman" w:eastAsia="Times New Roman" w:hint="default"/>
                <w:sz w:val="18"/>
                <w:szCs w:val="18"/>
              </w:rPr>
            </w:pPr>
            <w:r>
              <w:rPr>
                <w:rFonts w:ascii="Times New Roman"/>
                <w:sz w:val="18"/>
              </w:rPr>
              <w:t>5.00</w:t>
            </w: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7" w:right="0"/>
              <w:jc w:val="left"/>
              <w:rPr>
                <w:rFonts w:ascii="Times New Roman" w:hAnsi="Times New Roman" w:cs="Times New Roman" w:eastAsia="Times New Roman" w:hint="default"/>
                <w:sz w:val="18"/>
                <w:szCs w:val="18"/>
              </w:rPr>
            </w:pPr>
            <w:r>
              <w:rPr>
                <w:rFonts w:ascii="Times New Roman"/>
                <w:sz w:val="18"/>
              </w:rPr>
              <w:t>389,36</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6,482.</w:t>
            </w:r>
          </w:p>
          <w:p>
            <w:pPr>
              <w:pStyle w:val="TableParagraph"/>
              <w:spacing w:line="240" w:lineRule="auto" w:before="110"/>
              <w:ind w:left="375" w:right="0"/>
              <w:jc w:val="left"/>
              <w:rPr>
                <w:rFonts w:ascii="Times New Roman" w:hAnsi="Times New Roman" w:cs="Times New Roman" w:eastAsia="Times New Roman" w:hint="default"/>
                <w:sz w:val="18"/>
                <w:szCs w:val="18"/>
              </w:rPr>
            </w:pPr>
            <w:r>
              <w:rPr>
                <w:rFonts w:ascii="Times New Roman"/>
                <w:sz w:val="18"/>
              </w:rPr>
              <w:t>10</w:t>
            </w: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42" w:right="0"/>
              <w:jc w:val="center"/>
              <w:rPr>
                <w:rFonts w:ascii="Times New Roman" w:hAnsi="Times New Roman" w:cs="Times New Roman" w:eastAsia="Times New Roman" w:hint="default"/>
                <w:sz w:val="18"/>
                <w:szCs w:val="18"/>
              </w:rPr>
            </w:pPr>
            <w:r>
              <w:rPr>
                <w:rFonts w:ascii="Times New Roman"/>
                <w:sz w:val="18"/>
              </w:rPr>
              <w:t>310,47</w:t>
            </w:r>
          </w:p>
          <w:p>
            <w:pPr>
              <w:pStyle w:val="TableParagraph"/>
              <w:spacing w:line="240" w:lineRule="auto" w:before="105"/>
              <w:ind w:left="220" w:right="0"/>
              <w:jc w:val="center"/>
              <w:rPr>
                <w:rFonts w:ascii="Times New Roman" w:hAnsi="Times New Roman" w:cs="Times New Roman" w:eastAsia="Times New Roman" w:hint="default"/>
                <w:sz w:val="18"/>
                <w:szCs w:val="18"/>
              </w:rPr>
            </w:pPr>
            <w:r>
              <w:rPr>
                <w:rFonts w:ascii="Times New Roman"/>
                <w:sz w:val="18"/>
              </w:rPr>
              <w:t>5.25</w:t>
            </w: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28,766</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pacing w:val="-1"/>
                <w:sz w:val="18"/>
              </w:rPr>
              <w:t>,052.0</w:t>
            </w:r>
          </w:p>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7" w:right="0"/>
              <w:jc w:val="left"/>
              <w:rPr>
                <w:rFonts w:ascii="Times New Roman" w:hAnsi="Times New Roman" w:cs="Times New Roman" w:eastAsia="Times New Roman" w:hint="default"/>
                <w:sz w:val="18"/>
                <w:szCs w:val="18"/>
              </w:rPr>
            </w:pPr>
            <w:r>
              <w:rPr>
                <w:rFonts w:ascii="Times New Roman"/>
                <w:sz w:val="18"/>
              </w:rPr>
              <w:t>228,08</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4,840.</w:t>
            </w:r>
          </w:p>
          <w:p>
            <w:pPr>
              <w:pStyle w:val="TableParagraph"/>
              <w:spacing w:line="240" w:lineRule="auto" w:before="110"/>
              <w:ind w:left="374" w:right="0"/>
              <w:jc w:val="left"/>
              <w:rPr>
                <w:rFonts w:ascii="Times New Roman" w:hAnsi="Times New Roman" w:cs="Times New Roman" w:eastAsia="Times New Roman" w:hint="default"/>
                <w:sz w:val="18"/>
                <w:szCs w:val="18"/>
              </w:rPr>
            </w:pPr>
            <w:r>
              <w:rPr>
                <w:rFonts w:ascii="Times New Roman"/>
                <w:sz w:val="18"/>
              </w:rPr>
              <w:t>87</w:t>
            </w: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83" w:right="0"/>
              <w:jc w:val="center"/>
              <w:rPr>
                <w:rFonts w:ascii="Times New Roman" w:hAnsi="Times New Roman" w:cs="Times New Roman" w:eastAsia="Times New Roman" w:hint="default"/>
                <w:sz w:val="18"/>
                <w:szCs w:val="18"/>
              </w:rPr>
            </w:pPr>
            <w:r>
              <w:rPr>
                <w:rFonts w:ascii="Times New Roman"/>
                <w:sz w:val="18"/>
              </w:rPr>
              <w:t>1,353,</w:t>
            </w:r>
          </w:p>
          <w:p>
            <w:pPr>
              <w:pStyle w:val="TableParagraph"/>
              <w:spacing w:line="240" w:lineRule="auto" w:before="105"/>
              <w:ind w:left="42" w:right="0"/>
              <w:jc w:val="center"/>
              <w:rPr>
                <w:rFonts w:ascii="Times New Roman" w:hAnsi="Times New Roman" w:cs="Times New Roman" w:eastAsia="Times New Roman" w:hint="default"/>
                <w:sz w:val="18"/>
                <w:szCs w:val="18"/>
              </w:rPr>
            </w:pPr>
            <w:r>
              <w:rPr>
                <w:rFonts w:ascii="Times New Roman"/>
                <w:sz w:val="18"/>
              </w:rPr>
              <w:t>168,38</w:t>
            </w:r>
          </w:p>
          <w:p>
            <w:pPr>
              <w:pStyle w:val="TableParagraph"/>
              <w:spacing w:line="240" w:lineRule="auto" w:before="110"/>
              <w:ind w:left="220" w:right="0"/>
              <w:jc w:val="center"/>
              <w:rPr>
                <w:rFonts w:ascii="Times New Roman" w:hAnsi="Times New Roman" w:cs="Times New Roman" w:eastAsia="Times New Roman" w:hint="default"/>
                <w:sz w:val="18"/>
                <w:szCs w:val="18"/>
              </w:rPr>
            </w:pPr>
            <w:r>
              <w:rPr>
                <w:rFonts w:ascii="Times New Roman"/>
                <w:sz w:val="18"/>
              </w:rPr>
              <w:t>5.28</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21,299</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pacing w:val="-1"/>
                <w:sz w:val="18"/>
              </w:rPr>
              <w:t>,770.9</w:t>
            </w:r>
          </w:p>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9" w:right="0"/>
              <w:jc w:val="center"/>
              <w:rPr>
                <w:rFonts w:ascii="Times New Roman" w:hAnsi="Times New Roman" w:cs="Times New Roman" w:eastAsia="Times New Roman" w:hint="default"/>
                <w:sz w:val="18"/>
                <w:szCs w:val="18"/>
              </w:rPr>
            </w:pPr>
            <w:r>
              <w:rPr>
                <w:rFonts w:ascii="Times New Roman"/>
                <w:sz w:val="18"/>
              </w:rPr>
              <w:t>1,374,</w:t>
            </w:r>
          </w:p>
          <w:p>
            <w:pPr>
              <w:pStyle w:val="TableParagraph"/>
              <w:spacing w:line="240" w:lineRule="auto" w:before="105"/>
              <w:ind w:left="38" w:right="0"/>
              <w:jc w:val="center"/>
              <w:rPr>
                <w:rFonts w:ascii="Times New Roman" w:hAnsi="Times New Roman" w:cs="Times New Roman" w:eastAsia="Times New Roman" w:hint="default"/>
                <w:sz w:val="18"/>
                <w:szCs w:val="18"/>
              </w:rPr>
            </w:pPr>
            <w:r>
              <w:rPr>
                <w:rFonts w:ascii="Times New Roman"/>
                <w:sz w:val="18"/>
              </w:rPr>
              <w:t>468,15</w:t>
            </w:r>
          </w:p>
          <w:p>
            <w:pPr>
              <w:pStyle w:val="TableParagraph"/>
              <w:spacing w:line="240" w:lineRule="auto" w:before="110"/>
              <w:ind w:left="215" w:right="0"/>
              <w:jc w:val="center"/>
              <w:rPr>
                <w:rFonts w:ascii="Times New Roman" w:hAnsi="Times New Roman" w:cs="Times New Roman" w:eastAsia="Times New Roman" w:hint="default"/>
                <w:sz w:val="18"/>
                <w:szCs w:val="18"/>
              </w:rPr>
            </w:pPr>
            <w:r>
              <w:rPr>
                <w:rFonts w:ascii="Times New Roman"/>
                <w:sz w:val="18"/>
              </w:rPr>
              <w:t>6.19</w:t>
            </w:r>
          </w:p>
        </w:tc>
      </w:tr>
    </w:tbl>
    <w:p>
      <w:pPr>
        <w:pStyle w:val="BodyText"/>
        <w:spacing w:line="240" w:lineRule="auto" w:before="53"/>
        <w:ind w:right="0"/>
        <w:jc w:val="left"/>
      </w:pPr>
      <w:r>
        <w:rPr/>
        <w:t>上期金额</w:t>
      </w:r>
    </w:p>
    <w:p>
      <w:pPr>
        <w:pStyle w:val="BodyText"/>
        <w:spacing w:line="240" w:lineRule="auto" w:before="119"/>
        <w:ind w:left="0" w:right="1122"/>
        <w:jc w:val="right"/>
      </w:pPr>
      <w:r>
        <w:rPr>
          <w:spacing w:val="-2"/>
        </w:rPr>
        <w:t>单位：元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215"/>
        <w:gridCol w:w="490"/>
        <w:gridCol w:w="447"/>
        <w:gridCol w:w="451"/>
        <w:gridCol w:w="490"/>
        <w:gridCol w:w="577"/>
        <w:gridCol w:w="576"/>
        <w:gridCol w:w="576"/>
        <w:gridCol w:w="581"/>
        <w:gridCol w:w="576"/>
        <w:gridCol w:w="576"/>
        <w:gridCol w:w="591"/>
        <w:gridCol w:w="566"/>
        <w:gridCol w:w="566"/>
        <w:gridCol w:w="644"/>
        <w:gridCol w:w="648"/>
      </w:tblGrid>
      <w:tr>
        <w:trPr>
          <w:trHeight w:val="403" w:hRule="exact"/>
        </w:trPr>
        <w:tc>
          <w:tcPr>
            <w:tcW w:w="121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355" w:type="dxa"/>
            <w:gridSpan w:val="1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年年度</w:t>
            </w:r>
          </w:p>
        </w:tc>
      </w:tr>
      <w:tr>
        <w:trPr>
          <w:trHeight w:val="404" w:hRule="exact"/>
        </w:trPr>
        <w:tc>
          <w:tcPr>
            <w:tcW w:w="1215" w:type="dxa"/>
            <w:vMerge/>
            <w:tcBorders>
              <w:left w:val="single" w:sz="4" w:space="0" w:color="000000"/>
              <w:right w:val="single" w:sz="4" w:space="0" w:color="000000"/>
            </w:tcBorders>
            <w:shd w:val="clear" w:color="auto" w:fill="D2D2D2"/>
          </w:tcPr>
          <w:p>
            <w:pPr/>
          </w:p>
        </w:tc>
        <w:tc>
          <w:tcPr>
            <w:tcW w:w="7063" w:type="dxa"/>
            <w:gridSpan w:val="13"/>
            <w:tcBorders>
              <w:top w:val="single" w:sz="4" w:space="0" w:color="000000"/>
              <w:left w:val="single" w:sz="4" w:space="0" w:color="000000"/>
              <w:bottom w:val="single" w:sz="4" w:space="0" w:color="FFFFFF"/>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pacing w:val="-3"/>
                <w:sz w:val="18"/>
                <w:szCs w:val="18"/>
              </w:rPr>
              <w:t>归属于母公司所有者权益</w:t>
            </w:r>
          </w:p>
        </w:tc>
        <w:tc>
          <w:tcPr>
            <w:tcW w:w="64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22"/>
                <w:szCs w:val="22"/>
              </w:rPr>
            </w:pPr>
          </w:p>
          <w:p>
            <w:pPr>
              <w:pStyle w:val="TableParagraph"/>
              <w:spacing w:line="316" w:lineRule="auto"/>
              <w:ind w:left="48" w:right="41"/>
              <w:jc w:val="left"/>
              <w:rPr>
                <w:rFonts w:ascii="宋体" w:hAnsi="宋体" w:cs="宋体" w:eastAsia="宋体" w:hint="default"/>
                <w:sz w:val="18"/>
                <w:szCs w:val="18"/>
              </w:rPr>
            </w:pPr>
            <w:r>
              <w:rPr>
                <w:rFonts w:ascii="宋体" w:hAnsi="宋体" w:cs="宋体" w:eastAsia="宋体" w:hint="default"/>
                <w:sz w:val="18"/>
                <w:szCs w:val="18"/>
              </w:rPr>
              <w:t>少数股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东权益</w:t>
            </w:r>
          </w:p>
        </w:tc>
        <w:tc>
          <w:tcPr>
            <w:tcW w:w="64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45"/>
              <w:ind w:left="52" w:right="41"/>
              <w:jc w:val="center"/>
              <w:rPr>
                <w:rFonts w:ascii="宋体" w:hAnsi="宋体" w:cs="宋体" w:eastAsia="宋体" w:hint="default"/>
                <w:sz w:val="18"/>
                <w:szCs w:val="18"/>
              </w:rPr>
            </w:pPr>
            <w:r>
              <w:rPr>
                <w:rFonts w:ascii="宋体" w:hAnsi="宋体" w:cs="宋体" w:eastAsia="宋体" w:hint="default"/>
                <w:spacing w:val="-2"/>
                <w:sz w:val="18"/>
                <w:szCs w:val="18"/>
              </w:rPr>
              <w:t>所有者</w:t>
            </w:r>
            <w:r>
              <w:rPr>
                <w:rFonts w:ascii="宋体" w:hAnsi="宋体" w:cs="宋体" w:eastAsia="宋体" w:hint="default"/>
                <w:w w:val="101"/>
                <w:sz w:val="18"/>
                <w:szCs w:val="18"/>
              </w:rPr>
              <w:t> </w:t>
            </w:r>
            <w:r>
              <w:rPr>
                <w:rFonts w:ascii="宋体" w:hAnsi="宋体" w:cs="宋体" w:eastAsia="宋体" w:hint="default"/>
                <w:spacing w:val="-2"/>
                <w:sz w:val="18"/>
                <w:szCs w:val="18"/>
              </w:rPr>
              <w:t>权益合</w:t>
            </w:r>
            <w:r>
              <w:rPr>
                <w:rFonts w:ascii="宋体" w:hAnsi="宋体" w:cs="宋体" w:eastAsia="宋体" w:hint="default"/>
                <w:w w:val="101"/>
                <w:sz w:val="18"/>
                <w:szCs w:val="18"/>
              </w:rPr>
              <w:t> </w:t>
            </w:r>
            <w:r>
              <w:rPr>
                <w:rFonts w:ascii="宋体" w:hAnsi="宋体" w:cs="宋体" w:eastAsia="宋体" w:hint="default"/>
                <w:sz w:val="18"/>
                <w:szCs w:val="18"/>
              </w:rPr>
              <w:t>计</w:t>
            </w:r>
          </w:p>
        </w:tc>
      </w:tr>
      <w:tr>
        <w:trPr>
          <w:trHeight w:val="398" w:hRule="exact"/>
        </w:trPr>
        <w:tc>
          <w:tcPr>
            <w:tcW w:w="1215" w:type="dxa"/>
            <w:vMerge/>
            <w:tcBorders>
              <w:left w:val="single" w:sz="4" w:space="0" w:color="000000"/>
              <w:right w:val="single" w:sz="4" w:space="0" w:color="000000"/>
            </w:tcBorders>
            <w:shd w:val="clear" w:color="auto" w:fill="D2D2D2"/>
          </w:tcPr>
          <w:p>
            <w:pPr/>
          </w:p>
        </w:tc>
        <w:tc>
          <w:tcPr>
            <w:tcW w:w="490"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57"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388" w:type="dxa"/>
            <w:gridSpan w:val="3"/>
            <w:tcBorders>
              <w:top w:val="single" w:sz="4" w:space="0" w:color="FFFFFF"/>
              <w:left w:val="single" w:sz="4" w:space="0" w:color="000000"/>
              <w:bottom w:val="single" w:sz="4" w:space="0" w:color="000000"/>
              <w:right w:val="single" w:sz="4" w:space="0" w:color="000000"/>
            </w:tcBorders>
            <w:shd w:val="clear" w:color="auto" w:fill="D2D2D2"/>
          </w:tcPr>
          <w:p>
            <w:pPr>
              <w:pStyle w:val="TableParagraph"/>
              <w:spacing w:line="240" w:lineRule="auto" w:before="53"/>
              <w:ind w:left="148"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577" w:type="dxa"/>
            <w:vMerge w:val="restart"/>
            <w:tcBorders>
              <w:top w:val="single" w:sz="4" w:space="0" w:color="FFFFFF"/>
              <w:left w:val="single" w:sz="4" w:space="0" w:color="000000"/>
              <w:right w:val="single" w:sz="4" w:space="0" w:color="000000"/>
            </w:tcBorders>
            <w:shd w:val="clear" w:color="auto" w:fill="D2D2D2"/>
          </w:tcPr>
          <w:p>
            <w:pPr>
              <w:pStyle w:val="TableParagraph"/>
              <w:spacing w:line="316" w:lineRule="auto" w:before="97"/>
              <w:ind w:left="100" w:right="99"/>
              <w:jc w:val="left"/>
              <w:rPr>
                <w:rFonts w:ascii="宋体" w:hAnsi="宋体" w:cs="宋体" w:eastAsia="宋体" w:hint="default"/>
                <w:sz w:val="18"/>
                <w:szCs w:val="18"/>
              </w:rPr>
            </w:pPr>
            <w:r>
              <w:rPr>
                <w:rFonts w:ascii="宋体" w:hAnsi="宋体" w:cs="宋体" w:eastAsia="宋体" w:hint="default"/>
                <w:sz w:val="18"/>
                <w:szCs w:val="18"/>
              </w:rPr>
              <w:t>资本</w:t>
            </w:r>
            <w:r>
              <w:rPr>
                <w:rFonts w:ascii="宋体" w:hAnsi="宋体" w:cs="宋体" w:eastAsia="宋体" w:hint="default"/>
                <w:spacing w:val="-86"/>
                <w:sz w:val="18"/>
                <w:szCs w:val="18"/>
              </w:rPr>
              <w:t> </w:t>
            </w:r>
            <w:r>
              <w:rPr>
                <w:rFonts w:ascii="宋体" w:hAnsi="宋体" w:cs="宋体" w:eastAsia="宋体" w:hint="default"/>
                <w:sz w:val="18"/>
                <w:szCs w:val="18"/>
              </w:rPr>
              <w:t>公积</w:t>
            </w:r>
          </w:p>
        </w:tc>
        <w:tc>
          <w:tcPr>
            <w:tcW w:w="576" w:type="dxa"/>
            <w:vMerge w:val="restart"/>
            <w:tcBorders>
              <w:top w:val="single" w:sz="4" w:space="0" w:color="FFFFFF"/>
              <w:left w:val="single" w:sz="4" w:space="0" w:color="000000"/>
              <w:right w:val="single" w:sz="4" w:space="0" w:color="000000"/>
            </w:tcBorders>
            <w:shd w:val="clear" w:color="auto" w:fill="D2D2D2"/>
          </w:tcPr>
          <w:p>
            <w:pPr>
              <w:pStyle w:val="TableParagraph"/>
              <w:spacing w:line="316" w:lineRule="auto" w:before="97"/>
              <w:ind w:left="105" w:right="12" w:hanging="82"/>
              <w:jc w:val="left"/>
              <w:rPr>
                <w:rFonts w:ascii="宋体" w:hAnsi="宋体" w:cs="宋体" w:eastAsia="宋体" w:hint="default"/>
                <w:sz w:val="18"/>
                <w:szCs w:val="18"/>
              </w:rPr>
            </w:pPr>
            <w:r>
              <w:rPr>
                <w:rFonts w:ascii="宋体" w:hAnsi="宋体" w:cs="宋体" w:eastAsia="宋体" w:hint="default"/>
                <w:spacing w:val="-7"/>
                <w:sz w:val="18"/>
                <w:szCs w:val="18"/>
              </w:rPr>
              <w:t>减：库</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存股</w:t>
            </w:r>
          </w:p>
        </w:tc>
        <w:tc>
          <w:tcPr>
            <w:tcW w:w="576" w:type="dxa"/>
            <w:vMerge w:val="restart"/>
            <w:tcBorders>
              <w:top w:val="single" w:sz="4" w:space="0" w:color="FFFFFF"/>
              <w:left w:val="single" w:sz="4" w:space="0" w:color="000000"/>
              <w:right w:val="single" w:sz="4" w:space="0" w:color="000000"/>
            </w:tcBorders>
            <w:shd w:val="clear" w:color="auto" w:fill="D2D2D2"/>
          </w:tcPr>
          <w:p>
            <w:pPr>
              <w:pStyle w:val="TableParagraph"/>
              <w:spacing w:line="316" w:lineRule="auto" w:before="116"/>
              <w:ind w:left="105" w:right="94"/>
              <w:jc w:val="left"/>
              <w:rPr>
                <w:rFonts w:ascii="宋体" w:hAnsi="宋体" w:cs="宋体" w:eastAsia="宋体" w:hint="default"/>
                <w:sz w:val="18"/>
                <w:szCs w:val="18"/>
              </w:rPr>
            </w:pPr>
            <w:r>
              <w:rPr>
                <w:rFonts w:ascii="宋体" w:hAnsi="宋体" w:cs="宋体" w:eastAsia="宋体" w:hint="default"/>
                <w:sz w:val="18"/>
                <w:szCs w:val="18"/>
              </w:rPr>
              <w:t>其他</w:t>
            </w:r>
            <w:r>
              <w:rPr>
                <w:rFonts w:ascii="宋体" w:hAnsi="宋体" w:cs="宋体" w:eastAsia="宋体" w:hint="default"/>
                <w:spacing w:val="-86"/>
                <w:sz w:val="18"/>
                <w:szCs w:val="18"/>
              </w:rPr>
              <w:t> </w:t>
            </w:r>
            <w:r>
              <w:rPr>
                <w:rFonts w:ascii="宋体" w:hAnsi="宋体" w:cs="宋体" w:eastAsia="宋体" w:hint="default"/>
                <w:sz w:val="18"/>
                <w:szCs w:val="18"/>
              </w:rPr>
              <w:t>综合</w:t>
            </w:r>
          </w:p>
        </w:tc>
        <w:tc>
          <w:tcPr>
            <w:tcW w:w="581" w:type="dxa"/>
            <w:vMerge w:val="restart"/>
            <w:tcBorders>
              <w:top w:val="single" w:sz="4" w:space="0" w:color="FFFFFF"/>
              <w:left w:val="single" w:sz="4" w:space="0" w:color="000000"/>
              <w:right w:val="single" w:sz="4" w:space="0" w:color="000000"/>
            </w:tcBorders>
            <w:shd w:val="clear" w:color="auto" w:fill="D2D2D2"/>
          </w:tcPr>
          <w:p>
            <w:pPr>
              <w:pStyle w:val="TableParagraph"/>
              <w:spacing w:line="316" w:lineRule="auto" w:before="97"/>
              <w:ind w:left="105" w:right="98"/>
              <w:jc w:val="left"/>
              <w:rPr>
                <w:rFonts w:ascii="宋体" w:hAnsi="宋体" w:cs="宋体" w:eastAsia="宋体" w:hint="default"/>
                <w:sz w:val="18"/>
                <w:szCs w:val="18"/>
              </w:rPr>
            </w:pPr>
            <w:r>
              <w:rPr>
                <w:rFonts w:ascii="宋体" w:hAnsi="宋体" w:cs="宋体" w:eastAsia="宋体" w:hint="default"/>
                <w:sz w:val="18"/>
                <w:szCs w:val="18"/>
              </w:rPr>
              <w:t>专项</w:t>
            </w:r>
            <w:r>
              <w:rPr>
                <w:rFonts w:ascii="宋体" w:hAnsi="宋体" w:cs="宋体" w:eastAsia="宋体" w:hint="default"/>
                <w:spacing w:val="-86"/>
                <w:sz w:val="18"/>
                <w:szCs w:val="18"/>
              </w:rPr>
              <w:t> </w:t>
            </w:r>
            <w:r>
              <w:rPr>
                <w:rFonts w:ascii="宋体" w:hAnsi="宋体" w:cs="宋体" w:eastAsia="宋体" w:hint="default"/>
                <w:sz w:val="18"/>
                <w:szCs w:val="18"/>
              </w:rPr>
              <w:t>储备</w:t>
            </w:r>
          </w:p>
        </w:tc>
        <w:tc>
          <w:tcPr>
            <w:tcW w:w="576" w:type="dxa"/>
            <w:vMerge w:val="restart"/>
            <w:tcBorders>
              <w:top w:val="single" w:sz="4" w:space="0" w:color="FFFFFF"/>
              <w:left w:val="single" w:sz="4" w:space="0" w:color="000000"/>
              <w:right w:val="single" w:sz="4" w:space="0" w:color="000000"/>
            </w:tcBorders>
            <w:shd w:val="clear" w:color="auto" w:fill="D2D2D2"/>
          </w:tcPr>
          <w:p>
            <w:pPr>
              <w:pStyle w:val="TableParagraph"/>
              <w:spacing w:line="316" w:lineRule="auto" w:before="97"/>
              <w:ind w:left="100" w:right="99"/>
              <w:jc w:val="left"/>
              <w:rPr>
                <w:rFonts w:ascii="宋体" w:hAnsi="宋体" w:cs="宋体" w:eastAsia="宋体" w:hint="default"/>
                <w:sz w:val="18"/>
                <w:szCs w:val="18"/>
              </w:rPr>
            </w:pPr>
            <w:r>
              <w:rPr>
                <w:rFonts w:ascii="宋体" w:hAnsi="宋体" w:cs="宋体" w:eastAsia="宋体" w:hint="default"/>
                <w:sz w:val="18"/>
                <w:szCs w:val="18"/>
              </w:rPr>
              <w:t>盈余</w:t>
            </w:r>
            <w:r>
              <w:rPr>
                <w:rFonts w:ascii="宋体" w:hAnsi="宋体" w:cs="宋体" w:eastAsia="宋体" w:hint="default"/>
                <w:spacing w:val="-86"/>
                <w:sz w:val="18"/>
                <w:szCs w:val="18"/>
              </w:rPr>
              <w:t> </w:t>
            </w:r>
            <w:r>
              <w:rPr>
                <w:rFonts w:ascii="宋体" w:hAnsi="宋体" w:cs="宋体" w:eastAsia="宋体" w:hint="default"/>
                <w:sz w:val="18"/>
                <w:szCs w:val="18"/>
              </w:rPr>
              <w:t>公积</w:t>
            </w:r>
          </w:p>
        </w:tc>
        <w:tc>
          <w:tcPr>
            <w:tcW w:w="576" w:type="dxa"/>
            <w:vMerge w:val="restart"/>
            <w:tcBorders>
              <w:top w:val="single" w:sz="4" w:space="0" w:color="FFFFFF"/>
              <w:left w:val="single" w:sz="4" w:space="0" w:color="000000"/>
              <w:right w:val="single" w:sz="4" w:space="0" w:color="000000"/>
            </w:tcBorders>
            <w:shd w:val="clear" w:color="auto" w:fill="D2D2D2"/>
          </w:tcPr>
          <w:p>
            <w:pPr>
              <w:pStyle w:val="TableParagraph"/>
              <w:spacing w:line="316" w:lineRule="auto" w:before="116"/>
              <w:ind w:left="105" w:right="95"/>
              <w:jc w:val="left"/>
              <w:rPr>
                <w:rFonts w:ascii="宋体" w:hAnsi="宋体" w:cs="宋体" w:eastAsia="宋体" w:hint="default"/>
                <w:sz w:val="18"/>
                <w:szCs w:val="18"/>
              </w:rPr>
            </w:pPr>
            <w:r>
              <w:rPr>
                <w:rFonts w:ascii="宋体" w:hAnsi="宋体" w:cs="宋体" w:eastAsia="宋体" w:hint="default"/>
                <w:sz w:val="18"/>
                <w:szCs w:val="18"/>
              </w:rPr>
              <w:t>一般</w:t>
            </w:r>
            <w:r>
              <w:rPr>
                <w:rFonts w:ascii="宋体" w:hAnsi="宋体" w:cs="宋体" w:eastAsia="宋体" w:hint="default"/>
                <w:spacing w:val="-86"/>
                <w:sz w:val="18"/>
                <w:szCs w:val="18"/>
              </w:rPr>
              <w:t> </w:t>
            </w:r>
            <w:r>
              <w:rPr>
                <w:rFonts w:ascii="宋体" w:hAnsi="宋体" w:cs="宋体" w:eastAsia="宋体" w:hint="default"/>
                <w:sz w:val="18"/>
                <w:szCs w:val="18"/>
              </w:rPr>
              <w:t>风险</w:t>
            </w:r>
          </w:p>
        </w:tc>
        <w:tc>
          <w:tcPr>
            <w:tcW w:w="591" w:type="dxa"/>
            <w:vMerge w:val="restart"/>
            <w:tcBorders>
              <w:top w:val="single" w:sz="4" w:space="0" w:color="FFFFFF"/>
              <w:left w:val="single" w:sz="4" w:space="0" w:color="000000"/>
              <w:right w:val="single" w:sz="4" w:space="0" w:color="000000"/>
            </w:tcBorders>
            <w:shd w:val="clear" w:color="auto" w:fill="D2D2D2"/>
          </w:tcPr>
          <w:p>
            <w:pPr>
              <w:pStyle w:val="TableParagraph"/>
              <w:spacing w:line="316" w:lineRule="auto" w:before="116"/>
              <w:ind w:left="110" w:right="104"/>
              <w:jc w:val="left"/>
              <w:rPr>
                <w:rFonts w:ascii="宋体" w:hAnsi="宋体" w:cs="宋体" w:eastAsia="宋体" w:hint="default"/>
                <w:sz w:val="18"/>
                <w:szCs w:val="18"/>
              </w:rPr>
            </w:pPr>
            <w:r>
              <w:rPr>
                <w:rFonts w:ascii="宋体" w:hAnsi="宋体" w:cs="宋体" w:eastAsia="宋体" w:hint="default"/>
                <w:sz w:val="18"/>
                <w:szCs w:val="18"/>
              </w:rPr>
              <w:t>未分</w:t>
            </w:r>
            <w:r>
              <w:rPr>
                <w:rFonts w:ascii="宋体" w:hAnsi="宋体" w:cs="宋体" w:eastAsia="宋体" w:hint="default"/>
                <w:spacing w:val="-86"/>
                <w:sz w:val="18"/>
                <w:szCs w:val="18"/>
              </w:rPr>
              <w:t> </w:t>
            </w:r>
            <w:r>
              <w:rPr>
                <w:rFonts w:ascii="宋体" w:hAnsi="宋体" w:cs="宋体" w:eastAsia="宋体" w:hint="default"/>
                <w:sz w:val="18"/>
                <w:szCs w:val="18"/>
              </w:rPr>
              <w:t>配利</w:t>
            </w:r>
          </w:p>
        </w:tc>
        <w:tc>
          <w:tcPr>
            <w:tcW w:w="566"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9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6"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95"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644" w:type="dxa"/>
            <w:vMerge/>
            <w:tcBorders>
              <w:left w:val="single" w:sz="4" w:space="0" w:color="000000"/>
              <w:right w:val="single" w:sz="4" w:space="0" w:color="000000"/>
            </w:tcBorders>
            <w:shd w:val="clear" w:color="auto" w:fill="D2D2D2"/>
          </w:tcPr>
          <w:p>
            <w:pPr/>
          </w:p>
        </w:tc>
        <w:tc>
          <w:tcPr>
            <w:tcW w:w="648" w:type="dxa"/>
            <w:vMerge/>
            <w:tcBorders>
              <w:left w:val="single" w:sz="4" w:space="0" w:color="000000"/>
              <w:right w:val="single" w:sz="4" w:space="0" w:color="000000"/>
            </w:tcBorders>
            <w:shd w:val="clear" w:color="auto" w:fill="D2D2D2"/>
          </w:tcPr>
          <w:p>
            <w:pPr/>
          </w:p>
        </w:tc>
      </w:tr>
      <w:tr>
        <w:trPr>
          <w:trHeight w:val="403" w:hRule="exact"/>
        </w:trPr>
        <w:tc>
          <w:tcPr>
            <w:tcW w:w="1215" w:type="dxa"/>
            <w:vMerge/>
            <w:tcBorders>
              <w:left w:val="single" w:sz="4" w:space="0" w:color="000000"/>
              <w:bottom w:val="single" w:sz="4" w:space="0" w:color="000000"/>
              <w:right w:val="single" w:sz="4" w:space="0" w:color="000000"/>
            </w:tcBorders>
            <w:shd w:val="clear" w:color="auto" w:fill="D2D2D2"/>
          </w:tcPr>
          <w:p>
            <w:pPr/>
          </w:p>
        </w:tc>
        <w:tc>
          <w:tcPr>
            <w:tcW w:w="490" w:type="dxa"/>
            <w:vMerge/>
            <w:tcBorders>
              <w:left w:val="single" w:sz="4" w:space="0" w:color="000000"/>
              <w:bottom w:val="single" w:sz="4" w:space="0" w:color="000000"/>
              <w:right w:val="single" w:sz="4" w:space="0" w:color="000000"/>
            </w:tcBorders>
            <w:shd w:val="clear" w:color="auto" w:fill="D2D2D2"/>
          </w:tcPr>
          <w:p>
            <w:pPr/>
          </w:p>
        </w:tc>
        <w:tc>
          <w:tcPr>
            <w:tcW w:w="4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7"/>
              <w:ind w:left="38" w:right="0"/>
              <w:jc w:val="left"/>
              <w:rPr>
                <w:rFonts w:ascii="宋体" w:hAnsi="宋体" w:cs="宋体" w:eastAsia="宋体" w:hint="default"/>
                <w:sz w:val="18"/>
                <w:szCs w:val="18"/>
              </w:rPr>
            </w:pPr>
            <w:r>
              <w:rPr>
                <w:rFonts w:ascii="宋体" w:hAnsi="宋体" w:cs="宋体" w:eastAsia="宋体" w:hint="default"/>
                <w:sz w:val="18"/>
                <w:szCs w:val="18"/>
              </w:rPr>
              <w:t>优先</w:t>
            </w:r>
          </w:p>
        </w:tc>
        <w:tc>
          <w:tcPr>
            <w:tcW w:w="4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7"/>
              <w:ind w:left="38" w:right="0"/>
              <w:jc w:val="left"/>
              <w:rPr>
                <w:rFonts w:ascii="宋体" w:hAnsi="宋体" w:cs="宋体" w:eastAsia="宋体" w:hint="default"/>
                <w:sz w:val="18"/>
                <w:szCs w:val="18"/>
              </w:rPr>
            </w:pPr>
            <w:r>
              <w:rPr>
                <w:rFonts w:ascii="宋体" w:hAnsi="宋体" w:cs="宋体" w:eastAsia="宋体" w:hint="default"/>
                <w:sz w:val="18"/>
                <w:szCs w:val="18"/>
              </w:rPr>
              <w:t>永续</w:t>
            </w:r>
          </w:p>
        </w:tc>
        <w:tc>
          <w:tcPr>
            <w:tcW w:w="4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77" w:type="dxa"/>
            <w:vMerge/>
            <w:tcBorders>
              <w:left w:val="single" w:sz="4" w:space="0" w:color="000000"/>
              <w:bottom w:val="single" w:sz="4" w:space="0" w:color="000000"/>
              <w:right w:val="single" w:sz="4" w:space="0" w:color="000000"/>
            </w:tcBorders>
            <w:shd w:val="clear" w:color="auto" w:fill="D2D2D2"/>
          </w:tcPr>
          <w:p>
            <w:pPr/>
          </w:p>
        </w:tc>
        <w:tc>
          <w:tcPr>
            <w:tcW w:w="576" w:type="dxa"/>
            <w:vMerge/>
            <w:tcBorders>
              <w:left w:val="single" w:sz="4" w:space="0" w:color="000000"/>
              <w:bottom w:val="single" w:sz="4" w:space="0" w:color="000000"/>
              <w:right w:val="single" w:sz="4" w:space="0" w:color="000000"/>
            </w:tcBorders>
            <w:shd w:val="clear" w:color="auto" w:fill="D2D2D2"/>
          </w:tcPr>
          <w:p>
            <w:pPr/>
          </w:p>
        </w:tc>
        <w:tc>
          <w:tcPr>
            <w:tcW w:w="576" w:type="dxa"/>
            <w:vMerge/>
            <w:tcBorders>
              <w:left w:val="single" w:sz="4" w:space="0" w:color="000000"/>
              <w:bottom w:val="single" w:sz="4" w:space="0" w:color="000000"/>
              <w:right w:val="single" w:sz="4" w:space="0" w:color="000000"/>
            </w:tcBorders>
            <w:shd w:val="clear" w:color="auto" w:fill="D2D2D2"/>
          </w:tcPr>
          <w:p>
            <w:pPr/>
          </w:p>
        </w:tc>
        <w:tc>
          <w:tcPr>
            <w:tcW w:w="581" w:type="dxa"/>
            <w:vMerge/>
            <w:tcBorders>
              <w:left w:val="single" w:sz="4" w:space="0" w:color="000000"/>
              <w:bottom w:val="single" w:sz="4" w:space="0" w:color="000000"/>
              <w:right w:val="single" w:sz="4" w:space="0" w:color="000000"/>
            </w:tcBorders>
            <w:shd w:val="clear" w:color="auto" w:fill="D2D2D2"/>
          </w:tcPr>
          <w:p>
            <w:pPr/>
          </w:p>
        </w:tc>
        <w:tc>
          <w:tcPr>
            <w:tcW w:w="576" w:type="dxa"/>
            <w:vMerge/>
            <w:tcBorders>
              <w:left w:val="single" w:sz="4" w:space="0" w:color="000000"/>
              <w:bottom w:val="single" w:sz="4" w:space="0" w:color="000000"/>
              <w:right w:val="single" w:sz="4" w:space="0" w:color="000000"/>
            </w:tcBorders>
            <w:shd w:val="clear" w:color="auto" w:fill="D2D2D2"/>
          </w:tcPr>
          <w:p>
            <w:pPr/>
          </w:p>
        </w:tc>
        <w:tc>
          <w:tcPr>
            <w:tcW w:w="576" w:type="dxa"/>
            <w:vMerge/>
            <w:tcBorders>
              <w:left w:val="single" w:sz="4" w:space="0" w:color="000000"/>
              <w:bottom w:val="single" w:sz="4" w:space="0" w:color="000000"/>
              <w:right w:val="single" w:sz="4" w:space="0" w:color="000000"/>
            </w:tcBorders>
            <w:shd w:val="clear" w:color="auto" w:fill="D2D2D2"/>
          </w:tcPr>
          <w:p>
            <w:pPr/>
          </w:p>
        </w:tc>
        <w:tc>
          <w:tcPr>
            <w:tcW w:w="591" w:type="dxa"/>
            <w:vMerge/>
            <w:tcBorders>
              <w:left w:val="single" w:sz="4" w:space="0" w:color="000000"/>
              <w:bottom w:val="single" w:sz="4" w:space="0" w:color="000000"/>
              <w:right w:val="single" w:sz="4" w:space="0" w:color="000000"/>
            </w:tcBorders>
            <w:shd w:val="clear" w:color="auto" w:fill="D2D2D2"/>
          </w:tcPr>
          <w:p>
            <w:pPr/>
          </w:p>
        </w:tc>
        <w:tc>
          <w:tcPr>
            <w:tcW w:w="566" w:type="dxa"/>
            <w:vMerge/>
            <w:tcBorders>
              <w:left w:val="single" w:sz="4" w:space="0" w:color="000000"/>
              <w:bottom w:val="single" w:sz="4" w:space="0" w:color="000000"/>
              <w:right w:val="single" w:sz="4" w:space="0" w:color="000000"/>
            </w:tcBorders>
            <w:shd w:val="clear" w:color="auto" w:fill="D2D2D2"/>
          </w:tcPr>
          <w:p>
            <w:pPr/>
          </w:p>
        </w:tc>
        <w:tc>
          <w:tcPr>
            <w:tcW w:w="566" w:type="dxa"/>
            <w:vMerge/>
            <w:tcBorders>
              <w:left w:val="single" w:sz="4" w:space="0" w:color="000000"/>
              <w:bottom w:val="single" w:sz="4" w:space="0" w:color="000000"/>
              <w:right w:val="single" w:sz="4" w:space="0" w:color="000000"/>
            </w:tcBorders>
            <w:shd w:val="clear" w:color="auto" w:fill="D2D2D2"/>
          </w:tcPr>
          <w:p>
            <w:pPr/>
          </w:p>
        </w:tc>
        <w:tc>
          <w:tcPr>
            <w:tcW w:w="644" w:type="dxa"/>
            <w:vMerge/>
            <w:tcBorders>
              <w:left w:val="single" w:sz="4" w:space="0" w:color="000000"/>
              <w:bottom w:val="single" w:sz="4" w:space="0" w:color="000000"/>
              <w:right w:val="single" w:sz="4" w:space="0" w:color="000000"/>
            </w:tcBorders>
            <w:shd w:val="clear" w:color="auto" w:fill="D2D2D2"/>
          </w:tcPr>
          <w:p>
            <w:pPr/>
          </w:p>
        </w:tc>
        <w:tc>
          <w:tcPr>
            <w:tcW w:w="648" w:type="dxa"/>
            <w:vMerge/>
            <w:tcBorders>
              <w:left w:val="single" w:sz="4" w:space="0" w:color="000000"/>
              <w:bottom w:val="single" w:sz="4" w:space="0" w:color="000000"/>
              <w:right w:val="single" w:sz="4" w:space="0" w:color="000000"/>
            </w:tcBorders>
            <w:shd w:val="clear" w:color="auto" w:fill="D2D2D2"/>
          </w:tcPr>
          <w:p>
            <w:pPr/>
          </w:p>
        </w:tc>
      </w:tr>
    </w:tbl>
    <w:p>
      <w:pPr>
        <w:spacing w:after="0"/>
        <w:sectPr>
          <w:footerReference w:type="default" r:id="rId21"/>
          <w:pgSz w:w="11910" w:h="16840"/>
          <w:pgMar w:footer="1186" w:header="871" w:top="1100" w:bottom="138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1191"/>
        <w:gridCol w:w="502"/>
        <w:gridCol w:w="447"/>
        <w:gridCol w:w="451"/>
        <w:gridCol w:w="490"/>
        <w:gridCol w:w="577"/>
        <w:gridCol w:w="576"/>
        <w:gridCol w:w="576"/>
        <w:gridCol w:w="581"/>
        <w:gridCol w:w="576"/>
        <w:gridCol w:w="576"/>
        <w:gridCol w:w="591"/>
        <w:gridCol w:w="566"/>
        <w:gridCol w:w="566"/>
        <w:gridCol w:w="644"/>
        <w:gridCol w:w="648"/>
      </w:tblGrid>
      <w:tr>
        <w:trPr>
          <w:trHeight w:val="360" w:hRule="exact"/>
        </w:trPr>
        <w:tc>
          <w:tcPr>
            <w:tcW w:w="119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0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left="129" w:right="0"/>
              <w:jc w:val="left"/>
              <w:rPr>
                <w:rFonts w:ascii="宋体" w:hAnsi="宋体" w:cs="宋体" w:eastAsia="宋体" w:hint="default"/>
                <w:sz w:val="18"/>
                <w:szCs w:val="18"/>
              </w:rPr>
            </w:pPr>
            <w:r>
              <w:rPr>
                <w:rFonts w:ascii="宋体" w:hAnsi="宋体" w:cs="宋体" w:eastAsia="宋体" w:hint="default"/>
                <w:w w:val="101"/>
                <w:sz w:val="18"/>
                <w:szCs w:val="18"/>
              </w:rPr>
              <w:t>股</w:t>
            </w:r>
            <w:r>
              <w:rPr>
                <w:rFonts w:ascii="宋体" w:hAnsi="宋体" w:cs="宋体" w:eastAsia="宋体" w:hint="default"/>
                <w:sz w:val="18"/>
                <w:szCs w:val="18"/>
              </w:rPr>
            </w:r>
          </w:p>
        </w:tc>
        <w:tc>
          <w:tcPr>
            <w:tcW w:w="4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left="129" w:right="0"/>
              <w:jc w:val="left"/>
              <w:rPr>
                <w:rFonts w:ascii="宋体" w:hAnsi="宋体" w:cs="宋体" w:eastAsia="宋体" w:hint="default"/>
                <w:sz w:val="18"/>
                <w:szCs w:val="18"/>
              </w:rPr>
            </w:pPr>
            <w:r>
              <w:rPr>
                <w:rFonts w:ascii="宋体" w:hAnsi="宋体" w:cs="宋体" w:eastAsia="宋体" w:hint="default"/>
                <w:w w:val="101"/>
                <w:sz w:val="18"/>
                <w:szCs w:val="18"/>
              </w:rPr>
              <w:t>债</w:t>
            </w:r>
            <w:r>
              <w:rPr>
                <w:rFonts w:ascii="宋体" w:hAnsi="宋体" w:cs="宋体" w:eastAsia="宋体" w:hint="default"/>
                <w:sz w:val="18"/>
                <w:szCs w:val="18"/>
              </w:rPr>
            </w:r>
          </w:p>
        </w:tc>
        <w:tc>
          <w:tcPr>
            <w:tcW w:w="4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7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7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left="105" w:right="0"/>
              <w:jc w:val="left"/>
              <w:rPr>
                <w:rFonts w:ascii="宋体" w:hAnsi="宋体" w:cs="宋体" w:eastAsia="宋体" w:hint="default"/>
                <w:sz w:val="18"/>
                <w:szCs w:val="18"/>
              </w:rPr>
            </w:pPr>
            <w:r>
              <w:rPr>
                <w:rFonts w:ascii="宋体" w:hAnsi="宋体" w:cs="宋体" w:eastAsia="宋体" w:hint="default"/>
                <w:sz w:val="18"/>
                <w:szCs w:val="18"/>
              </w:rPr>
              <w:t>收益</w:t>
            </w:r>
          </w:p>
        </w:tc>
        <w:tc>
          <w:tcPr>
            <w:tcW w:w="58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7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left="105" w:right="0"/>
              <w:jc w:val="left"/>
              <w:rPr>
                <w:rFonts w:ascii="宋体" w:hAnsi="宋体" w:cs="宋体" w:eastAsia="宋体" w:hint="default"/>
                <w:sz w:val="18"/>
                <w:szCs w:val="18"/>
              </w:rPr>
            </w:pPr>
            <w:r>
              <w:rPr>
                <w:rFonts w:ascii="宋体" w:hAnsi="宋体" w:cs="宋体" w:eastAsia="宋体" w:hint="default"/>
                <w:sz w:val="18"/>
                <w:szCs w:val="18"/>
              </w:rPr>
              <w:t>准备</w:t>
            </w:r>
          </w:p>
        </w:tc>
        <w:tc>
          <w:tcPr>
            <w:tcW w:w="5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left="4" w:right="0"/>
              <w:jc w:val="center"/>
              <w:rPr>
                <w:rFonts w:ascii="宋体" w:hAnsi="宋体" w:cs="宋体" w:eastAsia="宋体" w:hint="default"/>
                <w:sz w:val="18"/>
                <w:szCs w:val="18"/>
              </w:rPr>
            </w:pPr>
            <w:r>
              <w:rPr>
                <w:rFonts w:ascii="宋体" w:hAnsi="宋体" w:cs="宋体" w:eastAsia="宋体" w:hint="default"/>
                <w:w w:val="101"/>
                <w:sz w:val="18"/>
                <w:szCs w:val="18"/>
              </w:rPr>
              <w:t>润</w:t>
            </w:r>
            <w:r>
              <w:rPr>
                <w:rFonts w:ascii="宋体" w:hAnsi="宋体" w:cs="宋体" w:eastAsia="宋体" w:hint="default"/>
                <w:sz w:val="18"/>
                <w:szCs w:val="18"/>
              </w:rPr>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4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4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163" w:hRule="exact"/>
        </w:trPr>
        <w:tc>
          <w:tcPr>
            <w:tcW w:w="1191" w:type="dxa"/>
            <w:tcBorders>
              <w:top w:val="single" w:sz="4" w:space="0" w:color="000000"/>
              <w:left w:val="single" w:sz="4" w:space="0" w:color="000000"/>
              <w:bottom w:val="nil" w:sz="6" w:space="0" w:color="auto"/>
              <w:right w:val="single" w:sz="4" w:space="0" w:color="000000"/>
            </w:tcBorders>
            <w:shd w:val="clear" w:color="auto" w:fill="D2D2D2"/>
          </w:tcPr>
          <w:p>
            <w:pPr/>
          </w:p>
        </w:tc>
        <w:tc>
          <w:tcPr>
            <w:tcW w:w="502" w:type="dxa"/>
            <w:vMerge w:val="restart"/>
            <w:tcBorders>
              <w:top w:val="single" w:sz="4" w:space="0" w:color="000000"/>
              <w:left w:val="single" w:sz="10" w:space="0" w:color="D2D2D2"/>
              <w:right w:val="single" w:sz="4" w:space="0" w:color="000000"/>
            </w:tcBorders>
          </w:tcPr>
          <w:p>
            <w:pPr>
              <w:pStyle w:val="TableParagraph"/>
              <w:spacing w:line="240" w:lineRule="auto" w:before="96"/>
              <w:ind w:left="57" w:right="0"/>
              <w:jc w:val="left"/>
              <w:rPr>
                <w:rFonts w:ascii="Times New Roman" w:hAnsi="Times New Roman" w:cs="Times New Roman" w:eastAsia="Times New Roman" w:hint="default"/>
                <w:sz w:val="18"/>
                <w:szCs w:val="18"/>
              </w:rPr>
            </w:pPr>
            <w:r>
              <w:rPr>
                <w:rFonts w:ascii="Times New Roman"/>
                <w:sz w:val="18"/>
              </w:rPr>
              <w:t>706,6</w:t>
            </w:r>
          </w:p>
          <w:p>
            <w:pPr>
              <w:pStyle w:val="TableParagraph"/>
              <w:spacing w:line="240" w:lineRule="auto" w:before="105"/>
              <w:ind w:left="57" w:right="0"/>
              <w:jc w:val="left"/>
              <w:rPr>
                <w:rFonts w:ascii="Times New Roman" w:hAnsi="Times New Roman" w:cs="Times New Roman" w:eastAsia="Times New Roman" w:hint="default"/>
                <w:sz w:val="18"/>
                <w:szCs w:val="18"/>
              </w:rPr>
            </w:pPr>
            <w:r>
              <w:rPr>
                <w:rFonts w:ascii="Times New Roman"/>
                <w:sz w:val="18"/>
              </w:rPr>
              <w:t>40,53</w:t>
            </w:r>
          </w:p>
          <w:p>
            <w:pPr>
              <w:pStyle w:val="TableParagraph"/>
              <w:spacing w:line="240" w:lineRule="auto" w:before="110"/>
              <w:ind w:left="144" w:right="0"/>
              <w:jc w:val="left"/>
              <w:rPr>
                <w:rFonts w:ascii="Times New Roman" w:hAnsi="Times New Roman" w:cs="Times New Roman" w:eastAsia="Times New Roman" w:hint="default"/>
                <w:sz w:val="18"/>
                <w:szCs w:val="18"/>
              </w:rPr>
            </w:pPr>
            <w:r>
              <w:rPr>
                <w:rFonts w:ascii="Times New Roman"/>
                <w:sz w:val="18"/>
              </w:rPr>
              <w:t>5.00</w:t>
            </w:r>
          </w:p>
        </w:tc>
        <w:tc>
          <w:tcPr>
            <w:tcW w:w="447" w:type="dxa"/>
            <w:vMerge w:val="restart"/>
            <w:tcBorders>
              <w:top w:val="single" w:sz="4" w:space="0" w:color="000000"/>
              <w:left w:val="single" w:sz="4" w:space="0" w:color="000000"/>
              <w:right w:val="single" w:sz="4" w:space="0" w:color="000000"/>
            </w:tcBorders>
          </w:tcPr>
          <w:p>
            <w:pPr/>
          </w:p>
        </w:tc>
        <w:tc>
          <w:tcPr>
            <w:tcW w:w="451" w:type="dxa"/>
            <w:vMerge w:val="restart"/>
            <w:tcBorders>
              <w:top w:val="single" w:sz="4" w:space="0" w:color="000000"/>
              <w:left w:val="single" w:sz="4" w:space="0" w:color="000000"/>
              <w:right w:val="single" w:sz="4" w:space="0" w:color="000000"/>
            </w:tcBorders>
          </w:tcPr>
          <w:p>
            <w:pPr/>
          </w:p>
        </w:tc>
        <w:tc>
          <w:tcPr>
            <w:tcW w:w="490" w:type="dxa"/>
            <w:vMerge w:val="restart"/>
            <w:tcBorders>
              <w:top w:val="single" w:sz="4" w:space="0" w:color="000000"/>
              <w:left w:val="single" w:sz="4" w:space="0" w:color="000000"/>
              <w:right w:val="single" w:sz="4" w:space="0" w:color="000000"/>
            </w:tcBorders>
          </w:tcPr>
          <w:p>
            <w:pPr/>
          </w:p>
        </w:tc>
        <w:tc>
          <w:tcPr>
            <w:tcW w:w="577" w:type="dxa"/>
            <w:vMerge w:val="restart"/>
            <w:tcBorders>
              <w:top w:val="single" w:sz="4" w:space="0" w:color="000000"/>
              <w:left w:val="single" w:sz="4" w:space="0" w:color="000000"/>
              <w:right w:val="single" w:sz="4" w:space="0" w:color="000000"/>
            </w:tcBorders>
          </w:tcPr>
          <w:p>
            <w:pPr>
              <w:pStyle w:val="TableParagraph"/>
              <w:spacing w:line="240" w:lineRule="auto" w:before="96"/>
              <w:ind w:left="47" w:right="0"/>
              <w:jc w:val="left"/>
              <w:rPr>
                <w:rFonts w:ascii="Times New Roman" w:hAnsi="Times New Roman" w:cs="Times New Roman" w:eastAsia="Times New Roman" w:hint="default"/>
                <w:sz w:val="18"/>
                <w:szCs w:val="18"/>
              </w:rPr>
            </w:pPr>
            <w:r>
              <w:rPr>
                <w:rFonts w:ascii="Times New Roman"/>
                <w:sz w:val="18"/>
              </w:rPr>
              <w:t>375,57</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1,417.</w:t>
            </w:r>
          </w:p>
          <w:p>
            <w:pPr>
              <w:pStyle w:val="TableParagraph"/>
              <w:spacing w:line="240" w:lineRule="auto" w:before="110"/>
              <w:ind w:left="365" w:right="0"/>
              <w:jc w:val="left"/>
              <w:rPr>
                <w:rFonts w:ascii="Times New Roman" w:hAnsi="Times New Roman" w:cs="Times New Roman" w:eastAsia="Times New Roman" w:hint="default"/>
                <w:sz w:val="18"/>
                <w:szCs w:val="18"/>
              </w:rPr>
            </w:pPr>
            <w:r>
              <w:rPr>
                <w:rFonts w:ascii="Times New Roman"/>
                <w:sz w:val="18"/>
              </w:rPr>
              <w:t>21</w:t>
            </w:r>
          </w:p>
        </w:tc>
        <w:tc>
          <w:tcPr>
            <w:tcW w:w="576" w:type="dxa"/>
            <w:vMerge w:val="restart"/>
            <w:tcBorders>
              <w:top w:val="single" w:sz="4" w:space="0" w:color="000000"/>
              <w:left w:val="single" w:sz="4" w:space="0" w:color="000000"/>
              <w:right w:val="single" w:sz="4" w:space="0" w:color="000000"/>
            </w:tcBorders>
          </w:tcPr>
          <w:p>
            <w:pPr/>
          </w:p>
        </w:tc>
        <w:tc>
          <w:tcPr>
            <w:tcW w:w="576"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-4,579,</w:t>
            </w:r>
          </w:p>
          <w:p>
            <w:pPr>
              <w:pStyle w:val="TableParagraph"/>
              <w:spacing w:line="240" w:lineRule="auto" w:before="105"/>
              <w:ind w:left="57" w:right="0"/>
              <w:jc w:val="left"/>
              <w:rPr>
                <w:rFonts w:ascii="Times New Roman" w:hAnsi="Times New Roman" w:cs="Times New Roman" w:eastAsia="Times New Roman" w:hint="default"/>
                <w:sz w:val="18"/>
                <w:szCs w:val="18"/>
              </w:rPr>
            </w:pPr>
            <w:r>
              <w:rPr>
                <w:rFonts w:ascii="Times New Roman"/>
                <w:sz w:val="18"/>
              </w:rPr>
              <w:t>211.51</w:t>
            </w:r>
          </w:p>
        </w:tc>
        <w:tc>
          <w:tcPr>
            <w:tcW w:w="581" w:type="dxa"/>
            <w:vMerge w:val="restart"/>
            <w:tcBorders>
              <w:top w:val="single" w:sz="4" w:space="0" w:color="000000"/>
              <w:left w:val="single" w:sz="4" w:space="0" w:color="000000"/>
              <w:right w:val="single" w:sz="4" w:space="0" w:color="000000"/>
            </w:tcBorders>
          </w:tcPr>
          <w:p>
            <w:pPr/>
          </w:p>
        </w:tc>
        <w:tc>
          <w:tcPr>
            <w:tcW w:w="576" w:type="dxa"/>
            <w:vMerge w:val="restart"/>
            <w:tcBorders>
              <w:top w:val="single" w:sz="4" w:space="0" w:color="000000"/>
              <w:left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26,181</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pacing w:val="-1"/>
                <w:sz w:val="18"/>
              </w:rPr>
              <w:t>,022.9</w:t>
            </w:r>
          </w:p>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tc>
        <w:tc>
          <w:tcPr>
            <w:tcW w:w="576" w:type="dxa"/>
            <w:vMerge w:val="restart"/>
            <w:tcBorders>
              <w:top w:val="single" w:sz="4" w:space="0" w:color="000000"/>
              <w:left w:val="single" w:sz="4" w:space="0" w:color="000000"/>
              <w:right w:val="single" w:sz="4" w:space="0" w:color="000000"/>
            </w:tcBorders>
          </w:tcPr>
          <w:p>
            <w:pPr/>
          </w:p>
        </w:tc>
        <w:tc>
          <w:tcPr>
            <w:tcW w:w="591" w:type="dxa"/>
            <w:vMerge w:val="restart"/>
            <w:tcBorders>
              <w:top w:val="single" w:sz="4" w:space="0" w:color="000000"/>
              <w:left w:val="single" w:sz="4" w:space="0" w:color="000000"/>
              <w:right w:val="single" w:sz="4" w:space="0" w:color="000000"/>
            </w:tcBorders>
          </w:tcPr>
          <w:p>
            <w:pPr>
              <w:pStyle w:val="TableParagraph"/>
              <w:spacing w:line="240" w:lineRule="auto" w:before="96"/>
              <w:ind w:left="62" w:right="0"/>
              <w:jc w:val="left"/>
              <w:rPr>
                <w:rFonts w:ascii="Times New Roman" w:hAnsi="Times New Roman" w:cs="Times New Roman" w:eastAsia="Times New Roman" w:hint="default"/>
                <w:sz w:val="18"/>
                <w:szCs w:val="18"/>
              </w:rPr>
            </w:pPr>
            <w:r>
              <w:rPr>
                <w:rFonts w:ascii="Times New Roman"/>
                <w:sz w:val="18"/>
              </w:rPr>
              <w:t>219,30</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2,589.</w:t>
            </w:r>
          </w:p>
          <w:p>
            <w:pPr>
              <w:pStyle w:val="TableParagraph"/>
              <w:spacing w:line="240" w:lineRule="auto" w:before="110"/>
              <w:ind w:left="379" w:right="0"/>
              <w:jc w:val="left"/>
              <w:rPr>
                <w:rFonts w:ascii="Times New Roman" w:hAnsi="Times New Roman" w:cs="Times New Roman" w:eastAsia="Times New Roman" w:hint="default"/>
                <w:sz w:val="18"/>
                <w:szCs w:val="18"/>
              </w:rPr>
            </w:pPr>
            <w:r>
              <w:rPr>
                <w:rFonts w:ascii="Times New Roman"/>
                <w:sz w:val="18"/>
              </w:rPr>
              <w:t>49</w:t>
            </w:r>
          </w:p>
        </w:tc>
        <w:tc>
          <w:tcPr>
            <w:tcW w:w="566" w:type="dxa"/>
            <w:vMerge w:val="restart"/>
            <w:tcBorders>
              <w:top w:val="single" w:sz="4" w:space="0" w:color="000000"/>
              <w:left w:val="single" w:sz="4" w:space="0" w:color="000000"/>
              <w:right w:val="single" w:sz="4" w:space="0" w:color="000000"/>
            </w:tcBorders>
          </w:tcPr>
          <w:p>
            <w:pPr/>
          </w:p>
        </w:tc>
        <w:tc>
          <w:tcPr>
            <w:tcW w:w="566" w:type="dxa"/>
            <w:vMerge w:val="restart"/>
            <w:tcBorders>
              <w:top w:val="single" w:sz="4" w:space="0" w:color="000000"/>
              <w:left w:val="single" w:sz="4" w:space="0" w:color="000000"/>
              <w:right w:val="single" w:sz="4" w:space="0" w:color="000000"/>
            </w:tcBorders>
          </w:tcPr>
          <w:p>
            <w:pPr>
              <w:pStyle w:val="TableParagraph"/>
              <w:spacing w:line="240" w:lineRule="auto" w:before="96"/>
              <w:ind w:left="59" w:right="0"/>
              <w:jc w:val="center"/>
              <w:rPr>
                <w:rFonts w:ascii="Times New Roman" w:hAnsi="Times New Roman" w:cs="Times New Roman" w:eastAsia="Times New Roman" w:hint="default"/>
                <w:sz w:val="18"/>
                <w:szCs w:val="18"/>
              </w:rPr>
            </w:pPr>
            <w:r>
              <w:rPr>
                <w:rFonts w:ascii="Times New Roman"/>
                <w:sz w:val="18"/>
              </w:rPr>
              <w:t>1,323,</w:t>
            </w:r>
          </w:p>
          <w:p>
            <w:pPr>
              <w:pStyle w:val="TableParagraph"/>
              <w:spacing w:line="240" w:lineRule="auto" w:before="105"/>
              <w:ind w:left="23" w:right="0"/>
              <w:jc w:val="center"/>
              <w:rPr>
                <w:rFonts w:ascii="Times New Roman" w:hAnsi="Times New Roman" w:cs="Times New Roman" w:eastAsia="Times New Roman" w:hint="default"/>
                <w:sz w:val="18"/>
                <w:szCs w:val="18"/>
              </w:rPr>
            </w:pPr>
            <w:r>
              <w:rPr>
                <w:rFonts w:ascii="Times New Roman"/>
                <w:sz w:val="18"/>
              </w:rPr>
              <w:t>116,35</w:t>
            </w:r>
          </w:p>
          <w:p>
            <w:pPr>
              <w:pStyle w:val="TableParagraph"/>
              <w:spacing w:line="240" w:lineRule="auto" w:before="110"/>
              <w:ind w:left="196" w:right="0"/>
              <w:jc w:val="center"/>
              <w:rPr>
                <w:rFonts w:ascii="Times New Roman" w:hAnsi="Times New Roman" w:cs="Times New Roman" w:eastAsia="Times New Roman" w:hint="default"/>
                <w:sz w:val="18"/>
                <w:szCs w:val="18"/>
              </w:rPr>
            </w:pPr>
            <w:r>
              <w:rPr>
                <w:rFonts w:ascii="Times New Roman"/>
                <w:sz w:val="18"/>
              </w:rPr>
              <w:t>3.10</w:t>
            </w:r>
          </w:p>
        </w:tc>
        <w:tc>
          <w:tcPr>
            <w:tcW w:w="644"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28,705,</w:t>
            </w:r>
          </w:p>
          <w:p>
            <w:pPr>
              <w:pStyle w:val="TableParagraph"/>
              <w:spacing w:line="240" w:lineRule="auto" w:before="105"/>
              <w:ind w:left="115" w:right="0"/>
              <w:jc w:val="left"/>
              <w:rPr>
                <w:rFonts w:ascii="Times New Roman" w:hAnsi="Times New Roman" w:cs="Times New Roman" w:eastAsia="Times New Roman" w:hint="default"/>
                <w:sz w:val="18"/>
                <w:szCs w:val="18"/>
              </w:rPr>
            </w:pPr>
            <w:r>
              <w:rPr>
                <w:rFonts w:ascii="Times New Roman"/>
                <w:sz w:val="18"/>
              </w:rPr>
              <w:t>049.76</w:t>
            </w:r>
          </w:p>
        </w:tc>
        <w:tc>
          <w:tcPr>
            <w:tcW w:w="648" w:type="dxa"/>
            <w:vMerge w:val="restart"/>
            <w:tcBorders>
              <w:top w:val="single" w:sz="4" w:space="0" w:color="000000"/>
              <w:left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1,351,8</w:t>
            </w:r>
          </w:p>
          <w:p>
            <w:pPr>
              <w:pStyle w:val="TableParagraph"/>
              <w:spacing w:line="240" w:lineRule="auto" w:before="105"/>
              <w:ind w:right="14"/>
              <w:jc w:val="right"/>
              <w:rPr>
                <w:rFonts w:ascii="Times New Roman" w:hAnsi="Times New Roman" w:cs="Times New Roman" w:eastAsia="Times New Roman" w:hint="default"/>
                <w:sz w:val="18"/>
                <w:szCs w:val="18"/>
              </w:rPr>
            </w:pPr>
            <w:r>
              <w:rPr>
                <w:rFonts w:ascii="Times New Roman"/>
                <w:spacing w:val="-2"/>
                <w:sz w:val="18"/>
              </w:rPr>
              <w:t>21,402.</w:t>
            </w:r>
          </w:p>
          <w:p>
            <w:pPr>
              <w:pStyle w:val="TableParagraph"/>
              <w:spacing w:line="240" w:lineRule="auto" w:before="110"/>
              <w:ind w:right="12"/>
              <w:jc w:val="right"/>
              <w:rPr>
                <w:rFonts w:ascii="Times New Roman" w:hAnsi="Times New Roman" w:cs="Times New Roman" w:eastAsia="Times New Roman" w:hint="default"/>
                <w:sz w:val="18"/>
                <w:szCs w:val="18"/>
              </w:rPr>
            </w:pPr>
            <w:r>
              <w:rPr>
                <w:rFonts w:ascii="Times New Roman"/>
                <w:sz w:val="18"/>
              </w:rPr>
              <w:t>86</w:t>
            </w:r>
          </w:p>
        </w:tc>
      </w:tr>
      <w:tr>
        <w:trPr>
          <w:trHeight w:val="706" w:hRule="exact"/>
        </w:trPr>
        <w:tc>
          <w:tcPr>
            <w:tcW w:w="119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9" w:lineRule="auto" w:before="53"/>
              <w:ind w:left="11" w:right="82"/>
              <w:jc w:val="left"/>
              <w:rPr>
                <w:rFonts w:ascii="宋体" w:hAnsi="宋体" w:cs="宋体" w:eastAsia="宋体" w:hint="default"/>
                <w:sz w:val="18"/>
                <w:szCs w:val="18"/>
              </w:rPr>
            </w:pPr>
            <w:r>
              <w:rPr>
                <w:rFonts w:ascii="宋体" w:hAnsi="宋体" w:cs="宋体" w:eastAsia="宋体" w:hint="default"/>
                <w:spacing w:val="-2"/>
                <w:sz w:val="18"/>
                <w:szCs w:val="18"/>
              </w:rPr>
              <w:t>一、上年期末</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余额</w:t>
            </w:r>
          </w:p>
        </w:tc>
        <w:tc>
          <w:tcPr>
            <w:tcW w:w="502" w:type="dxa"/>
            <w:vMerge/>
            <w:tcBorders>
              <w:left w:val="single" w:sz="10" w:space="0" w:color="D2D2D2"/>
              <w:right w:val="single" w:sz="4" w:space="0" w:color="000000"/>
            </w:tcBorders>
          </w:tcPr>
          <w:p>
            <w:pPr/>
          </w:p>
        </w:tc>
        <w:tc>
          <w:tcPr>
            <w:tcW w:w="447" w:type="dxa"/>
            <w:vMerge/>
            <w:tcBorders>
              <w:left w:val="single" w:sz="4" w:space="0" w:color="000000"/>
              <w:right w:val="single" w:sz="4" w:space="0" w:color="000000"/>
            </w:tcBorders>
          </w:tcPr>
          <w:p>
            <w:pPr/>
          </w:p>
        </w:tc>
        <w:tc>
          <w:tcPr>
            <w:tcW w:w="451" w:type="dxa"/>
            <w:vMerge/>
            <w:tcBorders>
              <w:left w:val="single" w:sz="4" w:space="0" w:color="000000"/>
              <w:right w:val="single" w:sz="4" w:space="0" w:color="000000"/>
            </w:tcBorders>
          </w:tcPr>
          <w:p>
            <w:pPr/>
          </w:p>
        </w:tc>
        <w:tc>
          <w:tcPr>
            <w:tcW w:w="490" w:type="dxa"/>
            <w:vMerge/>
            <w:tcBorders>
              <w:left w:val="single" w:sz="4" w:space="0" w:color="000000"/>
              <w:right w:val="single" w:sz="4" w:space="0" w:color="000000"/>
            </w:tcBorders>
          </w:tcPr>
          <w:p>
            <w:pPr/>
          </w:p>
        </w:tc>
        <w:tc>
          <w:tcPr>
            <w:tcW w:w="577"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81"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91"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644" w:type="dxa"/>
            <w:vMerge/>
            <w:tcBorders>
              <w:left w:val="single" w:sz="4" w:space="0" w:color="000000"/>
              <w:right w:val="single" w:sz="4" w:space="0" w:color="000000"/>
            </w:tcBorders>
          </w:tcPr>
          <w:p>
            <w:pPr/>
          </w:p>
        </w:tc>
        <w:tc>
          <w:tcPr>
            <w:tcW w:w="648" w:type="dxa"/>
            <w:vMerge/>
            <w:tcBorders>
              <w:left w:val="single" w:sz="4" w:space="0" w:color="000000"/>
              <w:right w:val="single" w:sz="4" w:space="0" w:color="000000"/>
            </w:tcBorders>
          </w:tcPr>
          <w:p>
            <w:pPr/>
          </w:p>
        </w:tc>
      </w:tr>
      <w:tr>
        <w:trPr>
          <w:trHeight w:val="158" w:hRule="exact"/>
        </w:trPr>
        <w:tc>
          <w:tcPr>
            <w:tcW w:w="1191" w:type="dxa"/>
            <w:tcBorders>
              <w:top w:val="nil" w:sz="6" w:space="0" w:color="auto"/>
              <w:left w:val="single" w:sz="4" w:space="0" w:color="000000"/>
              <w:bottom w:val="single" w:sz="4" w:space="0" w:color="000000"/>
              <w:right w:val="single" w:sz="4" w:space="0" w:color="000000"/>
            </w:tcBorders>
            <w:shd w:val="clear" w:color="auto" w:fill="D2D2D2"/>
          </w:tcPr>
          <w:p>
            <w:pPr/>
          </w:p>
        </w:tc>
        <w:tc>
          <w:tcPr>
            <w:tcW w:w="502" w:type="dxa"/>
            <w:vMerge/>
            <w:tcBorders>
              <w:left w:val="single" w:sz="10" w:space="0" w:color="D2D2D2"/>
              <w:bottom w:val="single" w:sz="4" w:space="0" w:color="000000"/>
              <w:right w:val="single" w:sz="4" w:space="0" w:color="000000"/>
            </w:tcBorders>
          </w:tcPr>
          <w:p>
            <w:pPr/>
          </w:p>
        </w:tc>
        <w:tc>
          <w:tcPr>
            <w:tcW w:w="447" w:type="dxa"/>
            <w:vMerge/>
            <w:tcBorders>
              <w:left w:val="single" w:sz="4" w:space="0" w:color="000000"/>
              <w:bottom w:val="single" w:sz="4" w:space="0" w:color="000000"/>
              <w:right w:val="single" w:sz="4" w:space="0" w:color="000000"/>
            </w:tcBorders>
          </w:tcPr>
          <w:p>
            <w:pPr/>
          </w:p>
        </w:tc>
        <w:tc>
          <w:tcPr>
            <w:tcW w:w="451" w:type="dxa"/>
            <w:vMerge/>
            <w:tcBorders>
              <w:left w:val="single" w:sz="4" w:space="0" w:color="000000"/>
              <w:bottom w:val="single" w:sz="4" w:space="0" w:color="000000"/>
              <w:right w:val="single" w:sz="4" w:space="0" w:color="000000"/>
            </w:tcBorders>
          </w:tcPr>
          <w:p>
            <w:pPr/>
          </w:p>
        </w:tc>
        <w:tc>
          <w:tcPr>
            <w:tcW w:w="490" w:type="dxa"/>
            <w:vMerge/>
            <w:tcBorders>
              <w:left w:val="single" w:sz="4" w:space="0" w:color="000000"/>
              <w:bottom w:val="single" w:sz="4" w:space="0" w:color="000000"/>
              <w:right w:val="single" w:sz="4" w:space="0" w:color="000000"/>
            </w:tcBorders>
          </w:tcPr>
          <w:p>
            <w:pPr/>
          </w:p>
        </w:tc>
        <w:tc>
          <w:tcPr>
            <w:tcW w:w="577"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81"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91" w:type="dxa"/>
            <w:vMerge/>
            <w:tcBorders>
              <w:left w:val="single" w:sz="4" w:space="0" w:color="000000"/>
              <w:bottom w:val="single" w:sz="4" w:space="0" w:color="000000"/>
              <w:right w:val="single" w:sz="4" w:space="0" w:color="000000"/>
            </w:tcBorders>
          </w:tcPr>
          <w:p>
            <w:pPr/>
          </w:p>
        </w:tc>
        <w:tc>
          <w:tcPr>
            <w:tcW w:w="566" w:type="dxa"/>
            <w:vMerge/>
            <w:tcBorders>
              <w:left w:val="single" w:sz="4" w:space="0" w:color="000000"/>
              <w:bottom w:val="single" w:sz="4" w:space="0" w:color="000000"/>
              <w:right w:val="single" w:sz="4" w:space="0" w:color="000000"/>
            </w:tcBorders>
          </w:tcPr>
          <w:p>
            <w:pPr/>
          </w:p>
        </w:tc>
        <w:tc>
          <w:tcPr>
            <w:tcW w:w="566" w:type="dxa"/>
            <w:vMerge/>
            <w:tcBorders>
              <w:left w:val="single" w:sz="4" w:space="0" w:color="000000"/>
              <w:bottom w:val="single" w:sz="4" w:space="0" w:color="000000"/>
              <w:right w:val="single" w:sz="4" w:space="0" w:color="000000"/>
            </w:tcBorders>
          </w:tcPr>
          <w:p>
            <w:pPr/>
          </w:p>
        </w:tc>
        <w:tc>
          <w:tcPr>
            <w:tcW w:w="644" w:type="dxa"/>
            <w:vMerge/>
            <w:tcBorders>
              <w:left w:val="single" w:sz="4" w:space="0" w:color="000000"/>
              <w:bottom w:val="single" w:sz="4" w:space="0" w:color="000000"/>
              <w:right w:val="single" w:sz="4" w:space="0" w:color="000000"/>
            </w:tcBorders>
          </w:tcPr>
          <w:p>
            <w:pPr/>
          </w:p>
        </w:tc>
        <w:tc>
          <w:tcPr>
            <w:tcW w:w="648" w:type="dxa"/>
            <w:vMerge/>
            <w:tcBorders>
              <w:left w:val="single" w:sz="4" w:space="0" w:color="000000"/>
              <w:bottom w:val="single" w:sz="4" w:space="0" w:color="000000"/>
              <w:right w:val="single" w:sz="4" w:space="0" w:color="000000"/>
            </w:tcBorders>
          </w:tcPr>
          <w:p>
            <w:pPr/>
          </w:p>
        </w:tc>
      </w:tr>
      <w:tr>
        <w:trPr>
          <w:trHeight w:val="715" w:hRule="exact"/>
        </w:trPr>
        <w:tc>
          <w:tcPr>
            <w:tcW w:w="1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11" w:right="82" w:firstLine="360"/>
              <w:jc w:val="left"/>
              <w:rPr>
                <w:rFonts w:ascii="宋体" w:hAnsi="宋体" w:cs="宋体" w:eastAsia="宋体" w:hint="default"/>
                <w:sz w:val="18"/>
                <w:szCs w:val="18"/>
              </w:rPr>
            </w:pPr>
            <w:r>
              <w:rPr>
                <w:rFonts w:ascii="宋体" w:hAnsi="宋体" w:cs="宋体" w:eastAsia="宋体" w:hint="default"/>
                <w:sz w:val="18"/>
                <w:szCs w:val="18"/>
              </w:rPr>
              <w:t>加：会计</w:t>
            </w:r>
            <w:r>
              <w:rPr>
                <w:rFonts w:ascii="宋体" w:hAnsi="宋体" w:cs="宋体" w:eastAsia="宋体" w:hint="default"/>
                <w:w w:val="101"/>
                <w:sz w:val="18"/>
                <w:szCs w:val="18"/>
              </w:rPr>
              <w:t> </w:t>
            </w:r>
            <w:r>
              <w:rPr>
                <w:rFonts w:ascii="宋体" w:hAnsi="宋体" w:cs="宋体" w:eastAsia="宋体" w:hint="default"/>
                <w:sz w:val="18"/>
                <w:szCs w:val="18"/>
              </w:rPr>
              <w:t>政策变更</w:t>
            </w:r>
          </w:p>
        </w:tc>
        <w:tc>
          <w:tcPr>
            <w:tcW w:w="502" w:type="dxa"/>
            <w:tcBorders>
              <w:top w:val="single" w:sz="4" w:space="0" w:color="000000"/>
              <w:left w:val="single" w:sz="13" w:space="0" w:color="D2D2D2"/>
              <w:bottom w:val="single" w:sz="4" w:space="0" w:color="000000"/>
              <w:right w:val="single" w:sz="4" w:space="0" w:color="000000"/>
            </w:tcBorders>
          </w:tcPr>
          <w:p>
            <w:pP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 w:right="82" w:firstLine="720"/>
              <w:jc w:val="left"/>
              <w:rPr>
                <w:rFonts w:ascii="宋体" w:hAnsi="宋体" w:cs="宋体" w:eastAsia="宋体" w:hint="default"/>
                <w:sz w:val="18"/>
                <w:szCs w:val="18"/>
              </w:rPr>
            </w:pPr>
            <w:r>
              <w:rPr>
                <w:rFonts w:ascii="宋体" w:hAnsi="宋体" w:cs="宋体" w:eastAsia="宋体" w:hint="default"/>
                <w:sz w:val="18"/>
                <w:szCs w:val="18"/>
              </w:rPr>
              <w:t>前期</w:t>
            </w:r>
            <w:r>
              <w:rPr>
                <w:rFonts w:ascii="宋体" w:hAnsi="宋体" w:cs="宋体" w:eastAsia="宋体" w:hint="default"/>
                <w:w w:val="101"/>
                <w:sz w:val="18"/>
                <w:szCs w:val="18"/>
              </w:rPr>
              <w:t> </w:t>
            </w:r>
            <w:r>
              <w:rPr>
                <w:rFonts w:ascii="宋体" w:hAnsi="宋体" w:cs="宋体" w:eastAsia="宋体" w:hint="default"/>
                <w:sz w:val="18"/>
                <w:szCs w:val="18"/>
              </w:rPr>
              <w:t>差错更正</w:t>
            </w:r>
          </w:p>
        </w:tc>
        <w:tc>
          <w:tcPr>
            <w:tcW w:w="502" w:type="dxa"/>
            <w:tcBorders>
              <w:top w:val="single" w:sz="4" w:space="0" w:color="000000"/>
              <w:left w:val="single" w:sz="13" w:space="0" w:color="D2D2D2"/>
              <w:bottom w:val="single" w:sz="4" w:space="0" w:color="000000"/>
              <w:right w:val="single" w:sz="4" w:space="0" w:color="000000"/>
            </w:tcBorders>
          </w:tcPr>
          <w:p>
            <w:pP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r>
      <w:tr>
        <w:trPr>
          <w:trHeight w:val="1022" w:hRule="exact"/>
        </w:trPr>
        <w:tc>
          <w:tcPr>
            <w:tcW w:w="1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 w:right="82" w:firstLine="720"/>
              <w:jc w:val="both"/>
              <w:rPr>
                <w:rFonts w:ascii="宋体" w:hAnsi="宋体" w:cs="宋体" w:eastAsia="宋体" w:hint="default"/>
                <w:sz w:val="18"/>
                <w:szCs w:val="18"/>
              </w:rPr>
            </w:pPr>
            <w:r>
              <w:rPr>
                <w:rFonts w:ascii="宋体" w:hAnsi="宋体" w:cs="宋体" w:eastAsia="宋体" w:hint="default"/>
                <w:sz w:val="18"/>
                <w:szCs w:val="18"/>
              </w:rPr>
              <w:t>同一</w:t>
            </w:r>
            <w:r>
              <w:rPr>
                <w:rFonts w:ascii="宋体" w:hAnsi="宋体" w:cs="宋体" w:eastAsia="宋体" w:hint="default"/>
                <w:w w:val="101"/>
                <w:sz w:val="18"/>
                <w:szCs w:val="18"/>
              </w:rPr>
              <w:t> </w:t>
            </w:r>
            <w:r>
              <w:rPr>
                <w:rFonts w:ascii="宋体" w:hAnsi="宋体" w:cs="宋体" w:eastAsia="宋体" w:hint="default"/>
                <w:spacing w:val="-2"/>
                <w:sz w:val="18"/>
                <w:szCs w:val="18"/>
              </w:rPr>
              <w:t>控制下企业合</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并</w:t>
            </w:r>
          </w:p>
        </w:tc>
        <w:tc>
          <w:tcPr>
            <w:tcW w:w="502" w:type="dxa"/>
            <w:tcBorders>
              <w:top w:val="single" w:sz="4" w:space="0" w:color="000000"/>
              <w:left w:val="single" w:sz="13" w:space="0" w:color="D2D2D2"/>
              <w:bottom w:val="single" w:sz="4" w:space="0" w:color="000000"/>
              <w:right w:val="single" w:sz="4" w:space="0" w:color="000000"/>
            </w:tcBorders>
          </w:tcPr>
          <w:p>
            <w:pP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02" w:type="dxa"/>
            <w:tcBorders>
              <w:top w:val="single" w:sz="4" w:space="0" w:color="000000"/>
              <w:left w:val="single" w:sz="13" w:space="0" w:color="D2D2D2"/>
              <w:bottom w:val="single" w:sz="4" w:space="0" w:color="000000"/>
              <w:right w:val="single" w:sz="4" w:space="0" w:color="000000"/>
            </w:tcBorders>
          </w:tcPr>
          <w:p>
            <w:pP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r>
      <w:tr>
        <w:trPr>
          <w:trHeight w:val="163" w:hRule="exact"/>
        </w:trPr>
        <w:tc>
          <w:tcPr>
            <w:tcW w:w="1191" w:type="dxa"/>
            <w:tcBorders>
              <w:top w:val="single" w:sz="4" w:space="0" w:color="000000"/>
              <w:left w:val="single" w:sz="4" w:space="0" w:color="000000"/>
              <w:bottom w:val="nil" w:sz="6" w:space="0" w:color="auto"/>
              <w:right w:val="single" w:sz="4" w:space="0" w:color="000000"/>
            </w:tcBorders>
            <w:shd w:val="clear" w:color="auto" w:fill="D2D2D2"/>
          </w:tcPr>
          <w:p>
            <w:pPr/>
          </w:p>
        </w:tc>
        <w:tc>
          <w:tcPr>
            <w:tcW w:w="502" w:type="dxa"/>
            <w:vMerge w:val="restart"/>
            <w:tcBorders>
              <w:top w:val="single" w:sz="4" w:space="0" w:color="000000"/>
              <w:left w:val="single" w:sz="10" w:space="0" w:color="D2D2D2"/>
              <w:right w:val="single" w:sz="4" w:space="0" w:color="000000"/>
            </w:tcBorders>
          </w:tcPr>
          <w:p>
            <w:pPr>
              <w:pStyle w:val="TableParagraph"/>
              <w:spacing w:line="240" w:lineRule="auto" w:before="96"/>
              <w:ind w:left="57" w:right="0"/>
              <w:jc w:val="left"/>
              <w:rPr>
                <w:rFonts w:ascii="Times New Roman" w:hAnsi="Times New Roman" w:cs="Times New Roman" w:eastAsia="Times New Roman" w:hint="default"/>
                <w:sz w:val="18"/>
                <w:szCs w:val="18"/>
              </w:rPr>
            </w:pPr>
            <w:r>
              <w:rPr>
                <w:rFonts w:ascii="Times New Roman"/>
                <w:sz w:val="18"/>
              </w:rPr>
              <w:t>706,6</w:t>
            </w:r>
          </w:p>
          <w:p>
            <w:pPr>
              <w:pStyle w:val="TableParagraph"/>
              <w:spacing w:line="240" w:lineRule="auto" w:before="105"/>
              <w:ind w:left="57" w:right="0"/>
              <w:jc w:val="left"/>
              <w:rPr>
                <w:rFonts w:ascii="Times New Roman" w:hAnsi="Times New Roman" w:cs="Times New Roman" w:eastAsia="Times New Roman" w:hint="default"/>
                <w:sz w:val="18"/>
                <w:szCs w:val="18"/>
              </w:rPr>
            </w:pPr>
            <w:r>
              <w:rPr>
                <w:rFonts w:ascii="Times New Roman"/>
                <w:sz w:val="18"/>
              </w:rPr>
              <w:t>40,53</w:t>
            </w:r>
          </w:p>
          <w:p>
            <w:pPr>
              <w:pStyle w:val="TableParagraph"/>
              <w:spacing w:line="240" w:lineRule="auto" w:before="110"/>
              <w:ind w:left="144" w:right="0"/>
              <w:jc w:val="left"/>
              <w:rPr>
                <w:rFonts w:ascii="Times New Roman" w:hAnsi="Times New Roman" w:cs="Times New Roman" w:eastAsia="Times New Roman" w:hint="default"/>
                <w:sz w:val="18"/>
                <w:szCs w:val="18"/>
              </w:rPr>
            </w:pPr>
            <w:r>
              <w:rPr>
                <w:rFonts w:ascii="Times New Roman"/>
                <w:sz w:val="18"/>
              </w:rPr>
              <w:t>5.00</w:t>
            </w:r>
          </w:p>
        </w:tc>
        <w:tc>
          <w:tcPr>
            <w:tcW w:w="447" w:type="dxa"/>
            <w:vMerge w:val="restart"/>
            <w:tcBorders>
              <w:top w:val="single" w:sz="4" w:space="0" w:color="000000"/>
              <w:left w:val="single" w:sz="4" w:space="0" w:color="000000"/>
              <w:right w:val="single" w:sz="4" w:space="0" w:color="000000"/>
            </w:tcBorders>
          </w:tcPr>
          <w:p>
            <w:pPr/>
          </w:p>
        </w:tc>
        <w:tc>
          <w:tcPr>
            <w:tcW w:w="451" w:type="dxa"/>
            <w:vMerge w:val="restart"/>
            <w:tcBorders>
              <w:top w:val="single" w:sz="4" w:space="0" w:color="000000"/>
              <w:left w:val="single" w:sz="4" w:space="0" w:color="000000"/>
              <w:right w:val="single" w:sz="4" w:space="0" w:color="000000"/>
            </w:tcBorders>
          </w:tcPr>
          <w:p>
            <w:pPr/>
          </w:p>
        </w:tc>
        <w:tc>
          <w:tcPr>
            <w:tcW w:w="490" w:type="dxa"/>
            <w:vMerge w:val="restart"/>
            <w:tcBorders>
              <w:top w:val="single" w:sz="4" w:space="0" w:color="000000"/>
              <w:left w:val="single" w:sz="4" w:space="0" w:color="000000"/>
              <w:right w:val="single" w:sz="4" w:space="0" w:color="000000"/>
            </w:tcBorders>
          </w:tcPr>
          <w:p>
            <w:pPr/>
          </w:p>
        </w:tc>
        <w:tc>
          <w:tcPr>
            <w:tcW w:w="577" w:type="dxa"/>
            <w:vMerge w:val="restart"/>
            <w:tcBorders>
              <w:top w:val="single" w:sz="4" w:space="0" w:color="000000"/>
              <w:left w:val="single" w:sz="4" w:space="0" w:color="000000"/>
              <w:right w:val="single" w:sz="4" w:space="0" w:color="000000"/>
            </w:tcBorders>
          </w:tcPr>
          <w:p>
            <w:pPr>
              <w:pStyle w:val="TableParagraph"/>
              <w:spacing w:line="240" w:lineRule="auto" w:before="96"/>
              <w:ind w:left="47" w:right="0"/>
              <w:jc w:val="left"/>
              <w:rPr>
                <w:rFonts w:ascii="Times New Roman" w:hAnsi="Times New Roman" w:cs="Times New Roman" w:eastAsia="Times New Roman" w:hint="default"/>
                <w:sz w:val="18"/>
                <w:szCs w:val="18"/>
              </w:rPr>
            </w:pPr>
            <w:r>
              <w:rPr>
                <w:rFonts w:ascii="Times New Roman"/>
                <w:sz w:val="18"/>
              </w:rPr>
              <w:t>375,57</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1,417.</w:t>
            </w:r>
          </w:p>
          <w:p>
            <w:pPr>
              <w:pStyle w:val="TableParagraph"/>
              <w:spacing w:line="240" w:lineRule="auto" w:before="110"/>
              <w:ind w:left="365" w:right="0"/>
              <w:jc w:val="left"/>
              <w:rPr>
                <w:rFonts w:ascii="Times New Roman" w:hAnsi="Times New Roman" w:cs="Times New Roman" w:eastAsia="Times New Roman" w:hint="default"/>
                <w:sz w:val="18"/>
                <w:szCs w:val="18"/>
              </w:rPr>
            </w:pPr>
            <w:r>
              <w:rPr>
                <w:rFonts w:ascii="Times New Roman"/>
                <w:sz w:val="18"/>
              </w:rPr>
              <w:t>21</w:t>
            </w:r>
          </w:p>
        </w:tc>
        <w:tc>
          <w:tcPr>
            <w:tcW w:w="576" w:type="dxa"/>
            <w:vMerge w:val="restart"/>
            <w:tcBorders>
              <w:top w:val="single" w:sz="4" w:space="0" w:color="000000"/>
              <w:left w:val="single" w:sz="4" w:space="0" w:color="000000"/>
              <w:right w:val="single" w:sz="4" w:space="0" w:color="000000"/>
            </w:tcBorders>
          </w:tcPr>
          <w:p>
            <w:pPr/>
          </w:p>
        </w:tc>
        <w:tc>
          <w:tcPr>
            <w:tcW w:w="576"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-4,579,</w:t>
            </w:r>
          </w:p>
          <w:p>
            <w:pPr>
              <w:pStyle w:val="TableParagraph"/>
              <w:spacing w:line="240" w:lineRule="auto" w:before="105"/>
              <w:ind w:left="57" w:right="0"/>
              <w:jc w:val="left"/>
              <w:rPr>
                <w:rFonts w:ascii="Times New Roman" w:hAnsi="Times New Roman" w:cs="Times New Roman" w:eastAsia="Times New Roman" w:hint="default"/>
                <w:sz w:val="18"/>
                <w:szCs w:val="18"/>
              </w:rPr>
            </w:pPr>
            <w:r>
              <w:rPr>
                <w:rFonts w:ascii="Times New Roman"/>
                <w:sz w:val="18"/>
              </w:rPr>
              <w:t>211.51</w:t>
            </w:r>
          </w:p>
        </w:tc>
        <w:tc>
          <w:tcPr>
            <w:tcW w:w="581" w:type="dxa"/>
            <w:vMerge w:val="restart"/>
            <w:tcBorders>
              <w:top w:val="single" w:sz="4" w:space="0" w:color="000000"/>
              <w:left w:val="single" w:sz="4" w:space="0" w:color="000000"/>
              <w:right w:val="single" w:sz="4" w:space="0" w:color="000000"/>
            </w:tcBorders>
          </w:tcPr>
          <w:p>
            <w:pPr/>
          </w:p>
        </w:tc>
        <w:tc>
          <w:tcPr>
            <w:tcW w:w="576" w:type="dxa"/>
            <w:vMerge w:val="restart"/>
            <w:tcBorders>
              <w:top w:val="single" w:sz="4" w:space="0" w:color="000000"/>
              <w:left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26,181</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pacing w:val="-1"/>
                <w:sz w:val="18"/>
              </w:rPr>
              <w:t>,022.9</w:t>
            </w:r>
          </w:p>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tc>
        <w:tc>
          <w:tcPr>
            <w:tcW w:w="576" w:type="dxa"/>
            <w:vMerge w:val="restart"/>
            <w:tcBorders>
              <w:top w:val="single" w:sz="4" w:space="0" w:color="000000"/>
              <w:left w:val="single" w:sz="4" w:space="0" w:color="000000"/>
              <w:right w:val="single" w:sz="4" w:space="0" w:color="000000"/>
            </w:tcBorders>
          </w:tcPr>
          <w:p>
            <w:pPr/>
          </w:p>
        </w:tc>
        <w:tc>
          <w:tcPr>
            <w:tcW w:w="591" w:type="dxa"/>
            <w:vMerge w:val="restart"/>
            <w:tcBorders>
              <w:top w:val="single" w:sz="4" w:space="0" w:color="000000"/>
              <w:left w:val="single" w:sz="4" w:space="0" w:color="000000"/>
              <w:right w:val="single" w:sz="4" w:space="0" w:color="000000"/>
            </w:tcBorders>
          </w:tcPr>
          <w:p>
            <w:pPr>
              <w:pStyle w:val="TableParagraph"/>
              <w:spacing w:line="240" w:lineRule="auto" w:before="96"/>
              <w:ind w:left="62" w:right="0"/>
              <w:jc w:val="left"/>
              <w:rPr>
                <w:rFonts w:ascii="Times New Roman" w:hAnsi="Times New Roman" w:cs="Times New Roman" w:eastAsia="Times New Roman" w:hint="default"/>
                <w:sz w:val="18"/>
                <w:szCs w:val="18"/>
              </w:rPr>
            </w:pPr>
            <w:r>
              <w:rPr>
                <w:rFonts w:ascii="Times New Roman"/>
                <w:sz w:val="18"/>
              </w:rPr>
              <w:t>219,30</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2,589.</w:t>
            </w:r>
          </w:p>
          <w:p>
            <w:pPr>
              <w:pStyle w:val="TableParagraph"/>
              <w:spacing w:line="240" w:lineRule="auto" w:before="110"/>
              <w:ind w:left="379" w:right="0"/>
              <w:jc w:val="left"/>
              <w:rPr>
                <w:rFonts w:ascii="Times New Roman" w:hAnsi="Times New Roman" w:cs="Times New Roman" w:eastAsia="Times New Roman" w:hint="default"/>
                <w:sz w:val="18"/>
                <w:szCs w:val="18"/>
              </w:rPr>
            </w:pPr>
            <w:r>
              <w:rPr>
                <w:rFonts w:ascii="Times New Roman"/>
                <w:sz w:val="18"/>
              </w:rPr>
              <w:t>49</w:t>
            </w:r>
          </w:p>
        </w:tc>
        <w:tc>
          <w:tcPr>
            <w:tcW w:w="566" w:type="dxa"/>
            <w:vMerge w:val="restart"/>
            <w:tcBorders>
              <w:top w:val="single" w:sz="4" w:space="0" w:color="000000"/>
              <w:left w:val="single" w:sz="4" w:space="0" w:color="000000"/>
              <w:right w:val="single" w:sz="4" w:space="0" w:color="000000"/>
            </w:tcBorders>
          </w:tcPr>
          <w:p>
            <w:pPr/>
          </w:p>
        </w:tc>
        <w:tc>
          <w:tcPr>
            <w:tcW w:w="566" w:type="dxa"/>
            <w:vMerge w:val="restart"/>
            <w:tcBorders>
              <w:top w:val="single" w:sz="4" w:space="0" w:color="000000"/>
              <w:left w:val="single" w:sz="4" w:space="0" w:color="000000"/>
              <w:right w:val="single" w:sz="4" w:space="0" w:color="000000"/>
            </w:tcBorders>
          </w:tcPr>
          <w:p>
            <w:pPr>
              <w:pStyle w:val="TableParagraph"/>
              <w:spacing w:line="240" w:lineRule="auto" w:before="96"/>
              <w:ind w:left="59" w:right="0"/>
              <w:jc w:val="center"/>
              <w:rPr>
                <w:rFonts w:ascii="Times New Roman" w:hAnsi="Times New Roman" w:cs="Times New Roman" w:eastAsia="Times New Roman" w:hint="default"/>
                <w:sz w:val="18"/>
                <w:szCs w:val="18"/>
              </w:rPr>
            </w:pPr>
            <w:r>
              <w:rPr>
                <w:rFonts w:ascii="Times New Roman"/>
                <w:sz w:val="18"/>
              </w:rPr>
              <w:t>1,323,</w:t>
            </w:r>
          </w:p>
          <w:p>
            <w:pPr>
              <w:pStyle w:val="TableParagraph"/>
              <w:spacing w:line="240" w:lineRule="auto" w:before="105"/>
              <w:ind w:left="23" w:right="0"/>
              <w:jc w:val="center"/>
              <w:rPr>
                <w:rFonts w:ascii="Times New Roman" w:hAnsi="Times New Roman" w:cs="Times New Roman" w:eastAsia="Times New Roman" w:hint="default"/>
                <w:sz w:val="18"/>
                <w:szCs w:val="18"/>
              </w:rPr>
            </w:pPr>
            <w:r>
              <w:rPr>
                <w:rFonts w:ascii="Times New Roman"/>
                <w:sz w:val="18"/>
              </w:rPr>
              <w:t>116,35</w:t>
            </w:r>
          </w:p>
          <w:p>
            <w:pPr>
              <w:pStyle w:val="TableParagraph"/>
              <w:spacing w:line="240" w:lineRule="auto" w:before="110"/>
              <w:ind w:left="196" w:right="0"/>
              <w:jc w:val="center"/>
              <w:rPr>
                <w:rFonts w:ascii="Times New Roman" w:hAnsi="Times New Roman" w:cs="Times New Roman" w:eastAsia="Times New Roman" w:hint="default"/>
                <w:sz w:val="18"/>
                <w:szCs w:val="18"/>
              </w:rPr>
            </w:pPr>
            <w:r>
              <w:rPr>
                <w:rFonts w:ascii="Times New Roman"/>
                <w:sz w:val="18"/>
              </w:rPr>
              <w:t>3.10</w:t>
            </w:r>
          </w:p>
        </w:tc>
        <w:tc>
          <w:tcPr>
            <w:tcW w:w="644"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28,705,</w:t>
            </w:r>
          </w:p>
          <w:p>
            <w:pPr>
              <w:pStyle w:val="TableParagraph"/>
              <w:spacing w:line="240" w:lineRule="auto" w:before="105"/>
              <w:ind w:left="115" w:right="0"/>
              <w:jc w:val="left"/>
              <w:rPr>
                <w:rFonts w:ascii="Times New Roman" w:hAnsi="Times New Roman" w:cs="Times New Roman" w:eastAsia="Times New Roman" w:hint="default"/>
                <w:sz w:val="18"/>
                <w:szCs w:val="18"/>
              </w:rPr>
            </w:pPr>
            <w:r>
              <w:rPr>
                <w:rFonts w:ascii="Times New Roman"/>
                <w:sz w:val="18"/>
              </w:rPr>
              <w:t>049.76</w:t>
            </w:r>
          </w:p>
        </w:tc>
        <w:tc>
          <w:tcPr>
            <w:tcW w:w="648" w:type="dxa"/>
            <w:vMerge w:val="restart"/>
            <w:tcBorders>
              <w:top w:val="single" w:sz="4" w:space="0" w:color="000000"/>
              <w:left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1,351,8</w:t>
            </w:r>
          </w:p>
          <w:p>
            <w:pPr>
              <w:pStyle w:val="TableParagraph"/>
              <w:spacing w:line="240" w:lineRule="auto" w:before="105"/>
              <w:ind w:right="14"/>
              <w:jc w:val="right"/>
              <w:rPr>
                <w:rFonts w:ascii="Times New Roman" w:hAnsi="Times New Roman" w:cs="Times New Roman" w:eastAsia="Times New Roman" w:hint="default"/>
                <w:sz w:val="18"/>
                <w:szCs w:val="18"/>
              </w:rPr>
            </w:pPr>
            <w:r>
              <w:rPr>
                <w:rFonts w:ascii="Times New Roman"/>
                <w:spacing w:val="-2"/>
                <w:sz w:val="18"/>
              </w:rPr>
              <w:t>21,402.</w:t>
            </w:r>
          </w:p>
          <w:p>
            <w:pPr>
              <w:pStyle w:val="TableParagraph"/>
              <w:spacing w:line="240" w:lineRule="auto" w:before="110"/>
              <w:ind w:right="12"/>
              <w:jc w:val="right"/>
              <w:rPr>
                <w:rFonts w:ascii="Times New Roman" w:hAnsi="Times New Roman" w:cs="Times New Roman" w:eastAsia="Times New Roman" w:hint="default"/>
                <w:sz w:val="18"/>
                <w:szCs w:val="18"/>
              </w:rPr>
            </w:pPr>
            <w:r>
              <w:rPr>
                <w:rFonts w:ascii="Times New Roman"/>
                <w:sz w:val="18"/>
              </w:rPr>
              <w:t>86</w:t>
            </w:r>
          </w:p>
        </w:tc>
      </w:tr>
      <w:tr>
        <w:trPr>
          <w:trHeight w:val="701" w:hRule="exact"/>
        </w:trPr>
        <w:tc>
          <w:tcPr>
            <w:tcW w:w="119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54"/>
              <w:ind w:left="11" w:right="82"/>
              <w:jc w:val="left"/>
              <w:rPr>
                <w:rFonts w:ascii="宋体" w:hAnsi="宋体" w:cs="宋体" w:eastAsia="宋体" w:hint="default"/>
                <w:sz w:val="18"/>
                <w:szCs w:val="18"/>
              </w:rPr>
            </w:pPr>
            <w:r>
              <w:rPr>
                <w:rFonts w:ascii="宋体" w:hAnsi="宋体" w:cs="宋体" w:eastAsia="宋体" w:hint="default"/>
                <w:spacing w:val="-2"/>
                <w:sz w:val="18"/>
                <w:szCs w:val="18"/>
              </w:rPr>
              <w:t>二、本年期初</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余额</w:t>
            </w:r>
          </w:p>
        </w:tc>
        <w:tc>
          <w:tcPr>
            <w:tcW w:w="502" w:type="dxa"/>
            <w:vMerge/>
            <w:tcBorders>
              <w:left w:val="single" w:sz="10" w:space="0" w:color="D2D2D2"/>
              <w:right w:val="single" w:sz="4" w:space="0" w:color="000000"/>
            </w:tcBorders>
          </w:tcPr>
          <w:p>
            <w:pPr/>
          </w:p>
        </w:tc>
        <w:tc>
          <w:tcPr>
            <w:tcW w:w="447" w:type="dxa"/>
            <w:vMerge/>
            <w:tcBorders>
              <w:left w:val="single" w:sz="4" w:space="0" w:color="000000"/>
              <w:right w:val="single" w:sz="4" w:space="0" w:color="000000"/>
            </w:tcBorders>
          </w:tcPr>
          <w:p>
            <w:pPr/>
          </w:p>
        </w:tc>
        <w:tc>
          <w:tcPr>
            <w:tcW w:w="451" w:type="dxa"/>
            <w:vMerge/>
            <w:tcBorders>
              <w:left w:val="single" w:sz="4" w:space="0" w:color="000000"/>
              <w:right w:val="single" w:sz="4" w:space="0" w:color="000000"/>
            </w:tcBorders>
          </w:tcPr>
          <w:p>
            <w:pPr/>
          </w:p>
        </w:tc>
        <w:tc>
          <w:tcPr>
            <w:tcW w:w="490" w:type="dxa"/>
            <w:vMerge/>
            <w:tcBorders>
              <w:left w:val="single" w:sz="4" w:space="0" w:color="000000"/>
              <w:right w:val="single" w:sz="4" w:space="0" w:color="000000"/>
            </w:tcBorders>
          </w:tcPr>
          <w:p>
            <w:pPr/>
          </w:p>
        </w:tc>
        <w:tc>
          <w:tcPr>
            <w:tcW w:w="577"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81"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91"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644" w:type="dxa"/>
            <w:vMerge/>
            <w:tcBorders>
              <w:left w:val="single" w:sz="4" w:space="0" w:color="000000"/>
              <w:right w:val="single" w:sz="4" w:space="0" w:color="000000"/>
            </w:tcBorders>
          </w:tcPr>
          <w:p>
            <w:pPr/>
          </w:p>
        </w:tc>
        <w:tc>
          <w:tcPr>
            <w:tcW w:w="648" w:type="dxa"/>
            <w:vMerge/>
            <w:tcBorders>
              <w:left w:val="single" w:sz="4" w:space="0" w:color="000000"/>
              <w:right w:val="single" w:sz="4" w:space="0" w:color="000000"/>
            </w:tcBorders>
          </w:tcPr>
          <w:p>
            <w:pPr/>
          </w:p>
        </w:tc>
      </w:tr>
      <w:tr>
        <w:trPr>
          <w:trHeight w:val="163" w:hRule="exact"/>
        </w:trPr>
        <w:tc>
          <w:tcPr>
            <w:tcW w:w="1191" w:type="dxa"/>
            <w:tcBorders>
              <w:top w:val="nil" w:sz="6" w:space="0" w:color="auto"/>
              <w:left w:val="single" w:sz="4" w:space="0" w:color="000000"/>
              <w:bottom w:val="single" w:sz="4" w:space="0" w:color="000000"/>
              <w:right w:val="single" w:sz="4" w:space="0" w:color="000000"/>
            </w:tcBorders>
            <w:shd w:val="clear" w:color="auto" w:fill="D2D2D2"/>
          </w:tcPr>
          <w:p>
            <w:pPr/>
          </w:p>
        </w:tc>
        <w:tc>
          <w:tcPr>
            <w:tcW w:w="502" w:type="dxa"/>
            <w:vMerge/>
            <w:tcBorders>
              <w:left w:val="single" w:sz="10" w:space="0" w:color="D2D2D2"/>
              <w:bottom w:val="single" w:sz="4" w:space="0" w:color="000000"/>
              <w:right w:val="single" w:sz="4" w:space="0" w:color="000000"/>
            </w:tcBorders>
          </w:tcPr>
          <w:p>
            <w:pPr/>
          </w:p>
        </w:tc>
        <w:tc>
          <w:tcPr>
            <w:tcW w:w="447" w:type="dxa"/>
            <w:vMerge/>
            <w:tcBorders>
              <w:left w:val="single" w:sz="4" w:space="0" w:color="000000"/>
              <w:bottom w:val="single" w:sz="4" w:space="0" w:color="000000"/>
              <w:right w:val="single" w:sz="4" w:space="0" w:color="000000"/>
            </w:tcBorders>
          </w:tcPr>
          <w:p>
            <w:pPr/>
          </w:p>
        </w:tc>
        <w:tc>
          <w:tcPr>
            <w:tcW w:w="451" w:type="dxa"/>
            <w:vMerge/>
            <w:tcBorders>
              <w:left w:val="single" w:sz="4" w:space="0" w:color="000000"/>
              <w:bottom w:val="single" w:sz="4" w:space="0" w:color="000000"/>
              <w:right w:val="single" w:sz="4" w:space="0" w:color="000000"/>
            </w:tcBorders>
          </w:tcPr>
          <w:p>
            <w:pPr/>
          </w:p>
        </w:tc>
        <w:tc>
          <w:tcPr>
            <w:tcW w:w="490" w:type="dxa"/>
            <w:vMerge/>
            <w:tcBorders>
              <w:left w:val="single" w:sz="4" w:space="0" w:color="000000"/>
              <w:bottom w:val="single" w:sz="4" w:space="0" w:color="000000"/>
              <w:right w:val="single" w:sz="4" w:space="0" w:color="000000"/>
            </w:tcBorders>
          </w:tcPr>
          <w:p>
            <w:pPr/>
          </w:p>
        </w:tc>
        <w:tc>
          <w:tcPr>
            <w:tcW w:w="577"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81"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91" w:type="dxa"/>
            <w:vMerge/>
            <w:tcBorders>
              <w:left w:val="single" w:sz="4" w:space="0" w:color="000000"/>
              <w:bottom w:val="single" w:sz="4" w:space="0" w:color="000000"/>
              <w:right w:val="single" w:sz="4" w:space="0" w:color="000000"/>
            </w:tcBorders>
          </w:tcPr>
          <w:p>
            <w:pPr/>
          </w:p>
        </w:tc>
        <w:tc>
          <w:tcPr>
            <w:tcW w:w="566" w:type="dxa"/>
            <w:vMerge/>
            <w:tcBorders>
              <w:left w:val="single" w:sz="4" w:space="0" w:color="000000"/>
              <w:bottom w:val="single" w:sz="4" w:space="0" w:color="000000"/>
              <w:right w:val="single" w:sz="4" w:space="0" w:color="000000"/>
            </w:tcBorders>
          </w:tcPr>
          <w:p>
            <w:pPr/>
          </w:p>
        </w:tc>
        <w:tc>
          <w:tcPr>
            <w:tcW w:w="566" w:type="dxa"/>
            <w:vMerge/>
            <w:tcBorders>
              <w:left w:val="single" w:sz="4" w:space="0" w:color="000000"/>
              <w:bottom w:val="single" w:sz="4" w:space="0" w:color="000000"/>
              <w:right w:val="single" w:sz="4" w:space="0" w:color="000000"/>
            </w:tcBorders>
          </w:tcPr>
          <w:p>
            <w:pPr/>
          </w:p>
        </w:tc>
        <w:tc>
          <w:tcPr>
            <w:tcW w:w="644" w:type="dxa"/>
            <w:vMerge/>
            <w:tcBorders>
              <w:left w:val="single" w:sz="4" w:space="0" w:color="000000"/>
              <w:bottom w:val="single" w:sz="4" w:space="0" w:color="000000"/>
              <w:right w:val="single" w:sz="4" w:space="0" w:color="000000"/>
            </w:tcBorders>
          </w:tcPr>
          <w:p>
            <w:pPr/>
          </w:p>
        </w:tc>
        <w:tc>
          <w:tcPr>
            <w:tcW w:w="648" w:type="dxa"/>
            <w:vMerge/>
            <w:tcBorders>
              <w:left w:val="single" w:sz="4" w:space="0" w:color="000000"/>
              <w:bottom w:val="single" w:sz="4" w:space="0" w:color="000000"/>
              <w:right w:val="single" w:sz="4" w:space="0" w:color="000000"/>
            </w:tcBorders>
          </w:tcPr>
          <w:p>
            <w:pPr/>
          </w:p>
        </w:tc>
      </w:tr>
      <w:tr>
        <w:trPr>
          <w:trHeight w:val="1340" w:hRule="exact"/>
        </w:trPr>
        <w:tc>
          <w:tcPr>
            <w:tcW w:w="1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3"/>
              <w:ind w:left="11" w:right="82"/>
              <w:jc w:val="both"/>
              <w:rPr>
                <w:rFonts w:ascii="宋体" w:hAnsi="宋体" w:cs="宋体" w:eastAsia="宋体" w:hint="default"/>
                <w:sz w:val="18"/>
                <w:szCs w:val="18"/>
              </w:rPr>
            </w:pPr>
            <w:r>
              <w:rPr>
                <w:rFonts w:ascii="宋体" w:hAnsi="宋体" w:cs="宋体" w:eastAsia="宋体" w:hint="default"/>
                <w:spacing w:val="-2"/>
                <w:sz w:val="18"/>
                <w:szCs w:val="18"/>
              </w:rPr>
              <w:t>三、本期增减</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变动金额（减</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r>
              <w:rPr>
                <w:rFonts w:ascii="宋体" w:hAnsi="宋体" w:cs="宋体" w:eastAsia="宋体" w:hint="default"/>
                <w:spacing w:val="-86"/>
                <w:sz w:val="18"/>
                <w:szCs w:val="18"/>
              </w:rPr>
              <w:t> </w:t>
            </w:r>
            <w:r>
              <w:rPr>
                <w:rFonts w:ascii="宋体" w:hAnsi="宋体" w:cs="宋体" w:eastAsia="宋体" w:hint="default"/>
                <w:sz w:val="18"/>
                <w:szCs w:val="18"/>
              </w:rPr>
              <w:t>列）</w:t>
            </w:r>
          </w:p>
        </w:tc>
        <w:tc>
          <w:tcPr>
            <w:tcW w:w="502" w:type="dxa"/>
            <w:tcBorders>
              <w:top w:val="single" w:sz="4" w:space="0" w:color="000000"/>
              <w:left w:val="single" w:sz="13" w:space="0" w:color="D2D2D2"/>
              <w:bottom w:val="single" w:sz="4" w:space="0" w:color="000000"/>
              <w:right w:val="single" w:sz="4" w:space="0" w:color="000000"/>
            </w:tcBorders>
          </w:tcPr>
          <w:p>
            <w:pP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28" w:right="0"/>
              <w:jc w:val="center"/>
              <w:rPr>
                <w:rFonts w:ascii="Times New Roman" w:hAnsi="Times New Roman" w:cs="Times New Roman" w:eastAsia="Times New Roman" w:hint="default"/>
                <w:sz w:val="18"/>
                <w:szCs w:val="18"/>
              </w:rPr>
            </w:pPr>
            <w:r>
              <w:rPr>
                <w:rFonts w:ascii="Times New Roman"/>
                <w:sz w:val="18"/>
              </w:rPr>
              <w:t>408,33</w:t>
            </w:r>
          </w:p>
          <w:p>
            <w:pPr>
              <w:pStyle w:val="TableParagraph"/>
              <w:spacing w:line="240" w:lineRule="auto" w:before="105"/>
              <w:ind w:left="206" w:right="0"/>
              <w:jc w:val="center"/>
              <w:rPr>
                <w:rFonts w:ascii="Times New Roman" w:hAnsi="Times New Roman" w:cs="Times New Roman" w:eastAsia="Times New Roman" w:hint="default"/>
                <w:sz w:val="18"/>
                <w:szCs w:val="18"/>
              </w:rPr>
            </w:pPr>
            <w:r>
              <w:rPr>
                <w:rFonts w:ascii="Times New Roman"/>
                <w:sz w:val="18"/>
              </w:rPr>
              <w:t>4.00</w:t>
            </w: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-8,009,</w:t>
            </w:r>
          </w:p>
          <w:p>
            <w:pPr>
              <w:pStyle w:val="TableParagraph"/>
              <w:spacing w:line="240" w:lineRule="auto" w:before="105"/>
              <w:ind w:left="52" w:right="0"/>
              <w:jc w:val="left"/>
              <w:rPr>
                <w:rFonts w:ascii="Times New Roman" w:hAnsi="Times New Roman" w:cs="Times New Roman" w:eastAsia="Times New Roman" w:hint="default"/>
                <w:sz w:val="18"/>
                <w:szCs w:val="18"/>
              </w:rPr>
            </w:pPr>
            <w:r>
              <w:rPr>
                <w:rFonts w:ascii="Times New Roman"/>
                <w:sz w:val="18"/>
              </w:rPr>
              <w:t>124.90</w:t>
            </w: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1,640,</w:t>
            </w:r>
          </w:p>
          <w:p>
            <w:pPr>
              <w:pStyle w:val="TableParagraph"/>
              <w:spacing w:line="240" w:lineRule="auto" w:before="105"/>
              <w:ind w:left="47" w:right="0"/>
              <w:jc w:val="left"/>
              <w:rPr>
                <w:rFonts w:ascii="Times New Roman" w:hAnsi="Times New Roman" w:cs="Times New Roman" w:eastAsia="Times New Roman" w:hint="default"/>
                <w:sz w:val="18"/>
                <w:szCs w:val="18"/>
              </w:rPr>
            </w:pPr>
            <w:r>
              <w:rPr>
                <w:rFonts w:ascii="Times New Roman"/>
                <w:sz w:val="18"/>
              </w:rPr>
              <w:t>380.35</w:t>
            </w:r>
          </w:p>
        </w:tc>
        <w:tc>
          <w:tcPr>
            <w:tcW w:w="576"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2"/>
                <w:sz w:val="18"/>
              </w:rPr>
              <w:t>34,110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pacing w:val="-1"/>
                <w:sz w:val="18"/>
              </w:rPr>
              <w:t>,357.3</w:t>
            </w:r>
          </w:p>
          <w:p>
            <w:pPr>
              <w:pStyle w:val="TableParagraph"/>
              <w:spacing w:line="240" w:lineRule="auto" w:before="110"/>
              <w:ind w:right="22"/>
              <w:jc w:val="righ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28,149</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pacing w:val="-1"/>
                <w:sz w:val="18"/>
              </w:rPr>
              <w:t>,946.7</w:t>
            </w:r>
          </w:p>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53" w:right="0"/>
              <w:jc w:val="left"/>
              <w:rPr>
                <w:rFonts w:ascii="Times New Roman" w:hAnsi="Times New Roman" w:cs="Times New Roman" w:eastAsia="Times New Roman" w:hint="default"/>
                <w:sz w:val="18"/>
                <w:szCs w:val="18"/>
              </w:rPr>
            </w:pPr>
            <w:r>
              <w:rPr>
                <w:rFonts w:ascii="Times New Roman"/>
                <w:sz w:val="18"/>
              </w:rPr>
              <w:t>-14,076</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sz w:val="18"/>
              </w:rPr>
              <w:t>,933.94</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81" w:right="0"/>
              <w:jc w:val="left"/>
              <w:rPr>
                <w:rFonts w:ascii="Times New Roman" w:hAnsi="Times New Roman" w:cs="Times New Roman" w:eastAsia="Times New Roman" w:hint="default"/>
                <w:sz w:val="18"/>
                <w:szCs w:val="18"/>
              </w:rPr>
            </w:pPr>
            <w:r>
              <w:rPr>
                <w:rFonts w:ascii="Times New Roman"/>
                <w:sz w:val="18"/>
              </w:rPr>
              <w:t>14,073,</w:t>
            </w:r>
          </w:p>
          <w:p>
            <w:pPr>
              <w:pStyle w:val="TableParagraph"/>
              <w:spacing w:line="240" w:lineRule="auto" w:before="105"/>
              <w:ind w:left="124" w:right="0"/>
              <w:jc w:val="left"/>
              <w:rPr>
                <w:rFonts w:ascii="Times New Roman" w:hAnsi="Times New Roman" w:cs="Times New Roman" w:eastAsia="Times New Roman" w:hint="default"/>
                <w:sz w:val="18"/>
                <w:szCs w:val="18"/>
              </w:rPr>
            </w:pPr>
            <w:r>
              <w:rPr>
                <w:rFonts w:ascii="Times New Roman"/>
                <w:sz w:val="18"/>
              </w:rPr>
              <w:t>012.85</w:t>
            </w:r>
          </w:p>
        </w:tc>
      </w:tr>
      <w:tr>
        <w:trPr>
          <w:trHeight w:val="158" w:hRule="exact"/>
        </w:trPr>
        <w:tc>
          <w:tcPr>
            <w:tcW w:w="1191" w:type="dxa"/>
            <w:tcBorders>
              <w:top w:val="single" w:sz="4" w:space="0" w:color="000000"/>
              <w:left w:val="single" w:sz="4" w:space="0" w:color="000000"/>
              <w:bottom w:val="nil" w:sz="6" w:space="0" w:color="auto"/>
              <w:right w:val="single" w:sz="4" w:space="0" w:color="000000"/>
            </w:tcBorders>
            <w:shd w:val="clear" w:color="auto" w:fill="D2D2D2"/>
          </w:tcPr>
          <w:p>
            <w:pPr/>
          </w:p>
        </w:tc>
        <w:tc>
          <w:tcPr>
            <w:tcW w:w="502" w:type="dxa"/>
            <w:vMerge w:val="restart"/>
            <w:tcBorders>
              <w:top w:val="single" w:sz="4" w:space="0" w:color="000000"/>
              <w:left w:val="single" w:sz="13" w:space="0" w:color="D2D2D2"/>
              <w:right w:val="single" w:sz="4" w:space="0" w:color="000000"/>
            </w:tcBorders>
          </w:tcPr>
          <w:p>
            <w:pPr/>
          </w:p>
        </w:tc>
        <w:tc>
          <w:tcPr>
            <w:tcW w:w="447" w:type="dxa"/>
            <w:vMerge w:val="restart"/>
            <w:tcBorders>
              <w:top w:val="single" w:sz="4" w:space="0" w:color="000000"/>
              <w:left w:val="single" w:sz="4" w:space="0" w:color="000000"/>
              <w:right w:val="single" w:sz="4" w:space="0" w:color="000000"/>
            </w:tcBorders>
          </w:tcPr>
          <w:p>
            <w:pPr/>
          </w:p>
        </w:tc>
        <w:tc>
          <w:tcPr>
            <w:tcW w:w="451" w:type="dxa"/>
            <w:vMerge w:val="restart"/>
            <w:tcBorders>
              <w:top w:val="single" w:sz="4" w:space="0" w:color="000000"/>
              <w:left w:val="single" w:sz="4" w:space="0" w:color="000000"/>
              <w:right w:val="single" w:sz="4" w:space="0" w:color="000000"/>
            </w:tcBorders>
          </w:tcPr>
          <w:p>
            <w:pPr/>
          </w:p>
        </w:tc>
        <w:tc>
          <w:tcPr>
            <w:tcW w:w="490" w:type="dxa"/>
            <w:vMerge w:val="restart"/>
            <w:tcBorders>
              <w:top w:val="single" w:sz="4" w:space="0" w:color="000000"/>
              <w:left w:val="single" w:sz="4" w:space="0" w:color="000000"/>
              <w:right w:val="single" w:sz="4" w:space="0" w:color="000000"/>
            </w:tcBorders>
          </w:tcPr>
          <w:p>
            <w:pPr/>
          </w:p>
        </w:tc>
        <w:tc>
          <w:tcPr>
            <w:tcW w:w="577" w:type="dxa"/>
            <w:vMerge w:val="restart"/>
            <w:tcBorders>
              <w:top w:val="single" w:sz="4" w:space="0" w:color="000000"/>
              <w:left w:val="single" w:sz="4" w:space="0" w:color="000000"/>
              <w:right w:val="single" w:sz="4" w:space="0" w:color="000000"/>
            </w:tcBorders>
          </w:tcPr>
          <w:p>
            <w:pPr/>
          </w:p>
        </w:tc>
        <w:tc>
          <w:tcPr>
            <w:tcW w:w="576" w:type="dxa"/>
            <w:vMerge w:val="restart"/>
            <w:tcBorders>
              <w:top w:val="single" w:sz="4" w:space="0" w:color="000000"/>
              <w:left w:val="single" w:sz="4" w:space="0" w:color="000000"/>
              <w:right w:val="single" w:sz="4" w:space="0" w:color="000000"/>
            </w:tcBorders>
          </w:tcPr>
          <w:p>
            <w:pPr/>
          </w:p>
        </w:tc>
        <w:tc>
          <w:tcPr>
            <w:tcW w:w="576"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-8,009,</w:t>
            </w:r>
          </w:p>
          <w:p>
            <w:pPr>
              <w:pStyle w:val="TableParagraph"/>
              <w:spacing w:line="240" w:lineRule="auto" w:before="110"/>
              <w:ind w:left="52" w:right="0"/>
              <w:jc w:val="left"/>
              <w:rPr>
                <w:rFonts w:ascii="Times New Roman" w:hAnsi="Times New Roman" w:cs="Times New Roman" w:eastAsia="Times New Roman" w:hint="default"/>
                <w:sz w:val="18"/>
                <w:szCs w:val="18"/>
              </w:rPr>
            </w:pPr>
            <w:r>
              <w:rPr>
                <w:rFonts w:ascii="Times New Roman"/>
                <w:sz w:val="18"/>
              </w:rPr>
              <w:t>124.90</w:t>
            </w:r>
          </w:p>
        </w:tc>
        <w:tc>
          <w:tcPr>
            <w:tcW w:w="581" w:type="dxa"/>
            <w:vMerge w:val="restart"/>
            <w:tcBorders>
              <w:top w:val="single" w:sz="4" w:space="0" w:color="000000"/>
              <w:left w:val="single" w:sz="4" w:space="0" w:color="000000"/>
              <w:right w:val="single" w:sz="4" w:space="0" w:color="000000"/>
            </w:tcBorders>
          </w:tcPr>
          <w:p>
            <w:pPr/>
          </w:p>
        </w:tc>
        <w:tc>
          <w:tcPr>
            <w:tcW w:w="576" w:type="dxa"/>
            <w:vMerge w:val="restart"/>
            <w:tcBorders>
              <w:top w:val="single" w:sz="4" w:space="0" w:color="000000"/>
              <w:left w:val="single" w:sz="4" w:space="0" w:color="000000"/>
              <w:right w:val="single" w:sz="4" w:space="0" w:color="000000"/>
            </w:tcBorders>
          </w:tcPr>
          <w:p>
            <w:pPr/>
          </w:p>
        </w:tc>
        <w:tc>
          <w:tcPr>
            <w:tcW w:w="576" w:type="dxa"/>
            <w:vMerge w:val="restart"/>
            <w:tcBorders>
              <w:top w:val="single" w:sz="4" w:space="0" w:color="000000"/>
              <w:left w:val="single" w:sz="4" w:space="0" w:color="000000"/>
              <w:right w:val="single" w:sz="4" w:space="0" w:color="000000"/>
            </w:tcBorders>
          </w:tcPr>
          <w:p>
            <w:pPr/>
          </w:p>
        </w:tc>
        <w:tc>
          <w:tcPr>
            <w:tcW w:w="591" w:type="dxa"/>
            <w:vMerge w:val="restart"/>
            <w:tcBorders>
              <w:top w:val="single" w:sz="4" w:space="0" w:color="000000"/>
              <w:left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35,750</w:t>
            </w:r>
          </w:p>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,737.6</w:t>
            </w:r>
          </w:p>
          <w:p>
            <w:pPr>
              <w:pStyle w:val="TableParagraph"/>
              <w:spacing w:line="240" w:lineRule="auto" w:before="110"/>
              <w:ind w:right="22"/>
              <w:jc w:val="righ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tc>
        <w:tc>
          <w:tcPr>
            <w:tcW w:w="566" w:type="dxa"/>
            <w:vMerge w:val="restart"/>
            <w:tcBorders>
              <w:top w:val="single" w:sz="4" w:space="0" w:color="000000"/>
              <w:left w:val="single" w:sz="4" w:space="0" w:color="000000"/>
              <w:right w:val="single" w:sz="4" w:space="0" w:color="000000"/>
            </w:tcBorders>
          </w:tcPr>
          <w:p>
            <w:pPr/>
          </w:p>
        </w:tc>
        <w:tc>
          <w:tcPr>
            <w:tcW w:w="566" w:type="dxa"/>
            <w:vMerge w:val="restart"/>
            <w:tcBorders>
              <w:top w:val="single" w:sz="4" w:space="0" w:color="000000"/>
              <w:left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27,741</w:t>
            </w:r>
          </w:p>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,612.7</w:t>
            </w:r>
          </w:p>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tc>
        <w:tc>
          <w:tcPr>
            <w:tcW w:w="644"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53" w:right="0"/>
              <w:jc w:val="left"/>
              <w:rPr>
                <w:rFonts w:ascii="Times New Roman" w:hAnsi="Times New Roman" w:cs="Times New Roman" w:eastAsia="Times New Roman" w:hint="default"/>
                <w:sz w:val="18"/>
                <w:szCs w:val="18"/>
              </w:rPr>
            </w:pPr>
            <w:r>
              <w:rPr>
                <w:rFonts w:ascii="Times New Roman"/>
                <w:sz w:val="18"/>
              </w:rPr>
              <w:t>-14,076</w:t>
            </w:r>
          </w:p>
          <w:p>
            <w:pPr>
              <w:pStyle w:val="TableParagraph"/>
              <w:spacing w:line="240" w:lineRule="auto" w:before="110"/>
              <w:ind w:left="72" w:right="0"/>
              <w:jc w:val="left"/>
              <w:rPr>
                <w:rFonts w:ascii="Times New Roman" w:hAnsi="Times New Roman" w:cs="Times New Roman" w:eastAsia="Times New Roman" w:hint="default"/>
                <w:sz w:val="18"/>
                <w:szCs w:val="18"/>
              </w:rPr>
            </w:pPr>
            <w:r>
              <w:rPr>
                <w:rFonts w:ascii="Times New Roman"/>
                <w:sz w:val="18"/>
              </w:rPr>
              <w:t>,933.94</w:t>
            </w:r>
          </w:p>
        </w:tc>
        <w:tc>
          <w:tcPr>
            <w:tcW w:w="648"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81" w:right="0"/>
              <w:jc w:val="left"/>
              <w:rPr>
                <w:rFonts w:ascii="Times New Roman" w:hAnsi="Times New Roman" w:cs="Times New Roman" w:eastAsia="Times New Roman" w:hint="default"/>
                <w:sz w:val="18"/>
                <w:szCs w:val="18"/>
              </w:rPr>
            </w:pPr>
            <w:r>
              <w:rPr>
                <w:rFonts w:ascii="Times New Roman"/>
                <w:sz w:val="18"/>
              </w:rPr>
              <w:t>13,664,</w:t>
            </w:r>
          </w:p>
          <w:p>
            <w:pPr>
              <w:pStyle w:val="TableParagraph"/>
              <w:spacing w:line="240" w:lineRule="auto" w:before="110"/>
              <w:ind w:left="124" w:right="0"/>
              <w:jc w:val="left"/>
              <w:rPr>
                <w:rFonts w:ascii="Times New Roman" w:hAnsi="Times New Roman" w:cs="Times New Roman" w:eastAsia="Times New Roman" w:hint="default"/>
                <w:sz w:val="18"/>
                <w:szCs w:val="18"/>
              </w:rPr>
            </w:pPr>
            <w:r>
              <w:rPr>
                <w:rFonts w:ascii="Times New Roman"/>
                <w:sz w:val="18"/>
              </w:rPr>
              <w:t>678.85</w:t>
            </w:r>
          </w:p>
        </w:tc>
      </w:tr>
      <w:tr>
        <w:trPr>
          <w:trHeight w:val="706" w:hRule="exact"/>
        </w:trPr>
        <w:tc>
          <w:tcPr>
            <w:tcW w:w="119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21" w:lineRule="auto" w:before="53"/>
              <w:ind w:left="11" w:right="82"/>
              <w:jc w:val="left"/>
              <w:rPr>
                <w:rFonts w:ascii="宋体" w:hAnsi="宋体" w:cs="宋体" w:eastAsia="宋体" w:hint="default"/>
                <w:sz w:val="18"/>
                <w:szCs w:val="18"/>
              </w:rPr>
            </w:pPr>
            <w:r>
              <w:rPr>
                <w:rFonts w:ascii="宋体" w:hAnsi="宋体" w:cs="宋体" w:eastAsia="宋体" w:hint="default"/>
                <w:spacing w:val="-2"/>
                <w:sz w:val="18"/>
                <w:szCs w:val="18"/>
              </w:rPr>
              <w:t>（一）综合收</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益总额</w:t>
            </w:r>
          </w:p>
        </w:tc>
        <w:tc>
          <w:tcPr>
            <w:tcW w:w="502" w:type="dxa"/>
            <w:vMerge/>
            <w:tcBorders>
              <w:left w:val="single" w:sz="13" w:space="0" w:color="D2D2D2"/>
              <w:right w:val="single" w:sz="4" w:space="0" w:color="000000"/>
            </w:tcBorders>
          </w:tcPr>
          <w:p>
            <w:pPr/>
          </w:p>
        </w:tc>
        <w:tc>
          <w:tcPr>
            <w:tcW w:w="447" w:type="dxa"/>
            <w:vMerge/>
            <w:tcBorders>
              <w:left w:val="single" w:sz="4" w:space="0" w:color="000000"/>
              <w:right w:val="single" w:sz="4" w:space="0" w:color="000000"/>
            </w:tcBorders>
          </w:tcPr>
          <w:p>
            <w:pPr/>
          </w:p>
        </w:tc>
        <w:tc>
          <w:tcPr>
            <w:tcW w:w="451" w:type="dxa"/>
            <w:vMerge/>
            <w:tcBorders>
              <w:left w:val="single" w:sz="4" w:space="0" w:color="000000"/>
              <w:right w:val="single" w:sz="4" w:space="0" w:color="000000"/>
            </w:tcBorders>
          </w:tcPr>
          <w:p>
            <w:pPr/>
          </w:p>
        </w:tc>
        <w:tc>
          <w:tcPr>
            <w:tcW w:w="490" w:type="dxa"/>
            <w:vMerge/>
            <w:tcBorders>
              <w:left w:val="single" w:sz="4" w:space="0" w:color="000000"/>
              <w:right w:val="single" w:sz="4" w:space="0" w:color="000000"/>
            </w:tcBorders>
          </w:tcPr>
          <w:p>
            <w:pPr/>
          </w:p>
        </w:tc>
        <w:tc>
          <w:tcPr>
            <w:tcW w:w="577"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81"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91"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644" w:type="dxa"/>
            <w:vMerge/>
            <w:tcBorders>
              <w:left w:val="single" w:sz="4" w:space="0" w:color="000000"/>
              <w:right w:val="single" w:sz="4" w:space="0" w:color="000000"/>
            </w:tcBorders>
          </w:tcPr>
          <w:p>
            <w:pPr/>
          </w:p>
        </w:tc>
        <w:tc>
          <w:tcPr>
            <w:tcW w:w="648" w:type="dxa"/>
            <w:vMerge/>
            <w:tcBorders>
              <w:left w:val="single" w:sz="4" w:space="0" w:color="000000"/>
              <w:right w:val="single" w:sz="4" w:space="0" w:color="000000"/>
            </w:tcBorders>
          </w:tcPr>
          <w:p>
            <w:pPr/>
          </w:p>
        </w:tc>
      </w:tr>
      <w:tr>
        <w:trPr>
          <w:trHeight w:val="158" w:hRule="exact"/>
        </w:trPr>
        <w:tc>
          <w:tcPr>
            <w:tcW w:w="1191" w:type="dxa"/>
            <w:tcBorders>
              <w:top w:val="nil" w:sz="6" w:space="0" w:color="auto"/>
              <w:left w:val="single" w:sz="4" w:space="0" w:color="000000"/>
              <w:bottom w:val="single" w:sz="4" w:space="0" w:color="000000"/>
              <w:right w:val="single" w:sz="4" w:space="0" w:color="000000"/>
            </w:tcBorders>
            <w:shd w:val="clear" w:color="auto" w:fill="D2D2D2"/>
          </w:tcPr>
          <w:p>
            <w:pPr/>
          </w:p>
        </w:tc>
        <w:tc>
          <w:tcPr>
            <w:tcW w:w="502" w:type="dxa"/>
            <w:vMerge/>
            <w:tcBorders>
              <w:left w:val="single" w:sz="13" w:space="0" w:color="D2D2D2"/>
              <w:bottom w:val="single" w:sz="4" w:space="0" w:color="000000"/>
              <w:right w:val="single" w:sz="4" w:space="0" w:color="000000"/>
            </w:tcBorders>
          </w:tcPr>
          <w:p>
            <w:pPr/>
          </w:p>
        </w:tc>
        <w:tc>
          <w:tcPr>
            <w:tcW w:w="447" w:type="dxa"/>
            <w:vMerge/>
            <w:tcBorders>
              <w:left w:val="single" w:sz="4" w:space="0" w:color="000000"/>
              <w:bottom w:val="single" w:sz="4" w:space="0" w:color="000000"/>
              <w:right w:val="single" w:sz="4" w:space="0" w:color="000000"/>
            </w:tcBorders>
          </w:tcPr>
          <w:p>
            <w:pPr/>
          </w:p>
        </w:tc>
        <w:tc>
          <w:tcPr>
            <w:tcW w:w="451" w:type="dxa"/>
            <w:vMerge/>
            <w:tcBorders>
              <w:left w:val="single" w:sz="4" w:space="0" w:color="000000"/>
              <w:bottom w:val="single" w:sz="4" w:space="0" w:color="000000"/>
              <w:right w:val="single" w:sz="4" w:space="0" w:color="000000"/>
            </w:tcBorders>
          </w:tcPr>
          <w:p>
            <w:pPr/>
          </w:p>
        </w:tc>
        <w:tc>
          <w:tcPr>
            <w:tcW w:w="490" w:type="dxa"/>
            <w:vMerge/>
            <w:tcBorders>
              <w:left w:val="single" w:sz="4" w:space="0" w:color="000000"/>
              <w:bottom w:val="single" w:sz="4" w:space="0" w:color="000000"/>
              <w:right w:val="single" w:sz="4" w:space="0" w:color="000000"/>
            </w:tcBorders>
          </w:tcPr>
          <w:p>
            <w:pPr/>
          </w:p>
        </w:tc>
        <w:tc>
          <w:tcPr>
            <w:tcW w:w="577"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81"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91" w:type="dxa"/>
            <w:vMerge/>
            <w:tcBorders>
              <w:left w:val="single" w:sz="4" w:space="0" w:color="000000"/>
              <w:bottom w:val="single" w:sz="4" w:space="0" w:color="000000"/>
              <w:right w:val="single" w:sz="4" w:space="0" w:color="000000"/>
            </w:tcBorders>
          </w:tcPr>
          <w:p>
            <w:pPr/>
          </w:p>
        </w:tc>
        <w:tc>
          <w:tcPr>
            <w:tcW w:w="566" w:type="dxa"/>
            <w:vMerge/>
            <w:tcBorders>
              <w:left w:val="single" w:sz="4" w:space="0" w:color="000000"/>
              <w:bottom w:val="single" w:sz="4" w:space="0" w:color="000000"/>
              <w:right w:val="single" w:sz="4" w:space="0" w:color="000000"/>
            </w:tcBorders>
          </w:tcPr>
          <w:p>
            <w:pPr/>
          </w:p>
        </w:tc>
        <w:tc>
          <w:tcPr>
            <w:tcW w:w="566" w:type="dxa"/>
            <w:vMerge/>
            <w:tcBorders>
              <w:left w:val="single" w:sz="4" w:space="0" w:color="000000"/>
              <w:bottom w:val="single" w:sz="4" w:space="0" w:color="000000"/>
              <w:right w:val="single" w:sz="4" w:space="0" w:color="000000"/>
            </w:tcBorders>
          </w:tcPr>
          <w:p>
            <w:pPr/>
          </w:p>
        </w:tc>
        <w:tc>
          <w:tcPr>
            <w:tcW w:w="644" w:type="dxa"/>
            <w:vMerge/>
            <w:tcBorders>
              <w:left w:val="single" w:sz="4" w:space="0" w:color="000000"/>
              <w:bottom w:val="single" w:sz="4" w:space="0" w:color="000000"/>
              <w:right w:val="single" w:sz="4" w:space="0" w:color="000000"/>
            </w:tcBorders>
          </w:tcPr>
          <w:p>
            <w:pPr/>
          </w:p>
        </w:tc>
        <w:tc>
          <w:tcPr>
            <w:tcW w:w="648" w:type="dxa"/>
            <w:vMerge/>
            <w:tcBorders>
              <w:left w:val="single" w:sz="4" w:space="0" w:color="000000"/>
              <w:bottom w:val="single" w:sz="4" w:space="0" w:color="000000"/>
              <w:right w:val="single" w:sz="4" w:space="0" w:color="000000"/>
            </w:tcBorders>
          </w:tcPr>
          <w:p>
            <w:pPr/>
          </w:p>
        </w:tc>
      </w:tr>
      <w:tr>
        <w:trPr>
          <w:trHeight w:val="1028" w:hRule="exact"/>
        </w:trPr>
        <w:tc>
          <w:tcPr>
            <w:tcW w:w="1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4"/>
              <w:ind w:left="11" w:right="82"/>
              <w:jc w:val="both"/>
              <w:rPr>
                <w:rFonts w:ascii="宋体" w:hAnsi="宋体" w:cs="宋体" w:eastAsia="宋体" w:hint="default"/>
                <w:sz w:val="18"/>
                <w:szCs w:val="18"/>
              </w:rPr>
            </w:pPr>
            <w:r>
              <w:rPr>
                <w:rFonts w:ascii="宋体" w:hAnsi="宋体" w:cs="宋体" w:eastAsia="宋体" w:hint="default"/>
                <w:spacing w:val="-2"/>
                <w:sz w:val="18"/>
                <w:szCs w:val="18"/>
              </w:rPr>
              <w:t>（二）所有者</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投入和减少资</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本</w:t>
            </w:r>
          </w:p>
        </w:tc>
        <w:tc>
          <w:tcPr>
            <w:tcW w:w="502" w:type="dxa"/>
            <w:tcBorders>
              <w:top w:val="single" w:sz="4" w:space="0" w:color="000000"/>
              <w:left w:val="single" w:sz="13" w:space="0" w:color="D2D2D2"/>
              <w:bottom w:val="single" w:sz="4" w:space="0" w:color="000000"/>
              <w:right w:val="single" w:sz="4" w:space="0" w:color="000000"/>
            </w:tcBorders>
          </w:tcPr>
          <w:p>
            <w:pP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left="28" w:right="0"/>
              <w:jc w:val="center"/>
              <w:rPr>
                <w:rFonts w:ascii="Times New Roman" w:hAnsi="Times New Roman" w:cs="Times New Roman" w:eastAsia="Times New Roman" w:hint="default"/>
                <w:sz w:val="18"/>
                <w:szCs w:val="18"/>
              </w:rPr>
            </w:pPr>
            <w:r>
              <w:rPr>
                <w:rFonts w:ascii="Times New Roman"/>
                <w:sz w:val="18"/>
              </w:rPr>
              <w:t>408,33</w:t>
            </w:r>
          </w:p>
          <w:p>
            <w:pPr>
              <w:pStyle w:val="TableParagraph"/>
              <w:spacing w:line="240" w:lineRule="auto" w:before="105"/>
              <w:ind w:left="206" w:right="0"/>
              <w:jc w:val="center"/>
              <w:rPr>
                <w:rFonts w:ascii="Times New Roman" w:hAnsi="Times New Roman" w:cs="Times New Roman" w:eastAsia="Times New Roman" w:hint="default"/>
                <w:sz w:val="18"/>
                <w:szCs w:val="18"/>
              </w:rPr>
            </w:pPr>
            <w:r>
              <w:rPr>
                <w:rFonts w:ascii="Times New Roman"/>
                <w:sz w:val="18"/>
              </w:rPr>
              <w:t>4.00</w:t>
            </w: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left="19" w:right="0"/>
              <w:jc w:val="center"/>
              <w:rPr>
                <w:rFonts w:ascii="Times New Roman" w:hAnsi="Times New Roman" w:cs="Times New Roman" w:eastAsia="Times New Roman" w:hint="default"/>
                <w:sz w:val="18"/>
                <w:szCs w:val="18"/>
              </w:rPr>
            </w:pPr>
            <w:r>
              <w:rPr>
                <w:rFonts w:ascii="Times New Roman"/>
                <w:sz w:val="18"/>
              </w:rPr>
              <w:t>408,33</w:t>
            </w:r>
          </w:p>
          <w:p>
            <w:pPr>
              <w:pStyle w:val="TableParagraph"/>
              <w:spacing w:line="240" w:lineRule="auto" w:before="105"/>
              <w:ind w:left="196" w:right="0"/>
              <w:jc w:val="center"/>
              <w:rPr>
                <w:rFonts w:ascii="Times New Roman" w:hAnsi="Times New Roman" w:cs="Times New Roman" w:eastAsia="Times New Roman" w:hint="default"/>
                <w:sz w:val="18"/>
                <w:szCs w:val="18"/>
              </w:rPr>
            </w:pPr>
            <w:r>
              <w:rPr>
                <w:rFonts w:ascii="Times New Roman"/>
                <w:sz w:val="18"/>
              </w:rPr>
              <w:t>4.00</w:t>
            </w:r>
          </w:p>
        </w:tc>
        <w:tc>
          <w:tcPr>
            <w:tcW w:w="644"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left="33" w:right="0"/>
              <w:jc w:val="left"/>
              <w:rPr>
                <w:rFonts w:ascii="Times New Roman" w:hAnsi="Times New Roman" w:cs="Times New Roman" w:eastAsia="Times New Roman" w:hint="default"/>
                <w:sz w:val="18"/>
                <w:szCs w:val="18"/>
              </w:rPr>
            </w:pPr>
            <w:r>
              <w:rPr>
                <w:rFonts w:ascii="Times New Roman"/>
                <w:sz w:val="18"/>
              </w:rPr>
              <w:t>408,334</w:t>
            </w:r>
          </w:p>
          <w:p>
            <w:pPr>
              <w:pStyle w:val="TableParagraph"/>
              <w:spacing w:line="240" w:lineRule="auto" w:before="105"/>
              <w:ind w:left="393" w:right="0"/>
              <w:jc w:val="left"/>
              <w:rPr>
                <w:rFonts w:ascii="Times New Roman" w:hAnsi="Times New Roman" w:cs="Times New Roman" w:eastAsia="Times New Roman" w:hint="default"/>
                <w:sz w:val="18"/>
                <w:szCs w:val="18"/>
              </w:rPr>
            </w:pPr>
            <w:r>
              <w:rPr>
                <w:rFonts w:ascii="Times New Roman"/>
                <w:sz w:val="18"/>
              </w:rPr>
              <w:t>.00</w:t>
            </w:r>
          </w:p>
        </w:tc>
      </w:tr>
      <w:tr>
        <w:trPr>
          <w:trHeight w:val="715" w:hRule="exact"/>
        </w:trPr>
        <w:tc>
          <w:tcPr>
            <w:tcW w:w="1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4" w:lineRule="auto" w:before="53"/>
              <w:ind w:left="11" w:right="5"/>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．所有者投入</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的普通股</w:t>
            </w:r>
          </w:p>
        </w:tc>
        <w:tc>
          <w:tcPr>
            <w:tcW w:w="502" w:type="dxa"/>
            <w:tcBorders>
              <w:top w:val="single" w:sz="4" w:space="0" w:color="000000"/>
              <w:left w:val="single" w:sz="13" w:space="0" w:color="D2D2D2"/>
              <w:bottom w:val="single" w:sz="4" w:space="0" w:color="000000"/>
              <w:right w:val="single" w:sz="4" w:space="0" w:color="000000"/>
            </w:tcBorders>
          </w:tcPr>
          <w:p>
            <w:pP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4"/>
              <w:ind w:left="11" w:right="5"/>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．其他权益工</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具持有者投入</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资本</w:t>
            </w:r>
          </w:p>
        </w:tc>
        <w:tc>
          <w:tcPr>
            <w:tcW w:w="502" w:type="dxa"/>
            <w:tcBorders>
              <w:top w:val="single" w:sz="4" w:space="0" w:color="000000"/>
              <w:left w:val="single" w:sz="13" w:space="0" w:color="D2D2D2"/>
              <w:bottom w:val="single" w:sz="4" w:space="0" w:color="000000"/>
              <w:right w:val="single" w:sz="4" w:space="0" w:color="000000"/>
            </w:tcBorders>
          </w:tcPr>
          <w:p>
            <w:pP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r>
      <w:tr>
        <w:trPr>
          <w:trHeight w:val="1023" w:hRule="exact"/>
        </w:trPr>
        <w:tc>
          <w:tcPr>
            <w:tcW w:w="1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3"/>
              <w:ind w:left="11" w:right="5"/>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．股份支付计</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入所有者权益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的金额</w:t>
            </w:r>
          </w:p>
        </w:tc>
        <w:tc>
          <w:tcPr>
            <w:tcW w:w="502" w:type="dxa"/>
            <w:tcBorders>
              <w:top w:val="single" w:sz="4" w:space="0" w:color="000000"/>
              <w:left w:val="single" w:sz="13" w:space="0" w:color="D2D2D2"/>
              <w:bottom w:val="single" w:sz="4" w:space="0" w:color="000000"/>
              <w:right w:val="single" w:sz="4" w:space="0" w:color="000000"/>
            </w:tcBorders>
          </w:tcPr>
          <w:p>
            <w:pP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r>
      <w:tr>
        <w:trPr>
          <w:trHeight w:val="163" w:hRule="exact"/>
        </w:trPr>
        <w:tc>
          <w:tcPr>
            <w:tcW w:w="1191" w:type="dxa"/>
            <w:tcBorders>
              <w:top w:val="single" w:sz="4" w:space="0" w:color="000000"/>
              <w:left w:val="single" w:sz="4" w:space="0" w:color="000000"/>
              <w:bottom w:val="nil" w:sz="6" w:space="0" w:color="auto"/>
              <w:right w:val="single" w:sz="4" w:space="0" w:color="000000"/>
            </w:tcBorders>
            <w:shd w:val="clear" w:color="auto" w:fill="D2D2D2"/>
          </w:tcPr>
          <w:p>
            <w:pPr/>
          </w:p>
        </w:tc>
        <w:tc>
          <w:tcPr>
            <w:tcW w:w="502" w:type="dxa"/>
            <w:vMerge w:val="restart"/>
            <w:tcBorders>
              <w:top w:val="single" w:sz="4" w:space="0" w:color="000000"/>
              <w:left w:val="single" w:sz="10" w:space="0" w:color="D2D2D2"/>
              <w:right w:val="single" w:sz="4" w:space="0" w:color="000000"/>
            </w:tcBorders>
          </w:tcPr>
          <w:p>
            <w:pPr/>
          </w:p>
        </w:tc>
        <w:tc>
          <w:tcPr>
            <w:tcW w:w="447" w:type="dxa"/>
            <w:vMerge w:val="restart"/>
            <w:tcBorders>
              <w:top w:val="single" w:sz="4" w:space="0" w:color="000000"/>
              <w:left w:val="single" w:sz="4" w:space="0" w:color="000000"/>
              <w:right w:val="single" w:sz="4" w:space="0" w:color="000000"/>
            </w:tcBorders>
          </w:tcPr>
          <w:p>
            <w:pPr/>
          </w:p>
        </w:tc>
        <w:tc>
          <w:tcPr>
            <w:tcW w:w="451" w:type="dxa"/>
            <w:vMerge w:val="restart"/>
            <w:tcBorders>
              <w:top w:val="single" w:sz="4" w:space="0" w:color="000000"/>
              <w:left w:val="single" w:sz="4" w:space="0" w:color="000000"/>
              <w:right w:val="single" w:sz="4" w:space="0" w:color="000000"/>
            </w:tcBorders>
          </w:tcPr>
          <w:p>
            <w:pPr/>
          </w:p>
        </w:tc>
        <w:tc>
          <w:tcPr>
            <w:tcW w:w="490" w:type="dxa"/>
            <w:vMerge w:val="restart"/>
            <w:tcBorders>
              <w:top w:val="single" w:sz="4" w:space="0" w:color="000000"/>
              <w:left w:val="single" w:sz="4" w:space="0" w:color="000000"/>
              <w:right w:val="single" w:sz="4" w:space="0" w:color="000000"/>
            </w:tcBorders>
          </w:tcPr>
          <w:p>
            <w:pPr/>
          </w:p>
        </w:tc>
        <w:tc>
          <w:tcPr>
            <w:tcW w:w="577" w:type="dxa"/>
            <w:vMerge w:val="restart"/>
            <w:tcBorders>
              <w:top w:val="single" w:sz="4" w:space="0" w:color="000000"/>
              <w:left w:val="single" w:sz="4" w:space="0" w:color="000000"/>
              <w:right w:val="single" w:sz="4" w:space="0" w:color="000000"/>
            </w:tcBorders>
          </w:tcPr>
          <w:p>
            <w:pPr>
              <w:pStyle w:val="TableParagraph"/>
              <w:spacing w:line="240" w:lineRule="auto" w:before="96"/>
              <w:ind w:left="28" w:right="0"/>
              <w:jc w:val="center"/>
              <w:rPr>
                <w:rFonts w:ascii="Times New Roman" w:hAnsi="Times New Roman" w:cs="Times New Roman" w:eastAsia="Times New Roman" w:hint="default"/>
                <w:sz w:val="18"/>
                <w:szCs w:val="18"/>
              </w:rPr>
            </w:pPr>
            <w:r>
              <w:rPr>
                <w:rFonts w:ascii="Times New Roman"/>
                <w:sz w:val="18"/>
              </w:rPr>
              <w:t>408,33</w:t>
            </w:r>
          </w:p>
          <w:p>
            <w:pPr>
              <w:pStyle w:val="TableParagraph"/>
              <w:spacing w:line="240" w:lineRule="auto" w:before="110"/>
              <w:ind w:left="206" w:right="0"/>
              <w:jc w:val="center"/>
              <w:rPr>
                <w:rFonts w:ascii="Times New Roman" w:hAnsi="Times New Roman" w:cs="Times New Roman" w:eastAsia="Times New Roman" w:hint="default"/>
                <w:sz w:val="18"/>
                <w:szCs w:val="18"/>
              </w:rPr>
            </w:pPr>
            <w:r>
              <w:rPr>
                <w:rFonts w:ascii="Times New Roman"/>
                <w:sz w:val="18"/>
              </w:rPr>
              <w:t>4.00</w:t>
            </w:r>
          </w:p>
        </w:tc>
        <w:tc>
          <w:tcPr>
            <w:tcW w:w="576" w:type="dxa"/>
            <w:vMerge w:val="restart"/>
            <w:tcBorders>
              <w:top w:val="single" w:sz="4" w:space="0" w:color="000000"/>
              <w:left w:val="single" w:sz="4" w:space="0" w:color="000000"/>
              <w:right w:val="single" w:sz="4" w:space="0" w:color="000000"/>
            </w:tcBorders>
          </w:tcPr>
          <w:p>
            <w:pPr/>
          </w:p>
        </w:tc>
        <w:tc>
          <w:tcPr>
            <w:tcW w:w="576" w:type="dxa"/>
            <w:vMerge w:val="restart"/>
            <w:tcBorders>
              <w:top w:val="single" w:sz="4" w:space="0" w:color="000000"/>
              <w:left w:val="single" w:sz="4" w:space="0" w:color="000000"/>
              <w:right w:val="single" w:sz="4" w:space="0" w:color="000000"/>
            </w:tcBorders>
          </w:tcPr>
          <w:p>
            <w:pPr/>
          </w:p>
        </w:tc>
        <w:tc>
          <w:tcPr>
            <w:tcW w:w="581" w:type="dxa"/>
            <w:vMerge w:val="restart"/>
            <w:tcBorders>
              <w:top w:val="single" w:sz="4" w:space="0" w:color="000000"/>
              <w:left w:val="single" w:sz="4" w:space="0" w:color="000000"/>
              <w:right w:val="single" w:sz="4" w:space="0" w:color="000000"/>
            </w:tcBorders>
          </w:tcPr>
          <w:p>
            <w:pPr/>
          </w:p>
        </w:tc>
        <w:tc>
          <w:tcPr>
            <w:tcW w:w="576" w:type="dxa"/>
            <w:vMerge w:val="restart"/>
            <w:tcBorders>
              <w:top w:val="single" w:sz="4" w:space="0" w:color="000000"/>
              <w:left w:val="single" w:sz="4" w:space="0" w:color="000000"/>
              <w:right w:val="single" w:sz="4" w:space="0" w:color="000000"/>
            </w:tcBorders>
          </w:tcPr>
          <w:p>
            <w:pPr/>
          </w:p>
        </w:tc>
        <w:tc>
          <w:tcPr>
            <w:tcW w:w="576" w:type="dxa"/>
            <w:vMerge w:val="restart"/>
            <w:tcBorders>
              <w:top w:val="single" w:sz="4" w:space="0" w:color="000000"/>
              <w:left w:val="single" w:sz="4" w:space="0" w:color="000000"/>
              <w:right w:val="single" w:sz="4" w:space="0" w:color="000000"/>
            </w:tcBorders>
          </w:tcPr>
          <w:p>
            <w:pPr/>
          </w:p>
        </w:tc>
        <w:tc>
          <w:tcPr>
            <w:tcW w:w="591" w:type="dxa"/>
            <w:vMerge w:val="restart"/>
            <w:tcBorders>
              <w:top w:val="single" w:sz="4" w:space="0" w:color="000000"/>
              <w:left w:val="single" w:sz="4" w:space="0" w:color="000000"/>
              <w:right w:val="single" w:sz="4" w:space="0" w:color="000000"/>
            </w:tcBorders>
          </w:tcPr>
          <w:p>
            <w:pPr/>
          </w:p>
        </w:tc>
        <w:tc>
          <w:tcPr>
            <w:tcW w:w="566" w:type="dxa"/>
            <w:vMerge w:val="restart"/>
            <w:tcBorders>
              <w:top w:val="single" w:sz="4" w:space="0" w:color="000000"/>
              <w:left w:val="single" w:sz="4" w:space="0" w:color="000000"/>
              <w:right w:val="single" w:sz="4" w:space="0" w:color="000000"/>
            </w:tcBorders>
          </w:tcPr>
          <w:p>
            <w:pPr/>
          </w:p>
        </w:tc>
        <w:tc>
          <w:tcPr>
            <w:tcW w:w="566" w:type="dxa"/>
            <w:vMerge w:val="restart"/>
            <w:tcBorders>
              <w:top w:val="single" w:sz="4" w:space="0" w:color="000000"/>
              <w:left w:val="single" w:sz="4" w:space="0" w:color="000000"/>
              <w:right w:val="single" w:sz="4" w:space="0" w:color="000000"/>
            </w:tcBorders>
          </w:tcPr>
          <w:p>
            <w:pPr>
              <w:pStyle w:val="TableParagraph"/>
              <w:spacing w:line="240" w:lineRule="auto" w:before="96"/>
              <w:ind w:left="19" w:right="0"/>
              <w:jc w:val="center"/>
              <w:rPr>
                <w:rFonts w:ascii="Times New Roman" w:hAnsi="Times New Roman" w:cs="Times New Roman" w:eastAsia="Times New Roman" w:hint="default"/>
                <w:sz w:val="18"/>
                <w:szCs w:val="18"/>
              </w:rPr>
            </w:pPr>
            <w:r>
              <w:rPr>
                <w:rFonts w:ascii="Times New Roman"/>
                <w:sz w:val="18"/>
              </w:rPr>
              <w:t>408,33</w:t>
            </w:r>
          </w:p>
          <w:p>
            <w:pPr>
              <w:pStyle w:val="TableParagraph"/>
              <w:spacing w:line="240" w:lineRule="auto" w:before="110"/>
              <w:ind w:left="196" w:right="0"/>
              <w:jc w:val="center"/>
              <w:rPr>
                <w:rFonts w:ascii="Times New Roman" w:hAnsi="Times New Roman" w:cs="Times New Roman" w:eastAsia="Times New Roman" w:hint="default"/>
                <w:sz w:val="18"/>
                <w:szCs w:val="18"/>
              </w:rPr>
            </w:pPr>
            <w:r>
              <w:rPr>
                <w:rFonts w:ascii="Times New Roman"/>
                <w:sz w:val="18"/>
              </w:rPr>
              <w:t>4.00</w:t>
            </w:r>
          </w:p>
        </w:tc>
        <w:tc>
          <w:tcPr>
            <w:tcW w:w="644" w:type="dxa"/>
            <w:vMerge w:val="restart"/>
            <w:tcBorders>
              <w:top w:val="single" w:sz="4" w:space="0" w:color="000000"/>
              <w:left w:val="single" w:sz="4" w:space="0" w:color="000000"/>
              <w:right w:val="single" w:sz="4" w:space="0" w:color="000000"/>
            </w:tcBorders>
          </w:tcPr>
          <w:p>
            <w:pPr/>
          </w:p>
        </w:tc>
        <w:tc>
          <w:tcPr>
            <w:tcW w:w="648" w:type="dxa"/>
            <w:vMerge w:val="restart"/>
            <w:tcBorders>
              <w:top w:val="single" w:sz="4" w:space="0" w:color="000000"/>
              <w:left w:val="single" w:sz="4" w:space="0" w:color="000000"/>
              <w:right w:val="single" w:sz="4" w:space="0" w:color="000000"/>
            </w:tcBorders>
          </w:tcPr>
          <w:p>
            <w:pPr>
              <w:pStyle w:val="TableParagraph"/>
              <w:spacing w:line="240" w:lineRule="auto" w:before="96"/>
              <w:ind w:left="33" w:right="0"/>
              <w:jc w:val="left"/>
              <w:rPr>
                <w:rFonts w:ascii="Times New Roman" w:hAnsi="Times New Roman" w:cs="Times New Roman" w:eastAsia="Times New Roman" w:hint="default"/>
                <w:sz w:val="18"/>
                <w:szCs w:val="18"/>
              </w:rPr>
            </w:pPr>
            <w:r>
              <w:rPr>
                <w:rFonts w:ascii="Times New Roman"/>
                <w:sz w:val="18"/>
              </w:rPr>
              <w:t>408,334</w:t>
            </w:r>
          </w:p>
          <w:p>
            <w:pPr>
              <w:pStyle w:val="TableParagraph"/>
              <w:spacing w:line="240" w:lineRule="auto" w:before="110"/>
              <w:ind w:left="393" w:right="0"/>
              <w:jc w:val="left"/>
              <w:rPr>
                <w:rFonts w:ascii="Times New Roman" w:hAnsi="Times New Roman" w:cs="Times New Roman" w:eastAsia="Times New Roman" w:hint="default"/>
                <w:sz w:val="18"/>
                <w:szCs w:val="18"/>
              </w:rPr>
            </w:pPr>
            <w:r>
              <w:rPr>
                <w:rFonts w:ascii="Times New Roman"/>
                <w:sz w:val="18"/>
              </w:rPr>
              <w:t>.00</w:t>
            </w:r>
          </w:p>
        </w:tc>
      </w:tr>
      <w:tr>
        <w:trPr>
          <w:trHeight w:val="394" w:hRule="exact"/>
        </w:trPr>
        <w:tc>
          <w:tcPr>
            <w:tcW w:w="119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02" w:type="dxa"/>
            <w:vMerge/>
            <w:tcBorders>
              <w:left w:val="single" w:sz="10" w:space="0" w:color="D2D2D2"/>
              <w:right w:val="single" w:sz="4" w:space="0" w:color="000000"/>
            </w:tcBorders>
          </w:tcPr>
          <w:p>
            <w:pPr/>
          </w:p>
        </w:tc>
        <w:tc>
          <w:tcPr>
            <w:tcW w:w="447" w:type="dxa"/>
            <w:vMerge/>
            <w:tcBorders>
              <w:left w:val="single" w:sz="4" w:space="0" w:color="000000"/>
              <w:right w:val="single" w:sz="4" w:space="0" w:color="000000"/>
            </w:tcBorders>
          </w:tcPr>
          <w:p>
            <w:pPr/>
          </w:p>
        </w:tc>
        <w:tc>
          <w:tcPr>
            <w:tcW w:w="451" w:type="dxa"/>
            <w:vMerge/>
            <w:tcBorders>
              <w:left w:val="single" w:sz="4" w:space="0" w:color="000000"/>
              <w:right w:val="single" w:sz="4" w:space="0" w:color="000000"/>
            </w:tcBorders>
          </w:tcPr>
          <w:p>
            <w:pPr/>
          </w:p>
        </w:tc>
        <w:tc>
          <w:tcPr>
            <w:tcW w:w="490" w:type="dxa"/>
            <w:vMerge/>
            <w:tcBorders>
              <w:left w:val="single" w:sz="4" w:space="0" w:color="000000"/>
              <w:right w:val="single" w:sz="4" w:space="0" w:color="000000"/>
            </w:tcBorders>
          </w:tcPr>
          <w:p>
            <w:pPr/>
          </w:p>
        </w:tc>
        <w:tc>
          <w:tcPr>
            <w:tcW w:w="577"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81"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91"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644" w:type="dxa"/>
            <w:vMerge/>
            <w:tcBorders>
              <w:left w:val="single" w:sz="4" w:space="0" w:color="000000"/>
              <w:right w:val="single" w:sz="4" w:space="0" w:color="000000"/>
            </w:tcBorders>
          </w:tcPr>
          <w:p>
            <w:pPr/>
          </w:p>
        </w:tc>
        <w:tc>
          <w:tcPr>
            <w:tcW w:w="648" w:type="dxa"/>
            <w:vMerge/>
            <w:tcBorders>
              <w:left w:val="single" w:sz="4" w:space="0" w:color="000000"/>
              <w:right w:val="single" w:sz="4" w:space="0" w:color="000000"/>
            </w:tcBorders>
          </w:tcPr>
          <w:p>
            <w:pPr/>
          </w:p>
        </w:tc>
      </w:tr>
      <w:tr>
        <w:trPr>
          <w:trHeight w:val="158" w:hRule="exact"/>
        </w:trPr>
        <w:tc>
          <w:tcPr>
            <w:tcW w:w="1191" w:type="dxa"/>
            <w:tcBorders>
              <w:top w:val="nil" w:sz="6" w:space="0" w:color="auto"/>
              <w:left w:val="single" w:sz="4" w:space="0" w:color="000000"/>
              <w:bottom w:val="single" w:sz="4" w:space="0" w:color="000000"/>
              <w:right w:val="single" w:sz="4" w:space="0" w:color="000000"/>
            </w:tcBorders>
            <w:shd w:val="clear" w:color="auto" w:fill="D2D2D2"/>
          </w:tcPr>
          <w:p>
            <w:pPr/>
          </w:p>
        </w:tc>
        <w:tc>
          <w:tcPr>
            <w:tcW w:w="502" w:type="dxa"/>
            <w:vMerge/>
            <w:tcBorders>
              <w:left w:val="single" w:sz="10" w:space="0" w:color="D2D2D2"/>
              <w:bottom w:val="single" w:sz="4" w:space="0" w:color="000000"/>
              <w:right w:val="single" w:sz="4" w:space="0" w:color="000000"/>
            </w:tcBorders>
          </w:tcPr>
          <w:p>
            <w:pPr/>
          </w:p>
        </w:tc>
        <w:tc>
          <w:tcPr>
            <w:tcW w:w="447" w:type="dxa"/>
            <w:vMerge/>
            <w:tcBorders>
              <w:left w:val="single" w:sz="4" w:space="0" w:color="000000"/>
              <w:bottom w:val="single" w:sz="4" w:space="0" w:color="000000"/>
              <w:right w:val="single" w:sz="4" w:space="0" w:color="000000"/>
            </w:tcBorders>
          </w:tcPr>
          <w:p>
            <w:pPr/>
          </w:p>
        </w:tc>
        <w:tc>
          <w:tcPr>
            <w:tcW w:w="451" w:type="dxa"/>
            <w:vMerge/>
            <w:tcBorders>
              <w:left w:val="single" w:sz="4" w:space="0" w:color="000000"/>
              <w:bottom w:val="single" w:sz="4" w:space="0" w:color="000000"/>
              <w:right w:val="single" w:sz="4" w:space="0" w:color="000000"/>
            </w:tcBorders>
          </w:tcPr>
          <w:p>
            <w:pPr/>
          </w:p>
        </w:tc>
        <w:tc>
          <w:tcPr>
            <w:tcW w:w="490" w:type="dxa"/>
            <w:vMerge/>
            <w:tcBorders>
              <w:left w:val="single" w:sz="4" w:space="0" w:color="000000"/>
              <w:bottom w:val="single" w:sz="4" w:space="0" w:color="000000"/>
              <w:right w:val="single" w:sz="4" w:space="0" w:color="000000"/>
            </w:tcBorders>
          </w:tcPr>
          <w:p>
            <w:pPr/>
          </w:p>
        </w:tc>
        <w:tc>
          <w:tcPr>
            <w:tcW w:w="577"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81"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91" w:type="dxa"/>
            <w:vMerge/>
            <w:tcBorders>
              <w:left w:val="single" w:sz="4" w:space="0" w:color="000000"/>
              <w:bottom w:val="single" w:sz="4" w:space="0" w:color="000000"/>
              <w:right w:val="single" w:sz="4" w:space="0" w:color="000000"/>
            </w:tcBorders>
          </w:tcPr>
          <w:p>
            <w:pPr/>
          </w:p>
        </w:tc>
        <w:tc>
          <w:tcPr>
            <w:tcW w:w="566" w:type="dxa"/>
            <w:vMerge/>
            <w:tcBorders>
              <w:left w:val="single" w:sz="4" w:space="0" w:color="000000"/>
              <w:bottom w:val="single" w:sz="4" w:space="0" w:color="000000"/>
              <w:right w:val="single" w:sz="4" w:space="0" w:color="000000"/>
            </w:tcBorders>
          </w:tcPr>
          <w:p>
            <w:pPr/>
          </w:p>
        </w:tc>
        <w:tc>
          <w:tcPr>
            <w:tcW w:w="566" w:type="dxa"/>
            <w:vMerge/>
            <w:tcBorders>
              <w:left w:val="single" w:sz="4" w:space="0" w:color="000000"/>
              <w:bottom w:val="single" w:sz="4" w:space="0" w:color="000000"/>
              <w:right w:val="single" w:sz="4" w:space="0" w:color="000000"/>
            </w:tcBorders>
          </w:tcPr>
          <w:p>
            <w:pPr/>
          </w:p>
        </w:tc>
        <w:tc>
          <w:tcPr>
            <w:tcW w:w="644" w:type="dxa"/>
            <w:vMerge/>
            <w:tcBorders>
              <w:left w:val="single" w:sz="4" w:space="0" w:color="000000"/>
              <w:bottom w:val="single" w:sz="4" w:space="0" w:color="000000"/>
              <w:right w:val="single" w:sz="4" w:space="0" w:color="000000"/>
            </w:tcBorders>
          </w:tcPr>
          <w:p>
            <w:pPr/>
          </w:p>
        </w:tc>
        <w:tc>
          <w:tcPr>
            <w:tcW w:w="648" w:type="dxa"/>
            <w:vMerge/>
            <w:tcBorders>
              <w:left w:val="single" w:sz="4" w:space="0" w:color="000000"/>
              <w:bottom w:val="single" w:sz="4" w:space="0" w:color="000000"/>
              <w:right w:val="single" w:sz="4" w:space="0" w:color="000000"/>
            </w:tcBorders>
          </w:tcPr>
          <w:p>
            <w:pPr/>
          </w:p>
        </w:tc>
      </w:tr>
      <w:tr>
        <w:trPr>
          <w:trHeight w:val="715" w:hRule="exact"/>
        </w:trPr>
        <w:tc>
          <w:tcPr>
            <w:tcW w:w="1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11" w:right="82"/>
              <w:jc w:val="left"/>
              <w:rPr>
                <w:rFonts w:ascii="宋体" w:hAnsi="宋体" w:cs="宋体" w:eastAsia="宋体" w:hint="default"/>
                <w:sz w:val="18"/>
                <w:szCs w:val="18"/>
              </w:rPr>
            </w:pPr>
            <w:r>
              <w:rPr>
                <w:rFonts w:ascii="宋体" w:hAnsi="宋体" w:cs="宋体" w:eastAsia="宋体" w:hint="default"/>
                <w:spacing w:val="-2"/>
                <w:sz w:val="18"/>
                <w:szCs w:val="18"/>
              </w:rPr>
              <w:t>（三）利润分</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配</w:t>
            </w:r>
          </w:p>
        </w:tc>
        <w:tc>
          <w:tcPr>
            <w:tcW w:w="502" w:type="dxa"/>
            <w:tcBorders>
              <w:top w:val="single" w:sz="4" w:space="0" w:color="000000"/>
              <w:left w:val="single" w:sz="13" w:space="0" w:color="D2D2D2"/>
              <w:bottom w:val="single" w:sz="4" w:space="0" w:color="000000"/>
              <w:right w:val="single" w:sz="4" w:space="0" w:color="000000"/>
            </w:tcBorders>
          </w:tcPr>
          <w:p>
            <w:pP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91" w:right="0"/>
              <w:jc w:val="left"/>
              <w:rPr>
                <w:rFonts w:ascii="Times New Roman" w:hAnsi="Times New Roman" w:cs="Times New Roman" w:eastAsia="Times New Roman" w:hint="default"/>
                <w:sz w:val="18"/>
                <w:szCs w:val="18"/>
              </w:rPr>
            </w:pPr>
            <w:r>
              <w:rPr>
                <w:rFonts w:ascii="Times New Roman"/>
                <w:sz w:val="18"/>
              </w:rPr>
              <w:t>1,640,</w:t>
            </w:r>
          </w:p>
          <w:p>
            <w:pPr>
              <w:pStyle w:val="TableParagraph"/>
              <w:spacing w:line="240" w:lineRule="auto" w:before="110"/>
              <w:ind w:left="47" w:right="0"/>
              <w:jc w:val="left"/>
              <w:rPr>
                <w:rFonts w:ascii="Times New Roman" w:hAnsi="Times New Roman" w:cs="Times New Roman" w:eastAsia="Times New Roman" w:hint="default"/>
                <w:sz w:val="18"/>
                <w:szCs w:val="18"/>
              </w:rPr>
            </w:pPr>
            <w:r>
              <w:rPr>
                <w:rFonts w:ascii="Times New Roman"/>
                <w:sz w:val="18"/>
              </w:rPr>
              <w:t>380.35</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230" w:right="0"/>
              <w:jc w:val="left"/>
              <w:rPr>
                <w:rFonts w:ascii="Times New Roman" w:hAnsi="Times New Roman" w:cs="Times New Roman" w:eastAsia="Times New Roman" w:hint="default"/>
                <w:sz w:val="18"/>
                <w:szCs w:val="18"/>
              </w:rPr>
            </w:pPr>
            <w:r>
              <w:rPr>
                <w:rFonts w:ascii="Times New Roman"/>
                <w:sz w:val="18"/>
              </w:rPr>
              <w:t>0.00</w:t>
            </w:r>
          </w:p>
        </w:tc>
        <w:tc>
          <w:tcPr>
            <w:tcW w:w="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8" w:right="0"/>
              <w:jc w:val="left"/>
              <w:rPr>
                <w:rFonts w:ascii="Times New Roman" w:hAnsi="Times New Roman" w:cs="Times New Roman" w:eastAsia="Times New Roman" w:hint="default"/>
                <w:sz w:val="18"/>
                <w:szCs w:val="18"/>
              </w:rPr>
            </w:pPr>
            <w:r>
              <w:rPr>
                <w:rFonts w:ascii="Times New Roman"/>
                <w:sz w:val="18"/>
              </w:rPr>
              <w:t>-1,640,</w:t>
            </w:r>
          </w:p>
          <w:p>
            <w:pPr>
              <w:pStyle w:val="TableParagraph"/>
              <w:spacing w:line="240" w:lineRule="auto" w:before="110"/>
              <w:ind w:left="62" w:right="0"/>
              <w:jc w:val="left"/>
              <w:rPr>
                <w:rFonts w:ascii="Times New Roman" w:hAnsi="Times New Roman" w:cs="Times New Roman" w:eastAsia="Times New Roman" w:hint="default"/>
                <w:sz w:val="18"/>
                <w:szCs w:val="18"/>
              </w:rPr>
            </w:pPr>
            <w:r>
              <w:rPr>
                <w:rFonts w:ascii="Times New Roman"/>
                <w:sz w:val="18"/>
              </w:rPr>
              <w:t>380.35</w:t>
            </w: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4"/>
              <w:ind w:left="11" w:right="5"/>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．提取盈余公</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积</w:t>
            </w:r>
          </w:p>
        </w:tc>
        <w:tc>
          <w:tcPr>
            <w:tcW w:w="502" w:type="dxa"/>
            <w:tcBorders>
              <w:top w:val="single" w:sz="4" w:space="0" w:color="000000"/>
              <w:left w:val="single" w:sz="13" w:space="0" w:color="D2D2D2"/>
              <w:bottom w:val="single" w:sz="4" w:space="0" w:color="000000"/>
              <w:right w:val="single" w:sz="4" w:space="0" w:color="000000"/>
            </w:tcBorders>
          </w:tcPr>
          <w:p>
            <w:pP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91" w:right="0"/>
              <w:jc w:val="left"/>
              <w:rPr>
                <w:rFonts w:ascii="Times New Roman" w:hAnsi="Times New Roman" w:cs="Times New Roman" w:eastAsia="Times New Roman" w:hint="default"/>
                <w:sz w:val="18"/>
                <w:szCs w:val="18"/>
              </w:rPr>
            </w:pPr>
            <w:r>
              <w:rPr>
                <w:rFonts w:ascii="Times New Roman"/>
                <w:sz w:val="18"/>
              </w:rPr>
              <w:t>1,640,</w:t>
            </w:r>
          </w:p>
          <w:p>
            <w:pPr>
              <w:pStyle w:val="TableParagraph"/>
              <w:spacing w:line="240" w:lineRule="auto" w:before="105"/>
              <w:ind w:left="47" w:right="0"/>
              <w:jc w:val="left"/>
              <w:rPr>
                <w:rFonts w:ascii="Times New Roman" w:hAnsi="Times New Roman" w:cs="Times New Roman" w:eastAsia="Times New Roman" w:hint="default"/>
                <w:sz w:val="18"/>
                <w:szCs w:val="18"/>
              </w:rPr>
            </w:pPr>
            <w:r>
              <w:rPr>
                <w:rFonts w:ascii="Times New Roman"/>
                <w:sz w:val="18"/>
              </w:rPr>
              <w:t>380.35</w:t>
            </w:r>
          </w:p>
        </w:tc>
        <w:tc>
          <w:tcPr>
            <w:tcW w:w="576"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8" w:right="0"/>
              <w:jc w:val="left"/>
              <w:rPr>
                <w:rFonts w:ascii="Times New Roman" w:hAnsi="Times New Roman" w:cs="Times New Roman" w:eastAsia="Times New Roman" w:hint="default"/>
                <w:sz w:val="18"/>
                <w:szCs w:val="18"/>
              </w:rPr>
            </w:pPr>
            <w:r>
              <w:rPr>
                <w:rFonts w:ascii="Times New Roman"/>
                <w:sz w:val="18"/>
              </w:rPr>
              <w:t>-1,640,</w:t>
            </w:r>
          </w:p>
          <w:p>
            <w:pPr>
              <w:pStyle w:val="TableParagraph"/>
              <w:spacing w:line="240" w:lineRule="auto" w:before="105"/>
              <w:ind w:left="62" w:right="0"/>
              <w:jc w:val="left"/>
              <w:rPr>
                <w:rFonts w:ascii="Times New Roman" w:hAnsi="Times New Roman" w:cs="Times New Roman" w:eastAsia="Times New Roman" w:hint="default"/>
                <w:sz w:val="18"/>
                <w:szCs w:val="18"/>
              </w:rPr>
            </w:pPr>
            <w:r>
              <w:rPr>
                <w:rFonts w:ascii="Times New Roman"/>
                <w:sz w:val="18"/>
              </w:rPr>
              <w:t>380.35</w:t>
            </w: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22"/>
          <w:pgSz w:w="11910" w:h="16840"/>
          <w:pgMar w:footer="1186" w:header="871" w:top="1100" w:bottom="1380" w:left="980" w:right="0"/>
          <w:pgNumType w:start="101"/>
        </w:sectPr>
      </w:pPr>
    </w:p>
    <w:p>
      <w:pPr>
        <w:spacing w:line="240" w:lineRule="auto" w:before="11"/>
        <w:rPr>
          <w:rFonts w:ascii="Times New Roman" w:hAnsi="Times New Roman" w:cs="Times New Roman" w:eastAsia="Times New Roman" w:hint="default"/>
          <w:sz w:val="27"/>
          <w:szCs w:val="27"/>
        </w:rPr>
      </w:pPr>
    </w:p>
    <w:tbl>
      <w:tblPr>
        <w:tblW w:w="0" w:type="auto"/>
        <w:jc w:val="left"/>
        <w:tblInd w:w="148" w:type="dxa"/>
        <w:tblLayout w:type="fixed"/>
        <w:tblCellMar>
          <w:top w:w="0" w:type="dxa"/>
          <w:left w:w="0" w:type="dxa"/>
          <w:bottom w:w="0" w:type="dxa"/>
          <w:right w:w="0" w:type="dxa"/>
        </w:tblCellMar>
        <w:tblLook w:val="01E0"/>
      </w:tblPr>
      <w:tblGrid>
        <w:gridCol w:w="1215"/>
        <w:gridCol w:w="490"/>
        <w:gridCol w:w="447"/>
        <w:gridCol w:w="451"/>
        <w:gridCol w:w="490"/>
        <w:gridCol w:w="577"/>
        <w:gridCol w:w="576"/>
        <w:gridCol w:w="576"/>
        <w:gridCol w:w="581"/>
        <w:gridCol w:w="576"/>
        <w:gridCol w:w="576"/>
        <w:gridCol w:w="591"/>
        <w:gridCol w:w="566"/>
        <w:gridCol w:w="566"/>
        <w:gridCol w:w="644"/>
        <w:gridCol w:w="648"/>
      </w:tblGrid>
      <w:tr>
        <w:trPr>
          <w:trHeight w:val="715" w:hRule="exact"/>
        </w:trPr>
        <w:tc>
          <w:tcPr>
            <w:tcW w:w="1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24" w:right="17"/>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．提取一般风</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险准备</w:t>
            </w:r>
          </w:p>
        </w:tc>
        <w:tc>
          <w:tcPr>
            <w:tcW w:w="490" w:type="dxa"/>
            <w:tcBorders>
              <w:top w:val="single" w:sz="4" w:space="0" w:color="000000"/>
              <w:left w:val="single" w:sz="4" w:space="0" w:color="000000"/>
              <w:bottom w:val="single" w:sz="4" w:space="0" w:color="000000"/>
              <w:right w:val="single" w:sz="4" w:space="0" w:color="000000"/>
            </w:tcBorders>
          </w:tcPr>
          <w:p>
            <w:pP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r>
      <w:tr>
        <w:trPr>
          <w:trHeight w:val="1023" w:hRule="exact"/>
        </w:trPr>
        <w:tc>
          <w:tcPr>
            <w:tcW w:w="1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w:t>
            </w:r>
          </w:p>
          <w:p>
            <w:pPr>
              <w:pStyle w:val="TableParagraph"/>
              <w:spacing w:line="321" w:lineRule="auto" w:before="58"/>
              <w:ind w:left="24" w:right="94"/>
              <w:jc w:val="left"/>
              <w:rPr>
                <w:rFonts w:ascii="宋体" w:hAnsi="宋体" w:cs="宋体" w:eastAsia="宋体" w:hint="default"/>
                <w:sz w:val="18"/>
                <w:szCs w:val="18"/>
              </w:rPr>
            </w:pPr>
            <w:r>
              <w:rPr>
                <w:rFonts w:ascii="宋体" w:hAnsi="宋体" w:cs="宋体" w:eastAsia="宋体" w:hint="default"/>
                <w:spacing w:val="-2"/>
                <w:sz w:val="18"/>
                <w:szCs w:val="18"/>
              </w:rPr>
              <w:t>（或股东）的</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分配</w:t>
            </w:r>
          </w:p>
        </w:tc>
        <w:tc>
          <w:tcPr>
            <w:tcW w:w="490" w:type="dxa"/>
            <w:tcBorders>
              <w:top w:val="single" w:sz="4" w:space="0" w:color="000000"/>
              <w:left w:val="single" w:sz="4" w:space="0" w:color="000000"/>
              <w:bottom w:val="single" w:sz="4" w:space="0" w:color="000000"/>
              <w:right w:val="single" w:sz="4" w:space="0" w:color="000000"/>
            </w:tcBorders>
          </w:tcPr>
          <w:p>
            <w:pP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490" w:type="dxa"/>
            <w:tcBorders>
              <w:top w:val="single" w:sz="4" w:space="0" w:color="000000"/>
              <w:left w:val="single" w:sz="4" w:space="0" w:color="000000"/>
              <w:bottom w:val="single" w:sz="4" w:space="0" w:color="000000"/>
              <w:right w:val="single" w:sz="4" w:space="0" w:color="000000"/>
            </w:tcBorders>
          </w:tcPr>
          <w:p>
            <w:pP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24" w:right="94"/>
              <w:jc w:val="left"/>
              <w:rPr>
                <w:rFonts w:ascii="宋体" w:hAnsi="宋体" w:cs="宋体" w:eastAsia="宋体" w:hint="default"/>
                <w:sz w:val="18"/>
                <w:szCs w:val="18"/>
              </w:rPr>
            </w:pPr>
            <w:r>
              <w:rPr>
                <w:rFonts w:ascii="宋体" w:hAnsi="宋体" w:cs="宋体" w:eastAsia="宋体" w:hint="default"/>
                <w:spacing w:val="-2"/>
                <w:sz w:val="18"/>
                <w:szCs w:val="18"/>
              </w:rPr>
              <w:t>（四）所有者</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权益内部结转</w:t>
            </w:r>
          </w:p>
        </w:tc>
        <w:tc>
          <w:tcPr>
            <w:tcW w:w="490" w:type="dxa"/>
            <w:tcBorders>
              <w:top w:val="single" w:sz="4" w:space="0" w:color="000000"/>
              <w:left w:val="single" w:sz="4" w:space="0" w:color="000000"/>
              <w:bottom w:val="single" w:sz="4" w:space="0" w:color="000000"/>
              <w:right w:val="single" w:sz="4" w:space="0" w:color="000000"/>
            </w:tcBorders>
          </w:tcPr>
          <w:p>
            <w:pP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3"/>
              <w:ind w:left="24" w:right="17"/>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．资本公积转</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增资本（或股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本）</w:t>
            </w:r>
          </w:p>
        </w:tc>
        <w:tc>
          <w:tcPr>
            <w:tcW w:w="490" w:type="dxa"/>
            <w:tcBorders>
              <w:top w:val="single" w:sz="4" w:space="0" w:color="000000"/>
              <w:left w:val="single" w:sz="4" w:space="0" w:color="000000"/>
              <w:bottom w:val="single" w:sz="4" w:space="0" w:color="000000"/>
              <w:right w:val="single" w:sz="4" w:space="0" w:color="000000"/>
            </w:tcBorders>
          </w:tcPr>
          <w:p>
            <w:pP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r>
      <w:tr>
        <w:trPr>
          <w:trHeight w:val="1023" w:hRule="exact"/>
        </w:trPr>
        <w:tc>
          <w:tcPr>
            <w:tcW w:w="1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3"/>
              <w:ind w:left="24" w:right="17"/>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．盈余公积转</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增资本（或股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本）</w:t>
            </w:r>
          </w:p>
        </w:tc>
        <w:tc>
          <w:tcPr>
            <w:tcW w:w="490" w:type="dxa"/>
            <w:tcBorders>
              <w:top w:val="single" w:sz="4" w:space="0" w:color="000000"/>
              <w:left w:val="single" w:sz="4" w:space="0" w:color="000000"/>
              <w:bottom w:val="single" w:sz="4" w:space="0" w:color="000000"/>
              <w:right w:val="single" w:sz="4" w:space="0" w:color="000000"/>
            </w:tcBorders>
          </w:tcPr>
          <w:p>
            <w:pP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8"/>
              <w:ind w:left="24" w:right="17"/>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．盈余公积弥</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补亏损</w:t>
            </w:r>
          </w:p>
        </w:tc>
        <w:tc>
          <w:tcPr>
            <w:tcW w:w="490" w:type="dxa"/>
            <w:tcBorders>
              <w:top w:val="single" w:sz="4" w:space="0" w:color="000000"/>
              <w:left w:val="single" w:sz="4" w:space="0" w:color="000000"/>
              <w:bottom w:val="single" w:sz="4" w:space="0" w:color="000000"/>
              <w:right w:val="single" w:sz="4" w:space="0" w:color="000000"/>
            </w:tcBorders>
          </w:tcPr>
          <w:p>
            <w:pP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3"/>
              <w:ind w:left="24" w:right="17"/>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4</w:t>
            </w:r>
            <w:r>
              <w:rPr>
                <w:rFonts w:ascii="宋体" w:hAnsi="宋体" w:cs="宋体" w:eastAsia="宋体" w:hint="default"/>
                <w:spacing w:val="-4"/>
                <w:sz w:val="18"/>
                <w:szCs w:val="18"/>
              </w:rPr>
              <w:t>．设定受益计</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划变动额结转</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留存收益</w:t>
            </w:r>
          </w:p>
        </w:tc>
        <w:tc>
          <w:tcPr>
            <w:tcW w:w="490" w:type="dxa"/>
            <w:tcBorders>
              <w:top w:val="single" w:sz="4" w:space="0" w:color="000000"/>
              <w:left w:val="single" w:sz="4" w:space="0" w:color="000000"/>
              <w:bottom w:val="single" w:sz="4" w:space="0" w:color="000000"/>
              <w:right w:val="single" w:sz="4" w:space="0" w:color="000000"/>
            </w:tcBorders>
          </w:tcPr>
          <w:p>
            <w:pP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3"/>
              <w:ind w:left="24" w:right="17"/>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5</w:t>
            </w:r>
            <w:r>
              <w:rPr>
                <w:rFonts w:ascii="宋体" w:hAnsi="宋体" w:cs="宋体" w:eastAsia="宋体" w:hint="default"/>
                <w:spacing w:val="-4"/>
                <w:sz w:val="18"/>
                <w:szCs w:val="18"/>
              </w:rPr>
              <w:t>．其他综合收</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益结转留存收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益</w:t>
            </w:r>
          </w:p>
        </w:tc>
        <w:tc>
          <w:tcPr>
            <w:tcW w:w="490" w:type="dxa"/>
            <w:tcBorders>
              <w:top w:val="single" w:sz="4" w:space="0" w:color="000000"/>
              <w:left w:val="single" w:sz="4" w:space="0" w:color="000000"/>
              <w:bottom w:val="single" w:sz="4" w:space="0" w:color="000000"/>
              <w:right w:val="single" w:sz="4" w:space="0" w:color="000000"/>
            </w:tcBorders>
          </w:tcPr>
          <w:p>
            <w:pP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1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490" w:type="dxa"/>
            <w:tcBorders>
              <w:top w:val="single" w:sz="4" w:space="0" w:color="000000"/>
              <w:left w:val="single" w:sz="4" w:space="0" w:color="000000"/>
              <w:bottom w:val="single" w:sz="4" w:space="0" w:color="000000"/>
              <w:right w:val="single" w:sz="4" w:space="0" w:color="000000"/>
            </w:tcBorders>
          </w:tcPr>
          <w:p>
            <w:pP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8"/>
              <w:ind w:left="24" w:right="94"/>
              <w:jc w:val="left"/>
              <w:rPr>
                <w:rFonts w:ascii="宋体" w:hAnsi="宋体" w:cs="宋体" w:eastAsia="宋体" w:hint="default"/>
                <w:sz w:val="18"/>
                <w:szCs w:val="18"/>
              </w:rPr>
            </w:pPr>
            <w:r>
              <w:rPr>
                <w:rFonts w:ascii="宋体" w:hAnsi="宋体" w:cs="宋体" w:eastAsia="宋体" w:hint="default"/>
                <w:spacing w:val="-2"/>
                <w:sz w:val="18"/>
                <w:szCs w:val="18"/>
              </w:rPr>
              <w:t>（五）专项储</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备</w:t>
            </w:r>
          </w:p>
        </w:tc>
        <w:tc>
          <w:tcPr>
            <w:tcW w:w="490" w:type="dxa"/>
            <w:tcBorders>
              <w:top w:val="single" w:sz="4" w:space="0" w:color="000000"/>
              <w:left w:val="single" w:sz="4" w:space="0" w:color="000000"/>
              <w:bottom w:val="single" w:sz="4" w:space="0" w:color="000000"/>
              <w:right w:val="single" w:sz="4" w:space="0" w:color="000000"/>
            </w:tcBorders>
          </w:tcPr>
          <w:p>
            <w:pP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490" w:type="dxa"/>
            <w:tcBorders>
              <w:top w:val="single" w:sz="4" w:space="0" w:color="000000"/>
              <w:left w:val="single" w:sz="4" w:space="0" w:color="000000"/>
              <w:bottom w:val="single" w:sz="4" w:space="0" w:color="000000"/>
              <w:right w:val="single" w:sz="4" w:space="0" w:color="000000"/>
            </w:tcBorders>
          </w:tcPr>
          <w:p>
            <w:pP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490" w:type="dxa"/>
            <w:tcBorders>
              <w:top w:val="single" w:sz="4" w:space="0" w:color="000000"/>
              <w:left w:val="single" w:sz="4" w:space="0" w:color="000000"/>
              <w:bottom w:val="single" w:sz="4" w:space="0" w:color="000000"/>
              <w:right w:val="single" w:sz="4" w:space="0" w:color="000000"/>
            </w:tcBorders>
          </w:tcPr>
          <w:p>
            <w:pP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490" w:type="dxa"/>
            <w:tcBorders>
              <w:top w:val="single" w:sz="4" w:space="0" w:color="000000"/>
              <w:left w:val="single" w:sz="4" w:space="0" w:color="000000"/>
              <w:bottom w:val="single" w:sz="4" w:space="0" w:color="000000"/>
              <w:right w:val="single" w:sz="4" w:space="0" w:color="000000"/>
            </w:tcBorders>
          </w:tcPr>
          <w:p>
            <w:pP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316" w:lineRule="auto"/>
              <w:ind w:left="24" w:right="94"/>
              <w:jc w:val="left"/>
              <w:rPr>
                <w:rFonts w:ascii="宋体" w:hAnsi="宋体" w:cs="宋体" w:eastAsia="宋体" w:hint="default"/>
                <w:sz w:val="18"/>
                <w:szCs w:val="18"/>
              </w:rPr>
            </w:pPr>
            <w:r>
              <w:rPr>
                <w:rFonts w:ascii="宋体" w:hAnsi="宋体" w:cs="宋体" w:eastAsia="宋体" w:hint="default"/>
                <w:spacing w:val="-2"/>
                <w:sz w:val="18"/>
                <w:szCs w:val="18"/>
              </w:rPr>
              <w:t>四、本期期末</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余额</w:t>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52" w:right="0"/>
              <w:jc w:val="left"/>
              <w:rPr>
                <w:rFonts w:ascii="Times New Roman" w:hAnsi="Times New Roman" w:cs="Times New Roman" w:eastAsia="Times New Roman" w:hint="default"/>
                <w:sz w:val="18"/>
                <w:szCs w:val="18"/>
              </w:rPr>
            </w:pPr>
            <w:r>
              <w:rPr>
                <w:rFonts w:ascii="Times New Roman"/>
                <w:sz w:val="18"/>
              </w:rPr>
              <w:t>706,6</w:t>
            </w:r>
          </w:p>
          <w:p>
            <w:pPr>
              <w:pStyle w:val="TableParagraph"/>
              <w:spacing w:line="240" w:lineRule="auto" w:before="100"/>
              <w:ind w:left="52" w:right="0"/>
              <w:jc w:val="left"/>
              <w:rPr>
                <w:rFonts w:ascii="Times New Roman" w:hAnsi="Times New Roman" w:cs="Times New Roman" w:eastAsia="Times New Roman" w:hint="default"/>
                <w:sz w:val="18"/>
                <w:szCs w:val="18"/>
              </w:rPr>
            </w:pPr>
            <w:r>
              <w:rPr>
                <w:rFonts w:ascii="Times New Roman"/>
                <w:sz w:val="18"/>
              </w:rPr>
              <w:t>40,53</w:t>
            </w:r>
          </w:p>
          <w:p>
            <w:pPr>
              <w:pStyle w:val="TableParagraph"/>
              <w:spacing w:line="240" w:lineRule="auto" w:before="110"/>
              <w:ind w:left="139" w:right="0"/>
              <w:jc w:val="left"/>
              <w:rPr>
                <w:rFonts w:ascii="Times New Roman" w:hAnsi="Times New Roman" w:cs="Times New Roman" w:eastAsia="Times New Roman" w:hint="default"/>
                <w:sz w:val="18"/>
                <w:szCs w:val="18"/>
              </w:rPr>
            </w:pPr>
            <w:r>
              <w:rPr>
                <w:rFonts w:ascii="Times New Roman"/>
                <w:sz w:val="18"/>
              </w:rPr>
              <w:t>5.00</w:t>
            </w: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7" w:right="0"/>
              <w:jc w:val="left"/>
              <w:rPr>
                <w:rFonts w:ascii="Times New Roman" w:hAnsi="Times New Roman" w:cs="Times New Roman" w:eastAsia="Times New Roman" w:hint="default"/>
                <w:sz w:val="18"/>
                <w:szCs w:val="18"/>
              </w:rPr>
            </w:pPr>
            <w:r>
              <w:rPr>
                <w:rFonts w:ascii="Times New Roman"/>
                <w:sz w:val="18"/>
              </w:rPr>
              <w:t>375,97</w:t>
            </w:r>
          </w:p>
          <w:p>
            <w:pPr>
              <w:pStyle w:val="TableParagraph"/>
              <w:spacing w:line="240" w:lineRule="auto" w:before="100"/>
              <w:ind w:left="91" w:right="0"/>
              <w:jc w:val="left"/>
              <w:rPr>
                <w:rFonts w:ascii="Times New Roman" w:hAnsi="Times New Roman" w:cs="Times New Roman" w:eastAsia="Times New Roman" w:hint="default"/>
                <w:sz w:val="18"/>
                <w:szCs w:val="18"/>
              </w:rPr>
            </w:pPr>
            <w:r>
              <w:rPr>
                <w:rFonts w:ascii="Times New Roman"/>
                <w:sz w:val="18"/>
              </w:rPr>
              <w:t>9,751.</w:t>
            </w:r>
          </w:p>
          <w:p>
            <w:pPr>
              <w:pStyle w:val="TableParagraph"/>
              <w:spacing w:line="240" w:lineRule="auto" w:before="110"/>
              <w:ind w:left="365" w:right="0"/>
              <w:jc w:val="left"/>
              <w:rPr>
                <w:rFonts w:ascii="Times New Roman" w:hAnsi="Times New Roman" w:cs="Times New Roman" w:eastAsia="Times New Roman" w:hint="default"/>
                <w:sz w:val="18"/>
                <w:szCs w:val="18"/>
              </w:rPr>
            </w:pPr>
            <w:r>
              <w:rPr>
                <w:rFonts w:ascii="Times New Roman"/>
                <w:sz w:val="18"/>
              </w:rPr>
              <w:t>21</w:t>
            </w: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81" w:right="0"/>
              <w:jc w:val="left"/>
              <w:rPr>
                <w:rFonts w:ascii="Times New Roman" w:hAnsi="Times New Roman" w:cs="Times New Roman" w:eastAsia="Times New Roman" w:hint="default"/>
                <w:sz w:val="18"/>
                <w:szCs w:val="18"/>
              </w:rPr>
            </w:pPr>
            <w:r>
              <w:rPr>
                <w:rFonts w:ascii="Times New Roman"/>
                <w:sz w:val="18"/>
              </w:rPr>
              <w:t>-12,58</w:t>
            </w:r>
          </w:p>
          <w:p>
            <w:pPr>
              <w:pStyle w:val="TableParagraph"/>
              <w:spacing w:line="240" w:lineRule="auto" w:before="100"/>
              <w:ind w:left="95" w:right="0"/>
              <w:jc w:val="left"/>
              <w:rPr>
                <w:rFonts w:ascii="Times New Roman" w:hAnsi="Times New Roman" w:cs="Times New Roman" w:eastAsia="Times New Roman" w:hint="default"/>
                <w:sz w:val="18"/>
                <w:szCs w:val="18"/>
              </w:rPr>
            </w:pPr>
            <w:r>
              <w:rPr>
                <w:rFonts w:ascii="Times New Roman"/>
                <w:sz w:val="18"/>
              </w:rPr>
              <w:t>8,336.</w:t>
            </w:r>
          </w:p>
          <w:p>
            <w:pPr>
              <w:pStyle w:val="TableParagraph"/>
              <w:spacing w:line="240" w:lineRule="auto" w:before="110"/>
              <w:ind w:left="369" w:right="0"/>
              <w:jc w:val="left"/>
              <w:rPr>
                <w:rFonts w:ascii="Times New Roman" w:hAnsi="Times New Roman" w:cs="Times New Roman" w:eastAsia="Times New Roman" w:hint="default"/>
                <w:sz w:val="18"/>
                <w:szCs w:val="18"/>
              </w:rPr>
            </w:pPr>
            <w:r>
              <w:rPr>
                <w:rFonts w:ascii="Times New Roman"/>
                <w:sz w:val="18"/>
              </w:rPr>
              <w:t>41</w:t>
            </w: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27,821</w:t>
            </w:r>
          </w:p>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,403.2</w:t>
            </w:r>
          </w:p>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tc>
        <w:tc>
          <w:tcPr>
            <w:tcW w:w="576"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62" w:right="0"/>
              <w:jc w:val="left"/>
              <w:rPr>
                <w:rFonts w:ascii="Times New Roman" w:hAnsi="Times New Roman" w:cs="Times New Roman" w:eastAsia="Times New Roman" w:hint="default"/>
                <w:sz w:val="18"/>
                <w:szCs w:val="18"/>
              </w:rPr>
            </w:pPr>
            <w:r>
              <w:rPr>
                <w:rFonts w:ascii="Times New Roman"/>
                <w:sz w:val="18"/>
              </w:rPr>
              <w:t>253,41</w:t>
            </w:r>
          </w:p>
          <w:p>
            <w:pPr>
              <w:pStyle w:val="TableParagraph"/>
              <w:spacing w:line="240" w:lineRule="auto" w:before="100"/>
              <w:ind w:left="105" w:right="0"/>
              <w:jc w:val="left"/>
              <w:rPr>
                <w:rFonts w:ascii="Times New Roman" w:hAnsi="Times New Roman" w:cs="Times New Roman" w:eastAsia="Times New Roman" w:hint="default"/>
                <w:sz w:val="18"/>
                <w:szCs w:val="18"/>
              </w:rPr>
            </w:pPr>
            <w:r>
              <w:rPr>
                <w:rFonts w:ascii="Times New Roman"/>
                <w:sz w:val="18"/>
              </w:rPr>
              <w:t>2,946.</w:t>
            </w:r>
          </w:p>
          <w:p>
            <w:pPr>
              <w:pStyle w:val="TableParagraph"/>
              <w:spacing w:line="240" w:lineRule="auto" w:before="110"/>
              <w:ind w:left="379" w:right="0"/>
              <w:jc w:val="left"/>
              <w:rPr>
                <w:rFonts w:ascii="Times New Roman" w:hAnsi="Times New Roman" w:cs="Times New Roman" w:eastAsia="Times New Roman" w:hint="default"/>
                <w:sz w:val="18"/>
                <w:szCs w:val="18"/>
              </w:rPr>
            </w:pPr>
            <w:r>
              <w:rPr>
                <w:rFonts w:ascii="Times New Roman"/>
                <w:sz w:val="18"/>
              </w:rPr>
              <w:t>83</w:t>
            </w: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59" w:right="0"/>
              <w:jc w:val="center"/>
              <w:rPr>
                <w:rFonts w:ascii="Times New Roman" w:hAnsi="Times New Roman" w:cs="Times New Roman" w:eastAsia="Times New Roman" w:hint="default"/>
                <w:sz w:val="18"/>
                <w:szCs w:val="18"/>
              </w:rPr>
            </w:pPr>
            <w:r>
              <w:rPr>
                <w:rFonts w:ascii="Times New Roman"/>
                <w:sz w:val="18"/>
              </w:rPr>
              <w:t>1,351,</w:t>
            </w:r>
          </w:p>
          <w:p>
            <w:pPr>
              <w:pStyle w:val="TableParagraph"/>
              <w:spacing w:line="240" w:lineRule="auto" w:before="100"/>
              <w:ind w:left="19" w:right="0"/>
              <w:jc w:val="center"/>
              <w:rPr>
                <w:rFonts w:ascii="Times New Roman" w:hAnsi="Times New Roman" w:cs="Times New Roman" w:eastAsia="Times New Roman" w:hint="default"/>
                <w:sz w:val="18"/>
                <w:szCs w:val="18"/>
              </w:rPr>
            </w:pPr>
            <w:r>
              <w:rPr>
                <w:rFonts w:ascii="Times New Roman"/>
                <w:sz w:val="18"/>
              </w:rPr>
              <w:t>266,29</w:t>
            </w:r>
          </w:p>
          <w:p>
            <w:pPr>
              <w:pStyle w:val="TableParagraph"/>
              <w:spacing w:line="240" w:lineRule="auto" w:before="110"/>
              <w:ind w:left="196" w:right="0"/>
              <w:jc w:val="center"/>
              <w:rPr>
                <w:rFonts w:ascii="Times New Roman" w:hAnsi="Times New Roman" w:cs="Times New Roman" w:eastAsia="Times New Roman" w:hint="default"/>
                <w:sz w:val="18"/>
                <w:szCs w:val="18"/>
              </w:rPr>
            </w:pPr>
            <w:r>
              <w:rPr>
                <w:rFonts w:ascii="Times New Roman"/>
                <w:sz w:val="18"/>
              </w:rPr>
              <w:t>9.89</w:t>
            </w: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14,628,</w:t>
            </w:r>
          </w:p>
          <w:p>
            <w:pPr>
              <w:pStyle w:val="TableParagraph"/>
              <w:spacing w:line="240" w:lineRule="auto" w:before="105"/>
              <w:ind w:left="120" w:right="0"/>
              <w:jc w:val="left"/>
              <w:rPr>
                <w:rFonts w:ascii="Times New Roman" w:hAnsi="Times New Roman" w:cs="Times New Roman" w:eastAsia="Times New Roman" w:hint="default"/>
                <w:sz w:val="18"/>
                <w:szCs w:val="18"/>
              </w:rPr>
            </w:pPr>
            <w:r>
              <w:rPr>
                <w:rFonts w:ascii="Times New Roman"/>
                <w:sz w:val="18"/>
              </w:rPr>
              <w:t>115.82</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1,365,8</w:t>
            </w:r>
          </w:p>
          <w:p>
            <w:pPr>
              <w:pStyle w:val="TableParagraph"/>
              <w:spacing w:line="240" w:lineRule="auto" w:before="100"/>
              <w:ind w:right="14"/>
              <w:jc w:val="right"/>
              <w:rPr>
                <w:rFonts w:ascii="Times New Roman" w:hAnsi="Times New Roman" w:cs="Times New Roman" w:eastAsia="Times New Roman" w:hint="default"/>
                <w:sz w:val="18"/>
                <w:szCs w:val="18"/>
              </w:rPr>
            </w:pPr>
            <w:r>
              <w:rPr>
                <w:rFonts w:ascii="Times New Roman"/>
                <w:spacing w:val="-2"/>
                <w:sz w:val="18"/>
              </w:rPr>
              <w:t>94,415.</w:t>
            </w:r>
          </w:p>
          <w:p>
            <w:pPr>
              <w:pStyle w:val="TableParagraph"/>
              <w:spacing w:line="240" w:lineRule="auto" w:before="110"/>
              <w:ind w:right="12"/>
              <w:jc w:val="right"/>
              <w:rPr>
                <w:rFonts w:ascii="Times New Roman" w:hAnsi="Times New Roman" w:cs="Times New Roman" w:eastAsia="Times New Roman" w:hint="default"/>
                <w:sz w:val="18"/>
                <w:szCs w:val="18"/>
              </w:rPr>
            </w:pPr>
            <w:r>
              <w:rPr>
                <w:rFonts w:ascii="Times New Roman"/>
                <w:sz w:val="18"/>
              </w:rPr>
              <w:t>71</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right="0"/>
        <w:jc w:val="left"/>
        <w:rPr>
          <w:b w:val="0"/>
          <w:bCs w:val="0"/>
        </w:rPr>
      </w:pPr>
      <w:bookmarkStart w:name="8、母公司所有者权益变动表" w:id="165"/>
      <w:bookmarkEnd w:id="165"/>
      <w:r>
        <w:rPr>
          <w:b w:val="0"/>
          <w:bCs w:val="0"/>
        </w:rPr>
      </w:r>
      <w:r>
        <w:rPr>
          <w:rFonts w:ascii="Times New Roman" w:hAnsi="Times New Roman" w:cs="Times New Roman" w:eastAsia="Times New Roman" w:hint="default"/>
        </w:rPr>
        <w:t>8</w:t>
      </w:r>
      <w:r>
        <w:rPr/>
        <w:t>、母公司所有者权益变动表</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6"/>
        <w:ind w:right="0"/>
        <w:jc w:val="left"/>
      </w:pPr>
      <w:r>
        <w:rPr/>
        <w:t>本期金额</w:t>
      </w:r>
    </w:p>
    <w:p>
      <w:pPr>
        <w:pStyle w:val="BodyText"/>
        <w:spacing w:line="240" w:lineRule="auto" w:before="115"/>
        <w:ind w:left="0" w:right="1122"/>
        <w:jc w:val="right"/>
      </w:pPr>
      <w:r>
        <w:rPr>
          <w:spacing w:val="-2"/>
        </w:rPr>
        <w:t>单位：元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306"/>
        <w:gridCol w:w="629"/>
        <w:gridCol w:w="605"/>
        <w:gridCol w:w="605"/>
        <w:gridCol w:w="605"/>
        <w:gridCol w:w="725"/>
        <w:gridCol w:w="725"/>
        <w:gridCol w:w="730"/>
        <w:gridCol w:w="725"/>
        <w:gridCol w:w="725"/>
        <w:gridCol w:w="614"/>
        <w:gridCol w:w="711"/>
        <w:gridCol w:w="864"/>
      </w:tblGrid>
      <w:tr>
        <w:trPr>
          <w:trHeight w:val="404" w:hRule="exact"/>
        </w:trPr>
        <w:tc>
          <w:tcPr>
            <w:tcW w:w="130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264" w:type="dxa"/>
            <w:gridSpan w:val="12"/>
            <w:tcBorders>
              <w:top w:val="single" w:sz="4" w:space="0" w:color="000000"/>
              <w:left w:val="single" w:sz="4" w:space="0" w:color="000000"/>
              <w:bottom w:val="single" w:sz="4" w:space="0" w:color="FFFFFF"/>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7"/>
                <w:sz w:val="18"/>
                <w:szCs w:val="18"/>
              </w:rPr>
              <w:t> </w:t>
            </w:r>
            <w:r>
              <w:rPr>
                <w:rFonts w:ascii="宋体" w:hAnsi="宋体" w:cs="宋体" w:eastAsia="宋体" w:hint="default"/>
                <w:spacing w:val="-5"/>
                <w:sz w:val="18"/>
                <w:szCs w:val="18"/>
              </w:rPr>
              <w:t>年度</w:t>
            </w:r>
            <w:r>
              <w:rPr>
                <w:rFonts w:ascii="宋体" w:hAnsi="宋体" w:cs="宋体" w:eastAsia="宋体" w:hint="default"/>
                <w:sz w:val="18"/>
                <w:szCs w:val="18"/>
              </w:rPr>
            </w:r>
          </w:p>
        </w:tc>
      </w:tr>
      <w:tr>
        <w:trPr>
          <w:trHeight w:val="403" w:hRule="exact"/>
        </w:trPr>
        <w:tc>
          <w:tcPr>
            <w:tcW w:w="1306" w:type="dxa"/>
            <w:vMerge/>
            <w:tcBorders>
              <w:left w:val="single" w:sz="4" w:space="0" w:color="000000"/>
              <w:right w:val="single" w:sz="4" w:space="0" w:color="000000"/>
            </w:tcBorders>
            <w:shd w:val="clear" w:color="auto" w:fill="D2D2D2"/>
          </w:tcPr>
          <w:p>
            <w:pPr/>
          </w:p>
        </w:tc>
        <w:tc>
          <w:tcPr>
            <w:tcW w:w="629"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129"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815" w:type="dxa"/>
            <w:gridSpan w:val="3"/>
            <w:tcBorders>
              <w:top w:val="single" w:sz="4" w:space="0" w:color="FFFFFF"/>
              <w:left w:val="single" w:sz="4" w:space="0" w:color="000000"/>
              <w:bottom w:val="single" w:sz="4" w:space="0" w:color="000000"/>
              <w:right w:val="single" w:sz="4" w:space="0" w:color="000000"/>
            </w:tcBorders>
            <w:shd w:val="clear" w:color="auto" w:fill="D2D2D2"/>
          </w:tcPr>
          <w:p>
            <w:pPr>
              <w:pStyle w:val="TableParagraph"/>
              <w:spacing w:line="240" w:lineRule="auto" w:before="53"/>
              <w:ind w:left="36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25" w:type="dxa"/>
            <w:vMerge w:val="restart"/>
            <w:tcBorders>
              <w:top w:val="single" w:sz="4" w:space="0" w:color="FFFFFF"/>
              <w:left w:val="single" w:sz="4" w:space="0" w:color="000000"/>
              <w:right w:val="single" w:sz="4" w:space="0" w:color="000000"/>
            </w:tcBorders>
            <w:shd w:val="clear" w:color="auto" w:fill="D2D2D2"/>
          </w:tcPr>
          <w:p>
            <w:pPr>
              <w:pStyle w:val="TableParagraph"/>
              <w:spacing w:line="321" w:lineRule="auto" w:before="97"/>
              <w:ind w:left="268" w:right="79" w:hanging="178"/>
              <w:jc w:val="left"/>
              <w:rPr>
                <w:rFonts w:ascii="宋体" w:hAnsi="宋体" w:cs="宋体" w:eastAsia="宋体" w:hint="default"/>
                <w:sz w:val="18"/>
                <w:szCs w:val="18"/>
              </w:rPr>
            </w:pPr>
            <w:r>
              <w:rPr>
                <w:rFonts w:ascii="宋体" w:hAnsi="宋体" w:cs="宋体" w:eastAsia="宋体" w:hint="default"/>
                <w:sz w:val="18"/>
                <w:szCs w:val="18"/>
              </w:rPr>
              <w:t>资本公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积</w:t>
            </w:r>
          </w:p>
        </w:tc>
        <w:tc>
          <w:tcPr>
            <w:tcW w:w="725" w:type="dxa"/>
            <w:vMerge w:val="restart"/>
            <w:tcBorders>
              <w:top w:val="single" w:sz="4" w:space="0" w:color="FFFFFF"/>
              <w:left w:val="single" w:sz="4" w:space="0" w:color="000000"/>
              <w:right w:val="single" w:sz="4" w:space="0" w:color="000000"/>
            </w:tcBorders>
            <w:shd w:val="clear" w:color="auto" w:fill="D2D2D2"/>
          </w:tcPr>
          <w:p>
            <w:pPr>
              <w:pStyle w:val="TableParagraph"/>
              <w:spacing w:line="321" w:lineRule="auto" w:before="97"/>
              <w:ind w:left="269" w:right="12" w:hanging="246"/>
              <w:jc w:val="left"/>
              <w:rPr>
                <w:rFonts w:ascii="宋体" w:hAnsi="宋体" w:cs="宋体" w:eastAsia="宋体" w:hint="default"/>
                <w:sz w:val="18"/>
                <w:szCs w:val="18"/>
              </w:rPr>
            </w:pPr>
            <w:r>
              <w:rPr>
                <w:rFonts w:ascii="宋体" w:hAnsi="宋体" w:cs="宋体" w:eastAsia="宋体" w:hint="default"/>
                <w:spacing w:val="-14"/>
                <w:sz w:val="18"/>
                <w:szCs w:val="18"/>
              </w:rPr>
              <w:t>减：库存</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股</w:t>
            </w:r>
          </w:p>
        </w:tc>
        <w:tc>
          <w:tcPr>
            <w:tcW w:w="730" w:type="dxa"/>
            <w:vMerge w:val="restart"/>
            <w:tcBorders>
              <w:top w:val="single" w:sz="4" w:space="0" w:color="FFFFFF"/>
              <w:left w:val="single" w:sz="4" w:space="0" w:color="000000"/>
              <w:right w:val="single" w:sz="4" w:space="0" w:color="000000"/>
            </w:tcBorders>
            <w:shd w:val="clear" w:color="auto" w:fill="D2D2D2"/>
          </w:tcPr>
          <w:p>
            <w:pPr>
              <w:pStyle w:val="TableParagraph"/>
              <w:spacing w:line="321" w:lineRule="auto" w:before="97"/>
              <w:ind w:left="91" w:right="84"/>
              <w:jc w:val="left"/>
              <w:rPr>
                <w:rFonts w:ascii="宋体" w:hAnsi="宋体" w:cs="宋体" w:eastAsia="宋体" w:hint="default"/>
                <w:sz w:val="18"/>
                <w:szCs w:val="18"/>
              </w:rPr>
            </w:pPr>
            <w:r>
              <w:rPr>
                <w:rFonts w:ascii="宋体" w:hAnsi="宋体" w:cs="宋体" w:eastAsia="宋体" w:hint="default"/>
                <w:sz w:val="18"/>
                <w:szCs w:val="18"/>
              </w:rPr>
              <w:t>其他综</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合收益</w:t>
            </w:r>
          </w:p>
        </w:tc>
        <w:tc>
          <w:tcPr>
            <w:tcW w:w="725" w:type="dxa"/>
            <w:vMerge w:val="restart"/>
            <w:tcBorders>
              <w:top w:val="single" w:sz="4" w:space="0" w:color="FFFFFF"/>
              <w:left w:val="single" w:sz="4" w:space="0" w:color="000000"/>
              <w:right w:val="single" w:sz="4" w:space="0" w:color="000000"/>
            </w:tcBorders>
            <w:shd w:val="clear" w:color="auto" w:fill="D2D2D2"/>
          </w:tcPr>
          <w:p>
            <w:pPr>
              <w:pStyle w:val="TableParagraph"/>
              <w:spacing w:line="321" w:lineRule="auto" w:before="97"/>
              <w:ind w:left="268" w:right="79" w:hanging="178"/>
              <w:jc w:val="left"/>
              <w:rPr>
                <w:rFonts w:ascii="宋体" w:hAnsi="宋体" w:cs="宋体" w:eastAsia="宋体" w:hint="default"/>
                <w:sz w:val="18"/>
                <w:szCs w:val="18"/>
              </w:rPr>
            </w:pPr>
            <w:r>
              <w:rPr>
                <w:rFonts w:ascii="宋体" w:hAnsi="宋体" w:cs="宋体" w:eastAsia="宋体" w:hint="default"/>
                <w:sz w:val="18"/>
                <w:szCs w:val="18"/>
              </w:rPr>
              <w:t>专项储</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备</w:t>
            </w:r>
          </w:p>
        </w:tc>
        <w:tc>
          <w:tcPr>
            <w:tcW w:w="725" w:type="dxa"/>
            <w:vMerge w:val="restart"/>
            <w:tcBorders>
              <w:top w:val="single" w:sz="4" w:space="0" w:color="FFFFFF"/>
              <w:left w:val="single" w:sz="4" w:space="0" w:color="000000"/>
              <w:right w:val="single" w:sz="4" w:space="0" w:color="000000"/>
            </w:tcBorders>
            <w:shd w:val="clear" w:color="auto" w:fill="D2D2D2"/>
          </w:tcPr>
          <w:p>
            <w:pPr>
              <w:pStyle w:val="TableParagraph"/>
              <w:spacing w:line="321" w:lineRule="auto" w:before="97"/>
              <w:ind w:left="268" w:right="80" w:hanging="178"/>
              <w:jc w:val="left"/>
              <w:rPr>
                <w:rFonts w:ascii="宋体" w:hAnsi="宋体" w:cs="宋体" w:eastAsia="宋体" w:hint="default"/>
                <w:sz w:val="18"/>
                <w:szCs w:val="18"/>
              </w:rPr>
            </w:pPr>
            <w:r>
              <w:rPr>
                <w:rFonts w:ascii="宋体" w:hAnsi="宋体" w:cs="宋体" w:eastAsia="宋体" w:hint="default"/>
                <w:sz w:val="18"/>
                <w:szCs w:val="18"/>
              </w:rPr>
              <w:t>盈余公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积</w:t>
            </w:r>
          </w:p>
        </w:tc>
        <w:tc>
          <w:tcPr>
            <w:tcW w:w="614" w:type="dxa"/>
            <w:vMerge w:val="restart"/>
            <w:tcBorders>
              <w:top w:val="single" w:sz="4" w:space="0" w:color="FFFFFF"/>
              <w:left w:val="single" w:sz="4" w:space="0" w:color="000000"/>
              <w:right w:val="single" w:sz="4" w:space="0" w:color="000000"/>
            </w:tcBorders>
            <w:shd w:val="clear" w:color="auto" w:fill="D2D2D2"/>
          </w:tcPr>
          <w:p>
            <w:pPr>
              <w:pStyle w:val="TableParagraph"/>
              <w:spacing w:line="321" w:lineRule="auto" w:before="97"/>
              <w:ind w:left="119" w:right="26" w:hanging="87"/>
              <w:jc w:val="left"/>
              <w:rPr>
                <w:rFonts w:ascii="宋体" w:hAnsi="宋体" w:cs="宋体" w:eastAsia="宋体" w:hint="default"/>
                <w:sz w:val="18"/>
                <w:szCs w:val="18"/>
              </w:rPr>
            </w:pPr>
            <w:r>
              <w:rPr>
                <w:rFonts w:ascii="宋体" w:hAnsi="宋体" w:cs="宋体" w:eastAsia="宋体" w:hint="default"/>
                <w:sz w:val="18"/>
                <w:szCs w:val="18"/>
              </w:rPr>
              <w:t>未分配</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利润</w:t>
            </w:r>
          </w:p>
        </w:tc>
        <w:tc>
          <w:tcPr>
            <w:tcW w:w="711"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64" w:type="dxa"/>
            <w:vMerge w:val="restart"/>
            <w:tcBorders>
              <w:top w:val="single" w:sz="4" w:space="0" w:color="FFFFFF"/>
              <w:left w:val="single" w:sz="4" w:space="0" w:color="000000"/>
              <w:right w:val="single" w:sz="4" w:space="0" w:color="000000"/>
            </w:tcBorders>
            <w:shd w:val="clear" w:color="auto" w:fill="D2D2D2"/>
          </w:tcPr>
          <w:p>
            <w:pPr>
              <w:pStyle w:val="TableParagraph"/>
              <w:spacing w:line="321" w:lineRule="auto" w:before="97"/>
              <w:ind w:left="158" w:right="60" w:hanging="92"/>
              <w:jc w:val="left"/>
              <w:rPr>
                <w:rFonts w:ascii="宋体" w:hAnsi="宋体" w:cs="宋体" w:eastAsia="宋体" w:hint="default"/>
                <w:sz w:val="18"/>
                <w:szCs w:val="18"/>
              </w:rPr>
            </w:pPr>
            <w:r>
              <w:rPr>
                <w:rFonts w:ascii="宋体" w:hAnsi="宋体" w:cs="宋体" w:eastAsia="宋体" w:hint="default"/>
                <w:sz w:val="18"/>
                <w:szCs w:val="18"/>
              </w:rPr>
              <w:t>所有者权</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益合计</w:t>
            </w:r>
          </w:p>
        </w:tc>
      </w:tr>
      <w:tr>
        <w:trPr>
          <w:trHeight w:val="401" w:hRule="exact"/>
        </w:trPr>
        <w:tc>
          <w:tcPr>
            <w:tcW w:w="1306" w:type="dxa"/>
            <w:vMerge/>
            <w:tcBorders>
              <w:left w:val="single" w:sz="4" w:space="0" w:color="000000"/>
              <w:bottom w:val="single" w:sz="4" w:space="0" w:color="000000"/>
              <w:right w:val="single" w:sz="4" w:space="0" w:color="000000"/>
            </w:tcBorders>
            <w:shd w:val="clear" w:color="auto" w:fill="D2D2D2"/>
          </w:tcPr>
          <w:p>
            <w:pPr/>
          </w:p>
        </w:tc>
        <w:tc>
          <w:tcPr>
            <w:tcW w:w="629" w:type="dxa"/>
            <w:vMerge/>
            <w:tcBorders>
              <w:left w:val="single" w:sz="4" w:space="0" w:color="000000"/>
              <w:bottom w:val="single" w:sz="4" w:space="0" w:color="000000"/>
              <w:right w:val="single" w:sz="4" w:space="0" w:color="000000"/>
            </w:tcBorders>
            <w:shd w:val="clear" w:color="auto" w:fill="D2D2D2"/>
          </w:tcPr>
          <w:p>
            <w:pPr/>
          </w:p>
        </w:tc>
        <w:tc>
          <w:tcPr>
            <w:tcW w:w="6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8"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8"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25" w:type="dxa"/>
            <w:vMerge/>
            <w:tcBorders>
              <w:left w:val="single" w:sz="4" w:space="0" w:color="000000"/>
              <w:bottom w:val="single" w:sz="4" w:space="0" w:color="000000"/>
              <w:right w:val="single" w:sz="4" w:space="0" w:color="000000"/>
            </w:tcBorders>
            <w:shd w:val="clear" w:color="auto" w:fill="D2D2D2"/>
          </w:tcPr>
          <w:p>
            <w:pPr/>
          </w:p>
        </w:tc>
        <w:tc>
          <w:tcPr>
            <w:tcW w:w="725" w:type="dxa"/>
            <w:vMerge/>
            <w:tcBorders>
              <w:left w:val="single" w:sz="4" w:space="0" w:color="000000"/>
              <w:bottom w:val="single" w:sz="4" w:space="0" w:color="000000"/>
              <w:right w:val="single" w:sz="4" w:space="0" w:color="000000"/>
            </w:tcBorders>
            <w:shd w:val="clear" w:color="auto" w:fill="D2D2D2"/>
          </w:tcPr>
          <w:p>
            <w:pPr/>
          </w:p>
        </w:tc>
        <w:tc>
          <w:tcPr>
            <w:tcW w:w="730" w:type="dxa"/>
            <w:vMerge/>
            <w:tcBorders>
              <w:left w:val="single" w:sz="4" w:space="0" w:color="000000"/>
              <w:bottom w:val="single" w:sz="4" w:space="0" w:color="000000"/>
              <w:right w:val="single" w:sz="4" w:space="0" w:color="000000"/>
            </w:tcBorders>
            <w:shd w:val="clear" w:color="auto" w:fill="D2D2D2"/>
          </w:tcPr>
          <w:p>
            <w:pPr/>
          </w:p>
        </w:tc>
        <w:tc>
          <w:tcPr>
            <w:tcW w:w="725" w:type="dxa"/>
            <w:vMerge/>
            <w:tcBorders>
              <w:left w:val="single" w:sz="4" w:space="0" w:color="000000"/>
              <w:bottom w:val="single" w:sz="4" w:space="0" w:color="000000"/>
              <w:right w:val="single" w:sz="4" w:space="0" w:color="000000"/>
            </w:tcBorders>
            <w:shd w:val="clear" w:color="auto" w:fill="D2D2D2"/>
          </w:tcPr>
          <w:p>
            <w:pPr/>
          </w:p>
        </w:tc>
        <w:tc>
          <w:tcPr>
            <w:tcW w:w="725" w:type="dxa"/>
            <w:vMerge/>
            <w:tcBorders>
              <w:left w:val="single" w:sz="4" w:space="0" w:color="000000"/>
              <w:bottom w:val="single" w:sz="4" w:space="0" w:color="000000"/>
              <w:right w:val="single" w:sz="4" w:space="0" w:color="000000"/>
            </w:tcBorders>
            <w:shd w:val="clear" w:color="auto" w:fill="D2D2D2"/>
          </w:tcPr>
          <w:p>
            <w:pPr/>
          </w:p>
        </w:tc>
        <w:tc>
          <w:tcPr>
            <w:tcW w:w="614" w:type="dxa"/>
            <w:vMerge/>
            <w:tcBorders>
              <w:left w:val="single" w:sz="4" w:space="0" w:color="000000"/>
              <w:bottom w:val="single" w:sz="4" w:space="0" w:color="000000"/>
              <w:right w:val="single" w:sz="4" w:space="0" w:color="000000"/>
            </w:tcBorders>
            <w:shd w:val="clear" w:color="auto" w:fill="D2D2D2"/>
          </w:tcPr>
          <w:p>
            <w:pPr/>
          </w:p>
        </w:tc>
        <w:tc>
          <w:tcPr>
            <w:tcW w:w="711" w:type="dxa"/>
            <w:vMerge/>
            <w:tcBorders>
              <w:left w:val="single" w:sz="4" w:space="0" w:color="000000"/>
              <w:bottom w:val="single" w:sz="4" w:space="0" w:color="000000"/>
              <w:right w:val="single" w:sz="4" w:space="0" w:color="000000"/>
            </w:tcBorders>
            <w:shd w:val="clear" w:color="auto" w:fill="D2D2D2"/>
          </w:tcPr>
          <w:p>
            <w:pPr/>
          </w:p>
        </w:tc>
        <w:tc>
          <w:tcPr>
            <w:tcW w:w="864" w:type="dxa"/>
            <w:vMerge/>
            <w:tcBorders>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871" w:footer="1186" w:top="1100" w:bottom="138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48" w:type="dxa"/>
        <w:tblLayout w:type="fixed"/>
        <w:tblCellMar>
          <w:top w:w="0" w:type="dxa"/>
          <w:left w:w="0" w:type="dxa"/>
          <w:bottom w:w="0" w:type="dxa"/>
          <w:right w:w="0" w:type="dxa"/>
        </w:tblCellMar>
        <w:tblLook w:val="01E0"/>
      </w:tblPr>
      <w:tblGrid>
        <w:gridCol w:w="1306"/>
        <w:gridCol w:w="629"/>
        <w:gridCol w:w="605"/>
        <w:gridCol w:w="605"/>
        <w:gridCol w:w="605"/>
        <w:gridCol w:w="725"/>
        <w:gridCol w:w="725"/>
        <w:gridCol w:w="730"/>
        <w:gridCol w:w="725"/>
        <w:gridCol w:w="725"/>
        <w:gridCol w:w="614"/>
        <w:gridCol w:w="711"/>
        <w:gridCol w:w="864"/>
      </w:tblGrid>
      <w:tr>
        <w:trPr>
          <w:trHeight w:val="1027"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316" w:lineRule="auto"/>
              <w:ind w:left="24" w:right="17"/>
              <w:jc w:val="left"/>
              <w:rPr>
                <w:rFonts w:ascii="宋体" w:hAnsi="宋体" w:cs="宋体" w:eastAsia="宋体" w:hint="default"/>
                <w:sz w:val="18"/>
                <w:szCs w:val="18"/>
              </w:rPr>
            </w:pPr>
            <w:r>
              <w:rPr>
                <w:rFonts w:ascii="宋体" w:hAnsi="宋体" w:cs="宋体" w:eastAsia="宋体" w:hint="default"/>
                <w:spacing w:val="-4"/>
                <w:sz w:val="18"/>
                <w:szCs w:val="18"/>
              </w:rPr>
              <w:t>一、上年期末余</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额</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706,64</w:t>
            </w:r>
          </w:p>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0,535.0</w:t>
            </w:r>
          </w:p>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375,979,</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751.21</w:t>
            </w:r>
          </w:p>
        </w:tc>
        <w:tc>
          <w:tcPr>
            <w:tcW w:w="72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73" w:right="0"/>
              <w:jc w:val="center"/>
              <w:rPr>
                <w:rFonts w:ascii="Times New Roman" w:hAnsi="Times New Roman" w:cs="Times New Roman" w:eastAsia="Times New Roman" w:hint="default"/>
                <w:sz w:val="18"/>
                <w:szCs w:val="18"/>
              </w:rPr>
            </w:pPr>
            <w:r>
              <w:rPr>
                <w:rFonts w:ascii="Times New Roman"/>
                <w:sz w:val="18"/>
              </w:rPr>
              <w:t>-12,588,</w:t>
            </w:r>
          </w:p>
          <w:p>
            <w:pPr>
              <w:pStyle w:val="TableParagraph"/>
              <w:spacing w:line="240" w:lineRule="auto" w:before="105"/>
              <w:ind w:left="182" w:right="0"/>
              <w:jc w:val="center"/>
              <w:rPr>
                <w:rFonts w:ascii="Times New Roman" w:hAnsi="Times New Roman" w:cs="Times New Roman" w:eastAsia="Times New Roman" w:hint="default"/>
                <w:sz w:val="18"/>
                <w:szCs w:val="18"/>
              </w:rPr>
            </w:pPr>
            <w:r>
              <w:rPr>
                <w:rFonts w:ascii="Times New Roman"/>
                <w:sz w:val="18"/>
              </w:rPr>
              <w:t>336.41</w:t>
            </w: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25,734,6</w:t>
            </w:r>
          </w:p>
          <w:p>
            <w:pPr>
              <w:pStyle w:val="TableParagraph"/>
              <w:spacing w:line="240" w:lineRule="auto" w:before="105"/>
              <w:ind w:left="292" w:right="0"/>
              <w:jc w:val="left"/>
              <w:rPr>
                <w:rFonts w:ascii="Times New Roman" w:hAnsi="Times New Roman" w:cs="Times New Roman" w:eastAsia="Times New Roman" w:hint="default"/>
                <w:sz w:val="18"/>
                <w:szCs w:val="18"/>
              </w:rPr>
            </w:pPr>
            <w:r>
              <w:rPr>
                <w:rFonts w:ascii="Times New Roman"/>
                <w:sz w:val="18"/>
              </w:rPr>
              <w:t>87.73</w:t>
            </w: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123,22</w:t>
            </w:r>
          </w:p>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9,687.1</w:t>
            </w:r>
          </w:p>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tc>
        <w:tc>
          <w:tcPr>
            <w:tcW w:w="711"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1,218,996,</w:t>
            </w:r>
          </w:p>
          <w:p>
            <w:pPr>
              <w:pStyle w:val="TableParagraph"/>
              <w:spacing w:line="240" w:lineRule="auto" w:before="105"/>
              <w:ind w:left="335" w:right="0"/>
              <w:jc w:val="left"/>
              <w:rPr>
                <w:rFonts w:ascii="Times New Roman" w:hAnsi="Times New Roman" w:cs="Times New Roman" w:eastAsia="Times New Roman" w:hint="default"/>
                <w:sz w:val="18"/>
                <w:szCs w:val="18"/>
              </w:rPr>
            </w:pPr>
            <w:r>
              <w:rPr>
                <w:rFonts w:ascii="Times New Roman"/>
                <w:sz w:val="18"/>
              </w:rPr>
              <w:t>324.70</w:t>
            </w:r>
          </w:p>
        </w:tc>
      </w:tr>
      <w:tr>
        <w:trPr>
          <w:trHeight w:val="711"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4"/>
              <w:ind w:left="24" w:right="17" w:firstLine="360"/>
              <w:jc w:val="left"/>
              <w:rPr>
                <w:rFonts w:ascii="宋体" w:hAnsi="宋体" w:cs="宋体" w:eastAsia="宋体" w:hint="default"/>
                <w:sz w:val="18"/>
                <w:szCs w:val="18"/>
              </w:rPr>
            </w:pPr>
            <w:r>
              <w:rPr>
                <w:rFonts w:ascii="宋体" w:hAnsi="宋体" w:cs="宋体" w:eastAsia="宋体" w:hint="default"/>
                <w:spacing w:val="-4"/>
                <w:sz w:val="18"/>
                <w:szCs w:val="18"/>
              </w:rPr>
              <w:t>加：会计政</w:t>
            </w:r>
            <w:r>
              <w:rPr>
                <w:rFonts w:ascii="宋体" w:hAnsi="宋体" w:cs="宋体" w:eastAsia="宋体" w:hint="default"/>
                <w:w w:val="101"/>
                <w:sz w:val="18"/>
                <w:szCs w:val="18"/>
              </w:rPr>
              <w:t> </w:t>
            </w:r>
            <w:r>
              <w:rPr>
                <w:rFonts w:ascii="宋体" w:hAnsi="宋体" w:cs="宋体" w:eastAsia="宋体" w:hint="default"/>
                <w:sz w:val="18"/>
                <w:szCs w:val="18"/>
              </w:rPr>
              <w:t>策变更</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67" w:right="0"/>
              <w:jc w:val="left"/>
              <w:rPr>
                <w:rFonts w:ascii="Times New Roman" w:hAnsi="Times New Roman" w:cs="Times New Roman" w:eastAsia="Times New Roman" w:hint="default"/>
                <w:sz w:val="18"/>
                <w:szCs w:val="18"/>
              </w:rPr>
            </w:pPr>
            <w:r>
              <w:rPr>
                <w:rFonts w:ascii="Times New Roman"/>
                <w:sz w:val="18"/>
              </w:rPr>
              <w:t>13,001,2</w:t>
            </w:r>
          </w:p>
          <w:p>
            <w:pPr>
              <w:pStyle w:val="TableParagraph"/>
              <w:spacing w:line="240" w:lineRule="auto" w:before="105"/>
              <w:ind w:left="292" w:right="0"/>
              <w:jc w:val="left"/>
              <w:rPr>
                <w:rFonts w:ascii="Times New Roman" w:hAnsi="Times New Roman" w:cs="Times New Roman" w:eastAsia="Times New Roman" w:hint="default"/>
                <w:sz w:val="18"/>
                <w:szCs w:val="18"/>
              </w:rPr>
            </w:pPr>
            <w:r>
              <w:rPr>
                <w:rFonts w:ascii="Times New Roman"/>
                <w:sz w:val="18"/>
              </w:rPr>
              <w:t>60.99</w:t>
            </w: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-15,416</w:t>
            </w:r>
          </w:p>
          <w:p>
            <w:pPr>
              <w:pStyle w:val="TableParagraph"/>
              <w:spacing w:line="240" w:lineRule="auto" w:before="105"/>
              <w:ind w:left="43" w:right="0"/>
              <w:jc w:val="left"/>
              <w:rPr>
                <w:rFonts w:ascii="Times New Roman" w:hAnsi="Times New Roman" w:cs="Times New Roman" w:eastAsia="Times New Roman" w:hint="default"/>
                <w:sz w:val="18"/>
                <w:szCs w:val="18"/>
              </w:rPr>
            </w:pPr>
            <w:r>
              <w:rPr>
                <w:rFonts w:ascii="Times New Roman"/>
                <w:sz w:val="18"/>
              </w:rPr>
              <w:t>,294.01</w:t>
            </w:r>
          </w:p>
        </w:tc>
        <w:tc>
          <w:tcPr>
            <w:tcW w:w="711"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-2,415,033</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.02</w:t>
            </w:r>
          </w:p>
        </w:tc>
      </w:tr>
      <w:tr>
        <w:trPr>
          <w:trHeight w:val="715"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8"/>
              <w:ind w:left="24" w:right="185" w:firstLine="720"/>
              <w:jc w:val="left"/>
              <w:rPr>
                <w:rFonts w:ascii="宋体" w:hAnsi="宋体" w:cs="宋体" w:eastAsia="宋体" w:hint="default"/>
                <w:sz w:val="18"/>
                <w:szCs w:val="18"/>
              </w:rPr>
            </w:pPr>
            <w:r>
              <w:rPr>
                <w:rFonts w:ascii="宋体" w:hAnsi="宋体" w:cs="宋体" w:eastAsia="宋体" w:hint="default"/>
                <w:sz w:val="18"/>
                <w:szCs w:val="18"/>
              </w:rPr>
              <w:t>前期</w:t>
            </w:r>
            <w:r>
              <w:rPr>
                <w:rFonts w:ascii="宋体" w:hAnsi="宋体" w:cs="宋体" w:eastAsia="宋体" w:hint="default"/>
                <w:w w:val="101"/>
                <w:sz w:val="18"/>
                <w:szCs w:val="18"/>
              </w:rPr>
              <w:t> </w:t>
            </w:r>
            <w:r>
              <w:rPr>
                <w:rFonts w:ascii="宋体" w:hAnsi="宋体" w:cs="宋体" w:eastAsia="宋体" w:hint="default"/>
                <w:sz w:val="18"/>
                <w:szCs w:val="18"/>
              </w:rPr>
              <w:t>差错更正</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4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316" w:lineRule="auto"/>
              <w:ind w:left="24" w:right="17"/>
              <w:jc w:val="left"/>
              <w:rPr>
                <w:rFonts w:ascii="宋体" w:hAnsi="宋体" w:cs="宋体" w:eastAsia="宋体" w:hint="default"/>
                <w:sz w:val="18"/>
                <w:szCs w:val="18"/>
              </w:rPr>
            </w:pPr>
            <w:r>
              <w:rPr>
                <w:rFonts w:ascii="宋体" w:hAnsi="宋体" w:cs="宋体" w:eastAsia="宋体" w:hint="default"/>
                <w:spacing w:val="-4"/>
                <w:sz w:val="18"/>
                <w:szCs w:val="18"/>
              </w:rPr>
              <w:t>二、本年期初余</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额</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706,64</w:t>
            </w:r>
          </w:p>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0,535.0</w:t>
            </w:r>
          </w:p>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375,979,</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751.21</w:t>
            </w:r>
          </w:p>
        </w:tc>
        <w:tc>
          <w:tcPr>
            <w:tcW w:w="72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412,924.</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58</w:t>
            </w: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25,734,6</w:t>
            </w:r>
          </w:p>
          <w:p>
            <w:pPr>
              <w:pStyle w:val="TableParagraph"/>
              <w:spacing w:line="240" w:lineRule="auto" w:before="105"/>
              <w:ind w:left="292" w:right="0"/>
              <w:jc w:val="left"/>
              <w:rPr>
                <w:rFonts w:ascii="Times New Roman" w:hAnsi="Times New Roman" w:cs="Times New Roman" w:eastAsia="Times New Roman" w:hint="default"/>
                <w:sz w:val="18"/>
                <w:szCs w:val="18"/>
              </w:rPr>
            </w:pPr>
            <w:r>
              <w:rPr>
                <w:rFonts w:ascii="Times New Roman"/>
                <w:sz w:val="18"/>
              </w:rPr>
              <w:t>87.73</w:t>
            </w: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107,81</w:t>
            </w:r>
          </w:p>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3,393.1</w:t>
            </w:r>
          </w:p>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tc>
        <w:tc>
          <w:tcPr>
            <w:tcW w:w="711"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1,216,581,</w:t>
            </w:r>
          </w:p>
          <w:p>
            <w:pPr>
              <w:pStyle w:val="TableParagraph"/>
              <w:spacing w:line="240" w:lineRule="auto" w:before="105"/>
              <w:ind w:left="335" w:right="0"/>
              <w:jc w:val="left"/>
              <w:rPr>
                <w:rFonts w:ascii="Times New Roman" w:hAnsi="Times New Roman" w:cs="Times New Roman" w:eastAsia="Times New Roman" w:hint="default"/>
                <w:sz w:val="18"/>
                <w:szCs w:val="18"/>
              </w:rPr>
            </w:pPr>
            <w:r>
              <w:rPr>
                <w:rFonts w:ascii="Times New Roman"/>
                <w:sz w:val="18"/>
              </w:rPr>
              <w:t>291.68</w:t>
            </w:r>
          </w:p>
        </w:tc>
      </w:tr>
      <w:tr>
        <w:trPr>
          <w:trHeight w:val="1023"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24" w:right="17"/>
              <w:jc w:val="both"/>
              <w:rPr>
                <w:rFonts w:ascii="宋体" w:hAnsi="宋体" w:cs="宋体" w:eastAsia="宋体" w:hint="default"/>
                <w:sz w:val="18"/>
                <w:szCs w:val="18"/>
              </w:rPr>
            </w:pPr>
            <w:r>
              <w:rPr>
                <w:rFonts w:ascii="宋体" w:hAnsi="宋体" w:cs="宋体" w:eastAsia="宋体" w:hint="default"/>
                <w:spacing w:val="-4"/>
                <w:sz w:val="18"/>
                <w:szCs w:val="18"/>
              </w:rPr>
              <w:t>三、本期增减变</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4"/>
                <w:sz w:val="18"/>
                <w:szCs w:val="18"/>
              </w:rPr>
              <w:t>动金额（减少以</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13,386,7</w:t>
            </w:r>
          </w:p>
          <w:p>
            <w:pPr>
              <w:pStyle w:val="TableParagraph"/>
              <w:spacing w:line="240" w:lineRule="auto" w:before="110"/>
              <w:ind w:left="292" w:right="0"/>
              <w:jc w:val="left"/>
              <w:rPr>
                <w:rFonts w:ascii="Times New Roman" w:hAnsi="Times New Roman" w:cs="Times New Roman" w:eastAsia="Times New Roman" w:hint="default"/>
                <w:sz w:val="18"/>
                <w:szCs w:val="18"/>
              </w:rPr>
            </w:pPr>
            <w:r>
              <w:rPr>
                <w:rFonts w:ascii="Times New Roman"/>
                <w:sz w:val="18"/>
              </w:rPr>
              <w:t>30.89</w:t>
            </w:r>
          </w:p>
        </w:tc>
        <w:tc>
          <w:tcPr>
            <w:tcW w:w="72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-102,449</w:t>
            </w:r>
          </w:p>
          <w:p>
            <w:pPr>
              <w:pStyle w:val="TableParagraph"/>
              <w:spacing w:line="240" w:lineRule="auto" w:before="110"/>
              <w:ind w:left="470" w:right="0"/>
              <w:jc w:val="left"/>
              <w:rPr>
                <w:rFonts w:ascii="Times New Roman" w:hAnsi="Times New Roman" w:cs="Times New Roman" w:eastAsia="Times New Roman" w:hint="default"/>
                <w:sz w:val="18"/>
                <w:szCs w:val="18"/>
              </w:rPr>
            </w:pPr>
            <w:r>
              <w:rPr>
                <w:rFonts w:ascii="Times New Roman"/>
                <w:sz w:val="18"/>
              </w:rPr>
              <w:t>.33</w:t>
            </w: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pacing w:val="-1"/>
                <w:sz w:val="18"/>
              </w:rPr>
              <w:t>944,648.</w:t>
            </w:r>
          </w:p>
          <w:p>
            <w:pPr>
              <w:pStyle w:val="TableParagraph"/>
              <w:spacing w:line="240" w:lineRule="auto" w:before="110"/>
              <w:ind w:right="12"/>
              <w:jc w:val="right"/>
              <w:rPr>
                <w:rFonts w:ascii="Times New Roman" w:hAnsi="Times New Roman" w:cs="Times New Roman" w:eastAsia="Times New Roman" w:hint="default"/>
                <w:sz w:val="18"/>
                <w:szCs w:val="18"/>
              </w:rPr>
            </w:pPr>
            <w:r>
              <w:rPr>
                <w:rFonts w:ascii="Times New Roman"/>
                <w:sz w:val="18"/>
              </w:rPr>
              <w:t>80</w:t>
            </w: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-5,630,</w:t>
            </w:r>
          </w:p>
          <w:p>
            <w:pPr>
              <w:pStyle w:val="TableParagraph"/>
              <w:spacing w:line="240" w:lineRule="auto" w:before="110"/>
              <w:ind w:left="86" w:right="0"/>
              <w:jc w:val="left"/>
              <w:rPr>
                <w:rFonts w:ascii="Times New Roman" w:hAnsi="Times New Roman" w:cs="Times New Roman" w:eastAsia="Times New Roman" w:hint="default"/>
                <w:sz w:val="18"/>
                <w:szCs w:val="18"/>
              </w:rPr>
            </w:pPr>
            <w:r>
              <w:rPr>
                <w:rFonts w:ascii="Times New Roman"/>
                <w:sz w:val="18"/>
              </w:rPr>
              <w:t>971.47</w:t>
            </w:r>
          </w:p>
        </w:tc>
        <w:tc>
          <w:tcPr>
            <w:tcW w:w="711"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2"/>
                <w:sz w:val="18"/>
              </w:rPr>
              <w:t>8,597,958.</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sz w:val="18"/>
              </w:rPr>
              <w:t>89</w:t>
            </w:r>
          </w:p>
        </w:tc>
      </w:tr>
      <w:tr>
        <w:trPr>
          <w:trHeight w:val="715"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8"/>
              <w:ind w:left="24" w:right="17"/>
              <w:jc w:val="left"/>
              <w:rPr>
                <w:rFonts w:ascii="宋体" w:hAnsi="宋体" w:cs="宋体" w:eastAsia="宋体" w:hint="default"/>
                <w:sz w:val="18"/>
                <w:szCs w:val="18"/>
              </w:rPr>
            </w:pPr>
            <w:r>
              <w:rPr>
                <w:rFonts w:ascii="宋体" w:hAnsi="宋体" w:cs="宋体" w:eastAsia="宋体" w:hint="default"/>
                <w:spacing w:val="-4"/>
                <w:sz w:val="18"/>
                <w:szCs w:val="18"/>
              </w:rPr>
              <w:t>（一）综合收益</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总额</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52" w:right="0"/>
              <w:jc w:val="left"/>
              <w:rPr>
                <w:rFonts w:ascii="Times New Roman" w:hAnsi="Times New Roman" w:cs="Times New Roman" w:eastAsia="Times New Roman" w:hint="default"/>
                <w:sz w:val="18"/>
                <w:szCs w:val="18"/>
              </w:rPr>
            </w:pPr>
            <w:r>
              <w:rPr>
                <w:rFonts w:ascii="Times New Roman"/>
                <w:sz w:val="18"/>
              </w:rPr>
              <w:t>-102,449</w:t>
            </w:r>
          </w:p>
          <w:p>
            <w:pPr>
              <w:pStyle w:val="TableParagraph"/>
              <w:spacing w:line="240" w:lineRule="auto" w:before="105"/>
              <w:ind w:left="470" w:right="0"/>
              <w:jc w:val="left"/>
              <w:rPr>
                <w:rFonts w:ascii="Times New Roman" w:hAnsi="Times New Roman" w:cs="Times New Roman" w:eastAsia="Times New Roman" w:hint="default"/>
                <w:sz w:val="18"/>
                <w:szCs w:val="18"/>
              </w:rPr>
            </w:pPr>
            <w:r>
              <w:rPr>
                <w:rFonts w:ascii="Times New Roman"/>
                <w:sz w:val="18"/>
              </w:rPr>
              <w:t>.33</w:t>
            </w: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3" w:right="0"/>
              <w:jc w:val="center"/>
              <w:rPr>
                <w:rFonts w:ascii="Times New Roman" w:hAnsi="Times New Roman" w:cs="Times New Roman" w:eastAsia="Times New Roman" w:hint="default"/>
                <w:sz w:val="18"/>
                <w:szCs w:val="18"/>
              </w:rPr>
            </w:pPr>
            <w:r>
              <w:rPr>
                <w:rFonts w:ascii="Times New Roman"/>
                <w:sz w:val="18"/>
              </w:rPr>
              <w:t>9,446,4</w:t>
            </w:r>
          </w:p>
          <w:p>
            <w:pPr>
              <w:pStyle w:val="TableParagraph"/>
              <w:spacing w:line="240" w:lineRule="auto" w:before="105"/>
              <w:ind w:left="158" w:right="0"/>
              <w:jc w:val="center"/>
              <w:rPr>
                <w:rFonts w:ascii="Times New Roman" w:hAnsi="Times New Roman" w:cs="Times New Roman" w:eastAsia="Times New Roman" w:hint="default"/>
                <w:sz w:val="18"/>
                <w:szCs w:val="18"/>
              </w:rPr>
            </w:pPr>
            <w:r>
              <w:rPr>
                <w:rFonts w:ascii="Times New Roman"/>
                <w:sz w:val="18"/>
              </w:rPr>
              <w:t>88.03</w:t>
            </w:r>
          </w:p>
        </w:tc>
        <w:tc>
          <w:tcPr>
            <w:tcW w:w="711"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2"/>
                <w:sz w:val="18"/>
              </w:rPr>
              <w:t>9,344,038.</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70</w:t>
            </w:r>
          </w:p>
        </w:tc>
      </w:tr>
      <w:tr>
        <w:trPr>
          <w:trHeight w:val="716"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4" w:lineRule="auto" w:before="53"/>
              <w:ind w:left="24" w:right="17"/>
              <w:jc w:val="left"/>
              <w:rPr>
                <w:rFonts w:ascii="宋体" w:hAnsi="宋体" w:cs="宋体" w:eastAsia="宋体" w:hint="default"/>
                <w:sz w:val="18"/>
                <w:szCs w:val="18"/>
              </w:rPr>
            </w:pPr>
            <w:r>
              <w:rPr>
                <w:rFonts w:ascii="宋体" w:hAnsi="宋体" w:cs="宋体" w:eastAsia="宋体" w:hint="default"/>
                <w:spacing w:val="-4"/>
                <w:sz w:val="18"/>
                <w:szCs w:val="18"/>
              </w:rPr>
              <w:t>（二）所有者投</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入和减少资本</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67" w:right="0"/>
              <w:jc w:val="left"/>
              <w:rPr>
                <w:rFonts w:ascii="Times New Roman" w:hAnsi="Times New Roman" w:cs="Times New Roman" w:eastAsia="Times New Roman" w:hint="default"/>
                <w:sz w:val="18"/>
                <w:szCs w:val="18"/>
              </w:rPr>
            </w:pPr>
            <w:r>
              <w:rPr>
                <w:rFonts w:ascii="Times New Roman"/>
                <w:sz w:val="18"/>
              </w:rPr>
              <w:t>13,386,7</w:t>
            </w:r>
          </w:p>
          <w:p>
            <w:pPr>
              <w:pStyle w:val="TableParagraph"/>
              <w:spacing w:line="240" w:lineRule="auto" w:before="110"/>
              <w:ind w:left="292" w:right="0"/>
              <w:jc w:val="left"/>
              <w:rPr>
                <w:rFonts w:ascii="Times New Roman" w:hAnsi="Times New Roman" w:cs="Times New Roman" w:eastAsia="Times New Roman" w:hint="default"/>
                <w:sz w:val="18"/>
                <w:szCs w:val="18"/>
              </w:rPr>
            </w:pPr>
            <w:r>
              <w:rPr>
                <w:rFonts w:ascii="Times New Roman"/>
                <w:sz w:val="18"/>
              </w:rPr>
              <w:t>30.89</w:t>
            </w:r>
          </w:p>
        </w:tc>
        <w:tc>
          <w:tcPr>
            <w:tcW w:w="72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10" w:right="0"/>
              <w:jc w:val="left"/>
              <w:rPr>
                <w:rFonts w:ascii="Times New Roman" w:hAnsi="Times New Roman" w:cs="Times New Roman" w:eastAsia="Times New Roman" w:hint="default"/>
                <w:sz w:val="18"/>
                <w:szCs w:val="18"/>
              </w:rPr>
            </w:pPr>
            <w:r>
              <w:rPr>
                <w:rFonts w:ascii="Times New Roman"/>
                <w:sz w:val="18"/>
              </w:rPr>
              <w:t>13,386,73</w:t>
            </w:r>
          </w:p>
          <w:p>
            <w:pPr>
              <w:pStyle w:val="TableParagraph"/>
              <w:spacing w:line="240" w:lineRule="auto" w:before="110"/>
              <w:ind w:left="513" w:right="0"/>
              <w:jc w:val="left"/>
              <w:rPr>
                <w:rFonts w:ascii="Times New Roman" w:hAnsi="Times New Roman" w:cs="Times New Roman" w:eastAsia="Times New Roman" w:hint="default"/>
                <w:sz w:val="18"/>
                <w:szCs w:val="18"/>
              </w:rPr>
            </w:pPr>
            <w:r>
              <w:rPr>
                <w:rFonts w:ascii="Times New Roman"/>
                <w:sz w:val="18"/>
              </w:rPr>
              <w:t>0.89</w:t>
            </w:r>
          </w:p>
        </w:tc>
      </w:tr>
      <w:tr>
        <w:trPr>
          <w:trHeight w:val="715"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24" w:right="94"/>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．所有者投入</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的普通股</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67" w:right="0"/>
              <w:jc w:val="left"/>
              <w:rPr>
                <w:rFonts w:ascii="Times New Roman" w:hAnsi="Times New Roman" w:cs="Times New Roman" w:eastAsia="Times New Roman" w:hint="default"/>
                <w:sz w:val="18"/>
                <w:szCs w:val="18"/>
              </w:rPr>
            </w:pPr>
            <w:r>
              <w:rPr>
                <w:rFonts w:ascii="Times New Roman"/>
                <w:sz w:val="18"/>
              </w:rPr>
              <w:t>16,918,3</w:t>
            </w:r>
          </w:p>
          <w:p>
            <w:pPr>
              <w:pStyle w:val="TableParagraph"/>
              <w:spacing w:line="240" w:lineRule="auto" w:before="105"/>
              <w:ind w:left="292" w:right="0"/>
              <w:jc w:val="left"/>
              <w:rPr>
                <w:rFonts w:ascii="Times New Roman" w:hAnsi="Times New Roman" w:cs="Times New Roman" w:eastAsia="Times New Roman" w:hint="default"/>
                <w:sz w:val="18"/>
                <w:szCs w:val="18"/>
              </w:rPr>
            </w:pPr>
            <w:r>
              <w:rPr>
                <w:rFonts w:ascii="Times New Roman"/>
                <w:sz w:val="18"/>
              </w:rPr>
              <w:t>04.01</w:t>
            </w:r>
          </w:p>
        </w:tc>
        <w:tc>
          <w:tcPr>
            <w:tcW w:w="72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10" w:right="0"/>
              <w:jc w:val="left"/>
              <w:rPr>
                <w:rFonts w:ascii="Times New Roman" w:hAnsi="Times New Roman" w:cs="Times New Roman" w:eastAsia="Times New Roman" w:hint="default"/>
                <w:sz w:val="18"/>
                <w:szCs w:val="18"/>
              </w:rPr>
            </w:pPr>
            <w:r>
              <w:rPr>
                <w:rFonts w:ascii="Times New Roman"/>
                <w:sz w:val="18"/>
              </w:rPr>
              <w:t>16,918,30</w:t>
            </w:r>
          </w:p>
          <w:p>
            <w:pPr>
              <w:pStyle w:val="TableParagraph"/>
              <w:spacing w:line="240" w:lineRule="auto" w:before="105"/>
              <w:ind w:left="513" w:right="0"/>
              <w:jc w:val="left"/>
              <w:rPr>
                <w:rFonts w:ascii="Times New Roman" w:hAnsi="Times New Roman" w:cs="Times New Roman" w:eastAsia="Times New Roman" w:hint="default"/>
                <w:sz w:val="18"/>
                <w:szCs w:val="18"/>
              </w:rPr>
            </w:pPr>
            <w:r>
              <w:rPr>
                <w:rFonts w:ascii="Times New Roman"/>
                <w:sz w:val="18"/>
              </w:rPr>
              <w:t>4.01</w:t>
            </w:r>
          </w:p>
        </w:tc>
      </w:tr>
      <w:tr>
        <w:trPr>
          <w:trHeight w:val="1023"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3"/>
              <w:ind w:left="24" w:right="94"/>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．其他权益工</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具持有者投入</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资本</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8"/>
              <w:ind w:left="24" w:right="94"/>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．股份支付计</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入所有者权益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的金额</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81" w:right="0"/>
              <w:jc w:val="center"/>
              <w:rPr>
                <w:rFonts w:ascii="Times New Roman" w:hAnsi="Times New Roman" w:cs="Times New Roman" w:eastAsia="Times New Roman" w:hint="default"/>
                <w:sz w:val="18"/>
                <w:szCs w:val="18"/>
              </w:rPr>
            </w:pPr>
            <w:r>
              <w:rPr>
                <w:rFonts w:ascii="Times New Roman"/>
                <w:sz w:val="18"/>
              </w:rPr>
              <w:t>-3,531,5</w:t>
            </w:r>
          </w:p>
          <w:p>
            <w:pPr>
              <w:pStyle w:val="TableParagraph"/>
              <w:spacing w:line="240" w:lineRule="auto" w:before="110"/>
              <w:ind w:left="278" w:right="0"/>
              <w:jc w:val="center"/>
              <w:rPr>
                <w:rFonts w:ascii="Times New Roman" w:hAnsi="Times New Roman" w:cs="Times New Roman" w:eastAsia="Times New Roman" w:hint="default"/>
                <w:sz w:val="18"/>
                <w:szCs w:val="18"/>
              </w:rPr>
            </w:pPr>
            <w:r>
              <w:rPr>
                <w:rFonts w:ascii="Times New Roman"/>
                <w:sz w:val="18"/>
              </w:rPr>
              <w:t>73.12</w:t>
            </w:r>
          </w:p>
        </w:tc>
        <w:tc>
          <w:tcPr>
            <w:tcW w:w="72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-3,531,573</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sz w:val="18"/>
              </w:rPr>
              <w:t>.12</w:t>
            </w:r>
          </w:p>
        </w:tc>
      </w:tr>
      <w:tr>
        <w:trPr>
          <w:trHeight w:val="715"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pacing w:val="-4"/>
                <w:sz w:val="18"/>
                <w:szCs w:val="18"/>
              </w:rPr>
              <w:t>（三）利润分配</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5"/>
              <w:jc w:val="right"/>
              <w:rPr>
                <w:rFonts w:ascii="Times New Roman" w:hAnsi="Times New Roman" w:cs="Times New Roman" w:eastAsia="Times New Roman" w:hint="default"/>
                <w:sz w:val="18"/>
                <w:szCs w:val="18"/>
              </w:rPr>
            </w:pPr>
            <w:r>
              <w:rPr>
                <w:rFonts w:ascii="Times New Roman"/>
                <w:spacing w:val="-1"/>
                <w:sz w:val="18"/>
              </w:rPr>
              <w:t>944,648.</w:t>
            </w:r>
          </w:p>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z w:val="18"/>
              </w:rPr>
              <w:t>80</w:t>
            </w: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-15,077</w:t>
            </w:r>
          </w:p>
          <w:p>
            <w:pPr>
              <w:pStyle w:val="TableParagraph"/>
              <w:spacing w:line="240" w:lineRule="auto" w:before="105"/>
              <w:ind w:left="43" w:right="0"/>
              <w:jc w:val="left"/>
              <w:rPr>
                <w:rFonts w:ascii="Times New Roman" w:hAnsi="Times New Roman" w:cs="Times New Roman" w:eastAsia="Times New Roman" w:hint="default"/>
                <w:sz w:val="18"/>
                <w:szCs w:val="18"/>
              </w:rPr>
            </w:pPr>
            <w:r>
              <w:rPr>
                <w:rFonts w:ascii="Times New Roman"/>
                <w:sz w:val="18"/>
              </w:rPr>
              <w:t>,459.50</w:t>
            </w:r>
          </w:p>
        </w:tc>
        <w:tc>
          <w:tcPr>
            <w:tcW w:w="711"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2" w:right="0"/>
              <w:jc w:val="left"/>
              <w:rPr>
                <w:rFonts w:ascii="Times New Roman" w:hAnsi="Times New Roman" w:cs="Times New Roman" w:eastAsia="Times New Roman" w:hint="default"/>
                <w:sz w:val="18"/>
                <w:szCs w:val="18"/>
              </w:rPr>
            </w:pPr>
            <w:r>
              <w:rPr>
                <w:rFonts w:ascii="Times New Roman"/>
                <w:sz w:val="18"/>
              </w:rPr>
              <w:t>-14,132,81</w:t>
            </w:r>
          </w:p>
          <w:p>
            <w:pPr>
              <w:pStyle w:val="TableParagraph"/>
              <w:spacing w:line="240" w:lineRule="auto" w:before="105"/>
              <w:ind w:left="513" w:right="0"/>
              <w:jc w:val="left"/>
              <w:rPr>
                <w:rFonts w:ascii="Times New Roman" w:hAnsi="Times New Roman" w:cs="Times New Roman" w:eastAsia="Times New Roman" w:hint="default"/>
                <w:sz w:val="18"/>
                <w:szCs w:val="18"/>
              </w:rPr>
            </w:pPr>
            <w:r>
              <w:rPr>
                <w:rFonts w:ascii="Times New Roman"/>
                <w:sz w:val="18"/>
              </w:rPr>
              <w:t>0.70</w:t>
            </w:r>
          </w:p>
        </w:tc>
      </w:tr>
      <w:tr>
        <w:trPr>
          <w:trHeight w:val="711"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24" w:right="94"/>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．提取盈余公</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积</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5"/>
              <w:jc w:val="right"/>
              <w:rPr>
                <w:rFonts w:ascii="Times New Roman" w:hAnsi="Times New Roman" w:cs="Times New Roman" w:eastAsia="Times New Roman" w:hint="default"/>
                <w:sz w:val="18"/>
                <w:szCs w:val="18"/>
              </w:rPr>
            </w:pPr>
            <w:r>
              <w:rPr>
                <w:rFonts w:ascii="Times New Roman"/>
                <w:spacing w:val="-1"/>
                <w:sz w:val="18"/>
              </w:rPr>
              <w:t>944,648.</w:t>
            </w:r>
          </w:p>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z w:val="18"/>
              </w:rPr>
              <w:t>80</w:t>
            </w: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-944,64</w:t>
            </w:r>
          </w:p>
          <w:p>
            <w:pPr>
              <w:pStyle w:val="TableParagraph"/>
              <w:spacing w:line="240" w:lineRule="auto" w:before="105"/>
              <w:ind w:left="263" w:right="0"/>
              <w:jc w:val="left"/>
              <w:rPr>
                <w:rFonts w:ascii="Times New Roman" w:hAnsi="Times New Roman" w:cs="Times New Roman" w:eastAsia="Times New Roman" w:hint="default"/>
                <w:sz w:val="18"/>
                <w:szCs w:val="18"/>
              </w:rPr>
            </w:pPr>
            <w:r>
              <w:rPr>
                <w:rFonts w:ascii="Times New Roman"/>
                <w:sz w:val="18"/>
              </w:rPr>
              <w:t>8.80</w:t>
            </w:r>
          </w:p>
        </w:tc>
        <w:tc>
          <w:tcPr>
            <w:tcW w:w="711"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8"/>
              <w:ind w:left="24" w:right="17"/>
              <w:jc w:val="left"/>
              <w:rPr>
                <w:rFonts w:ascii="宋体" w:hAnsi="宋体" w:cs="宋体" w:eastAsia="宋体" w:hint="default"/>
                <w:sz w:val="18"/>
                <w:szCs w:val="18"/>
              </w:rPr>
            </w:pPr>
            <w:r>
              <w:rPr>
                <w:rFonts w:ascii="Times New Roman" w:hAnsi="Times New Roman" w:cs="Times New Roman" w:eastAsia="Times New Roman" w:hint="default"/>
                <w:spacing w:val="-15"/>
                <w:sz w:val="18"/>
                <w:szCs w:val="18"/>
              </w:rPr>
              <w:t>2</w:t>
            </w:r>
            <w:r>
              <w:rPr>
                <w:rFonts w:ascii="宋体" w:hAnsi="宋体" w:cs="宋体" w:eastAsia="宋体" w:hint="default"/>
                <w:spacing w:val="-15"/>
                <w:sz w:val="18"/>
                <w:szCs w:val="18"/>
              </w:rPr>
              <w:t>．对所有者（或</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股东）的分配</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-14,132</w:t>
            </w:r>
          </w:p>
          <w:p>
            <w:pPr>
              <w:pStyle w:val="TableParagraph"/>
              <w:spacing w:line="240" w:lineRule="auto" w:before="110"/>
              <w:ind w:left="43" w:right="0"/>
              <w:jc w:val="left"/>
              <w:rPr>
                <w:rFonts w:ascii="Times New Roman" w:hAnsi="Times New Roman" w:cs="Times New Roman" w:eastAsia="Times New Roman" w:hint="default"/>
                <w:sz w:val="18"/>
                <w:szCs w:val="18"/>
              </w:rPr>
            </w:pPr>
            <w:r>
              <w:rPr>
                <w:rFonts w:ascii="Times New Roman"/>
                <w:sz w:val="18"/>
              </w:rPr>
              <w:t>,810.70</w:t>
            </w:r>
          </w:p>
        </w:tc>
        <w:tc>
          <w:tcPr>
            <w:tcW w:w="711"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2" w:right="0"/>
              <w:jc w:val="left"/>
              <w:rPr>
                <w:rFonts w:ascii="Times New Roman" w:hAnsi="Times New Roman" w:cs="Times New Roman" w:eastAsia="Times New Roman" w:hint="default"/>
                <w:sz w:val="18"/>
                <w:szCs w:val="18"/>
              </w:rPr>
            </w:pPr>
            <w:r>
              <w:rPr>
                <w:rFonts w:ascii="Times New Roman"/>
                <w:sz w:val="18"/>
              </w:rPr>
              <w:t>-14,132,81</w:t>
            </w:r>
          </w:p>
          <w:p>
            <w:pPr>
              <w:pStyle w:val="TableParagraph"/>
              <w:spacing w:line="240" w:lineRule="auto" w:before="110"/>
              <w:ind w:left="513" w:right="0"/>
              <w:jc w:val="left"/>
              <w:rPr>
                <w:rFonts w:ascii="Times New Roman" w:hAnsi="Times New Roman" w:cs="Times New Roman" w:eastAsia="Times New Roman" w:hint="default"/>
                <w:sz w:val="18"/>
                <w:szCs w:val="18"/>
              </w:rPr>
            </w:pPr>
            <w:r>
              <w:rPr>
                <w:rFonts w:ascii="Times New Roman"/>
                <w:sz w:val="18"/>
              </w:rPr>
              <w:t>0.70</w:t>
            </w:r>
          </w:p>
        </w:tc>
      </w:tr>
      <w:tr>
        <w:trPr>
          <w:trHeight w:val="716"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4"/>
              <w:ind w:left="24" w:right="17"/>
              <w:jc w:val="left"/>
              <w:rPr>
                <w:rFonts w:ascii="宋体" w:hAnsi="宋体" w:cs="宋体" w:eastAsia="宋体" w:hint="default"/>
                <w:sz w:val="18"/>
                <w:szCs w:val="18"/>
              </w:rPr>
            </w:pPr>
            <w:r>
              <w:rPr>
                <w:rFonts w:ascii="宋体" w:hAnsi="宋体" w:cs="宋体" w:eastAsia="宋体" w:hint="default"/>
                <w:spacing w:val="-4"/>
                <w:sz w:val="18"/>
                <w:szCs w:val="18"/>
              </w:rPr>
              <w:t>（四）所有者权</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益内部结转</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1" w:footer="1186" w:top="1100" w:bottom="138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48" w:type="dxa"/>
        <w:tblLayout w:type="fixed"/>
        <w:tblCellMar>
          <w:top w:w="0" w:type="dxa"/>
          <w:left w:w="0" w:type="dxa"/>
          <w:bottom w:w="0" w:type="dxa"/>
          <w:right w:w="0" w:type="dxa"/>
        </w:tblCellMar>
        <w:tblLook w:val="01E0"/>
      </w:tblPr>
      <w:tblGrid>
        <w:gridCol w:w="1306"/>
        <w:gridCol w:w="629"/>
        <w:gridCol w:w="605"/>
        <w:gridCol w:w="605"/>
        <w:gridCol w:w="605"/>
        <w:gridCol w:w="725"/>
        <w:gridCol w:w="725"/>
        <w:gridCol w:w="730"/>
        <w:gridCol w:w="725"/>
        <w:gridCol w:w="725"/>
        <w:gridCol w:w="614"/>
        <w:gridCol w:w="711"/>
        <w:gridCol w:w="864"/>
      </w:tblGrid>
      <w:tr>
        <w:trPr>
          <w:trHeight w:val="672"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10"/>
              <w:ind w:left="24" w:right="185"/>
              <w:jc w:val="left"/>
              <w:rPr>
                <w:rFonts w:ascii="宋体" w:hAnsi="宋体" w:cs="宋体" w:eastAsia="宋体" w:hint="default"/>
                <w:sz w:val="18"/>
                <w:szCs w:val="18"/>
              </w:rPr>
            </w:pPr>
            <w:r>
              <w:rPr>
                <w:rFonts w:ascii="宋体" w:hAnsi="宋体" w:cs="宋体" w:eastAsia="宋体" w:hint="default"/>
                <w:spacing w:val="-2"/>
                <w:sz w:val="18"/>
                <w:szCs w:val="18"/>
              </w:rPr>
              <w:t>增资本（或股</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本）</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3"/>
              <w:ind w:left="24" w:right="94"/>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．盈余公积转</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增资本（或股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本）</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4" w:lineRule="auto" w:before="53"/>
              <w:ind w:left="24" w:right="94"/>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．盈余公积弥</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补亏损</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3"/>
              <w:ind w:left="24" w:right="94"/>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4</w:t>
            </w:r>
            <w:r>
              <w:rPr>
                <w:rFonts w:ascii="宋体" w:hAnsi="宋体" w:cs="宋体" w:eastAsia="宋体" w:hint="default"/>
                <w:spacing w:val="-2"/>
                <w:sz w:val="18"/>
                <w:szCs w:val="18"/>
              </w:rPr>
              <w:t>．设定受益计</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划变动额结转</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留存收益</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r>
      <w:tr>
        <w:trPr>
          <w:trHeight w:val="1023"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3"/>
              <w:ind w:left="24" w:right="94"/>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5</w:t>
            </w:r>
            <w:r>
              <w:rPr>
                <w:rFonts w:ascii="宋体" w:hAnsi="宋体" w:cs="宋体" w:eastAsia="宋体" w:hint="default"/>
                <w:spacing w:val="-2"/>
                <w:sz w:val="18"/>
                <w:szCs w:val="18"/>
              </w:rPr>
              <w:t>．其他综合收</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益结转留存收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益</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4"/>
                <w:sz w:val="18"/>
                <w:szCs w:val="18"/>
              </w:rPr>
              <w:t>（五）专项储备</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316" w:lineRule="auto"/>
              <w:ind w:left="24" w:right="17"/>
              <w:jc w:val="left"/>
              <w:rPr>
                <w:rFonts w:ascii="宋体" w:hAnsi="宋体" w:cs="宋体" w:eastAsia="宋体" w:hint="default"/>
                <w:sz w:val="18"/>
                <w:szCs w:val="18"/>
              </w:rPr>
            </w:pPr>
            <w:r>
              <w:rPr>
                <w:rFonts w:ascii="宋体" w:hAnsi="宋体" w:cs="宋体" w:eastAsia="宋体" w:hint="default"/>
                <w:spacing w:val="-4"/>
                <w:sz w:val="18"/>
                <w:szCs w:val="18"/>
              </w:rPr>
              <w:t>四、本期期末余</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额</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706,64</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pacing w:val="-1"/>
                <w:sz w:val="18"/>
              </w:rPr>
              <w:t>0,535.0</w:t>
            </w:r>
          </w:p>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389,366,</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482.10</w:t>
            </w:r>
          </w:p>
        </w:tc>
        <w:tc>
          <w:tcPr>
            <w:tcW w:w="72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310,475.</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25</w:t>
            </w: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26,679,3</w:t>
            </w:r>
          </w:p>
          <w:p>
            <w:pPr>
              <w:pStyle w:val="TableParagraph"/>
              <w:spacing w:line="240" w:lineRule="auto" w:before="105"/>
              <w:ind w:left="292" w:right="0"/>
              <w:jc w:val="left"/>
              <w:rPr>
                <w:rFonts w:ascii="Times New Roman" w:hAnsi="Times New Roman" w:cs="Times New Roman" w:eastAsia="Times New Roman" w:hint="default"/>
                <w:sz w:val="18"/>
                <w:szCs w:val="18"/>
              </w:rPr>
            </w:pPr>
            <w:r>
              <w:rPr>
                <w:rFonts w:ascii="Times New Roman"/>
                <w:sz w:val="18"/>
              </w:rPr>
              <w:t>36.53</w:t>
            </w: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102,18</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pacing w:val="-1"/>
                <w:sz w:val="18"/>
              </w:rPr>
              <w:t>2,421.6</w:t>
            </w:r>
          </w:p>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tc>
        <w:tc>
          <w:tcPr>
            <w:tcW w:w="711"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1,225,179,</w:t>
            </w:r>
          </w:p>
          <w:p>
            <w:pPr>
              <w:pStyle w:val="TableParagraph"/>
              <w:spacing w:line="240" w:lineRule="auto" w:before="105"/>
              <w:ind w:left="335" w:right="0"/>
              <w:jc w:val="left"/>
              <w:rPr>
                <w:rFonts w:ascii="Times New Roman" w:hAnsi="Times New Roman" w:cs="Times New Roman" w:eastAsia="Times New Roman" w:hint="default"/>
                <w:sz w:val="18"/>
                <w:szCs w:val="18"/>
              </w:rPr>
            </w:pPr>
            <w:r>
              <w:rPr>
                <w:rFonts w:ascii="Times New Roman"/>
                <w:sz w:val="18"/>
              </w:rPr>
              <w:t>250.57</w:t>
            </w:r>
          </w:p>
        </w:tc>
      </w:tr>
    </w:tbl>
    <w:p>
      <w:pPr>
        <w:pStyle w:val="BodyText"/>
        <w:spacing w:line="240" w:lineRule="auto" w:before="53"/>
        <w:ind w:right="0"/>
        <w:jc w:val="left"/>
      </w:pPr>
      <w:r>
        <w:rPr/>
        <w:t>上期金额</w:t>
      </w:r>
    </w:p>
    <w:p>
      <w:pPr>
        <w:pStyle w:val="BodyText"/>
        <w:spacing w:line="240" w:lineRule="auto" w:before="120"/>
        <w:ind w:left="0" w:right="1122"/>
        <w:jc w:val="right"/>
      </w:pPr>
      <w:r>
        <w:rPr>
          <w:spacing w:val="-2"/>
        </w:rPr>
        <w:t>单位：元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210"/>
        <w:gridCol w:w="602"/>
        <w:gridCol w:w="572"/>
        <w:gridCol w:w="576"/>
        <w:gridCol w:w="572"/>
        <w:gridCol w:w="682"/>
        <w:gridCol w:w="687"/>
        <w:gridCol w:w="686"/>
        <w:gridCol w:w="783"/>
        <w:gridCol w:w="662"/>
        <w:gridCol w:w="802"/>
        <w:gridCol w:w="797"/>
        <w:gridCol w:w="926"/>
      </w:tblGrid>
      <w:tr>
        <w:trPr>
          <w:trHeight w:val="398" w:hRule="exact"/>
        </w:trPr>
        <w:tc>
          <w:tcPr>
            <w:tcW w:w="1210" w:type="dxa"/>
            <w:vMerge w:val="restart"/>
            <w:tcBorders>
              <w:top w:val="single" w:sz="4" w:space="0" w:color="000000"/>
              <w:left w:val="single" w:sz="4" w:space="0" w:color="000000"/>
              <w:right w:val="single" w:sz="4" w:space="0" w:color="000000"/>
            </w:tcBorders>
            <w:shd w:val="clear" w:color="auto" w:fill="D2D2D2"/>
          </w:tcPr>
          <w:p>
            <w:pPr/>
          </w:p>
        </w:tc>
        <w:tc>
          <w:tcPr>
            <w:tcW w:w="8348"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年年度</w:t>
            </w:r>
          </w:p>
        </w:tc>
      </w:tr>
      <w:tr>
        <w:trPr>
          <w:trHeight w:val="187" w:hRule="exact"/>
        </w:trPr>
        <w:tc>
          <w:tcPr>
            <w:tcW w:w="1210" w:type="dxa"/>
            <w:vMerge/>
            <w:tcBorders>
              <w:left w:val="single" w:sz="4" w:space="0" w:color="000000"/>
              <w:bottom w:val="nil" w:sz="6" w:space="0" w:color="auto"/>
              <w:right w:val="single" w:sz="4" w:space="0" w:color="000000"/>
            </w:tcBorders>
            <w:shd w:val="clear" w:color="auto" w:fill="D2D2D2"/>
          </w:tcPr>
          <w:p>
            <w:pPr/>
          </w:p>
        </w:tc>
        <w:tc>
          <w:tcPr>
            <w:tcW w:w="602" w:type="dxa"/>
            <w:vMerge w:val="restart"/>
            <w:tcBorders>
              <w:top w:val="single" w:sz="4" w:space="0" w:color="000000"/>
              <w:left w:val="single" w:sz="4" w:space="0" w:color="000000"/>
              <w:right w:val="single" w:sz="4" w:space="0" w:color="000000"/>
            </w:tcBorders>
            <w:shd w:val="clear" w:color="auto" w:fill="D2D2D2"/>
          </w:tcPr>
          <w:p>
            <w:pPr/>
          </w:p>
        </w:tc>
        <w:tc>
          <w:tcPr>
            <w:tcW w:w="1719"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31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82" w:type="dxa"/>
            <w:tcBorders>
              <w:top w:val="single" w:sz="4" w:space="0" w:color="000000"/>
              <w:left w:val="single" w:sz="4" w:space="0" w:color="000000"/>
              <w:bottom w:val="nil" w:sz="6" w:space="0" w:color="auto"/>
              <w:right w:val="single" w:sz="4" w:space="0" w:color="000000"/>
            </w:tcBorders>
            <w:shd w:val="clear" w:color="auto" w:fill="D2D2D2"/>
          </w:tcPr>
          <w:p>
            <w:pPr/>
          </w:p>
        </w:tc>
        <w:tc>
          <w:tcPr>
            <w:tcW w:w="687" w:type="dxa"/>
            <w:tcBorders>
              <w:top w:val="single" w:sz="4" w:space="0" w:color="000000"/>
              <w:left w:val="single" w:sz="4" w:space="0" w:color="000000"/>
              <w:bottom w:val="nil" w:sz="6" w:space="0" w:color="auto"/>
              <w:right w:val="single" w:sz="4" w:space="0" w:color="000000"/>
            </w:tcBorders>
            <w:shd w:val="clear" w:color="auto" w:fill="D2D2D2"/>
          </w:tcPr>
          <w:p>
            <w:pPr/>
          </w:p>
        </w:tc>
        <w:tc>
          <w:tcPr>
            <w:tcW w:w="686" w:type="dxa"/>
            <w:tcBorders>
              <w:top w:val="single" w:sz="4" w:space="0" w:color="000000"/>
              <w:left w:val="single" w:sz="4" w:space="0" w:color="000000"/>
              <w:bottom w:val="nil" w:sz="6" w:space="0" w:color="auto"/>
              <w:right w:val="single" w:sz="4" w:space="0" w:color="000000"/>
            </w:tcBorders>
            <w:shd w:val="clear" w:color="auto" w:fill="D2D2D2"/>
          </w:tcPr>
          <w:p>
            <w:pPr/>
          </w:p>
        </w:tc>
        <w:tc>
          <w:tcPr>
            <w:tcW w:w="783" w:type="dxa"/>
            <w:vMerge w:val="restart"/>
            <w:tcBorders>
              <w:top w:val="single" w:sz="4" w:space="0" w:color="000000"/>
              <w:left w:val="single" w:sz="4" w:space="0" w:color="000000"/>
              <w:right w:val="single" w:sz="4" w:space="0" w:color="FFFFFF"/>
            </w:tcBorders>
            <w:shd w:val="clear" w:color="auto" w:fill="D2D2D2"/>
          </w:tcPr>
          <w:p>
            <w:pPr/>
          </w:p>
        </w:tc>
        <w:tc>
          <w:tcPr>
            <w:tcW w:w="662" w:type="dxa"/>
            <w:tcBorders>
              <w:top w:val="single" w:sz="4" w:space="0" w:color="000000"/>
              <w:left w:val="single" w:sz="4" w:space="0" w:color="FFFFFF"/>
              <w:bottom w:val="nil" w:sz="6" w:space="0" w:color="auto"/>
              <w:right w:val="single" w:sz="4" w:space="0" w:color="000000"/>
            </w:tcBorders>
            <w:shd w:val="clear" w:color="auto" w:fill="D2D2D2"/>
          </w:tcPr>
          <w:p>
            <w:pPr/>
          </w:p>
        </w:tc>
        <w:tc>
          <w:tcPr>
            <w:tcW w:w="802"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vMerge w:val="restart"/>
            <w:tcBorders>
              <w:top w:val="single" w:sz="4" w:space="0" w:color="000000"/>
              <w:left w:val="single" w:sz="4" w:space="0" w:color="000000"/>
              <w:right w:val="single" w:sz="4" w:space="0" w:color="FFFFFF"/>
            </w:tcBorders>
            <w:shd w:val="clear" w:color="auto" w:fill="D2D2D2"/>
          </w:tcPr>
          <w:p>
            <w:pPr/>
          </w:p>
        </w:tc>
        <w:tc>
          <w:tcPr>
            <w:tcW w:w="926" w:type="dxa"/>
            <w:tcBorders>
              <w:top w:val="single" w:sz="4" w:space="0" w:color="000000"/>
              <w:left w:val="single" w:sz="4" w:space="0" w:color="FFFFFF"/>
              <w:bottom w:val="nil" w:sz="6" w:space="0" w:color="auto"/>
              <w:right w:val="single" w:sz="4" w:space="0" w:color="000000"/>
            </w:tcBorders>
            <w:shd w:val="clear" w:color="auto" w:fill="D2D2D2"/>
          </w:tcPr>
          <w:p>
            <w:pPr/>
          </w:p>
        </w:tc>
      </w:tr>
      <w:tr>
        <w:trPr>
          <w:trHeight w:val="180" w:hRule="exact"/>
        </w:trPr>
        <w:tc>
          <w:tcPr>
            <w:tcW w:w="121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9"/>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602" w:type="dxa"/>
            <w:vMerge/>
            <w:tcBorders>
              <w:left w:val="single" w:sz="4" w:space="0" w:color="000000"/>
              <w:bottom w:val="nil" w:sz="6" w:space="0" w:color="auto"/>
              <w:right w:val="single" w:sz="4" w:space="0" w:color="000000"/>
            </w:tcBorders>
            <w:shd w:val="clear" w:color="auto" w:fill="D2D2D2"/>
          </w:tcPr>
          <w:p>
            <w:pPr/>
          </w:p>
        </w:tc>
        <w:tc>
          <w:tcPr>
            <w:tcW w:w="1719" w:type="dxa"/>
            <w:gridSpan w:val="3"/>
            <w:vMerge/>
            <w:tcBorders>
              <w:left w:val="single" w:sz="4" w:space="0" w:color="000000"/>
              <w:bottom w:val="single" w:sz="4" w:space="0" w:color="000000"/>
              <w:right w:val="single" w:sz="4" w:space="0" w:color="000000"/>
            </w:tcBorders>
            <w:shd w:val="clear" w:color="auto" w:fill="D2D2D2"/>
          </w:tcPr>
          <w:p>
            <w:pPr/>
          </w:p>
        </w:tc>
        <w:tc>
          <w:tcPr>
            <w:tcW w:w="682"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65"/>
              <w:ind w:left="249" w:right="60" w:hanging="183"/>
              <w:jc w:val="left"/>
              <w:rPr>
                <w:rFonts w:ascii="宋体" w:hAnsi="宋体" w:cs="宋体" w:eastAsia="宋体" w:hint="default"/>
                <w:sz w:val="18"/>
                <w:szCs w:val="18"/>
              </w:rPr>
            </w:pPr>
            <w:r>
              <w:rPr>
                <w:rFonts w:ascii="宋体" w:hAnsi="宋体" w:cs="宋体" w:eastAsia="宋体" w:hint="default"/>
                <w:sz w:val="18"/>
                <w:szCs w:val="18"/>
              </w:rPr>
              <w:t>资本公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积</w:t>
            </w:r>
          </w:p>
        </w:tc>
        <w:tc>
          <w:tcPr>
            <w:tcW w:w="687"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65"/>
              <w:ind w:left="249" w:right="17" w:hanging="226"/>
              <w:jc w:val="left"/>
              <w:rPr>
                <w:rFonts w:ascii="宋体" w:hAnsi="宋体" w:cs="宋体" w:eastAsia="宋体" w:hint="default"/>
                <w:sz w:val="18"/>
                <w:szCs w:val="18"/>
              </w:rPr>
            </w:pPr>
            <w:r>
              <w:rPr>
                <w:rFonts w:ascii="宋体" w:hAnsi="宋体" w:cs="宋体" w:eastAsia="宋体" w:hint="default"/>
                <w:spacing w:val="-24"/>
                <w:w w:val="101"/>
                <w:sz w:val="18"/>
                <w:szCs w:val="18"/>
              </w:rPr>
              <w:t>减：库存</w:t>
            </w:r>
            <w:r>
              <w:rPr>
                <w:rFonts w:ascii="宋体" w:hAnsi="宋体" w:cs="宋体" w:eastAsia="宋体" w:hint="default"/>
                <w:w w:val="101"/>
                <w:sz w:val="18"/>
                <w:szCs w:val="18"/>
              </w:rPr>
              <w:t> </w:t>
            </w:r>
            <w:r>
              <w:rPr>
                <w:rFonts w:ascii="宋体" w:hAnsi="宋体" w:cs="宋体" w:eastAsia="宋体" w:hint="default"/>
                <w:sz w:val="18"/>
                <w:szCs w:val="18"/>
              </w:rPr>
              <w:t>股</w:t>
            </w:r>
          </w:p>
        </w:tc>
        <w:tc>
          <w:tcPr>
            <w:tcW w:w="68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65"/>
              <w:ind w:left="67" w:right="65"/>
              <w:jc w:val="left"/>
              <w:rPr>
                <w:rFonts w:ascii="宋体" w:hAnsi="宋体" w:cs="宋体" w:eastAsia="宋体" w:hint="default"/>
                <w:sz w:val="18"/>
                <w:szCs w:val="18"/>
              </w:rPr>
            </w:pPr>
            <w:r>
              <w:rPr>
                <w:rFonts w:ascii="宋体" w:hAnsi="宋体" w:cs="宋体" w:eastAsia="宋体" w:hint="default"/>
                <w:sz w:val="18"/>
                <w:szCs w:val="18"/>
              </w:rPr>
              <w:t>其他综</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合收益</w:t>
            </w:r>
          </w:p>
        </w:tc>
        <w:tc>
          <w:tcPr>
            <w:tcW w:w="783" w:type="dxa"/>
            <w:vMerge/>
            <w:tcBorders>
              <w:left w:val="single" w:sz="4" w:space="0" w:color="000000"/>
              <w:bottom w:val="nil" w:sz="6" w:space="0" w:color="auto"/>
              <w:right w:val="single" w:sz="4" w:space="0" w:color="FFFFFF"/>
            </w:tcBorders>
            <w:shd w:val="clear" w:color="auto" w:fill="D2D2D2"/>
          </w:tcPr>
          <w:p>
            <w:pPr/>
          </w:p>
        </w:tc>
        <w:tc>
          <w:tcPr>
            <w:tcW w:w="662" w:type="dxa"/>
            <w:vMerge w:val="restart"/>
            <w:tcBorders>
              <w:top w:val="nil" w:sz="6" w:space="0" w:color="auto"/>
              <w:left w:val="single" w:sz="4" w:space="0" w:color="FFFFFF"/>
              <w:right w:val="single" w:sz="4" w:space="0" w:color="000000"/>
            </w:tcBorders>
            <w:shd w:val="clear" w:color="auto" w:fill="D2D2D2"/>
          </w:tcPr>
          <w:p>
            <w:pPr>
              <w:pStyle w:val="TableParagraph"/>
              <w:spacing w:line="316" w:lineRule="auto" w:before="59"/>
              <w:ind w:left="239" w:right="50" w:hanging="183"/>
              <w:jc w:val="left"/>
              <w:rPr>
                <w:rFonts w:ascii="宋体" w:hAnsi="宋体" w:cs="宋体" w:eastAsia="宋体" w:hint="default"/>
                <w:sz w:val="18"/>
                <w:szCs w:val="18"/>
              </w:rPr>
            </w:pPr>
            <w:r>
              <w:rPr>
                <w:rFonts w:ascii="宋体" w:hAnsi="宋体" w:cs="宋体" w:eastAsia="宋体" w:hint="default"/>
                <w:sz w:val="18"/>
                <w:szCs w:val="18"/>
              </w:rPr>
              <w:t>盈余公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积</w:t>
            </w:r>
          </w:p>
        </w:tc>
        <w:tc>
          <w:tcPr>
            <w:tcW w:w="802"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9"/>
              <w:ind w:left="307" w:right="31" w:hanging="274"/>
              <w:jc w:val="left"/>
              <w:rPr>
                <w:rFonts w:ascii="宋体" w:hAnsi="宋体" w:cs="宋体" w:eastAsia="宋体" w:hint="default"/>
                <w:sz w:val="18"/>
                <w:szCs w:val="18"/>
              </w:rPr>
            </w:pPr>
            <w:r>
              <w:rPr>
                <w:rFonts w:ascii="宋体" w:hAnsi="宋体" w:cs="宋体" w:eastAsia="宋体" w:hint="default"/>
                <w:sz w:val="18"/>
                <w:szCs w:val="18"/>
              </w:rPr>
              <w:t>未分配利</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润</w:t>
            </w:r>
          </w:p>
        </w:tc>
        <w:tc>
          <w:tcPr>
            <w:tcW w:w="797" w:type="dxa"/>
            <w:vMerge/>
            <w:tcBorders>
              <w:left w:val="single" w:sz="4" w:space="0" w:color="000000"/>
              <w:bottom w:val="nil" w:sz="6" w:space="0" w:color="auto"/>
              <w:right w:val="single" w:sz="4" w:space="0" w:color="FFFFFF"/>
            </w:tcBorders>
            <w:shd w:val="clear" w:color="auto" w:fill="D2D2D2"/>
          </w:tcPr>
          <w:p>
            <w:pPr/>
          </w:p>
        </w:tc>
        <w:tc>
          <w:tcPr>
            <w:tcW w:w="926" w:type="dxa"/>
            <w:vMerge w:val="restart"/>
            <w:tcBorders>
              <w:top w:val="nil" w:sz="6" w:space="0" w:color="auto"/>
              <w:left w:val="single" w:sz="4" w:space="0" w:color="FFFFFF"/>
              <w:right w:val="single" w:sz="4" w:space="0" w:color="000000"/>
            </w:tcBorders>
            <w:shd w:val="clear" w:color="auto" w:fill="D2D2D2"/>
          </w:tcPr>
          <w:p>
            <w:pPr>
              <w:pStyle w:val="TableParagraph"/>
              <w:spacing w:line="316" w:lineRule="auto" w:before="59"/>
              <w:ind w:left="192" w:right="89" w:hanging="92"/>
              <w:jc w:val="left"/>
              <w:rPr>
                <w:rFonts w:ascii="宋体" w:hAnsi="宋体" w:cs="宋体" w:eastAsia="宋体" w:hint="default"/>
                <w:sz w:val="18"/>
                <w:szCs w:val="18"/>
              </w:rPr>
            </w:pPr>
            <w:r>
              <w:rPr>
                <w:rFonts w:ascii="宋体" w:hAnsi="宋体" w:cs="宋体" w:eastAsia="宋体" w:hint="default"/>
                <w:sz w:val="18"/>
                <w:szCs w:val="18"/>
              </w:rPr>
              <w:t>所有者权</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益合计</w:t>
            </w:r>
          </w:p>
        </w:tc>
      </w:tr>
      <w:tr>
        <w:trPr>
          <w:trHeight w:val="187" w:hRule="exact"/>
        </w:trPr>
        <w:tc>
          <w:tcPr>
            <w:tcW w:w="1210" w:type="dxa"/>
            <w:vMerge/>
            <w:tcBorders>
              <w:left w:val="single" w:sz="4" w:space="0" w:color="000000"/>
              <w:bottom w:val="nil" w:sz="6" w:space="0" w:color="auto"/>
              <w:right w:val="single" w:sz="4" w:space="0" w:color="000000"/>
            </w:tcBorders>
            <w:shd w:val="clear" w:color="auto" w:fill="D2D2D2"/>
          </w:tcPr>
          <w:p>
            <w:pPr/>
          </w:p>
        </w:tc>
        <w:tc>
          <w:tcPr>
            <w:tcW w:w="60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3"/>
              <w:ind w:left="12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7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76"/>
              <w:ind w:left="192" w:right="94" w:hanging="92"/>
              <w:jc w:val="left"/>
              <w:rPr>
                <w:rFonts w:ascii="宋体" w:hAnsi="宋体" w:cs="宋体" w:eastAsia="宋体" w:hint="default"/>
                <w:sz w:val="18"/>
                <w:szCs w:val="18"/>
              </w:rPr>
            </w:pPr>
            <w:r>
              <w:rPr>
                <w:rFonts w:ascii="宋体" w:hAnsi="宋体" w:cs="宋体" w:eastAsia="宋体" w:hint="default"/>
                <w:sz w:val="18"/>
                <w:szCs w:val="18"/>
              </w:rPr>
              <w:t>优先</w:t>
            </w:r>
            <w:r>
              <w:rPr>
                <w:rFonts w:ascii="宋体" w:hAnsi="宋体" w:cs="宋体" w:eastAsia="宋体" w:hint="default"/>
                <w:spacing w:val="-86"/>
                <w:sz w:val="18"/>
                <w:szCs w:val="18"/>
              </w:rPr>
              <w:t> </w:t>
            </w:r>
            <w:r>
              <w:rPr>
                <w:rFonts w:ascii="宋体" w:hAnsi="宋体" w:cs="宋体" w:eastAsia="宋体" w:hint="default"/>
                <w:sz w:val="18"/>
                <w:szCs w:val="18"/>
              </w:rPr>
              <w:t>股</w:t>
            </w:r>
          </w:p>
        </w:tc>
        <w:tc>
          <w:tcPr>
            <w:tcW w:w="576"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76"/>
              <w:ind w:left="191" w:right="98" w:hanging="92"/>
              <w:jc w:val="left"/>
              <w:rPr>
                <w:rFonts w:ascii="宋体" w:hAnsi="宋体" w:cs="宋体" w:eastAsia="宋体" w:hint="default"/>
                <w:sz w:val="18"/>
                <w:szCs w:val="18"/>
              </w:rPr>
            </w:pPr>
            <w:r>
              <w:rPr>
                <w:rFonts w:ascii="宋体" w:hAnsi="宋体" w:cs="宋体" w:eastAsia="宋体" w:hint="default"/>
                <w:sz w:val="18"/>
                <w:szCs w:val="18"/>
              </w:rPr>
              <w:t>永续</w:t>
            </w:r>
            <w:r>
              <w:rPr>
                <w:rFonts w:ascii="宋体" w:hAnsi="宋体" w:cs="宋体" w:eastAsia="宋体" w:hint="default"/>
                <w:spacing w:val="-86"/>
                <w:sz w:val="18"/>
                <w:szCs w:val="18"/>
              </w:rPr>
              <w:t> </w:t>
            </w:r>
            <w:r>
              <w:rPr>
                <w:rFonts w:ascii="宋体" w:hAnsi="宋体" w:cs="宋体" w:eastAsia="宋体" w:hint="default"/>
                <w:sz w:val="18"/>
                <w:szCs w:val="18"/>
              </w:rPr>
              <w:t>债</w:t>
            </w:r>
          </w:p>
        </w:tc>
        <w:tc>
          <w:tcPr>
            <w:tcW w:w="572" w:type="dxa"/>
            <w:tcBorders>
              <w:top w:val="single" w:sz="4" w:space="0" w:color="000000"/>
              <w:left w:val="single" w:sz="4" w:space="0" w:color="000000"/>
              <w:bottom w:val="nil" w:sz="6" w:space="0" w:color="auto"/>
              <w:right w:val="single" w:sz="4" w:space="0" w:color="000000"/>
            </w:tcBorders>
            <w:shd w:val="clear" w:color="auto" w:fill="D2D2D2"/>
          </w:tcPr>
          <w:p>
            <w:pPr/>
          </w:p>
        </w:tc>
        <w:tc>
          <w:tcPr>
            <w:tcW w:w="682" w:type="dxa"/>
            <w:vMerge/>
            <w:tcBorders>
              <w:left w:val="single" w:sz="4" w:space="0" w:color="000000"/>
              <w:right w:val="single" w:sz="4" w:space="0" w:color="000000"/>
            </w:tcBorders>
            <w:shd w:val="clear" w:color="auto" w:fill="D2D2D2"/>
          </w:tcPr>
          <w:p>
            <w:pPr/>
          </w:p>
        </w:tc>
        <w:tc>
          <w:tcPr>
            <w:tcW w:w="687" w:type="dxa"/>
            <w:vMerge/>
            <w:tcBorders>
              <w:left w:val="single" w:sz="4" w:space="0" w:color="000000"/>
              <w:right w:val="single" w:sz="4" w:space="0" w:color="000000"/>
            </w:tcBorders>
            <w:shd w:val="clear" w:color="auto" w:fill="D2D2D2"/>
          </w:tcPr>
          <w:p>
            <w:pPr/>
          </w:p>
        </w:tc>
        <w:tc>
          <w:tcPr>
            <w:tcW w:w="686" w:type="dxa"/>
            <w:vMerge/>
            <w:tcBorders>
              <w:left w:val="single" w:sz="4" w:space="0" w:color="000000"/>
              <w:right w:val="single" w:sz="4" w:space="0" w:color="000000"/>
            </w:tcBorders>
            <w:shd w:val="clear" w:color="auto" w:fill="D2D2D2"/>
          </w:tcPr>
          <w:p>
            <w:pPr/>
          </w:p>
        </w:tc>
        <w:tc>
          <w:tcPr>
            <w:tcW w:w="783" w:type="dxa"/>
            <w:vMerge w:val="restart"/>
            <w:tcBorders>
              <w:top w:val="nil" w:sz="6" w:space="0" w:color="auto"/>
              <w:left w:val="single" w:sz="4" w:space="0" w:color="000000"/>
              <w:right w:val="single" w:sz="4" w:space="0" w:color="FFFFFF"/>
            </w:tcBorders>
            <w:shd w:val="clear" w:color="auto" w:fill="D2D2D2"/>
          </w:tcPr>
          <w:p>
            <w:pPr>
              <w:pStyle w:val="TableParagraph"/>
              <w:spacing w:line="240" w:lineRule="auto" w:before="43"/>
              <w:ind w:left="24"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662" w:type="dxa"/>
            <w:vMerge/>
            <w:tcBorders>
              <w:left w:val="single" w:sz="4" w:space="0" w:color="FFFFFF"/>
              <w:right w:val="single" w:sz="4" w:space="0" w:color="000000"/>
            </w:tcBorders>
            <w:shd w:val="clear" w:color="auto" w:fill="D2D2D2"/>
          </w:tcPr>
          <w:p>
            <w:pPr/>
          </w:p>
        </w:tc>
        <w:tc>
          <w:tcPr>
            <w:tcW w:w="802" w:type="dxa"/>
            <w:vMerge/>
            <w:tcBorders>
              <w:left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FFFFFF"/>
            </w:tcBorders>
            <w:shd w:val="clear" w:color="auto" w:fill="D2D2D2"/>
          </w:tcPr>
          <w:p>
            <w:pPr>
              <w:pStyle w:val="TableParagraph"/>
              <w:spacing w:line="240" w:lineRule="auto" w:before="43"/>
              <w:ind w:left="21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926" w:type="dxa"/>
            <w:vMerge/>
            <w:tcBorders>
              <w:left w:val="single" w:sz="4" w:space="0" w:color="FFFFFF"/>
              <w:right w:val="single" w:sz="4" w:space="0" w:color="000000"/>
            </w:tcBorders>
            <w:shd w:val="clear" w:color="auto" w:fill="D2D2D2"/>
          </w:tcPr>
          <w:p>
            <w:pPr/>
          </w:p>
        </w:tc>
      </w:tr>
      <w:tr>
        <w:trPr>
          <w:trHeight w:val="197" w:hRule="exact"/>
        </w:trPr>
        <w:tc>
          <w:tcPr>
            <w:tcW w:w="1210" w:type="dxa"/>
            <w:vMerge w:val="restart"/>
            <w:tcBorders>
              <w:top w:val="nil" w:sz="6" w:space="0" w:color="auto"/>
              <w:left w:val="single" w:sz="4" w:space="0" w:color="000000"/>
              <w:right w:val="single" w:sz="4" w:space="0" w:color="000000"/>
            </w:tcBorders>
            <w:shd w:val="clear" w:color="auto" w:fill="D2D2D2"/>
          </w:tcPr>
          <w:p>
            <w:pPr/>
          </w:p>
        </w:tc>
        <w:tc>
          <w:tcPr>
            <w:tcW w:w="602" w:type="dxa"/>
            <w:vMerge/>
            <w:tcBorders>
              <w:left w:val="single" w:sz="4" w:space="0" w:color="000000"/>
              <w:bottom w:val="nil" w:sz="6" w:space="0" w:color="auto"/>
              <w:right w:val="single" w:sz="4" w:space="0" w:color="000000"/>
            </w:tcBorders>
            <w:shd w:val="clear" w:color="auto" w:fill="D2D2D2"/>
          </w:tcPr>
          <w:p>
            <w:pPr/>
          </w:p>
        </w:tc>
        <w:tc>
          <w:tcPr>
            <w:tcW w:w="572" w:type="dxa"/>
            <w:vMerge/>
            <w:tcBorders>
              <w:left w:val="single" w:sz="4" w:space="0" w:color="000000"/>
              <w:right w:val="single" w:sz="4" w:space="0" w:color="000000"/>
            </w:tcBorders>
            <w:shd w:val="clear" w:color="auto" w:fill="D2D2D2"/>
          </w:tcPr>
          <w:p>
            <w:pPr/>
          </w:p>
        </w:tc>
        <w:tc>
          <w:tcPr>
            <w:tcW w:w="576" w:type="dxa"/>
            <w:vMerge/>
            <w:tcBorders>
              <w:left w:val="single" w:sz="4" w:space="0" w:color="000000"/>
              <w:right w:val="single" w:sz="4" w:space="0" w:color="000000"/>
            </w:tcBorders>
            <w:shd w:val="clear" w:color="auto" w:fill="D2D2D2"/>
          </w:tcPr>
          <w:p>
            <w:pPr/>
          </w:p>
        </w:tc>
        <w:tc>
          <w:tcPr>
            <w:tcW w:w="57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8"/>
              <w:ind w:left="10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82" w:type="dxa"/>
            <w:vMerge/>
            <w:tcBorders>
              <w:left w:val="single" w:sz="4" w:space="0" w:color="000000"/>
              <w:right w:val="single" w:sz="4" w:space="0" w:color="000000"/>
            </w:tcBorders>
            <w:shd w:val="clear" w:color="auto" w:fill="D2D2D2"/>
          </w:tcPr>
          <w:p>
            <w:pPr/>
          </w:p>
        </w:tc>
        <w:tc>
          <w:tcPr>
            <w:tcW w:w="687" w:type="dxa"/>
            <w:vMerge/>
            <w:tcBorders>
              <w:left w:val="single" w:sz="4" w:space="0" w:color="000000"/>
              <w:right w:val="single" w:sz="4" w:space="0" w:color="000000"/>
            </w:tcBorders>
            <w:shd w:val="clear" w:color="auto" w:fill="D2D2D2"/>
          </w:tcPr>
          <w:p>
            <w:pPr/>
          </w:p>
        </w:tc>
        <w:tc>
          <w:tcPr>
            <w:tcW w:w="686" w:type="dxa"/>
            <w:vMerge/>
            <w:tcBorders>
              <w:left w:val="single" w:sz="4" w:space="0" w:color="000000"/>
              <w:right w:val="single" w:sz="4" w:space="0" w:color="000000"/>
            </w:tcBorders>
            <w:shd w:val="clear" w:color="auto" w:fill="D2D2D2"/>
          </w:tcPr>
          <w:p>
            <w:pPr/>
          </w:p>
        </w:tc>
        <w:tc>
          <w:tcPr>
            <w:tcW w:w="783" w:type="dxa"/>
            <w:vMerge/>
            <w:tcBorders>
              <w:left w:val="single" w:sz="4" w:space="0" w:color="000000"/>
              <w:bottom w:val="nil" w:sz="6" w:space="0" w:color="auto"/>
              <w:right w:val="single" w:sz="4" w:space="0" w:color="FFFFFF"/>
            </w:tcBorders>
            <w:shd w:val="clear" w:color="auto" w:fill="D2D2D2"/>
          </w:tcPr>
          <w:p>
            <w:pPr/>
          </w:p>
        </w:tc>
        <w:tc>
          <w:tcPr>
            <w:tcW w:w="662" w:type="dxa"/>
            <w:vMerge/>
            <w:tcBorders>
              <w:left w:val="single" w:sz="4" w:space="0" w:color="FFFFFF"/>
              <w:right w:val="single" w:sz="4" w:space="0" w:color="000000"/>
            </w:tcBorders>
            <w:shd w:val="clear" w:color="auto" w:fill="D2D2D2"/>
          </w:tcPr>
          <w:p>
            <w:pPr/>
          </w:p>
        </w:tc>
        <w:tc>
          <w:tcPr>
            <w:tcW w:w="802" w:type="dxa"/>
            <w:vMerge/>
            <w:tcBorders>
              <w:left w:val="single" w:sz="4" w:space="0" w:color="000000"/>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FFFFFF"/>
            </w:tcBorders>
            <w:shd w:val="clear" w:color="auto" w:fill="D2D2D2"/>
          </w:tcPr>
          <w:p>
            <w:pPr/>
          </w:p>
        </w:tc>
        <w:tc>
          <w:tcPr>
            <w:tcW w:w="926" w:type="dxa"/>
            <w:vMerge/>
            <w:tcBorders>
              <w:left w:val="single" w:sz="4" w:space="0" w:color="FFFFFF"/>
              <w:right w:val="single" w:sz="4" w:space="0" w:color="000000"/>
            </w:tcBorders>
            <w:shd w:val="clear" w:color="auto" w:fill="D2D2D2"/>
          </w:tcPr>
          <w:p>
            <w:pPr/>
          </w:p>
        </w:tc>
      </w:tr>
      <w:tr>
        <w:trPr>
          <w:trHeight w:val="154" w:hRule="exact"/>
        </w:trPr>
        <w:tc>
          <w:tcPr>
            <w:tcW w:w="1210" w:type="dxa"/>
            <w:vMerge/>
            <w:tcBorders>
              <w:left w:val="single" w:sz="4" w:space="0" w:color="000000"/>
              <w:right w:val="single" w:sz="4" w:space="0" w:color="000000"/>
            </w:tcBorders>
            <w:shd w:val="clear" w:color="auto" w:fill="D2D2D2"/>
          </w:tcPr>
          <w:p>
            <w:pPr/>
          </w:p>
        </w:tc>
        <w:tc>
          <w:tcPr>
            <w:tcW w:w="602" w:type="dxa"/>
            <w:vMerge w:val="restart"/>
            <w:tcBorders>
              <w:top w:val="nil" w:sz="6" w:space="0" w:color="auto"/>
              <w:left w:val="single" w:sz="4" w:space="0" w:color="000000"/>
              <w:right w:val="single" w:sz="4" w:space="0" w:color="000000"/>
            </w:tcBorders>
            <w:shd w:val="clear" w:color="auto" w:fill="D2D2D2"/>
          </w:tcPr>
          <w:p>
            <w:pPr/>
          </w:p>
        </w:tc>
        <w:tc>
          <w:tcPr>
            <w:tcW w:w="572" w:type="dxa"/>
            <w:vMerge/>
            <w:tcBorders>
              <w:left w:val="single" w:sz="4" w:space="0" w:color="000000"/>
              <w:right w:val="single" w:sz="4" w:space="0" w:color="000000"/>
            </w:tcBorders>
            <w:shd w:val="clear" w:color="auto" w:fill="D2D2D2"/>
          </w:tcPr>
          <w:p>
            <w:pPr/>
          </w:p>
        </w:tc>
        <w:tc>
          <w:tcPr>
            <w:tcW w:w="576" w:type="dxa"/>
            <w:vMerge/>
            <w:tcBorders>
              <w:left w:val="single" w:sz="4" w:space="0" w:color="000000"/>
              <w:right w:val="single" w:sz="4" w:space="0" w:color="000000"/>
            </w:tcBorders>
            <w:shd w:val="clear" w:color="auto" w:fill="D2D2D2"/>
          </w:tcPr>
          <w:p>
            <w:pPr/>
          </w:p>
        </w:tc>
        <w:tc>
          <w:tcPr>
            <w:tcW w:w="572" w:type="dxa"/>
            <w:vMerge/>
            <w:tcBorders>
              <w:left w:val="single" w:sz="4" w:space="0" w:color="000000"/>
              <w:bottom w:val="nil" w:sz="6" w:space="0" w:color="auto"/>
              <w:right w:val="single" w:sz="4" w:space="0" w:color="000000"/>
            </w:tcBorders>
            <w:shd w:val="clear" w:color="auto" w:fill="D2D2D2"/>
          </w:tcPr>
          <w:p>
            <w:pPr/>
          </w:p>
        </w:tc>
        <w:tc>
          <w:tcPr>
            <w:tcW w:w="682" w:type="dxa"/>
            <w:vMerge/>
            <w:tcBorders>
              <w:left w:val="single" w:sz="4" w:space="0" w:color="000000"/>
              <w:bottom w:val="nil" w:sz="6" w:space="0" w:color="auto"/>
              <w:right w:val="single" w:sz="4" w:space="0" w:color="000000"/>
            </w:tcBorders>
            <w:shd w:val="clear" w:color="auto" w:fill="D2D2D2"/>
          </w:tcPr>
          <w:p>
            <w:pPr/>
          </w:p>
        </w:tc>
        <w:tc>
          <w:tcPr>
            <w:tcW w:w="687" w:type="dxa"/>
            <w:vMerge/>
            <w:tcBorders>
              <w:left w:val="single" w:sz="4" w:space="0" w:color="000000"/>
              <w:bottom w:val="nil" w:sz="6" w:space="0" w:color="auto"/>
              <w:right w:val="single" w:sz="4" w:space="0" w:color="000000"/>
            </w:tcBorders>
            <w:shd w:val="clear" w:color="auto" w:fill="D2D2D2"/>
          </w:tcPr>
          <w:p>
            <w:pPr/>
          </w:p>
        </w:tc>
        <w:tc>
          <w:tcPr>
            <w:tcW w:w="686" w:type="dxa"/>
            <w:vMerge/>
            <w:tcBorders>
              <w:left w:val="single" w:sz="4" w:space="0" w:color="000000"/>
              <w:bottom w:val="nil" w:sz="6" w:space="0" w:color="auto"/>
              <w:right w:val="single" w:sz="4" w:space="0" w:color="000000"/>
            </w:tcBorders>
            <w:shd w:val="clear" w:color="auto" w:fill="D2D2D2"/>
          </w:tcPr>
          <w:p>
            <w:pPr/>
          </w:p>
        </w:tc>
        <w:tc>
          <w:tcPr>
            <w:tcW w:w="783" w:type="dxa"/>
            <w:vMerge w:val="restart"/>
            <w:tcBorders>
              <w:top w:val="nil" w:sz="6" w:space="0" w:color="auto"/>
              <w:left w:val="single" w:sz="4" w:space="0" w:color="000000"/>
              <w:right w:val="single" w:sz="4" w:space="0" w:color="FFFFFF"/>
            </w:tcBorders>
            <w:shd w:val="clear" w:color="auto" w:fill="D2D2D2"/>
          </w:tcPr>
          <w:p>
            <w:pPr/>
          </w:p>
        </w:tc>
        <w:tc>
          <w:tcPr>
            <w:tcW w:w="662" w:type="dxa"/>
            <w:vMerge/>
            <w:tcBorders>
              <w:left w:val="single" w:sz="4" w:space="0" w:color="FFFFFF"/>
              <w:bottom w:val="nil" w:sz="6" w:space="0" w:color="auto"/>
              <w:right w:val="single" w:sz="4" w:space="0" w:color="000000"/>
            </w:tcBorders>
            <w:shd w:val="clear" w:color="auto" w:fill="D2D2D2"/>
          </w:tcPr>
          <w:p>
            <w:pPr/>
          </w:p>
        </w:tc>
        <w:tc>
          <w:tcPr>
            <w:tcW w:w="802" w:type="dxa"/>
            <w:vMerge/>
            <w:tcBorders>
              <w:left w:val="single" w:sz="4" w:space="0" w:color="000000"/>
              <w:bottom w:val="nil" w:sz="6" w:space="0" w:color="auto"/>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FFFFFF"/>
            </w:tcBorders>
            <w:shd w:val="clear" w:color="auto" w:fill="D2D2D2"/>
          </w:tcPr>
          <w:p>
            <w:pPr/>
          </w:p>
        </w:tc>
        <w:tc>
          <w:tcPr>
            <w:tcW w:w="926" w:type="dxa"/>
            <w:vMerge/>
            <w:tcBorders>
              <w:left w:val="single" w:sz="4" w:space="0" w:color="FFFFFF"/>
              <w:bottom w:val="nil" w:sz="6" w:space="0" w:color="auto"/>
              <w:right w:val="single" w:sz="4" w:space="0" w:color="000000"/>
            </w:tcBorders>
            <w:shd w:val="clear" w:color="auto" w:fill="D2D2D2"/>
          </w:tcPr>
          <w:p>
            <w:pPr/>
          </w:p>
        </w:tc>
      </w:tr>
      <w:tr>
        <w:trPr>
          <w:trHeight w:val="206" w:hRule="exact"/>
        </w:trPr>
        <w:tc>
          <w:tcPr>
            <w:tcW w:w="1210" w:type="dxa"/>
            <w:vMerge/>
            <w:tcBorders>
              <w:left w:val="single" w:sz="4" w:space="0" w:color="000000"/>
              <w:bottom w:val="single" w:sz="4" w:space="0" w:color="000000"/>
              <w:right w:val="single" w:sz="4" w:space="0" w:color="000000"/>
            </w:tcBorders>
            <w:shd w:val="clear" w:color="auto" w:fill="D2D2D2"/>
          </w:tcPr>
          <w:p>
            <w:pPr/>
          </w:p>
        </w:tc>
        <w:tc>
          <w:tcPr>
            <w:tcW w:w="602" w:type="dxa"/>
            <w:vMerge/>
            <w:tcBorders>
              <w:left w:val="single" w:sz="4" w:space="0" w:color="000000"/>
              <w:bottom w:val="single" w:sz="4" w:space="0" w:color="000000"/>
              <w:right w:val="single" w:sz="4" w:space="0" w:color="000000"/>
            </w:tcBorders>
            <w:shd w:val="clear" w:color="auto" w:fill="D2D2D2"/>
          </w:tcPr>
          <w:p>
            <w:pPr/>
          </w:p>
        </w:tc>
        <w:tc>
          <w:tcPr>
            <w:tcW w:w="572" w:type="dxa"/>
            <w:vMerge/>
            <w:tcBorders>
              <w:left w:val="single" w:sz="4" w:space="0" w:color="000000"/>
              <w:bottom w:val="single" w:sz="4" w:space="0" w:color="000000"/>
              <w:right w:val="single" w:sz="4" w:space="0" w:color="000000"/>
            </w:tcBorders>
            <w:shd w:val="clear" w:color="auto" w:fill="D2D2D2"/>
          </w:tcPr>
          <w:p>
            <w:pPr/>
          </w:p>
        </w:tc>
        <w:tc>
          <w:tcPr>
            <w:tcW w:w="576" w:type="dxa"/>
            <w:vMerge/>
            <w:tcBorders>
              <w:left w:val="single" w:sz="4" w:space="0" w:color="000000"/>
              <w:bottom w:val="single" w:sz="4" w:space="0" w:color="000000"/>
              <w:right w:val="single" w:sz="4" w:space="0" w:color="000000"/>
            </w:tcBorders>
            <w:shd w:val="clear" w:color="auto" w:fill="D2D2D2"/>
          </w:tcPr>
          <w:p>
            <w:pPr/>
          </w:p>
        </w:tc>
        <w:tc>
          <w:tcPr>
            <w:tcW w:w="572" w:type="dxa"/>
            <w:tcBorders>
              <w:top w:val="nil" w:sz="6" w:space="0" w:color="auto"/>
              <w:left w:val="single" w:sz="4" w:space="0" w:color="000000"/>
              <w:bottom w:val="single" w:sz="4" w:space="0" w:color="000000"/>
              <w:right w:val="single" w:sz="4" w:space="0" w:color="000000"/>
            </w:tcBorders>
            <w:shd w:val="clear" w:color="auto" w:fill="D2D2D2"/>
          </w:tcPr>
          <w:p>
            <w:pPr/>
          </w:p>
        </w:tc>
        <w:tc>
          <w:tcPr>
            <w:tcW w:w="682" w:type="dxa"/>
            <w:tcBorders>
              <w:top w:val="nil" w:sz="6" w:space="0" w:color="auto"/>
              <w:left w:val="single" w:sz="4" w:space="0" w:color="000000"/>
              <w:bottom w:val="single" w:sz="4" w:space="0" w:color="000000"/>
              <w:right w:val="single" w:sz="4" w:space="0" w:color="000000"/>
            </w:tcBorders>
            <w:shd w:val="clear" w:color="auto" w:fill="D2D2D2"/>
          </w:tcPr>
          <w:p>
            <w:pPr/>
          </w:p>
        </w:tc>
        <w:tc>
          <w:tcPr>
            <w:tcW w:w="687" w:type="dxa"/>
            <w:tcBorders>
              <w:top w:val="nil" w:sz="6" w:space="0" w:color="auto"/>
              <w:left w:val="single" w:sz="4" w:space="0" w:color="000000"/>
              <w:bottom w:val="single" w:sz="4" w:space="0" w:color="000000"/>
              <w:right w:val="single" w:sz="4" w:space="0" w:color="000000"/>
            </w:tcBorders>
            <w:shd w:val="clear" w:color="auto" w:fill="D2D2D2"/>
          </w:tcPr>
          <w:p>
            <w:pPr/>
          </w:p>
        </w:tc>
        <w:tc>
          <w:tcPr>
            <w:tcW w:w="686" w:type="dxa"/>
            <w:tcBorders>
              <w:top w:val="nil" w:sz="6" w:space="0" w:color="auto"/>
              <w:left w:val="single" w:sz="4" w:space="0" w:color="000000"/>
              <w:bottom w:val="single" w:sz="4" w:space="0" w:color="000000"/>
              <w:right w:val="single" w:sz="4" w:space="0" w:color="000000"/>
            </w:tcBorders>
            <w:shd w:val="clear" w:color="auto" w:fill="D2D2D2"/>
          </w:tcPr>
          <w:p>
            <w:pPr/>
          </w:p>
        </w:tc>
        <w:tc>
          <w:tcPr>
            <w:tcW w:w="783" w:type="dxa"/>
            <w:vMerge/>
            <w:tcBorders>
              <w:left w:val="single" w:sz="4" w:space="0" w:color="000000"/>
              <w:bottom w:val="single" w:sz="4" w:space="0" w:color="000000"/>
              <w:right w:val="single" w:sz="4" w:space="0" w:color="FFFFFF"/>
            </w:tcBorders>
            <w:shd w:val="clear" w:color="auto" w:fill="D2D2D2"/>
          </w:tcPr>
          <w:p>
            <w:pPr/>
          </w:p>
        </w:tc>
        <w:tc>
          <w:tcPr>
            <w:tcW w:w="662" w:type="dxa"/>
            <w:tcBorders>
              <w:top w:val="nil" w:sz="6" w:space="0" w:color="auto"/>
              <w:left w:val="single" w:sz="4" w:space="0" w:color="FFFFFF"/>
              <w:bottom w:val="single" w:sz="4" w:space="0" w:color="000000"/>
              <w:right w:val="single" w:sz="4" w:space="0" w:color="000000"/>
            </w:tcBorders>
            <w:shd w:val="clear" w:color="auto" w:fill="D2D2D2"/>
          </w:tcPr>
          <w:p>
            <w:pPr/>
          </w:p>
        </w:tc>
        <w:tc>
          <w:tcPr>
            <w:tcW w:w="802"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FFFFFF"/>
            </w:tcBorders>
            <w:shd w:val="clear" w:color="auto" w:fill="D2D2D2"/>
          </w:tcPr>
          <w:p>
            <w:pPr/>
          </w:p>
        </w:tc>
        <w:tc>
          <w:tcPr>
            <w:tcW w:w="926" w:type="dxa"/>
            <w:tcBorders>
              <w:top w:val="nil" w:sz="6" w:space="0" w:color="auto"/>
              <w:left w:val="single" w:sz="4" w:space="0" w:color="FFFFFF"/>
              <w:bottom w:val="single" w:sz="4" w:space="0" w:color="000000"/>
              <w:right w:val="single" w:sz="4" w:space="0" w:color="000000"/>
            </w:tcBorders>
            <w:shd w:val="clear" w:color="auto" w:fill="D2D2D2"/>
          </w:tcPr>
          <w:p>
            <w:pPr/>
          </w:p>
        </w:tc>
      </w:tr>
      <w:tr>
        <w:trPr>
          <w:trHeight w:val="163" w:hRule="exact"/>
        </w:trPr>
        <w:tc>
          <w:tcPr>
            <w:tcW w:w="1210" w:type="dxa"/>
            <w:tcBorders>
              <w:top w:val="single" w:sz="4" w:space="0" w:color="000000"/>
              <w:left w:val="single" w:sz="4" w:space="0" w:color="000000"/>
              <w:bottom w:val="nil" w:sz="6" w:space="0" w:color="auto"/>
              <w:right w:val="single" w:sz="4" w:space="0" w:color="000000"/>
            </w:tcBorders>
            <w:shd w:val="clear" w:color="auto" w:fill="D2D2D2"/>
          </w:tcPr>
          <w:p>
            <w:pPr/>
          </w:p>
        </w:tc>
        <w:tc>
          <w:tcPr>
            <w:tcW w:w="602" w:type="dxa"/>
            <w:vMerge w:val="restart"/>
            <w:tcBorders>
              <w:top w:val="single" w:sz="4" w:space="0" w:color="000000"/>
              <w:left w:val="single" w:sz="10" w:space="0" w:color="D2D2D2"/>
              <w:right w:val="single" w:sz="4" w:space="0" w:color="000000"/>
            </w:tcBorders>
          </w:tcPr>
          <w:p>
            <w:pPr>
              <w:pStyle w:val="TableParagraph"/>
              <w:spacing w:line="240" w:lineRule="auto" w:before="96"/>
              <w:ind w:left="72" w:right="0"/>
              <w:jc w:val="left"/>
              <w:rPr>
                <w:rFonts w:ascii="Times New Roman" w:hAnsi="Times New Roman" w:cs="Times New Roman" w:eastAsia="Times New Roman" w:hint="default"/>
                <w:sz w:val="18"/>
                <w:szCs w:val="18"/>
              </w:rPr>
            </w:pPr>
            <w:r>
              <w:rPr>
                <w:rFonts w:ascii="Times New Roman"/>
                <w:sz w:val="18"/>
              </w:rPr>
              <w:t>706,64</w:t>
            </w:r>
          </w:p>
          <w:p>
            <w:pPr>
              <w:pStyle w:val="TableParagraph"/>
              <w:spacing w:line="240" w:lineRule="auto" w:before="105"/>
              <w:ind w:left="115" w:right="0"/>
              <w:jc w:val="left"/>
              <w:rPr>
                <w:rFonts w:ascii="Times New Roman" w:hAnsi="Times New Roman" w:cs="Times New Roman" w:eastAsia="Times New Roman" w:hint="default"/>
                <w:sz w:val="18"/>
                <w:szCs w:val="18"/>
              </w:rPr>
            </w:pPr>
            <w:r>
              <w:rPr>
                <w:rFonts w:ascii="Times New Roman"/>
                <w:sz w:val="18"/>
              </w:rPr>
              <w:t>0,535.</w:t>
            </w:r>
          </w:p>
          <w:p>
            <w:pPr>
              <w:pStyle w:val="TableParagraph"/>
              <w:spacing w:line="240" w:lineRule="auto" w:before="110"/>
              <w:ind w:left="388" w:right="0"/>
              <w:jc w:val="left"/>
              <w:rPr>
                <w:rFonts w:ascii="Times New Roman" w:hAnsi="Times New Roman" w:cs="Times New Roman" w:eastAsia="Times New Roman" w:hint="default"/>
                <w:sz w:val="18"/>
                <w:szCs w:val="18"/>
              </w:rPr>
            </w:pPr>
            <w:r>
              <w:rPr>
                <w:rFonts w:ascii="Times New Roman"/>
                <w:sz w:val="18"/>
              </w:rPr>
              <w:t>00</w:t>
            </w:r>
          </w:p>
        </w:tc>
        <w:tc>
          <w:tcPr>
            <w:tcW w:w="572" w:type="dxa"/>
            <w:vMerge w:val="restart"/>
            <w:tcBorders>
              <w:top w:val="single" w:sz="4" w:space="0" w:color="000000"/>
              <w:left w:val="single" w:sz="4" w:space="0" w:color="000000"/>
              <w:right w:val="single" w:sz="4" w:space="0" w:color="000000"/>
            </w:tcBorders>
          </w:tcPr>
          <w:p>
            <w:pPr/>
          </w:p>
        </w:tc>
        <w:tc>
          <w:tcPr>
            <w:tcW w:w="576" w:type="dxa"/>
            <w:vMerge w:val="restart"/>
            <w:tcBorders>
              <w:top w:val="single" w:sz="4" w:space="0" w:color="000000"/>
              <w:left w:val="single" w:sz="4" w:space="0" w:color="000000"/>
              <w:right w:val="single" w:sz="4" w:space="0" w:color="000000"/>
            </w:tcBorders>
          </w:tcPr>
          <w:p>
            <w:pPr/>
          </w:p>
        </w:tc>
        <w:tc>
          <w:tcPr>
            <w:tcW w:w="572" w:type="dxa"/>
            <w:vMerge w:val="restart"/>
            <w:tcBorders>
              <w:top w:val="single" w:sz="4" w:space="0" w:color="000000"/>
              <w:left w:val="single" w:sz="4" w:space="0" w:color="000000"/>
              <w:right w:val="single" w:sz="4" w:space="0" w:color="000000"/>
            </w:tcBorders>
          </w:tcPr>
          <w:p>
            <w:pPr/>
          </w:p>
        </w:tc>
        <w:tc>
          <w:tcPr>
            <w:tcW w:w="682"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375,571</w:t>
            </w:r>
          </w:p>
          <w:p>
            <w:pPr>
              <w:pStyle w:val="TableParagraph"/>
              <w:spacing w:line="240" w:lineRule="auto" w:before="105"/>
              <w:ind w:left="115" w:right="0"/>
              <w:jc w:val="left"/>
              <w:rPr>
                <w:rFonts w:ascii="Times New Roman" w:hAnsi="Times New Roman" w:cs="Times New Roman" w:eastAsia="Times New Roman" w:hint="default"/>
                <w:sz w:val="18"/>
                <w:szCs w:val="18"/>
              </w:rPr>
            </w:pPr>
            <w:r>
              <w:rPr>
                <w:rFonts w:ascii="Times New Roman"/>
                <w:sz w:val="18"/>
              </w:rPr>
              <w:t>,417.21</w:t>
            </w:r>
          </w:p>
        </w:tc>
        <w:tc>
          <w:tcPr>
            <w:tcW w:w="687"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-4,579,2</w:t>
            </w:r>
          </w:p>
          <w:p>
            <w:pPr>
              <w:pStyle w:val="TableParagraph"/>
              <w:spacing w:line="240" w:lineRule="auto" w:before="105"/>
              <w:ind w:left="254" w:right="0"/>
              <w:jc w:val="left"/>
              <w:rPr>
                <w:rFonts w:ascii="Times New Roman" w:hAnsi="Times New Roman" w:cs="Times New Roman" w:eastAsia="Times New Roman" w:hint="default"/>
                <w:sz w:val="18"/>
                <w:szCs w:val="18"/>
              </w:rPr>
            </w:pPr>
            <w:r>
              <w:rPr>
                <w:rFonts w:ascii="Times New Roman"/>
                <w:sz w:val="18"/>
              </w:rPr>
              <w:t>11.51</w:t>
            </w:r>
          </w:p>
        </w:tc>
        <w:tc>
          <w:tcPr>
            <w:tcW w:w="783" w:type="dxa"/>
            <w:vMerge w:val="restart"/>
            <w:tcBorders>
              <w:top w:val="single" w:sz="4" w:space="0" w:color="000000"/>
              <w:left w:val="single" w:sz="4" w:space="0" w:color="000000"/>
              <w:right w:val="single" w:sz="4" w:space="0" w:color="FFFFFF"/>
            </w:tcBorders>
          </w:tcPr>
          <w:p>
            <w:pPr/>
          </w:p>
        </w:tc>
        <w:tc>
          <w:tcPr>
            <w:tcW w:w="662" w:type="dxa"/>
            <w:vMerge w:val="restart"/>
            <w:tcBorders>
              <w:top w:val="single" w:sz="4" w:space="0" w:color="000000"/>
              <w:left w:val="single" w:sz="4" w:space="0" w:color="FFFFFF"/>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95" w:right="0"/>
              <w:jc w:val="left"/>
              <w:rPr>
                <w:rFonts w:ascii="Times New Roman" w:hAnsi="Times New Roman" w:cs="Times New Roman" w:eastAsia="Times New Roman" w:hint="default"/>
                <w:sz w:val="18"/>
                <w:szCs w:val="18"/>
              </w:rPr>
            </w:pPr>
            <w:r>
              <w:rPr>
                <w:rFonts w:ascii="Times New Roman"/>
                <w:sz w:val="18"/>
              </w:rPr>
              <w:t>24,094,</w:t>
            </w:r>
          </w:p>
          <w:p>
            <w:pPr>
              <w:pStyle w:val="TableParagraph"/>
              <w:spacing w:line="240" w:lineRule="auto" w:before="105"/>
              <w:ind w:left="139" w:right="0"/>
              <w:jc w:val="left"/>
              <w:rPr>
                <w:rFonts w:ascii="Times New Roman" w:hAnsi="Times New Roman" w:cs="Times New Roman" w:eastAsia="Times New Roman" w:hint="default"/>
                <w:sz w:val="18"/>
                <w:szCs w:val="18"/>
              </w:rPr>
            </w:pPr>
            <w:r>
              <w:rPr>
                <w:rFonts w:ascii="Times New Roman"/>
                <w:sz w:val="18"/>
              </w:rPr>
              <w:t>307.38</w:t>
            </w:r>
          </w:p>
        </w:tc>
        <w:tc>
          <w:tcPr>
            <w:tcW w:w="802"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48" w:right="0"/>
              <w:jc w:val="left"/>
              <w:rPr>
                <w:rFonts w:ascii="Times New Roman" w:hAnsi="Times New Roman" w:cs="Times New Roman" w:eastAsia="Times New Roman" w:hint="default"/>
                <w:sz w:val="18"/>
                <w:szCs w:val="18"/>
              </w:rPr>
            </w:pPr>
            <w:r>
              <w:rPr>
                <w:rFonts w:ascii="Times New Roman"/>
                <w:sz w:val="18"/>
              </w:rPr>
              <w:t>108,466,2</w:t>
            </w:r>
          </w:p>
          <w:p>
            <w:pPr>
              <w:pStyle w:val="TableParagraph"/>
              <w:spacing w:line="240" w:lineRule="auto" w:before="105"/>
              <w:ind w:left="365" w:right="0"/>
              <w:jc w:val="left"/>
              <w:rPr>
                <w:rFonts w:ascii="Times New Roman" w:hAnsi="Times New Roman" w:cs="Times New Roman" w:eastAsia="Times New Roman" w:hint="default"/>
                <w:sz w:val="18"/>
                <w:szCs w:val="18"/>
              </w:rPr>
            </w:pPr>
            <w:r>
              <w:rPr>
                <w:rFonts w:ascii="Times New Roman"/>
                <w:sz w:val="18"/>
              </w:rPr>
              <w:t>64.03</w:t>
            </w:r>
          </w:p>
        </w:tc>
        <w:tc>
          <w:tcPr>
            <w:tcW w:w="797" w:type="dxa"/>
            <w:vMerge w:val="restart"/>
            <w:tcBorders>
              <w:top w:val="single" w:sz="4" w:space="0" w:color="000000"/>
              <w:left w:val="single" w:sz="4" w:space="0" w:color="000000"/>
              <w:right w:val="single" w:sz="4" w:space="0" w:color="FFFFFF"/>
            </w:tcBorders>
          </w:tcPr>
          <w:p>
            <w:pPr/>
          </w:p>
        </w:tc>
        <w:tc>
          <w:tcPr>
            <w:tcW w:w="926" w:type="dxa"/>
            <w:vMerge w:val="restart"/>
            <w:tcBorders>
              <w:top w:val="single" w:sz="4" w:space="0" w:color="000000"/>
              <w:left w:val="single" w:sz="4" w:space="0" w:color="FFFFFF"/>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1,210,193,3</w:t>
            </w:r>
          </w:p>
          <w:p>
            <w:pPr>
              <w:pStyle w:val="TableParagraph"/>
              <w:spacing w:line="240" w:lineRule="auto" w:before="105"/>
              <w:ind w:left="499" w:right="0"/>
              <w:jc w:val="left"/>
              <w:rPr>
                <w:rFonts w:ascii="Times New Roman" w:hAnsi="Times New Roman" w:cs="Times New Roman" w:eastAsia="Times New Roman" w:hint="default"/>
                <w:sz w:val="18"/>
                <w:szCs w:val="18"/>
              </w:rPr>
            </w:pPr>
            <w:r>
              <w:rPr>
                <w:rFonts w:ascii="Times New Roman"/>
                <w:sz w:val="18"/>
              </w:rPr>
              <w:t>12.11</w:t>
            </w:r>
          </w:p>
        </w:tc>
      </w:tr>
      <w:tr>
        <w:trPr>
          <w:trHeight w:val="701" w:hRule="exact"/>
        </w:trPr>
        <w:tc>
          <w:tcPr>
            <w:tcW w:w="121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53"/>
              <w:ind w:left="11" w:right="5"/>
              <w:jc w:val="left"/>
              <w:rPr>
                <w:rFonts w:ascii="宋体" w:hAnsi="宋体" w:cs="宋体" w:eastAsia="宋体" w:hint="default"/>
                <w:sz w:val="18"/>
                <w:szCs w:val="18"/>
              </w:rPr>
            </w:pPr>
            <w:r>
              <w:rPr>
                <w:rFonts w:ascii="宋体" w:hAnsi="宋体" w:cs="宋体" w:eastAsia="宋体" w:hint="default"/>
                <w:spacing w:val="-14"/>
                <w:w w:val="101"/>
                <w:sz w:val="18"/>
                <w:szCs w:val="18"/>
              </w:rPr>
              <w:t>一、上年期末余</w:t>
            </w:r>
            <w:r>
              <w:rPr>
                <w:rFonts w:ascii="宋体" w:hAnsi="宋体" w:cs="宋体" w:eastAsia="宋体" w:hint="default"/>
                <w:w w:val="101"/>
                <w:sz w:val="18"/>
                <w:szCs w:val="18"/>
              </w:rPr>
              <w:t> </w:t>
            </w:r>
            <w:r>
              <w:rPr>
                <w:rFonts w:ascii="宋体" w:hAnsi="宋体" w:cs="宋体" w:eastAsia="宋体" w:hint="default"/>
                <w:sz w:val="18"/>
                <w:szCs w:val="18"/>
              </w:rPr>
              <w:t>额</w:t>
            </w:r>
          </w:p>
        </w:tc>
        <w:tc>
          <w:tcPr>
            <w:tcW w:w="602" w:type="dxa"/>
            <w:vMerge/>
            <w:tcBorders>
              <w:left w:val="single" w:sz="10" w:space="0" w:color="D2D2D2"/>
              <w:right w:val="single" w:sz="4" w:space="0" w:color="000000"/>
            </w:tcBorders>
          </w:tcPr>
          <w:p>
            <w:pPr/>
          </w:p>
        </w:tc>
        <w:tc>
          <w:tcPr>
            <w:tcW w:w="572"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2"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7"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783" w:type="dxa"/>
            <w:vMerge/>
            <w:tcBorders>
              <w:left w:val="single" w:sz="4" w:space="0" w:color="000000"/>
              <w:right w:val="single" w:sz="4" w:space="0" w:color="FFFFFF"/>
            </w:tcBorders>
          </w:tcPr>
          <w:p>
            <w:pPr/>
          </w:p>
        </w:tc>
        <w:tc>
          <w:tcPr>
            <w:tcW w:w="662" w:type="dxa"/>
            <w:vMerge/>
            <w:tcBorders>
              <w:left w:val="single" w:sz="4" w:space="0" w:color="FFFFFF"/>
              <w:right w:val="single" w:sz="4" w:space="0" w:color="000000"/>
            </w:tcBorders>
          </w:tcPr>
          <w:p>
            <w:pPr/>
          </w:p>
        </w:tc>
        <w:tc>
          <w:tcPr>
            <w:tcW w:w="802" w:type="dxa"/>
            <w:vMerge/>
            <w:tcBorders>
              <w:left w:val="single" w:sz="4" w:space="0" w:color="000000"/>
              <w:right w:val="single" w:sz="4" w:space="0" w:color="000000"/>
            </w:tcBorders>
          </w:tcPr>
          <w:p>
            <w:pPr/>
          </w:p>
        </w:tc>
        <w:tc>
          <w:tcPr>
            <w:tcW w:w="797" w:type="dxa"/>
            <w:vMerge/>
            <w:tcBorders>
              <w:left w:val="single" w:sz="4" w:space="0" w:color="000000"/>
              <w:right w:val="single" w:sz="4" w:space="0" w:color="FFFFFF"/>
            </w:tcBorders>
          </w:tcPr>
          <w:p>
            <w:pPr/>
          </w:p>
        </w:tc>
        <w:tc>
          <w:tcPr>
            <w:tcW w:w="926" w:type="dxa"/>
            <w:vMerge/>
            <w:tcBorders>
              <w:left w:val="single" w:sz="4" w:space="0" w:color="FFFFFF"/>
              <w:right w:val="single" w:sz="4" w:space="0" w:color="000000"/>
            </w:tcBorders>
          </w:tcPr>
          <w:p>
            <w:pPr/>
          </w:p>
        </w:tc>
      </w:tr>
      <w:tr>
        <w:trPr>
          <w:trHeight w:val="163" w:hRule="exact"/>
        </w:trPr>
        <w:tc>
          <w:tcPr>
            <w:tcW w:w="1210" w:type="dxa"/>
            <w:tcBorders>
              <w:top w:val="nil" w:sz="6" w:space="0" w:color="auto"/>
              <w:left w:val="single" w:sz="4" w:space="0" w:color="000000"/>
              <w:bottom w:val="single" w:sz="4" w:space="0" w:color="000000"/>
              <w:right w:val="single" w:sz="4" w:space="0" w:color="000000"/>
            </w:tcBorders>
            <w:shd w:val="clear" w:color="auto" w:fill="D2D2D2"/>
          </w:tcPr>
          <w:p>
            <w:pPr/>
          </w:p>
        </w:tc>
        <w:tc>
          <w:tcPr>
            <w:tcW w:w="602" w:type="dxa"/>
            <w:vMerge/>
            <w:tcBorders>
              <w:left w:val="single" w:sz="10" w:space="0" w:color="D2D2D2"/>
              <w:bottom w:val="single" w:sz="4" w:space="0" w:color="000000"/>
              <w:right w:val="single" w:sz="4" w:space="0" w:color="000000"/>
            </w:tcBorders>
          </w:tcPr>
          <w:p>
            <w:pPr/>
          </w:p>
        </w:tc>
        <w:tc>
          <w:tcPr>
            <w:tcW w:w="572"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2" w:type="dxa"/>
            <w:vMerge/>
            <w:tcBorders>
              <w:left w:val="single" w:sz="4" w:space="0" w:color="000000"/>
              <w:bottom w:val="single" w:sz="4" w:space="0" w:color="000000"/>
              <w:right w:val="single" w:sz="4" w:space="0" w:color="000000"/>
            </w:tcBorders>
          </w:tcPr>
          <w:p>
            <w:pPr/>
          </w:p>
        </w:tc>
        <w:tc>
          <w:tcPr>
            <w:tcW w:w="682" w:type="dxa"/>
            <w:vMerge/>
            <w:tcBorders>
              <w:left w:val="single" w:sz="4" w:space="0" w:color="000000"/>
              <w:bottom w:val="single" w:sz="4" w:space="0" w:color="000000"/>
              <w:right w:val="single" w:sz="4" w:space="0" w:color="000000"/>
            </w:tcBorders>
          </w:tcPr>
          <w:p>
            <w:pPr/>
          </w:p>
        </w:tc>
        <w:tc>
          <w:tcPr>
            <w:tcW w:w="687"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783" w:type="dxa"/>
            <w:vMerge/>
            <w:tcBorders>
              <w:left w:val="single" w:sz="4" w:space="0" w:color="000000"/>
              <w:bottom w:val="single" w:sz="4" w:space="0" w:color="000000"/>
              <w:right w:val="single" w:sz="4" w:space="0" w:color="FFFFFF"/>
            </w:tcBorders>
          </w:tcPr>
          <w:p>
            <w:pPr/>
          </w:p>
        </w:tc>
        <w:tc>
          <w:tcPr>
            <w:tcW w:w="662" w:type="dxa"/>
            <w:vMerge/>
            <w:tcBorders>
              <w:left w:val="single" w:sz="4" w:space="0" w:color="FFFFFF"/>
              <w:bottom w:val="single" w:sz="4" w:space="0" w:color="000000"/>
              <w:right w:val="single" w:sz="4" w:space="0" w:color="000000"/>
            </w:tcBorders>
          </w:tcPr>
          <w:p>
            <w:pPr/>
          </w:p>
        </w:tc>
        <w:tc>
          <w:tcPr>
            <w:tcW w:w="802"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FFFFFF"/>
            </w:tcBorders>
          </w:tcPr>
          <w:p>
            <w:pPr/>
          </w:p>
        </w:tc>
        <w:tc>
          <w:tcPr>
            <w:tcW w:w="926" w:type="dxa"/>
            <w:vMerge/>
            <w:tcBorders>
              <w:left w:val="single" w:sz="4" w:space="0" w:color="FFFFFF"/>
              <w:bottom w:val="single" w:sz="4" w:space="0" w:color="000000"/>
              <w:right w:val="single" w:sz="4" w:space="0" w:color="000000"/>
            </w:tcBorders>
          </w:tcPr>
          <w:p>
            <w:pPr/>
          </w:p>
        </w:tc>
      </w:tr>
      <w:tr>
        <w:trPr>
          <w:trHeight w:val="716" w:hRule="exact"/>
        </w:trPr>
        <w:tc>
          <w:tcPr>
            <w:tcW w:w="12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11" w:right="5" w:firstLine="360"/>
              <w:jc w:val="left"/>
              <w:rPr>
                <w:rFonts w:ascii="宋体" w:hAnsi="宋体" w:cs="宋体" w:eastAsia="宋体" w:hint="default"/>
                <w:sz w:val="18"/>
                <w:szCs w:val="18"/>
              </w:rPr>
            </w:pPr>
            <w:r>
              <w:rPr>
                <w:rFonts w:ascii="宋体" w:hAnsi="宋体" w:cs="宋体" w:eastAsia="宋体" w:hint="default"/>
                <w:spacing w:val="-19"/>
                <w:w w:val="101"/>
                <w:sz w:val="18"/>
                <w:szCs w:val="18"/>
              </w:rPr>
              <w:t>加：会计政</w:t>
            </w:r>
            <w:r>
              <w:rPr>
                <w:rFonts w:ascii="宋体" w:hAnsi="宋体" w:cs="宋体" w:eastAsia="宋体" w:hint="default"/>
                <w:w w:val="101"/>
                <w:sz w:val="18"/>
                <w:szCs w:val="18"/>
              </w:rPr>
              <w:t> </w:t>
            </w:r>
            <w:r>
              <w:rPr>
                <w:rFonts w:ascii="宋体" w:hAnsi="宋体" w:cs="宋体" w:eastAsia="宋体" w:hint="default"/>
                <w:sz w:val="18"/>
                <w:szCs w:val="18"/>
              </w:rPr>
              <w:t>策变更</w:t>
            </w:r>
          </w:p>
        </w:tc>
        <w:tc>
          <w:tcPr>
            <w:tcW w:w="602" w:type="dxa"/>
            <w:tcBorders>
              <w:top w:val="single" w:sz="4" w:space="0" w:color="000000"/>
              <w:left w:val="single" w:sz="10" w:space="0" w:color="D2D2D2"/>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FFFFFF"/>
            </w:tcBorders>
          </w:tcPr>
          <w:p>
            <w:pPr/>
          </w:p>
        </w:tc>
        <w:tc>
          <w:tcPr>
            <w:tcW w:w="662" w:type="dxa"/>
            <w:tcBorders>
              <w:top w:val="single" w:sz="4" w:space="0" w:color="000000"/>
              <w:left w:val="single" w:sz="4" w:space="0" w:color="FFFFFF"/>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FFFFFF"/>
            </w:tcBorders>
          </w:tcPr>
          <w:p>
            <w:pPr/>
          </w:p>
        </w:tc>
        <w:tc>
          <w:tcPr>
            <w:tcW w:w="926" w:type="dxa"/>
            <w:tcBorders>
              <w:top w:val="single" w:sz="4" w:space="0" w:color="000000"/>
              <w:left w:val="single" w:sz="4" w:space="0" w:color="FFFFFF"/>
              <w:bottom w:val="single" w:sz="4" w:space="0" w:color="000000"/>
              <w:right w:val="single" w:sz="4" w:space="0" w:color="000000"/>
            </w:tcBorders>
          </w:tcPr>
          <w:p>
            <w:pPr/>
          </w:p>
        </w:tc>
      </w:tr>
      <w:tr>
        <w:trPr>
          <w:trHeight w:val="710" w:hRule="exact"/>
        </w:trPr>
        <w:tc>
          <w:tcPr>
            <w:tcW w:w="12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 w:right="101" w:firstLine="720"/>
              <w:jc w:val="left"/>
              <w:rPr>
                <w:rFonts w:ascii="宋体" w:hAnsi="宋体" w:cs="宋体" w:eastAsia="宋体" w:hint="default"/>
                <w:sz w:val="18"/>
                <w:szCs w:val="18"/>
              </w:rPr>
            </w:pPr>
            <w:r>
              <w:rPr>
                <w:rFonts w:ascii="宋体" w:hAnsi="宋体" w:cs="宋体" w:eastAsia="宋体" w:hint="default"/>
                <w:sz w:val="18"/>
                <w:szCs w:val="18"/>
              </w:rPr>
              <w:t>前期</w:t>
            </w:r>
            <w:r>
              <w:rPr>
                <w:rFonts w:ascii="宋体" w:hAnsi="宋体" w:cs="宋体" w:eastAsia="宋体" w:hint="default"/>
                <w:w w:val="101"/>
                <w:sz w:val="18"/>
                <w:szCs w:val="18"/>
              </w:rPr>
              <w:t> </w:t>
            </w:r>
            <w:r>
              <w:rPr>
                <w:rFonts w:ascii="宋体" w:hAnsi="宋体" w:cs="宋体" w:eastAsia="宋体" w:hint="default"/>
                <w:sz w:val="18"/>
                <w:szCs w:val="18"/>
              </w:rPr>
              <w:t>差错更正</w:t>
            </w:r>
          </w:p>
        </w:tc>
        <w:tc>
          <w:tcPr>
            <w:tcW w:w="602" w:type="dxa"/>
            <w:tcBorders>
              <w:top w:val="single" w:sz="4" w:space="0" w:color="000000"/>
              <w:left w:val="single" w:sz="10" w:space="0" w:color="D2D2D2"/>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FFFFFF"/>
            </w:tcBorders>
          </w:tcPr>
          <w:p>
            <w:pPr/>
          </w:p>
        </w:tc>
        <w:tc>
          <w:tcPr>
            <w:tcW w:w="662" w:type="dxa"/>
            <w:tcBorders>
              <w:top w:val="single" w:sz="4" w:space="0" w:color="000000"/>
              <w:left w:val="single" w:sz="4" w:space="0" w:color="FFFFFF"/>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FFFFFF"/>
            </w:tcBorders>
          </w:tcPr>
          <w:p>
            <w:pPr/>
          </w:p>
        </w:tc>
        <w:tc>
          <w:tcPr>
            <w:tcW w:w="926" w:type="dxa"/>
            <w:tcBorders>
              <w:top w:val="single" w:sz="4" w:space="0" w:color="000000"/>
              <w:left w:val="single" w:sz="4" w:space="0" w:color="FFFFFF"/>
              <w:bottom w:val="single" w:sz="4" w:space="0" w:color="000000"/>
              <w:right w:val="single" w:sz="4" w:space="0" w:color="000000"/>
            </w:tcBorders>
          </w:tcPr>
          <w:p>
            <w:pPr/>
          </w:p>
        </w:tc>
      </w:tr>
      <w:tr>
        <w:trPr>
          <w:trHeight w:val="403" w:hRule="exact"/>
        </w:trPr>
        <w:tc>
          <w:tcPr>
            <w:tcW w:w="12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02" w:type="dxa"/>
            <w:tcBorders>
              <w:top w:val="single" w:sz="4" w:space="0" w:color="000000"/>
              <w:left w:val="single" w:sz="10" w:space="0" w:color="D2D2D2"/>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FFFFFF"/>
            </w:tcBorders>
          </w:tcPr>
          <w:p>
            <w:pPr/>
          </w:p>
        </w:tc>
        <w:tc>
          <w:tcPr>
            <w:tcW w:w="662" w:type="dxa"/>
            <w:tcBorders>
              <w:top w:val="single" w:sz="4" w:space="0" w:color="000000"/>
              <w:left w:val="single" w:sz="4" w:space="0" w:color="FFFFFF"/>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FFFFFF"/>
            </w:tcBorders>
          </w:tcPr>
          <w:p>
            <w:pPr/>
          </w:p>
        </w:tc>
        <w:tc>
          <w:tcPr>
            <w:tcW w:w="926" w:type="dxa"/>
            <w:tcBorders>
              <w:top w:val="single" w:sz="4" w:space="0" w:color="000000"/>
              <w:left w:val="single" w:sz="4" w:space="0" w:color="FFFFFF"/>
              <w:bottom w:val="single" w:sz="4" w:space="0" w:color="000000"/>
              <w:right w:val="single" w:sz="4" w:space="0" w:color="000000"/>
            </w:tcBorders>
          </w:tcPr>
          <w:p>
            <w:pPr/>
          </w:p>
        </w:tc>
      </w:tr>
      <w:tr>
        <w:trPr>
          <w:trHeight w:val="163" w:hRule="exact"/>
        </w:trPr>
        <w:tc>
          <w:tcPr>
            <w:tcW w:w="1210" w:type="dxa"/>
            <w:tcBorders>
              <w:top w:val="single" w:sz="4" w:space="0" w:color="000000"/>
              <w:left w:val="single" w:sz="4" w:space="0" w:color="000000"/>
              <w:bottom w:val="nil" w:sz="6" w:space="0" w:color="auto"/>
              <w:right w:val="single" w:sz="4" w:space="0" w:color="000000"/>
            </w:tcBorders>
            <w:shd w:val="clear" w:color="auto" w:fill="D2D2D2"/>
          </w:tcPr>
          <w:p>
            <w:pPr/>
          </w:p>
        </w:tc>
        <w:tc>
          <w:tcPr>
            <w:tcW w:w="602" w:type="dxa"/>
            <w:vMerge w:val="restart"/>
            <w:tcBorders>
              <w:top w:val="single" w:sz="4" w:space="0" w:color="000000"/>
              <w:left w:val="single" w:sz="10" w:space="0" w:color="D2D2D2"/>
              <w:right w:val="single" w:sz="4" w:space="0" w:color="000000"/>
            </w:tcBorders>
          </w:tcPr>
          <w:p>
            <w:pPr>
              <w:pStyle w:val="TableParagraph"/>
              <w:spacing w:line="240" w:lineRule="auto" w:before="96"/>
              <w:ind w:left="72" w:right="0"/>
              <w:jc w:val="left"/>
              <w:rPr>
                <w:rFonts w:ascii="Times New Roman" w:hAnsi="Times New Roman" w:cs="Times New Roman" w:eastAsia="Times New Roman" w:hint="default"/>
                <w:sz w:val="18"/>
                <w:szCs w:val="18"/>
              </w:rPr>
            </w:pPr>
            <w:r>
              <w:rPr>
                <w:rFonts w:ascii="Times New Roman"/>
                <w:sz w:val="18"/>
              </w:rPr>
              <w:t>706,64</w:t>
            </w:r>
          </w:p>
          <w:p>
            <w:pPr>
              <w:pStyle w:val="TableParagraph"/>
              <w:spacing w:line="240" w:lineRule="auto" w:before="105"/>
              <w:ind w:left="115" w:right="0"/>
              <w:jc w:val="left"/>
              <w:rPr>
                <w:rFonts w:ascii="Times New Roman" w:hAnsi="Times New Roman" w:cs="Times New Roman" w:eastAsia="Times New Roman" w:hint="default"/>
                <w:sz w:val="18"/>
                <w:szCs w:val="18"/>
              </w:rPr>
            </w:pPr>
            <w:r>
              <w:rPr>
                <w:rFonts w:ascii="Times New Roman"/>
                <w:sz w:val="18"/>
              </w:rPr>
              <w:t>0,535.</w:t>
            </w:r>
          </w:p>
          <w:p>
            <w:pPr>
              <w:pStyle w:val="TableParagraph"/>
              <w:spacing w:line="240" w:lineRule="auto" w:before="109"/>
              <w:ind w:left="388" w:right="0"/>
              <w:jc w:val="left"/>
              <w:rPr>
                <w:rFonts w:ascii="Times New Roman" w:hAnsi="Times New Roman" w:cs="Times New Roman" w:eastAsia="Times New Roman" w:hint="default"/>
                <w:sz w:val="18"/>
                <w:szCs w:val="18"/>
              </w:rPr>
            </w:pPr>
            <w:r>
              <w:rPr>
                <w:rFonts w:ascii="Times New Roman"/>
                <w:sz w:val="18"/>
              </w:rPr>
              <w:t>00</w:t>
            </w:r>
          </w:p>
        </w:tc>
        <w:tc>
          <w:tcPr>
            <w:tcW w:w="572" w:type="dxa"/>
            <w:vMerge w:val="restart"/>
            <w:tcBorders>
              <w:top w:val="single" w:sz="4" w:space="0" w:color="000000"/>
              <w:left w:val="single" w:sz="4" w:space="0" w:color="000000"/>
              <w:right w:val="single" w:sz="4" w:space="0" w:color="000000"/>
            </w:tcBorders>
          </w:tcPr>
          <w:p>
            <w:pPr/>
          </w:p>
        </w:tc>
        <w:tc>
          <w:tcPr>
            <w:tcW w:w="576" w:type="dxa"/>
            <w:vMerge w:val="restart"/>
            <w:tcBorders>
              <w:top w:val="single" w:sz="4" w:space="0" w:color="000000"/>
              <w:left w:val="single" w:sz="4" w:space="0" w:color="000000"/>
              <w:right w:val="single" w:sz="4" w:space="0" w:color="000000"/>
            </w:tcBorders>
          </w:tcPr>
          <w:p>
            <w:pPr/>
          </w:p>
        </w:tc>
        <w:tc>
          <w:tcPr>
            <w:tcW w:w="572" w:type="dxa"/>
            <w:vMerge w:val="restart"/>
            <w:tcBorders>
              <w:top w:val="single" w:sz="4" w:space="0" w:color="000000"/>
              <w:left w:val="single" w:sz="4" w:space="0" w:color="000000"/>
              <w:right w:val="single" w:sz="4" w:space="0" w:color="000000"/>
            </w:tcBorders>
          </w:tcPr>
          <w:p>
            <w:pPr/>
          </w:p>
        </w:tc>
        <w:tc>
          <w:tcPr>
            <w:tcW w:w="682"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375,571</w:t>
            </w:r>
          </w:p>
          <w:p>
            <w:pPr>
              <w:pStyle w:val="TableParagraph"/>
              <w:spacing w:line="240" w:lineRule="auto" w:before="105"/>
              <w:ind w:left="115" w:right="0"/>
              <w:jc w:val="left"/>
              <w:rPr>
                <w:rFonts w:ascii="Times New Roman" w:hAnsi="Times New Roman" w:cs="Times New Roman" w:eastAsia="Times New Roman" w:hint="default"/>
                <w:sz w:val="18"/>
                <w:szCs w:val="18"/>
              </w:rPr>
            </w:pPr>
            <w:r>
              <w:rPr>
                <w:rFonts w:ascii="Times New Roman"/>
                <w:sz w:val="18"/>
              </w:rPr>
              <w:t>,417.21</w:t>
            </w:r>
          </w:p>
        </w:tc>
        <w:tc>
          <w:tcPr>
            <w:tcW w:w="687"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-4,579,2</w:t>
            </w:r>
          </w:p>
          <w:p>
            <w:pPr>
              <w:pStyle w:val="TableParagraph"/>
              <w:spacing w:line="240" w:lineRule="auto" w:before="105"/>
              <w:ind w:left="254" w:right="0"/>
              <w:jc w:val="left"/>
              <w:rPr>
                <w:rFonts w:ascii="Times New Roman" w:hAnsi="Times New Roman" w:cs="Times New Roman" w:eastAsia="Times New Roman" w:hint="default"/>
                <w:sz w:val="18"/>
                <w:szCs w:val="18"/>
              </w:rPr>
            </w:pPr>
            <w:r>
              <w:rPr>
                <w:rFonts w:ascii="Times New Roman"/>
                <w:sz w:val="18"/>
              </w:rPr>
              <w:t>11.51</w:t>
            </w:r>
          </w:p>
        </w:tc>
        <w:tc>
          <w:tcPr>
            <w:tcW w:w="783" w:type="dxa"/>
            <w:vMerge w:val="restart"/>
            <w:tcBorders>
              <w:top w:val="single" w:sz="4" w:space="0" w:color="000000"/>
              <w:left w:val="single" w:sz="4" w:space="0" w:color="000000"/>
              <w:right w:val="single" w:sz="4" w:space="0" w:color="FFFFFF"/>
            </w:tcBorders>
          </w:tcPr>
          <w:p>
            <w:pPr/>
          </w:p>
        </w:tc>
        <w:tc>
          <w:tcPr>
            <w:tcW w:w="662" w:type="dxa"/>
            <w:vMerge w:val="restart"/>
            <w:tcBorders>
              <w:top w:val="single" w:sz="4" w:space="0" w:color="000000"/>
              <w:left w:val="single" w:sz="4" w:space="0" w:color="FFFFFF"/>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95" w:right="0"/>
              <w:jc w:val="left"/>
              <w:rPr>
                <w:rFonts w:ascii="Times New Roman" w:hAnsi="Times New Roman" w:cs="Times New Roman" w:eastAsia="Times New Roman" w:hint="default"/>
                <w:sz w:val="18"/>
                <w:szCs w:val="18"/>
              </w:rPr>
            </w:pPr>
            <w:r>
              <w:rPr>
                <w:rFonts w:ascii="Times New Roman"/>
                <w:sz w:val="18"/>
              </w:rPr>
              <w:t>24,094,</w:t>
            </w:r>
          </w:p>
          <w:p>
            <w:pPr>
              <w:pStyle w:val="TableParagraph"/>
              <w:spacing w:line="240" w:lineRule="auto" w:before="105"/>
              <w:ind w:left="139" w:right="0"/>
              <w:jc w:val="left"/>
              <w:rPr>
                <w:rFonts w:ascii="Times New Roman" w:hAnsi="Times New Roman" w:cs="Times New Roman" w:eastAsia="Times New Roman" w:hint="default"/>
                <w:sz w:val="18"/>
                <w:szCs w:val="18"/>
              </w:rPr>
            </w:pPr>
            <w:r>
              <w:rPr>
                <w:rFonts w:ascii="Times New Roman"/>
                <w:sz w:val="18"/>
              </w:rPr>
              <w:t>307.38</w:t>
            </w:r>
          </w:p>
        </w:tc>
        <w:tc>
          <w:tcPr>
            <w:tcW w:w="802"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48" w:right="0"/>
              <w:jc w:val="left"/>
              <w:rPr>
                <w:rFonts w:ascii="Times New Roman" w:hAnsi="Times New Roman" w:cs="Times New Roman" w:eastAsia="Times New Roman" w:hint="default"/>
                <w:sz w:val="18"/>
                <w:szCs w:val="18"/>
              </w:rPr>
            </w:pPr>
            <w:r>
              <w:rPr>
                <w:rFonts w:ascii="Times New Roman"/>
                <w:sz w:val="18"/>
              </w:rPr>
              <w:t>108,466,2</w:t>
            </w:r>
          </w:p>
          <w:p>
            <w:pPr>
              <w:pStyle w:val="TableParagraph"/>
              <w:spacing w:line="240" w:lineRule="auto" w:before="105"/>
              <w:ind w:left="365" w:right="0"/>
              <w:jc w:val="left"/>
              <w:rPr>
                <w:rFonts w:ascii="Times New Roman" w:hAnsi="Times New Roman" w:cs="Times New Roman" w:eastAsia="Times New Roman" w:hint="default"/>
                <w:sz w:val="18"/>
                <w:szCs w:val="18"/>
              </w:rPr>
            </w:pPr>
            <w:r>
              <w:rPr>
                <w:rFonts w:ascii="Times New Roman"/>
                <w:sz w:val="18"/>
              </w:rPr>
              <w:t>64.03</w:t>
            </w:r>
          </w:p>
        </w:tc>
        <w:tc>
          <w:tcPr>
            <w:tcW w:w="797" w:type="dxa"/>
            <w:vMerge w:val="restart"/>
            <w:tcBorders>
              <w:top w:val="single" w:sz="4" w:space="0" w:color="000000"/>
              <w:left w:val="single" w:sz="4" w:space="0" w:color="000000"/>
              <w:right w:val="single" w:sz="4" w:space="0" w:color="FFFFFF"/>
            </w:tcBorders>
          </w:tcPr>
          <w:p>
            <w:pPr/>
          </w:p>
        </w:tc>
        <w:tc>
          <w:tcPr>
            <w:tcW w:w="926" w:type="dxa"/>
            <w:vMerge w:val="restart"/>
            <w:tcBorders>
              <w:top w:val="single" w:sz="4" w:space="0" w:color="000000"/>
              <w:left w:val="single" w:sz="4" w:space="0" w:color="FFFFFF"/>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1,210,193,3</w:t>
            </w:r>
          </w:p>
          <w:p>
            <w:pPr>
              <w:pStyle w:val="TableParagraph"/>
              <w:spacing w:line="240" w:lineRule="auto" w:before="105"/>
              <w:ind w:left="499" w:right="0"/>
              <w:jc w:val="left"/>
              <w:rPr>
                <w:rFonts w:ascii="Times New Roman" w:hAnsi="Times New Roman" w:cs="Times New Roman" w:eastAsia="Times New Roman" w:hint="default"/>
                <w:sz w:val="18"/>
                <w:szCs w:val="18"/>
              </w:rPr>
            </w:pPr>
            <w:r>
              <w:rPr>
                <w:rFonts w:ascii="Times New Roman"/>
                <w:sz w:val="18"/>
              </w:rPr>
              <w:t>12.11</w:t>
            </w:r>
          </w:p>
        </w:tc>
      </w:tr>
      <w:tr>
        <w:trPr>
          <w:trHeight w:val="701" w:hRule="exact"/>
        </w:trPr>
        <w:tc>
          <w:tcPr>
            <w:tcW w:w="121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54"/>
              <w:ind w:left="11" w:right="5"/>
              <w:jc w:val="left"/>
              <w:rPr>
                <w:rFonts w:ascii="宋体" w:hAnsi="宋体" w:cs="宋体" w:eastAsia="宋体" w:hint="default"/>
                <w:sz w:val="18"/>
                <w:szCs w:val="18"/>
              </w:rPr>
            </w:pPr>
            <w:r>
              <w:rPr>
                <w:rFonts w:ascii="宋体" w:hAnsi="宋体" w:cs="宋体" w:eastAsia="宋体" w:hint="default"/>
                <w:spacing w:val="-14"/>
                <w:w w:val="101"/>
                <w:sz w:val="18"/>
                <w:szCs w:val="18"/>
              </w:rPr>
              <w:t>二、本年期初余</w:t>
            </w:r>
            <w:r>
              <w:rPr>
                <w:rFonts w:ascii="宋体" w:hAnsi="宋体" w:cs="宋体" w:eastAsia="宋体" w:hint="default"/>
                <w:w w:val="101"/>
                <w:sz w:val="18"/>
                <w:szCs w:val="18"/>
              </w:rPr>
              <w:t> </w:t>
            </w:r>
            <w:r>
              <w:rPr>
                <w:rFonts w:ascii="宋体" w:hAnsi="宋体" w:cs="宋体" w:eastAsia="宋体" w:hint="default"/>
                <w:sz w:val="18"/>
                <w:szCs w:val="18"/>
              </w:rPr>
              <w:t>额</w:t>
            </w:r>
          </w:p>
        </w:tc>
        <w:tc>
          <w:tcPr>
            <w:tcW w:w="602" w:type="dxa"/>
            <w:vMerge/>
            <w:tcBorders>
              <w:left w:val="single" w:sz="10" w:space="0" w:color="D2D2D2"/>
              <w:right w:val="single" w:sz="4" w:space="0" w:color="000000"/>
            </w:tcBorders>
          </w:tcPr>
          <w:p>
            <w:pPr/>
          </w:p>
        </w:tc>
        <w:tc>
          <w:tcPr>
            <w:tcW w:w="572"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2"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7"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783" w:type="dxa"/>
            <w:vMerge/>
            <w:tcBorders>
              <w:left w:val="single" w:sz="4" w:space="0" w:color="000000"/>
              <w:right w:val="single" w:sz="4" w:space="0" w:color="FFFFFF"/>
            </w:tcBorders>
          </w:tcPr>
          <w:p>
            <w:pPr/>
          </w:p>
        </w:tc>
        <w:tc>
          <w:tcPr>
            <w:tcW w:w="662" w:type="dxa"/>
            <w:vMerge/>
            <w:tcBorders>
              <w:left w:val="single" w:sz="4" w:space="0" w:color="FFFFFF"/>
              <w:right w:val="single" w:sz="4" w:space="0" w:color="000000"/>
            </w:tcBorders>
          </w:tcPr>
          <w:p>
            <w:pPr/>
          </w:p>
        </w:tc>
        <w:tc>
          <w:tcPr>
            <w:tcW w:w="802" w:type="dxa"/>
            <w:vMerge/>
            <w:tcBorders>
              <w:left w:val="single" w:sz="4" w:space="0" w:color="000000"/>
              <w:right w:val="single" w:sz="4" w:space="0" w:color="000000"/>
            </w:tcBorders>
          </w:tcPr>
          <w:p>
            <w:pPr/>
          </w:p>
        </w:tc>
        <w:tc>
          <w:tcPr>
            <w:tcW w:w="797" w:type="dxa"/>
            <w:vMerge/>
            <w:tcBorders>
              <w:left w:val="single" w:sz="4" w:space="0" w:color="000000"/>
              <w:right w:val="single" w:sz="4" w:space="0" w:color="FFFFFF"/>
            </w:tcBorders>
          </w:tcPr>
          <w:p>
            <w:pPr/>
          </w:p>
        </w:tc>
        <w:tc>
          <w:tcPr>
            <w:tcW w:w="926" w:type="dxa"/>
            <w:vMerge/>
            <w:tcBorders>
              <w:left w:val="single" w:sz="4" w:space="0" w:color="FFFFFF"/>
              <w:right w:val="single" w:sz="4" w:space="0" w:color="000000"/>
            </w:tcBorders>
          </w:tcPr>
          <w:p>
            <w:pPr/>
          </w:p>
        </w:tc>
      </w:tr>
      <w:tr>
        <w:trPr>
          <w:trHeight w:val="163" w:hRule="exact"/>
        </w:trPr>
        <w:tc>
          <w:tcPr>
            <w:tcW w:w="1210" w:type="dxa"/>
            <w:tcBorders>
              <w:top w:val="nil" w:sz="6" w:space="0" w:color="auto"/>
              <w:left w:val="single" w:sz="4" w:space="0" w:color="000000"/>
              <w:bottom w:val="single" w:sz="4" w:space="0" w:color="000000"/>
              <w:right w:val="single" w:sz="4" w:space="0" w:color="000000"/>
            </w:tcBorders>
            <w:shd w:val="clear" w:color="auto" w:fill="D2D2D2"/>
          </w:tcPr>
          <w:p>
            <w:pPr/>
          </w:p>
        </w:tc>
        <w:tc>
          <w:tcPr>
            <w:tcW w:w="602" w:type="dxa"/>
            <w:vMerge/>
            <w:tcBorders>
              <w:left w:val="single" w:sz="10" w:space="0" w:color="D2D2D2"/>
              <w:bottom w:val="single" w:sz="4" w:space="0" w:color="000000"/>
              <w:right w:val="single" w:sz="4" w:space="0" w:color="000000"/>
            </w:tcBorders>
          </w:tcPr>
          <w:p>
            <w:pPr/>
          </w:p>
        </w:tc>
        <w:tc>
          <w:tcPr>
            <w:tcW w:w="572"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2" w:type="dxa"/>
            <w:vMerge/>
            <w:tcBorders>
              <w:left w:val="single" w:sz="4" w:space="0" w:color="000000"/>
              <w:bottom w:val="single" w:sz="4" w:space="0" w:color="000000"/>
              <w:right w:val="single" w:sz="4" w:space="0" w:color="000000"/>
            </w:tcBorders>
          </w:tcPr>
          <w:p>
            <w:pPr/>
          </w:p>
        </w:tc>
        <w:tc>
          <w:tcPr>
            <w:tcW w:w="682" w:type="dxa"/>
            <w:vMerge/>
            <w:tcBorders>
              <w:left w:val="single" w:sz="4" w:space="0" w:color="000000"/>
              <w:bottom w:val="single" w:sz="4" w:space="0" w:color="000000"/>
              <w:right w:val="single" w:sz="4" w:space="0" w:color="000000"/>
            </w:tcBorders>
          </w:tcPr>
          <w:p>
            <w:pPr/>
          </w:p>
        </w:tc>
        <w:tc>
          <w:tcPr>
            <w:tcW w:w="687"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783" w:type="dxa"/>
            <w:vMerge/>
            <w:tcBorders>
              <w:left w:val="single" w:sz="4" w:space="0" w:color="000000"/>
              <w:bottom w:val="single" w:sz="4" w:space="0" w:color="000000"/>
              <w:right w:val="single" w:sz="4" w:space="0" w:color="FFFFFF"/>
            </w:tcBorders>
          </w:tcPr>
          <w:p>
            <w:pPr/>
          </w:p>
        </w:tc>
        <w:tc>
          <w:tcPr>
            <w:tcW w:w="662" w:type="dxa"/>
            <w:vMerge/>
            <w:tcBorders>
              <w:left w:val="single" w:sz="4" w:space="0" w:color="FFFFFF"/>
              <w:bottom w:val="single" w:sz="4" w:space="0" w:color="000000"/>
              <w:right w:val="single" w:sz="4" w:space="0" w:color="000000"/>
            </w:tcBorders>
          </w:tcPr>
          <w:p>
            <w:pPr/>
          </w:p>
        </w:tc>
        <w:tc>
          <w:tcPr>
            <w:tcW w:w="802"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FFFFFF"/>
            </w:tcBorders>
          </w:tcPr>
          <w:p>
            <w:pPr/>
          </w:p>
        </w:tc>
        <w:tc>
          <w:tcPr>
            <w:tcW w:w="926" w:type="dxa"/>
            <w:vMerge/>
            <w:tcBorders>
              <w:left w:val="single" w:sz="4" w:space="0" w:color="FFFFFF"/>
              <w:bottom w:val="single" w:sz="4" w:space="0" w:color="000000"/>
              <w:right w:val="single" w:sz="4" w:space="0" w:color="000000"/>
            </w:tcBorders>
          </w:tcPr>
          <w:p>
            <w:pPr/>
          </w:p>
        </w:tc>
      </w:tr>
    </w:tbl>
    <w:p>
      <w:pPr>
        <w:spacing w:after="0"/>
        <w:sectPr>
          <w:pgSz w:w="11910" w:h="16840"/>
          <w:pgMar w:header="871" w:footer="1186" w:top="1100" w:bottom="138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48" w:type="dxa"/>
        <w:tblLayout w:type="fixed"/>
        <w:tblCellMar>
          <w:top w:w="0" w:type="dxa"/>
          <w:left w:w="0" w:type="dxa"/>
          <w:bottom w:w="0" w:type="dxa"/>
          <w:right w:w="0" w:type="dxa"/>
        </w:tblCellMar>
        <w:tblLook w:val="01E0"/>
      </w:tblPr>
      <w:tblGrid>
        <w:gridCol w:w="1229"/>
        <w:gridCol w:w="595"/>
        <w:gridCol w:w="572"/>
        <w:gridCol w:w="576"/>
        <w:gridCol w:w="572"/>
        <w:gridCol w:w="682"/>
        <w:gridCol w:w="687"/>
        <w:gridCol w:w="686"/>
        <w:gridCol w:w="783"/>
        <w:gridCol w:w="662"/>
        <w:gridCol w:w="802"/>
        <w:gridCol w:w="797"/>
        <w:gridCol w:w="926"/>
      </w:tblGrid>
      <w:tr>
        <w:trPr>
          <w:trHeight w:val="1027" w:hRule="exact"/>
        </w:trPr>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12"/>
              <w:jc w:val="both"/>
              <w:rPr>
                <w:rFonts w:ascii="宋体" w:hAnsi="宋体" w:cs="宋体" w:eastAsia="宋体" w:hint="default"/>
                <w:sz w:val="18"/>
                <w:szCs w:val="18"/>
              </w:rPr>
            </w:pPr>
            <w:r>
              <w:rPr>
                <w:rFonts w:ascii="宋体" w:hAnsi="宋体" w:cs="宋体" w:eastAsia="宋体" w:hint="default"/>
                <w:spacing w:val="-14"/>
                <w:w w:val="101"/>
                <w:sz w:val="18"/>
                <w:szCs w:val="18"/>
              </w:rPr>
              <w:t>三、本期增减变</w:t>
            </w:r>
            <w:r>
              <w:rPr>
                <w:rFonts w:ascii="宋体" w:hAnsi="宋体" w:cs="宋体" w:eastAsia="宋体" w:hint="default"/>
                <w:w w:val="101"/>
                <w:sz w:val="18"/>
                <w:szCs w:val="18"/>
              </w:rPr>
              <w:t> </w:t>
            </w:r>
            <w:r>
              <w:rPr>
                <w:rFonts w:ascii="宋体" w:hAnsi="宋体" w:cs="宋体" w:eastAsia="宋体" w:hint="default"/>
                <w:spacing w:val="-14"/>
                <w:w w:val="101"/>
                <w:sz w:val="18"/>
                <w:szCs w:val="18"/>
              </w:rPr>
              <w:t>动金额（减少以</w:t>
            </w:r>
            <w:r>
              <w:rPr>
                <w:rFonts w:ascii="宋体" w:hAnsi="宋体" w:cs="宋体" w:eastAsia="宋体" w:hint="default"/>
                <w:w w:val="101"/>
                <w:sz w:val="18"/>
                <w:szCs w:val="18"/>
              </w:rPr>
              <w:t> </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595"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408,334</w:t>
            </w:r>
          </w:p>
          <w:p>
            <w:pPr>
              <w:pStyle w:val="TableParagraph"/>
              <w:spacing w:line="240" w:lineRule="auto" w:before="105"/>
              <w:ind w:left="427" w:right="0"/>
              <w:jc w:val="left"/>
              <w:rPr>
                <w:rFonts w:ascii="Times New Roman" w:hAnsi="Times New Roman" w:cs="Times New Roman" w:eastAsia="Times New Roman" w:hint="default"/>
                <w:sz w:val="18"/>
                <w:szCs w:val="18"/>
              </w:rPr>
            </w:pPr>
            <w:r>
              <w:rPr>
                <w:rFonts w:ascii="Times New Roman"/>
                <w:sz w:val="18"/>
              </w:rPr>
              <w:t>.00</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33" w:right="0"/>
              <w:jc w:val="center"/>
              <w:rPr>
                <w:rFonts w:ascii="Times New Roman" w:hAnsi="Times New Roman" w:cs="Times New Roman" w:eastAsia="Times New Roman" w:hint="default"/>
                <w:sz w:val="18"/>
                <w:szCs w:val="18"/>
              </w:rPr>
            </w:pPr>
            <w:r>
              <w:rPr>
                <w:rFonts w:ascii="Times New Roman"/>
                <w:sz w:val="18"/>
              </w:rPr>
              <w:t>-8,009,1</w:t>
            </w:r>
          </w:p>
          <w:p>
            <w:pPr>
              <w:pStyle w:val="TableParagraph"/>
              <w:spacing w:line="240" w:lineRule="auto" w:before="105"/>
              <w:ind w:left="230" w:right="0"/>
              <w:jc w:val="center"/>
              <w:rPr>
                <w:rFonts w:ascii="Times New Roman" w:hAnsi="Times New Roman" w:cs="Times New Roman" w:eastAsia="Times New Roman" w:hint="default"/>
                <w:sz w:val="18"/>
                <w:szCs w:val="18"/>
              </w:rPr>
            </w:pPr>
            <w:r>
              <w:rPr>
                <w:rFonts w:ascii="Times New Roman"/>
                <w:sz w:val="18"/>
              </w:rPr>
              <w:t>24.90</w:t>
            </w: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81" w:right="0"/>
              <w:jc w:val="center"/>
              <w:rPr>
                <w:rFonts w:ascii="Times New Roman" w:hAnsi="Times New Roman" w:cs="Times New Roman" w:eastAsia="Times New Roman" w:hint="default"/>
                <w:sz w:val="18"/>
                <w:szCs w:val="18"/>
              </w:rPr>
            </w:pPr>
            <w:r>
              <w:rPr>
                <w:rFonts w:ascii="Times New Roman"/>
                <w:sz w:val="18"/>
              </w:rPr>
              <w:t>1,640,3</w:t>
            </w:r>
          </w:p>
          <w:p>
            <w:pPr>
              <w:pStyle w:val="TableParagraph"/>
              <w:spacing w:line="240" w:lineRule="auto" w:before="105"/>
              <w:ind w:left="215" w:right="0"/>
              <w:jc w:val="center"/>
              <w:rPr>
                <w:rFonts w:ascii="Times New Roman" w:hAnsi="Times New Roman" w:cs="Times New Roman" w:eastAsia="Times New Roman" w:hint="default"/>
                <w:sz w:val="18"/>
                <w:szCs w:val="18"/>
              </w:rPr>
            </w:pPr>
            <w:r>
              <w:rPr>
                <w:rFonts w:ascii="Times New Roman"/>
                <w:sz w:val="18"/>
              </w:rPr>
              <w:t>80.35</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48" w:right="0"/>
              <w:jc w:val="left"/>
              <w:rPr>
                <w:rFonts w:ascii="Times New Roman" w:hAnsi="Times New Roman" w:cs="Times New Roman" w:eastAsia="Times New Roman" w:hint="default"/>
                <w:sz w:val="18"/>
                <w:szCs w:val="18"/>
              </w:rPr>
            </w:pPr>
            <w:r>
              <w:rPr>
                <w:rFonts w:ascii="Times New Roman"/>
                <w:sz w:val="18"/>
              </w:rPr>
              <w:t>14,763,42</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3.14</w:t>
            </w: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8,803,012.5</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tc>
      </w:tr>
      <w:tr>
        <w:trPr>
          <w:trHeight w:val="711" w:hRule="exact"/>
        </w:trPr>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4"/>
              <w:ind w:left="24" w:right="12"/>
              <w:jc w:val="left"/>
              <w:rPr>
                <w:rFonts w:ascii="宋体" w:hAnsi="宋体" w:cs="宋体" w:eastAsia="宋体" w:hint="default"/>
                <w:sz w:val="18"/>
                <w:szCs w:val="18"/>
              </w:rPr>
            </w:pPr>
            <w:r>
              <w:rPr>
                <w:rFonts w:ascii="宋体" w:hAnsi="宋体" w:cs="宋体" w:eastAsia="宋体" w:hint="default"/>
                <w:spacing w:val="-14"/>
                <w:w w:val="101"/>
                <w:sz w:val="18"/>
                <w:szCs w:val="18"/>
              </w:rPr>
              <w:t>（一）综合收益</w:t>
            </w:r>
            <w:r>
              <w:rPr>
                <w:rFonts w:ascii="宋体" w:hAnsi="宋体" w:cs="宋体" w:eastAsia="宋体" w:hint="default"/>
                <w:w w:val="101"/>
                <w:sz w:val="18"/>
                <w:szCs w:val="18"/>
              </w:rPr>
              <w:t> </w:t>
            </w:r>
            <w:r>
              <w:rPr>
                <w:rFonts w:ascii="宋体" w:hAnsi="宋体" w:cs="宋体" w:eastAsia="宋体" w:hint="default"/>
                <w:sz w:val="18"/>
                <w:szCs w:val="18"/>
              </w:rPr>
              <w:t>总额</w:t>
            </w:r>
          </w:p>
        </w:tc>
        <w:tc>
          <w:tcPr>
            <w:tcW w:w="595"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3" w:right="0"/>
              <w:jc w:val="center"/>
              <w:rPr>
                <w:rFonts w:ascii="Times New Roman" w:hAnsi="Times New Roman" w:cs="Times New Roman" w:eastAsia="Times New Roman" w:hint="default"/>
                <w:sz w:val="18"/>
                <w:szCs w:val="18"/>
              </w:rPr>
            </w:pPr>
            <w:r>
              <w:rPr>
                <w:rFonts w:ascii="Times New Roman"/>
                <w:sz w:val="18"/>
              </w:rPr>
              <w:t>-8,009,1</w:t>
            </w:r>
          </w:p>
          <w:p>
            <w:pPr>
              <w:pStyle w:val="TableParagraph"/>
              <w:spacing w:line="240" w:lineRule="auto" w:before="105"/>
              <w:ind w:left="230" w:right="0"/>
              <w:jc w:val="center"/>
              <w:rPr>
                <w:rFonts w:ascii="Times New Roman" w:hAnsi="Times New Roman" w:cs="Times New Roman" w:eastAsia="Times New Roman" w:hint="default"/>
                <w:sz w:val="18"/>
                <w:szCs w:val="18"/>
              </w:rPr>
            </w:pPr>
            <w:r>
              <w:rPr>
                <w:rFonts w:ascii="Times New Roman"/>
                <w:sz w:val="18"/>
              </w:rPr>
              <w:t>24.90</w:t>
            </w: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8" w:right="0"/>
              <w:jc w:val="left"/>
              <w:rPr>
                <w:rFonts w:ascii="Times New Roman" w:hAnsi="Times New Roman" w:cs="Times New Roman" w:eastAsia="Times New Roman" w:hint="default"/>
                <w:sz w:val="18"/>
                <w:szCs w:val="18"/>
              </w:rPr>
            </w:pPr>
            <w:r>
              <w:rPr>
                <w:rFonts w:ascii="Times New Roman"/>
                <w:sz w:val="18"/>
              </w:rPr>
              <w:t>16,403,80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3.49</w:t>
            </w: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8,394,678.5</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tc>
      </w:tr>
      <w:tr>
        <w:trPr>
          <w:trHeight w:val="715" w:hRule="exact"/>
        </w:trPr>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8"/>
              <w:ind w:left="24" w:right="12"/>
              <w:jc w:val="left"/>
              <w:rPr>
                <w:rFonts w:ascii="宋体" w:hAnsi="宋体" w:cs="宋体" w:eastAsia="宋体" w:hint="default"/>
                <w:sz w:val="18"/>
                <w:szCs w:val="18"/>
              </w:rPr>
            </w:pPr>
            <w:r>
              <w:rPr>
                <w:rFonts w:ascii="宋体" w:hAnsi="宋体" w:cs="宋体" w:eastAsia="宋体" w:hint="default"/>
                <w:spacing w:val="-14"/>
                <w:w w:val="101"/>
                <w:sz w:val="18"/>
                <w:szCs w:val="18"/>
              </w:rPr>
              <w:t>（二）所有者投</w:t>
            </w:r>
            <w:r>
              <w:rPr>
                <w:rFonts w:ascii="宋体" w:hAnsi="宋体" w:cs="宋体" w:eastAsia="宋体" w:hint="default"/>
                <w:w w:val="101"/>
                <w:sz w:val="18"/>
                <w:szCs w:val="18"/>
              </w:rPr>
              <w:t> </w:t>
            </w:r>
            <w:r>
              <w:rPr>
                <w:rFonts w:ascii="宋体" w:hAnsi="宋体" w:cs="宋体" w:eastAsia="宋体" w:hint="default"/>
                <w:sz w:val="18"/>
                <w:szCs w:val="18"/>
              </w:rPr>
              <w:t>入和减少资本</w:t>
            </w:r>
          </w:p>
        </w:tc>
        <w:tc>
          <w:tcPr>
            <w:tcW w:w="595"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67" w:right="0"/>
              <w:jc w:val="left"/>
              <w:rPr>
                <w:rFonts w:ascii="Times New Roman" w:hAnsi="Times New Roman" w:cs="Times New Roman" w:eastAsia="Times New Roman" w:hint="default"/>
                <w:sz w:val="18"/>
                <w:szCs w:val="18"/>
              </w:rPr>
            </w:pPr>
            <w:r>
              <w:rPr>
                <w:rFonts w:ascii="Times New Roman"/>
                <w:sz w:val="18"/>
              </w:rPr>
              <w:t>408,334</w:t>
            </w:r>
          </w:p>
          <w:p>
            <w:pPr>
              <w:pStyle w:val="TableParagraph"/>
              <w:spacing w:line="240" w:lineRule="auto" w:before="105"/>
              <w:ind w:left="427" w:right="0"/>
              <w:jc w:val="left"/>
              <w:rPr>
                <w:rFonts w:ascii="Times New Roman" w:hAnsi="Times New Roman" w:cs="Times New Roman" w:eastAsia="Times New Roman" w:hint="default"/>
                <w:sz w:val="18"/>
                <w:szCs w:val="18"/>
              </w:rPr>
            </w:pPr>
            <w:r>
              <w:rPr>
                <w:rFonts w:ascii="Times New Roman"/>
                <w:sz w:val="18"/>
              </w:rPr>
              <w:t>.00</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408,334.00</w:t>
            </w:r>
          </w:p>
        </w:tc>
      </w:tr>
      <w:tr>
        <w:trPr>
          <w:trHeight w:val="716" w:hRule="exact"/>
        </w:trPr>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4" w:lineRule="auto" w:before="53"/>
              <w:ind w:left="24" w:right="17"/>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．所有者投入</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的普通股</w:t>
            </w:r>
          </w:p>
        </w:tc>
        <w:tc>
          <w:tcPr>
            <w:tcW w:w="595"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3"/>
              <w:ind w:left="24" w:right="17"/>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．其他权益工</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具持有者投入</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资本</w:t>
            </w:r>
          </w:p>
        </w:tc>
        <w:tc>
          <w:tcPr>
            <w:tcW w:w="595"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r>
      <w:tr>
        <w:trPr>
          <w:trHeight w:val="1023" w:hRule="exact"/>
        </w:trPr>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4"/>
              <w:ind w:left="24" w:right="17"/>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．股份支付计</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入所有者权益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的金额</w:t>
            </w:r>
          </w:p>
        </w:tc>
        <w:tc>
          <w:tcPr>
            <w:tcW w:w="595"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95"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67" w:right="0"/>
              <w:jc w:val="left"/>
              <w:rPr>
                <w:rFonts w:ascii="Times New Roman" w:hAnsi="Times New Roman" w:cs="Times New Roman" w:eastAsia="Times New Roman" w:hint="default"/>
                <w:sz w:val="18"/>
                <w:szCs w:val="18"/>
              </w:rPr>
            </w:pPr>
            <w:r>
              <w:rPr>
                <w:rFonts w:ascii="Times New Roman"/>
                <w:sz w:val="18"/>
              </w:rPr>
              <w:t>408,334</w:t>
            </w:r>
          </w:p>
          <w:p>
            <w:pPr>
              <w:pStyle w:val="TableParagraph"/>
              <w:spacing w:line="240" w:lineRule="auto" w:before="105"/>
              <w:ind w:left="427" w:right="0"/>
              <w:jc w:val="left"/>
              <w:rPr>
                <w:rFonts w:ascii="Times New Roman" w:hAnsi="Times New Roman" w:cs="Times New Roman" w:eastAsia="Times New Roman" w:hint="default"/>
                <w:sz w:val="18"/>
                <w:szCs w:val="18"/>
              </w:rPr>
            </w:pPr>
            <w:r>
              <w:rPr>
                <w:rFonts w:ascii="Times New Roman"/>
                <w:sz w:val="18"/>
              </w:rPr>
              <w:t>.00</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408,334.00</w:t>
            </w:r>
          </w:p>
        </w:tc>
      </w:tr>
      <w:tr>
        <w:trPr>
          <w:trHeight w:val="716" w:hRule="exact"/>
        </w:trPr>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1"/>
                <w:sz w:val="18"/>
                <w:szCs w:val="18"/>
              </w:rPr>
              <w:t>（三</w:t>
            </w:r>
            <w:r>
              <w:rPr>
                <w:rFonts w:ascii="宋体" w:hAnsi="宋体" w:cs="宋体" w:eastAsia="宋体" w:hint="default"/>
                <w:spacing w:val="-92"/>
                <w:w w:val="101"/>
                <w:sz w:val="18"/>
                <w:szCs w:val="18"/>
              </w:rPr>
              <w:t>）</w:t>
            </w:r>
            <w:r>
              <w:rPr>
                <w:rFonts w:ascii="宋体" w:hAnsi="宋体" w:cs="宋体" w:eastAsia="宋体" w:hint="default"/>
                <w:w w:val="101"/>
                <w:sz w:val="18"/>
                <w:szCs w:val="18"/>
              </w:rPr>
              <w:t>利</w:t>
            </w:r>
            <w:r>
              <w:rPr>
                <w:rFonts w:ascii="宋体" w:hAnsi="宋体" w:cs="宋体" w:eastAsia="宋体" w:hint="default"/>
                <w:spacing w:val="-5"/>
                <w:w w:val="101"/>
                <w:sz w:val="18"/>
                <w:szCs w:val="18"/>
              </w:rPr>
              <w:t>润</w:t>
            </w:r>
            <w:r>
              <w:rPr>
                <w:rFonts w:ascii="宋体" w:hAnsi="宋体" w:cs="宋体" w:eastAsia="宋体" w:hint="default"/>
                <w:w w:val="101"/>
                <w:sz w:val="18"/>
                <w:szCs w:val="18"/>
              </w:rPr>
              <w:t>分配</w:t>
            </w:r>
            <w:r>
              <w:rPr>
                <w:rFonts w:ascii="宋体" w:hAnsi="宋体" w:cs="宋体" w:eastAsia="宋体" w:hint="default"/>
                <w:sz w:val="18"/>
                <w:szCs w:val="18"/>
              </w:rPr>
            </w:r>
          </w:p>
        </w:tc>
        <w:tc>
          <w:tcPr>
            <w:tcW w:w="595"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81" w:right="0"/>
              <w:jc w:val="center"/>
              <w:rPr>
                <w:rFonts w:ascii="Times New Roman" w:hAnsi="Times New Roman" w:cs="Times New Roman" w:eastAsia="Times New Roman" w:hint="default"/>
                <w:sz w:val="18"/>
                <w:szCs w:val="18"/>
              </w:rPr>
            </w:pPr>
            <w:r>
              <w:rPr>
                <w:rFonts w:ascii="Times New Roman"/>
                <w:sz w:val="18"/>
              </w:rPr>
              <w:t>1,640,3</w:t>
            </w:r>
          </w:p>
          <w:p>
            <w:pPr>
              <w:pStyle w:val="TableParagraph"/>
              <w:spacing w:line="240" w:lineRule="auto" w:before="110"/>
              <w:ind w:left="215" w:right="0"/>
              <w:jc w:val="center"/>
              <w:rPr>
                <w:rFonts w:ascii="Times New Roman" w:hAnsi="Times New Roman" w:cs="Times New Roman" w:eastAsia="Times New Roman" w:hint="default"/>
                <w:sz w:val="18"/>
                <w:szCs w:val="18"/>
              </w:rPr>
            </w:pPr>
            <w:r>
              <w:rPr>
                <w:rFonts w:ascii="Times New Roman"/>
                <w:sz w:val="18"/>
              </w:rPr>
              <w:t>80.35</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7" w:right="0"/>
              <w:jc w:val="left"/>
              <w:rPr>
                <w:rFonts w:ascii="Times New Roman" w:hAnsi="Times New Roman" w:cs="Times New Roman" w:eastAsia="Times New Roman" w:hint="default"/>
                <w:sz w:val="18"/>
                <w:szCs w:val="18"/>
              </w:rPr>
            </w:pPr>
            <w:r>
              <w:rPr>
                <w:rFonts w:ascii="Times New Roman"/>
                <w:sz w:val="18"/>
              </w:rPr>
              <w:t>-1,640,38</w:t>
            </w:r>
          </w:p>
          <w:p>
            <w:pPr>
              <w:pStyle w:val="TableParagraph"/>
              <w:spacing w:line="240" w:lineRule="auto" w:before="110"/>
              <w:ind w:left="451" w:right="0"/>
              <w:jc w:val="left"/>
              <w:rPr>
                <w:rFonts w:ascii="Times New Roman" w:hAnsi="Times New Roman" w:cs="Times New Roman" w:eastAsia="Times New Roman" w:hint="default"/>
                <w:sz w:val="18"/>
                <w:szCs w:val="18"/>
              </w:rPr>
            </w:pPr>
            <w:r>
              <w:rPr>
                <w:rFonts w:ascii="Times New Roman"/>
                <w:sz w:val="18"/>
              </w:rPr>
              <w:t>0.35</w:t>
            </w: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24" w:right="17"/>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．提取盈余公</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积</w:t>
            </w:r>
          </w:p>
        </w:tc>
        <w:tc>
          <w:tcPr>
            <w:tcW w:w="595"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81" w:right="0"/>
              <w:jc w:val="center"/>
              <w:rPr>
                <w:rFonts w:ascii="Times New Roman" w:hAnsi="Times New Roman" w:cs="Times New Roman" w:eastAsia="Times New Roman" w:hint="default"/>
                <w:sz w:val="18"/>
                <w:szCs w:val="18"/>
              </w:rPr>
            </w:pPr>
            <w:r>
              <w:rPr>
                <w:rFonts w:ascii="Times New Roman"/>
                <w:sz w:val="18"/>
              </w:rPr>
              <w:t>1,640,3</w:t>
            </w:r>
          </w:p>
          <w:p>
            <w:pPr>
              <w:pStyle w:val="TableParagraph"/>
              <w:spacing w:line="240" w:lineRule="auto" w:before="105"/>
              <w:ind w:left="215" w:right="0"/>
              <w:jc w:val="center"/>
              <w:rPr>
                <w:rFonts w:ascii="Times New Roman" w:hAnsi="Times New Roman" w:cs="Times New Roman" w:eastAsia="Times New Roman" w:hint="default"/>
                <w:sz w:val="18"/>
                <w:szCs w:val="18"/>
              </w:rPr>
            </w:pPr>
            <w:r>
              <w:rPr>
                <w:rFonts w:ascii="Times New Roman"/>
                <w:sz w:val="18"/>
              </w:rPr>
              <w:t>80.35</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7" w:right="0"/>
              <w:jc w:val="left"/>
              <w:rPr>
                <w:rFonts w:ascii="Times New Roman" w:hAnsi="Times New Roman" w:cs="Times New Roman" w:eastAsia="Times New Roman" w:hint="default"/>
                <w:sz w:val="18"/>
                <w:szCs w:val="18"/>
              </w:rPr>
            </w:pPr>
            <w:r>
              <w:rPr>
                <w:rFonts w:ascii="Times New Roman"/>
                <w:sz w:val="18"/>
              </w:rPr>
              <w:t>-1,640,38</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0.35</w:t>
            </w: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r>
      <w:tr>
        <w:trPr>
          <w:trHeight w:val="711" w:hRule="exact"/>
        </w:trPr>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24" w:right="12"/>
              <w:jc w:val="left"/>
              <w:rPr>
                <w:rFonts w:ascii="宋体" w:hAnsi="宋体" w:cs="宋体" w:eastAsia="宋体" w:hint="default"/>
                <w:sz w:val="18"/>
                <w:szCs w:val="18"/>
              </w:rPr>
            </w:pPr>
            <w:r>
              <w:rPr>
                <w:rFonts w:ascii="Times New Roman" w:hAnsi="Times New Roman" w:cs="Times New Roman" w:eastAsia="Times New Roman" w:hint="default"/>
                <w:spacing w:val="-24"/>
                <w:w w:val="101"/>
                <w:sz w:val="18"/>
                <w:szCs w:val="18"/>
              </w:rPr>
              <w:t>2</w:t>
            </w:r>
            <w:r>
              <w:rPr>
                <w:rFonts w:ascii="宋体" w:hAnsi="宋体" w:cs="宋体" w:eastAsia="宋体" w:hint="default"/>
                <w:spacing w:val="-24"/>
                <w:w w:val="101"/>
                <w:sz w:val="18"/>
                <w:szCs w:val="18"/>
              </w:rPr>
              <w:t>．对所有者（或</w:t>
            </w:r>
            <w:r>
              <w:rPr>
                <w:rFonts w:ascii="宋体" w:hAnsi="宋体" w:cs="宋体" w:eastAsia="宋体" w:hint="default"/>
                <w:spacing w:val="-89"/>
                <w:w w:val="101"/>
                <w:sz w:val="18"/>
                <w:szCs w:val="18"/>
              </w:rPr>
              <w:t> </w:t>
            </w:r>
            <w:r>
              <w:rPr>
                <w:rFonts w:ascii="宋体" w:hAnsi="宋体" w:cs="宋体" w:eastAsia="宋体" w:hint="default"/>
                <w:spacing w:val="-89"/>
                <w:w w:val="101"/>
                <w:sz w:val="18"/>
                <w:szCs w:val="18"/>
              </w:rPr>
            </w:r>
            <w:r>
              <w:rPr>
                <w:rFonts w:ascii="宋体" w:hAnsi="宋体" w:cs="宋体" w:eastAsia="宋体" w:hint="default"/>
                <w:sz w:val="18"/>
                <w:szCs w:val="18"/>
              </w:rPr>
              <w:t>股东）的分配</w:t>
            </w:r>
          </w:p>
        </w:tc>
        <w:tc>
          <w:tcPr>
            <w:tcW w:w="595"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595"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24" w:right="12"/>
              <w:jc w:val="left"/>
              <w:rPr>
                <w:rFonts w:ascii="宋体" w:hAnsi="宋体" w:cs="宋体" w:eastAsia="宋体" w:hint="default"/>
                <w:sz w:val="18"/>
                <w:szCs w:val="18"/>
              </w:rPr>
            </w:pPr>
            <w:r>
              <w:rPr>
                <w:rFonts w:ascii="宋体" w:hAnsi="宋体" w:cs="宋体" w:eastAsia="宋体" w:hint="default"/>
                <w:spacing w:val="-14"/>
                <w:w w:val="101"/>
                <w:sz w:val="18"/>
                <w:szCs w:val="18"/>
              </w:rPr>
              <w:t>（四）所有者权</w:t>
            </w:r>
            <w:r>
              <w:rPr>
                <w:rFonts w:ascii="宋体" w:hAnsi="宋体" w:cs="宋体" w:eastAsia="宋体" w:hint="default"/>
                <w:w w:val="101"/>
                <w:sz w:val="18"/>
                <w:szCs w:val="18"/>
              </w:rPr>
              <w:t> </w:t>
            </w:r>
            <w:r>
              <w:rPr>
                <w:rFonts w:ascii="宋体" w:hAnsi="宋体" w:cs="宋体" w:eastAsia="宋体" w:hint="default"/>
                <w:sz w:val="18"/>
                <w:szCs w:val="18"/>
              </w:rPr>
              <w:t>益内部结转</w:t>
            </w:r>
          </w:p>
        </w:tc>
        <w:tc>
          <w:tcPr>
            <w:tcW w:w="595"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3"/>
              <w:ind w:left="24" w:right="17"/>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．资本公积转</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增资本（或股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本）</w:t>
            </w:r>
          </w:p>
        </w:tc>
        <w:tc>
          <w:tcPr>
            <w:tcW w:w="595"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r>
      <w:tr>
        <w:trPr>
          <w:trHeight w:val="1023" w:hRule="exact"/>
        </w:trPr>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3"/>
              <w:ind w:left="24" w:right="17"/>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．盈余公积转</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增资本（或股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本）</w:t>
            </w:r>
          </w:p>
        </w:tc>
        <w:tc>
          <w:tcPr>
            <w:tcW w:w="595"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8"/>
              <w:ind w:left="24" w:right="17"/>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．盈余公积弥</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补亏损</w:t>
            </w:r>
          </w:p>
        </w:tc>
        <w:tc>
          <w:tcPr>
            <w:tcW w:w="595"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3"/>
              <w:ind w:left="24" w:right="17"/>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4</w:t>
            </w:r>
            <w:r>
              <w:rPr>
                <w:rFonts w:ascii="宋体" w:hAnsi="宋体" w:cs="宋体" w:eastAsia="宋体" w:hint="default"/>
                <w:spacing w:val="-2"/>
                <w:sz w:val="18"/>
                <w:szCs w:val="18"/>
              </w:rPr>
              <w:t>．设定受益计</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划变动额结转</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留存收益</w:t>
            </w:r>
          </w:p>
        </w:tc>
        <w:tc>
          <w:tcPr>
            <w:tcW w:w="595"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r>
      <w:tr>
        <w:trPr>
          <w:trHeight w:val="672" w:hRule="exact"/>
        </w:trPr>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5" w:lineRule="auto" w:before="53"/>
              <w:ind w:left="24" w:right="17"/>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5</w:t>
            </w:r>
            <w:r>
              <w:rPr>
                <w:rFonts w:ascii="宋体" w:hAnsi="宋体" w:cs="宋体" w:eastAsia="宋体" w:hint="default"/>
                <w:spacing w:val="-2"/>
                <w:sz w:val="18"/>
                <w:szCs w:val="18"/>
              </w:rPr>
              <w:t>．其他综合收</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益结转留存收</w:t>
            </w:r>
          </w:p>
        </w:tc>
        <w:tc>
          <w:tcPr>
            <w:tcW w:w="595"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1" w:footer="1186" w:top="1100" w:bottom="138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48" w:type="dxa"/>
        <w:tblLayout w:type="fixed"/>
        <w:tblCellMar>
          <w:top w:w="0" w:type="dxa"/>
          <w:left w:w="0" w:type="dxa"/>
          <w:bottom w:w="0" w:type="dxa"/>
          <w:right w:w="0" w:type="dxa"/>
        </w:tblCellMar>
        <w:tblLook w:val="01E0"/>
      </w:tblPr>
      <w:tblGrid>
        <w:gridCol w:w="1229"/>
        <w:gridCol w:w="595"/>
        <w:gridCol w:w="572"/>
        <w:gridCol w:w="576"/>
        <w:gridCol w:w="572"/>
        <w:gridCol w:w="682"/>
        <w:gridCol w:w="687"/>
        <w:gridCol w:w="686"/>
        <w:gridCol w:w="783"/>
        <w:gridCol w:w="662"/>
        <w:gridCol w:w="802"/>
        <w:gridCol w:w="797"/>
        <w:gridCol w:w="926"/>
      </w:tblGrid>
      <w:tr>
        <w:trPr>
          <w:trHeight w:val="360" w:hRule="exact"/>
        </w:trPr>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left="24" w:right="0"/>
              <w:jc w:val="left"/>
              <w:rPr>
                <w:rFonts w:ascii="宋体" w:hAnsi="宋体" w:cs="宋体" w:eastAsia="宋体" w:hint="default"/>
                <w:sz w:val="18"/>
                <w:szCs w:val="18"/>
              </w:rPr>
            </w:pPr>
            <w:r>
              <w:rPr>
                <w:rFonts w:ascii="宋体" w:hAnsi="宋体" w:cs="宋体" w:eastAsia="宋体" w:hint="default"/>
                <w:w w:val="101"/>
                <w:sz w:val="18"/>
                <w:szCs w:val="18"/>
              </w:rPr>
              <w:t>益</w:t>
            </w:r>
            <w:r>
              <w:rPr>
                <w:rFonts w:ascii="宋体" w:hAnsi="宋体" w:cs="宋体" w:eastAsia="宋体" w:hint="default"/>
                <w:sz w:val="18"/>
                <w:szCs w:val="18"/>
              </w:rPr>
            </w:r>
          </w:p>
        </w:tc>
        <w:tc>
          <w:tcPr>
            <w:tcW w:w="595"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595"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（五</w:t>
            </w:r>
            <w:r>
              <w:rPr>
                <w:rFonts w:ascii="宋体" w:hAnsi="宋体" w:cs="宋体" w:eastAsia="宋体" w:hint="default"/>
                <w:spacing w:val="-92"/>
                <w:w w:val="101"/>
                <w:sz w:val="18"/>
                <w:szCs w:val="18"/>
              </w:rPr>
              <w:t>）</w:t>
            </w:r>
            <w:r>
              <w:rPr>
                <w:rFonts w:ascii="宋体" w:hAnsi="宋体" w:cs="宋体" w:eastAsia="宋体" w:hint="default"/>
                <w:w w:val="101"/>
                <w:sz w:val="18"/>
                <w:szCs w:val="18"/>
              </w:rPr>
              <w:t>专</w:t>
            </w:r>
            <w:r>
              <w:rPr>
                <w:rFonts w:ascii="宋体" w:hAnsi="宋体" w:cs="宋体" w:eastAsia="宋体" w:hint="default"/>
                <w:spacing w:val="-5"/>
                <w:w w:val="101"/>
                <w:sz w:val="18"/>
                <w:szCs w:val="18"/>
              </w:rPr>
              <w:t>项</w:t>
            </w:r>
            <w:r>
              <w:rPr>
                <w:rFonts w:ascii="宋体" w:hAnsi="宋体" w:cs="宋体" w:eastAsia="宋体" w:hint="default"/>
                <w:w w:val="101"/>
                <w:sz w:val="18"/>
                <w:szCs w:val="18"/>
              </w:rPr>
              <w:t>储备</w:t>
            </w:r>
            <w:r>
              <w:rPr>
                <w:rFonts w:ascii="宋体" w:hAnsi="宋体" w:cs="宋体" w:eastAsia="宋体" w:hint="default"/>
                <w:sz w:val="18"/>
                <w:szCs w:val="18"/>
              </w:rPr>
            </w:r>
          </w:p>
        </w:tc>
        <w:tc>
          <w:tcPr>
            <w:tcW w:w="595"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95"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95"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95"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316" w:lineRule="auto"/>
              <w:ind w:left="24" w:right="12"/>
              <w:jc w:val="left"/>
              <w:rPr>
                <w:rFonts w:ascii="宋体" w:hAnsi="宋体" w:cs="宋体" w:eastAsia="宋体" w:hint="default"/>
                <w:sz w:val="18"/>
                <w:szCs w:val="18"/>
              </w:rPr>
            </w:pPr>
            <w:r>
              <w:rPr>
                <w:rFonts w:ascii="宋体" w:hAnsi="宋体" w:cs="宋体" w:eastAsia="宋体" w:hint="default"/>
                <w:spacing w:val="-14"/>
                <w:w w:val="101"/>
                <w:sz w:val="18"/>
                <w:szCs w:val="18"/>
              </w:rPr>
              <w:t>四、本期期末余</w:t>
            </w:r>
            <w:r>
              <w:rPr>
                <w:rFonts w:ascii="宋体" w:hAnsi="宋体" w:cs="宋体" w:eastAsia="宋体" w:hint="default"/>
                <w:w w:val="101"/>
                <w:sz w:val="18"/>
                <w:szCs w:val="18"/>
              </w:rPr>
              <w:t> </w:t>
            </w:r>
            <w:r>
              <w:rPr>
                <w:rFonts w:ascii="宋体" w:hAnsi="宋体" w:cs="宋体" w:eastAsia="宋体" w:hint="default"/>
                <w:sz w:val="18"/>
                <w:szCs w:val="18"/>
              </w:rPr>
              <w:t>额</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1" w:right="0"/>
              <w:jc w:val="left"/>
              <w:rPr>
                <w:rFonts w:ascii="Times New Roman" w:hAnsi="Times New Roman" w:cs="Times New Roman" w:eastAsia="Times New Roman" w:hint="default"/>
                <w:sz w:val="18"/>
                <w:szCs w:val="18"/>
              </w:rPr>
            </w:pPr>
            <w:r>
              <w:rPr>
                <w:rFonts w:ascii="Times New Roman"/>
                <w:sz w:val="18"/>
              </w:rPr>
              <w:t>706,64</w:t>
            </w:r>
          </w:p>
          <w:p>
            <w:pPr>
              <w:pStyle w:val="TableParagraph"/>
              <w:spacing w:line="240" w:lineRule="auto" w:before="105"/>
              <w:ind w:left="115" w:right="0"/>
              <w:jc w:val="left"/>
              <w:rPr>
                <w:rFonts w:ascii="Times New Roman" w:hAnsi="Times New Roman" w:cs="Times New Roman" w:eastAsia="Times New Roman" w:hint="default"/>
                <w:sz w:val="18"/>
                <w:szCs w:val="18"/>
              </w:rPr>
            </w:pPr>
            <w:r>
              <w:rPr>
                <w:rFonts w:ascii="Times New Roman"/>
                <w:sz w:val="18"/>
              </w:rPr>
              <w:t>0,535.</w:t>
            </w:r>
          </w:p>
          <w:p>
            <w:pPr>
              <w:pStyle w:val="TableParagraph"/>
              <w:spacing w:line="240" w:lineRule="auto" w:before="110"/>
              <w:ind w:left="388" w:right="0"/>
              <w:jc w:val="left"/>
              <w:rPr>
                <w:rFonts w:ascii="Times New Roman" w:hAnsi="Times New Roman" w:cs="Times New Roman" w:eastAsia="Times New Roman" w:hint="default"/>
                <w:sz w:val="18"/>
                <w:szCs w:val="18"/>
              </w:rPr>
            </w:pPr>
            <w:r>
              <w:rPr>
                <w:rFonts w:ascii="Times New Roman"/>
                <w:sz w:val="18"/>
              </w:rPr>
              <w:t>00</w:t>
            </w:r>
          </w:p>
        </w:tc>
        <w:tc>
          <w:tcPr>
            <w:tcW w:w="57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375,979</w:t>
            </w:r>
          </w:p>
          <w:p>
            <w:pPr>
              <w:pStyle w:val="TableParagraph"/>
              <w:spacing w:line="240" w:lineRule="auto" w:before="105"/>
              <w:ind w:left="115" w:right="0"/>
              <w:jc w:val="left"/>
              <w:rPr>
                <w:rFonts w:ascii="Times New Roman" w:hAnsi="Times New Roman" w:cs="Times New Roman" w:eastAsia="Times New Roman" w:hint="default"/>
                <w:sz w:val="18"/>
                <w:szCs w:val="18"/>
              </w:rPr>
            </w:pPr>
            <w:r>
              <w:rPr>
                <w:rFonts w:ascii="Times New Roman"/>
                <w:sz w:val="18"/>
              </w:rPr>
              <w:t>,751.21</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left="31" w:right="0"/>
              <w:jc w:val="center"/>
              <w:rPr>
                <w:rFonts w:ascii="Times New Roman" w:hAnsi="Times New Roman" w:cs="Times New Roman" w:eastAsia="Times New Roman" w:hint="default"/>
                <w:sz w:val="18"/>
                <w:szCs w:val="18"/>
              </w:rPr>
            </w:pPr>
            <w:r>
              <w:rPr>
                <w:rFonts w:ascii="Times New Roman"/>
                <w:sz w:val="18"/>
              </w:rPr>
              <w:t>-12,588,</w:t>
            </w:r>
          </w:p>
          <w:p>
            <w:pPr>
              <w:pStyle w:val="TableParagraph"/>
              <w:spacing w:line="240" w:lineRule="auto" w:before="105"/>
              <w:ind w:left="139" w:right="0"/>
              <w:jc w:val="center"/>
              <w:rPr>
                <w:rFonts w:ascii="Times New Roman" w:hAnsi="Times New Roman" w:cs="Times New Roman" w:eastAsia="Times New Roman" w:hint="default"/>
                <w:sz w:val="18"/>
                <w:szCs w:val="18"/>
              </w:rPr>
            </w:pPr>
            <w:r>
              <w:rPr>
                <w:rFonts w:ascii="Times New Roman"/>
                <w:sz w:val="18"/>
              </w:rPr>
              <w:t>336.41</w:t>
            </w: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left="95" w:right="0"/>
              <w:jc w:val="left"/>
              <w:rPr>
                <w:rFonts w:ascii="Times New Roman" w:hAnsi="Times New Roman" w:cs="Times New Roman" w:eastAsia="Times New Roman" w:hint="default"/>
                <w:sz w:val="18"/>
                <w:szCs w:val="18"/>
              </w:rPr>
            </w:pPr>
            <w:r>
              <w:rPr>
                <w:rFonts w:ascii="Times New Roman"/>
                <w:sz w:val="18"/>
              </w:rPr>
              <w:t>25,734,</w:t>
            </w:r>
          </w:p>
          <w:p>
            <w:pPr>
              <w:pStyle w:val="TableParagraph"/>
              <w:spacing w:line="240" w:lineRule="auto" w:before="105"/>
              <w:ind w:left="139" w:right="0"/>
              <w:jc w:val="left"/>
              <w:rPr>
                <w:rFonts w:ascii="Times New Roman" w:hAnsi="Times New Roman" w:cs="Times New Roman" w:eastAsia="Times New Roman" w:hint="default"/>
                <w:sz w:val="18"/>
                <w:szCs w:val="18"/>
              </w:rPr>
            </w:pPr>
            <w:r>
              <w:rPr>
                <w:rFonts w:ascii="Times New Roman"/>
                <w:sz w:val="18"/>
              </w:rPr>
              <w:t>687.73</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left="48" w:right="0"/>
              <w:jc w:val="left"/>
              <w:rPr>
                <w:rFonts w:ascii="Times New Roman" w:hAnsi="Times New Roman" w:cs="Times New Roman" w:eastAsia="Times New Roman" w:hint="default"/>
                <w:sz w:val="18"/>
                <w:szCs w:val="18"/>
              </w:rPr>
            </w:pPr>
            <w:r>
              <w:rPr>
                <w:rFonts w:ascii="Times New Roman"/>
                <w:sz w:val="18"/>
              </w:rPr>
              <w:t>123,229,6</w:t>
            </w:r>
          </w:p>
          <w:p>
            <w:pPr>
              <w:pStyle w:val="TableParagraph"/>
              <w:spacing w:line="240" w:lineRule="auto" w:before="105"/>
              <w:ind w:left="365" w:right="0"/>
              <w:jc w:val="left"/>
              <w:rPr>
                <w:rFonts w:ascii="Times New Roman" w:hAnsi="Times New Roman" w:cs="Times New Roman" w:eastAsia="Times New Roman" w:hint="default"/>
                <w:sz w:val="18"/>
                <w:szCs w:val="18"/>
              </w:rPr>
            </w:pPr>
            <w:r>
              <w:rPr>
                <w:rFonts w:ascii="Times New Roman"/>
                <w:sz w:val="18"/>
              </w:rPr>
              <w:t>87.17</w:t>
            </w: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1,218,996,3</w:t>
            </w:r>
          </w:p>
          <w:p>
            <w:pPr>
              <w:pStyle w:val="TableParagraph"/>
              <w:spacing w:line="240" w:lineRule="auto" w:before="105"/>
              <w:ind w:left="494" w:right="0"/>
              <w:jc w:val="left"/>
              <w:rPr>
                <w:rFonts w:ascii="Times New Roman" w:hAnsi="Times New Roman" w:cs="Times New Roman" w:eastAsia="Times New Roman" w:hint="default"/>
                <w:sz w:val="18"/>
                <w:szCs w:val="18"/>
              </w:rPr>
            </w:pPr>
            <w:r>
              <w:rPr>
                <w:rFonts w:ascii="Times New Roman"/>
                <w:sz w:val="18"/>
              </w:rPr>
              <w:t>24.70</w:t>
            </w:r>
          </w:p>
        </w:tc>
      </w:tr>
    </w:tbl>
    <w:p>
      <w:pPr>
        <w:spacing w:line="240" w:lineRule="auto" w:before="1"/>
        <w:rPr>
          <w:rFonts w:ascii="Times New Roman" w:hAnsi="Times New Roman" w:cs="Times New Roman" w:eastAsia="Times New Roman" w:hint="default"/>
          <w:sz w:val="20"/>
          <w:szCs w:val="20"/>
        </w:rPr>
      </w:pPr>
    </w:p>
    <w:p>
      <w:pPr>
        <w:pStyle w:val="Heading2"/>
        <w:spacing w:line="240" w:lineRule="auto" w:before="26"/>
        <w:ind w:right="0"/>
        <w:jc w:val="left"/>
        <w:rPr>
          <w:b w:val="0"/>
          <w:bCs w:val="0"/>
        </w:rPr>
      </w:pPr>
      <w:bookmarkStart w:name="三、公司基本情况" w:id="166"/>
      <w:bookmarkEnd w:id="166"/>
      <w:r>
        <w:rPr>
          <w:b w:val="0"/>
          <w:bCs w:val="0"/>
        </w:rPr>
      </w:r>
      <w:r>
        <w:rPr/>
        <w:t>三、公司基本情况</w:t>
      </w:r>
      <w:r>
        <w:rPr>
          <w:b w:val="0"/>
          <w:bCs w:val="0"/>
        </w:rPr>
      </w:r>
    </w:p>
    <w:p>
      <w:pPr>
        <w:spacing w:line="240" w:lineRule="auto" w:before="2"/>
        <w:rPr>
          <w:rFonts w:ascii="宋体" w:hAnsi="宋体" w:cs="宋体" w:eastAsia="宋体" w:hint="default"/>
          <w:b/>
          <w:bCs/>
          <w:sz w:val="33"/>
          <w:szCs w:val="33"/>
        </w:rPr>
      </w:pPr>
    </w:p>
    <w:p>
      <w:pPr>
        <w:pStyle w:val="BodyText"/>
        <w:spacing w:line="240" w:lineRule="auto"/>
        <w:ind w:left="513" w:right="0"/>
        <w:jc w:val="left"/>
      </w:pPr>
      <w:r>
        <w:rPr>
          <w:w w:val="101"/>
        </w:rPr>
        <w:t>深</w:t>
      </w:r>
      <w:r>
        <w:rPr>
          <w:spacing w:val="-5"/>
          <w:w w:val="101"/>
        </w:rPr>
        <w:t>圳</w:t>
      </w:r>
      <w:r>
        <w:rPr>
          <w:w w:val="101"/>
        </w:rPr>
        <w:t>市</w:t>
      </w:r>
      <w:r>
        <w:rPr>
          <w:spacing w:val="-5"/>
          <w:w w:val="101"/>
        </w:rPr>
        <w:t>银</w:t>
      </w:r>
      <w:r>
        <w:rPr>
          <w:w w:val="101"/>
        </w:rPr>
        <w:t>之</w:t>
      </w:r>
      <w:r>
        <w:rPr>
          <w:spacing w:val="-5"/>
          <w:w w:val="101"/>
        </w:rPr>
        <w:t>杰</w:t>
      </w:r>
      <w:r>
        <w:rPr>
          <w:w w:val="101"/>
        </w:rPr>
        <w:t>科</w:t>
      </w:r>
      <w:r>
        <w:rPr>
          <w:spacing w:val="-5"/>
          <w:w w:val="101"/>
        </w:rPr>
        <w:t>技</w:t>
      </w:r>
      <w:r>
        <w:rPr>
          <w:w w:val="101"/>
        </w:rPr>
        <w:t>股</w:t>
      </w:r>
      <w:r>
        <w:rPr>
          <w:spacing w:val="-5"/>
          <w:w w:val="101"/>
        </w:rPr>
        <w:t>份</w:t>
      </w:r>
      <w:r>
        <w:rPr>
          <w:w w:val="101"/>
        </w:rPr>
        <w:t>有</w:t>
      </w:r>
      <w:r>
        <w:rPr>
          <w:spacing w:val="-5"/>
          <w:w w:val="101"/>
        </w:rPr>
        <w:t>限</w:t>
      </w:r>
      <w:r>
        <w:rPr>
          <w:w w:val="101"/>
        </w:rPr>
        <w:t>公</w:t>
      </w:r>
      <w:r>
        <w:rPr>
          <w:spacing w:val="-82"/>
          <w:w w:val="101"/>
        </w:rPr>
        <w:t>司</w:t>
      </w:r>
      <w:r>
        <w:rPr>
          <w:w w:val="101"/>
        </w:rPr>
        <w:t>（</w:t>
      </w:r>
      <w:r>
        <w:rPr>
          <w:spacing w:val="-5"/>
          <w:w w:val="101"/>
        </w:rPr>
        <w:t>以</w:t>
      </w:r>
      <w:r>
        <w:rPr>
          <w:w w:val="101"/>
        </w:rPr>
        <w:t>下</w:t>
      </w:r>
      <w:r>
        <w:rPr>
          <w:spacing w:val="-5"/>
          <w:w w:val="101"/>
        </w:rPr>
        <w:t>简</w:t>
      </w:r>
      <w:r>
        <w:rPr>
          <w:spacing w:val="1"/>
          <w:w w:val="101"/>
        </w:rPr>
        <w:t>称</w:t>
      </w:r>
      <w:r>
        <w:rPr>
          <w:rFonts w:ascii="Times New Roman" w:hAnsi="Times New Roman" w:cs="Times New Roman" w:eastAsia="Times New Roman" w:hint="default"/>
          <w:spacing w:val="-5"/>
          <w:w w:val="101"/>
        </w:rPr>
        <w:t>“</w:t>
      </w:r>
      <w:r>
        <w:rPr>
          <w:w w:val="101"/>
        </w:rPr>
        <w:t>本</w:t>
      </w:r>
      <w:r>
        <w:rPr>
          <w:spacing w:val="-5"/>
          <w:w w:val="101"/>
        </w:rPr>
        <w:t>公</w:t>
      </w:r>
      <w:r>
        <w:rPr>
          <w:spacing w:val="-1"/>
          <w:w w:val="101"/>
        </w:rPr>
        <w:t>司</w:t>
      </w:r>
      <w:r>
        <w:rPr>
          <w:rFonts w:ascii="Times New Roman" w:hAnsi="Times New Roman" w:cs="Times New Roman" w:eastAsia="Times New Roman" w:hint="default"/>
          <w:spacing w:val="-5"/>
          <w:w w:val="101"/>
        </w:rPr>
        <w:t>”</w:t>
      </w:r>
      <w:r>
        <w:rPr>
          <w:w w:val="101"/>
        </w:rPr>
        <w:t>或</w:t>
      </w:r>
      <w:r>
        <w:rPr>
          <w:rFonts w:ascii="Times New Roman" w:hAnsi="Times New Roman" w:cs="Times New Roman" w:eastAsia="Times New Roman" w:hint="default"/>
          <w:w w:val="101"/>
        </w:rPr>
        <w:t>“</w:t>
      </w:r>
      <w:r>
        <w:rPr>
          <w:spacing w:val="-5"/>
          <w:w w:val="101"/>
        </w:rPr>
        <w:t>公</w:t>
      </w:r>
      <w:r>
        <w:rPr>
          <w:w w:val="101"/>
        </w:rPr>
        <w:t>司</w:t>
      </w:r>
      <w:r>
        <w:rPr>
          <w:rFonts w:ascii="Times New Roman" w:hAnsi="Times New Roman" w:cs="Times New Roman" w:eastAsia="Times New Roman" w:hint="default"/>
          <w:spacing w:val="-5"/>
          <w:w w:val="101"/>
        </w:rPr>
        <w:t>”</w:t>
      </w:r>
      <w:r>
        <w:rPr>
          <w:spacing w:val="-82"/>
          <w:w w:val="101"/>
        </w:rPr>
        <w:t>）</w:t>
      </w:r>
      <w:r>
        <w:rPr>
          <w:w w:val="101"/>
        </w:rPr>
        <w:t>前</w:t>
      </w:r>
      <w:r>
        <w:rPr>
          <w:spacing w:val="-5"/>
          <w:w w:val="101"/>
        </w:rPr>
        <w:t>身</w:t>
      </w:r>
      <w:r>
        <w:rPr>
          <w:w w:val="101"/>
        </w:rPr>
        <w:t>为</w:t>
      </w:r>
      <w:r>
        <w:rPr>
          <w:spacing w:val="-5"/>
          <w:w w:val="101"/>
        </w:rPr>
        <w:t>深</w:t>
      </w:r>
      <w:r>
        <w:rPr>
          <w:w w:val="101"/>
        </w:rPr>
        <w:t>圳</w:t>
      </w:r>
      <w:r>
        <w:rPr>
          <w:spacing w:val="-5"/>
          <w:w w:val="101"/>
        </w:rPr>
        <w:t>市</w:t>
      </w:r>
      <w:r>
        <w:rPr>
          <w:w w:val="101"/>
        </w:rPr>
        <w:t>银</w:t>
      </w:r>
      <w:r>
        <w:rPr>
          <w:spacing w:val="-5"/>
          <w:w w:val="101"/>
        </w:rPr>
        <w:t>之</w:t>
      </w:r>
      <w:r>
        <w:rPr>
          <w:w w:val="101"/>
        </w:rPr>
        <w:t>杰</w:t>
      </w:r>
      <w:r>
        <w:rPr>
          <w:spacing w:val="-5"/>
          <w:w w:val="101"/>
        </w:rPr>
        <w:t>科</w:t>
      </w:r>
      <w:r>
        <w:rPr>
          <w:w w:val="101"/>
        </w:rPr>
        <w:t>技</w:t>
      </w:r>
      <w:r>
        <w:rPr>
          <w:spacing w:val="-5"/>
          <w:w w:val="101"/>
        </w:rPr>
        <w:t>有</w:t>
      </w:r>
      <w:r>
        <w:rPr>
          <w:w w:val="101"/>
        </w:rPr>
        <w:t>限</w:t>
      </w:r>
      <w:r>
        <w:rPr>
          <w:spacing w:val="-5"/>
          <w:w w:val="101"/>
        </w:rPr>
        <w:t>公</w:t>
      </w:r>
      <w:r>
        <w:rPr>
          <w:w w:val="101"/>
        </w:rPr>
        <w:t>司</w:t>
      </w:r>
      <w:r>
        <w:rPr>
          <w:spacing w:val="-82"/>
          <w:w w:val="101"/>
        </w:rPr>
        <w:t>。</w:t>
      </w:r>
      <w:r>
        <w:rPr>
          <w:rFonts w:ascii="Times New Roman" w:hAnsi="Times New Roman" w:cs="Times New Roman" w:eastAsia="Times New Roman" w:hint="default"/>
          <w:w w:val="101"/>
        </w:rPr>
        <w:t>20</w:t>
      </w:r>
      <w:r>
        <w:rPr>
          <w:rFonts w:ascii="Times New Roman" w:hAnsi="Times New Roman" w:cs="Times New Roman" w:eastAsia="Times New Roman" w:hint="default"/>
          <w:spacing w:val="-5"/>
          <w:w w:val="101"/>
        </w:rPr>
        <w:t>0</w:t>
      </w:r>
      <w:r>
        <w:rPr>
          <w:rFonts w:ascii="Times New Roman" w:hAnsi="Times New Roman" w:cs="Times New Roman" w:eastAsia="Times New Roman" w:hint="default"/>
          <w:w w:val="101"/>
        </w:rPr>
        <w:t>7</w:t>
      </w:r>
      <w:r>
        <w:rPr>
          <w:rFonts w:ascii="Times New Roman" w:hAnsi="Times New Roman" w:cs="Times New Roman" w:eastAsia="Times New Roman" w:hint="default"/>
          <w:spacing w:val="-7"/>
        </w:rPr>
        <w:t> </w:t>
      </w:r>
      <w:r>
        <w:rPr>
          <w:w w:val="101"/>
        </w:rPr>
        <w:t>年</w:t>
      </w:r>
      <w:r>
        <w:rPr>
          <w:spacing w:val="-52"/>
        </w:rPr>
        <w:t> </w:t>
      </w:r>
      <w:r>
        <w:rPr>
          <w:rFonts w:ascii="Times New Roman" w:hAnsi="Times New Roman" w:cs="Times New Roman" w:eastAsia="Times New Roman" w:hint="default"/>
          <w:spacing w:val="-5"/>
          <w:w w:val="101"/>
        </w:rPr>
        <w:t>1</w:t>
      </w:r>
      <w:r>
        <w:rPr>
          <w:rFonts w:ascii="Times New Roman" w:hAnsi="Times New Roman" w:cs="Times New Roman" w:eastAsia="Times New Roman" w:hint="default"/>
          <w:w w:val="101"/>
        </w:rPr>
        <w:t>1</w:t>
      </w:r>
      <w:r>
        <w:rPr>
          <w:rFonts w:ascii="Times New Roman" w:hAnsi="Times New Roman" w:cs="Times New Roman" w:eastAsia="Times New Roman" w:hint="default"/>
          <w:spacing w:val="-7"/>
        </w:rPr>
        <w:t> </w:t>
      </w:r>
      <w:r>
        <w:rPr>
          <w:w w:val="101"/>
        </w:rPr>
        <w:t>月</w:t>
      </w:r>
      <w:r>
        <w:rPr>
          <w:spacing w:val="-52"/>
        </w:rPr>
        <w:t> </w:t>
      </w:r>
      <w:r>
        <w:rPr>
          <w:rFonts w:ascii="Times New Roman" w:hAnsi="Times New Roman" w:cs="Times New Roman" w:eastAsia="Times New Roman" w:hint="default"/>
          <w:w w:val="101"/>
        </w:rPr>
        <w:t>28</w:t>
      </w:r>
      <w:r>
        <w:rPr>
          <w:rFonts w:ascii="Times New Roman" w:hAnsi="Times New Roman" w:cs="Times New Roman" w:eastAsia="Times New Roman" w:hint="default"/>
          <w:spacing w:val="-12"/>
        </w:rPr>
        <w:t> </w:t>
      </w:r>
      <w:r>
        <w:rPr>
          <w:w w:val="101"/>
        </w:rPr>
        <w:t>日，</w:t>
      </w:r>
      <w:r>
        <w:rPr/>
      </w:r>
    </w:p>
    <w:p>
      <w:pPr>
        <w:spacing w:line="240" w:lineRule="auto" w:before="12"/>
        <w:rPr>
          <w:rFonts w:ascii="宋体" w:hAnsi="宋体" w:cs="宋体" w:eastAsia="宋体" w:hint="default"/>
          <w:sz w:val="16"/>
          <w:szCs w:val="16"/>
        </w:rPr>
      </w:pPr>
    </w:p>
    <w:p>
      <w:pPr>
        <w:pStyle w:val="BodyText"/>
        <w:spacing w:line="240" w:lineRule="auto"/>
        <w:ind w:right="0"/>
        <w:jc w:val="left"/>
      </w:pPr>
      <w:r>
        <w:rPr>
          <w:spacing w:val="-3"/>
        </w:rPr>
        <w:t>经公司临时股东会决议，公司整体变更为股份有限公司，于 </w:t>
      </w:r>
      <w:r>
        <w:rPr>
          <w:rFonts w:ascii="Times New Roman" w:hAnsi="Times New Roman" w:cs="Times New Roman" w:eastAsia="Times New Roman" w:hint="default"/>
        </w:rPr>
        <w:t>2007 </w:t>
      </w:r>
      <w:r>
        <w:rPr/>
        <w:t>年 </w:t>
      </w:r>
      <w:r>
        <w:rPr>
          <w:rFonts w:ascii="Times New Roman" w:hAnsi="Times New Roman" w:cs="Times New Roman" w:eastAsia="Times New Roman" w:hint="default"/>
          <w:spacing w:val="-3"/>
        </w:rPr>
        <w:t>12 </w:t>
      </w:r>
      <w:r>
        <w:rPr/>
        <w:t>月 </w:t>
      </w:r>
      <w:r>
        <w:rPr>
          <w:rFonts w:ascii="Times New Roman" w:hAnsi="Times New Roman" w:cs="Times New Roman" w:eastAsia="Times New Roman" w:hint="default"/>
          <w:spacing w:val="-3"/>
        </w:rPr>
        <w:t>25 </w:t>
      </w:r>
      <w:r>
        <w:rPr>
          <w:spacing w:val="-3"/>
        </w:rPr>
        <w:t>日在深圳市市场监督管理局登记注册。</w:t>
      </w:r>
      <w:r>
        <w:rPr>
          <w:rFonts w:ascii="Times New Roman" w:hAnsi="Times New Roman" w:cs="Times New Roman" w:eastAsia="Times New Roman" w:hint="default"/>
          <w:spacing w:val="-3"/>
        </w:rPr>
        <w:t>2010</w:t>
      </w:r>
      <w:r>
        <w:rPr>
          <w:rFonts w:ascii="Times New Roman" w:hAnsi="Times New Roman" w:cs="Times New Roman" w:eastAsia="Times New Roman" w:hint="default"/>
          <w:spacing w:val="-11"/>
        </w:rPr>
        <w:t> </w:t>
      </w:r>
      <w:r>
        <w:rPr/>
        <w:t>年</w:t>
      </w:r>
    </w:p>
    <w:p>
      <w:pPr>
        <w:spacing w:line="240" w:lineRule="auto" w:before="7"/>
        <w:rPr>
          <w:rFonts w:ascii="宋体" w:hAnsi="宋体" w:cs="宋体" w:eastAsia="宋体" w:hint="default"/>
          <w:sz w:val="16"/>
          <w:szCs w:val="16"/>
        </w:rPr>
      </w:pPr>
    </w:p>
    <w:p>
      <w:pPr>
        <w:pStyle w:val="BodyText"/>
        <w:spacing w:line="240" w:lineRule="auto"/>
        <w:ind w:right="0"/>
        <w:jc w:val="left"/>
      </w:pPr>
      <w:r>
        <w:rPr>
          <w:rFonts w:ascii="Times New Roman" w:hAnsi="Times New Roman" w:cs="Times New Roman" w:eastAsia="Times New Roman" w:hint="default"/>
        </w:rPr>
        <w:t>5  </w:t>
      </w:r>
      <w:r>
        <w:rPr/>
        <w:t>月 </w:t>
      </w:r>
      <w:r>
        <w:rPr>
          <w:rFonts w:ascii="Times New Roman" w:hAnsi="Times New Roman" w:cs="Times New Roman" w:eastAsia="Times New Roman" w:hint="default"/>
        </w:rPr>
        <w:t>4  </w:t>
      </w:r>
      <w:r>
        <w:rPr>
          <w:spacing w:val="-4"/>
        </w:rPr>
        <w:t>日，经中国证券监督管理委员会</w:t>
      </w:r>
      <w:r>
        <w:rPr>
          <w:rFonts w:ascii="Times New Roman" w:hAnsi="Times New Roman" w:cs="Times New Roman" w:eastAsia="Times New Roman" w:hint="default"/>
          <w:spacing w:val="-4"/>
        </w:rPr>
        <w:t>“</w:t>
      </w:r>
      <w:r>
        <w:rPr>
          <w:spacing w:val="-4"/>
        </w:rPr>
        <w:t>证监许可</w:t>
      </w:r>
      <w:r>
        <w:rPr>
          <w:rFonts w:ascii="Times New Roman" w:hAnsi="Times New Roman" w:cs="Times New Roman" w:eastAsia="Times New Roman" w:hint="default"/>
          <w:spacing w:val="-4"/>
        </w:rPr>
        <w:t>[2010]548 </w:t>
      </w:r>
      <w:r>
        <w:rPr>
          <w:spacing w:val="-4"/>
        </w:rPr>
        <w:t>号</w:t>
      </w:r>
      <w:r>
        <w:rPr>
          <w:rFonts w:ascii="Times New Roman" w:hAnsi="Times New Roman" w:cs="Times New Roman" w:eastAsia="Times New Roman" w:hint="default"/>
          <w:spacing w:val="-4"/>
        </w:rPr>
        <w:t>”</w:t>
      </w:r>
      <w:r>
        <w:rPr>
          <w:spacing w:val="-4"/>
        </w:rPr>
        <w:t>文核准和深圳证券交易所《关于深圳市银之杰科技股份有限公</w:t>
      </w:r>
    </w:p>
    <w:p>
      <w:pPr>
        <w:spacing w:line="240" w:lineRule="auto" w:before="12"/>
        <w:rPr>
          <w:rFonts w:ascii="宋体" w:hAnsi="宋体" w:cs="宋体" w:eastAsia="宋体" w:hint="default"/>
          <w:sz w:val="16"/>
          <w:szCs w:val="16"/>
        </w:rPr>
      </w:pPr>
    </w:p>
    <w:p>
      <w:pPr>
        <w:pStyle w:val="BodyText"/>
        <w:spacing w:line="451" w:lineRule="auto"/>
        <w:ind w:right="1122"/>
        <w:jc w:val="both"/>
      </w:pPr>
      <w:r>
        <w:rPr>
          <w:spacing w:val="-5"/>
          <w:w w:val="101"/>
        </w:rPr>
        <w:t>司人民币普通股股票在创业板上市的通知》（深证上</w:t>
      </w:r>
      <w:r>
        <w:rPr>
          <w:rFonts w:ascii="Times New Roman" w:hAnsi="Times New Roman" w:cs="Times New Roman" w:eastAsia="Times New Roman" w:hint="default"/>
          <w:spacing w:val="-5"/>
          <w:w w:val="101"/>
        </w:rPr>
        <w:t>[2010]165</w:t>
      </w:r>
      <w:r>
        <w:rPr>
          <w:rFonts w:ascii="Times New Roman" w:hAnsi="Times New Roman" w:cs="Times New Roman" w:eastAsia="Times New Roman" w:hint="default"/>
          <w:spacing w:val="-11"/>
          <w:w w:val="101"/>
        </w:rPr>
        <w:t> </w:t>
      </w:r>
      <w:r>
        <w:rPr>
          <w:spacing w:val="-3"/>
          <w:w w:val="101"/>
        </w:rPr>
        <w:t>号）同意，本公司发行的人民币普通股股票于</w:t>
      </w:r>
      <w:r>
        <w:rPr>
          <w:spacing w:val="-45"/>
          <w:w w:val="101"/>
        </w:rPr>
        <w:t> </w:t>
      </w:r>
      <w:r>
        <w:rPr>
          <w:rFonts w:ascii="Times New Roman" w:hAnsi="Times New Roman" w:cs="Times New Roman" w:eastAsia="Times New Roman" w:hint="default"/>
          <w:spacing w:val="-2"/>
          <w:w w:val="101"/>
        </w:rPr>
        <w:t>2010</w:t>
      </w:r>
      <w:r>
        <w:rPr>
          <w:rFonts w:ascii="Times New Roman" w:hAnsi="Times New Roman" w:cs="Times New Roman" w:eastAsia="Times New Roman" w:hint="default"/>
          <w:spacing w:val="-5"/>
          <w:w w:val="101"/>
        </w:rPr>
        <w:t> </w:t>
      </w:r>
      <w:r>
        <w:rPr>
          <w:w w:val="101"/>
        </w:rPr>
        <w:t>年</w:t>
      </w:r>
      <w:r>
        <w:rPr>
          <w:spacing w:val="-51"/>
          <w:w w:val="101"/>
        </w:rPr>
        <w:t> </w:t>
      </w:r>
      <w:r>
        <w:rPr>
          <w:rFonts w:ascii="Times New Roman" w:hAnsi="Times New Roman" w:cs="Times New Roman" w:eastAsia="Times New Roman" w:hint="default"/>
          <w:w w:val="101"/>
        </w:rPr>
        <w:t>5</w:t>
      </w:r>
      <w:r>
        <w:rPr>
          <w:rFonts w:ascii="Times New Roman" w:hAnsi="Times New Roman" w:cs="Times New Roman" w:eastAsia="Times New Roman" w:hint="default"/>
          <w:spacing w:val="-5"/>
          <w:w w:val="101"/>
        </w:rPr>
        <w:t> </w:t>
      </w:r>
      <w:r>
        <w:rPr>
          <w:w w:val="101"/>
        </w:rPr>
        <w:t>月</w:t>
      </w:r>
      <w:r>
        <w:rPr>
          <w:spacing w:val="-46"/>
          <w:w w:val="101"/>
        </w:rPr>
        <w:t> </w:t>
      </w:r>
      <w:r>
        <w:rPr>
          <w:rFonts w:ascii="Times New Roman" w:hAnsi="Times New Roman" w:cs="Times New Roman" w:eastAsia="Times New Roman" w:hint="default"/>
          <w:spacing w:val="-5"/>
          <w:w w:val="101"/>
        </w:rPr>
        <w:t>26</w:t>
      </w:r>
      <w:r>
        <w:rPr>
          <w:rFonts w:ascii="Times New Roman" w:hAnsi="Times New Roman" w:cs="Times New Roman" w:eastAsia="Times New Roman" w:hint="default"/>
          <w:spacing w:val="-44"/>
          <w:w w:val="101"/>
        </w:rPr>
        <w:t> </w:t>
      </w:r>
      <w:r>
        <w:rPr>
          <w:spacing w:val="-3"/>
        </w:rPr>
        <w:t>日在深圳证券交易所上市，股票简称</w:t>
      </w:r>
      <w:r>
        <w:rPr>
          <w:rFonts w:ascii="Times New Roman" w:hAnsi="Times New Roman" w:cs="Times New Roman" w:eastAsia="Times New Roman" w:hint="default"/>
          <w:spacing w:val="-3"/>
        </w:rPr>
        <w:t>“</w:t>
      </w:r>
      <w:r>
        <w:rPr>
          <w:spacing w:val="-3"/>
        </w:rPr>
        <w:t>银之杰</w:t>
      </w:r>
      <w:r>
        <w:rPr>
          <w:rFonts w:ascii="Times New Roman" w:hAnsi="Times New Roman" w:cs="Times New Roman" w:eastAsia="Times New Roman" w:hint="default"/>
          <w:spacing w:val="-3"/>
        </w:rPr>
        <w:t>”</w:t>
      </w:r>
      <w:r>
        <w:rPr>
          <w:spacing w:val="-3"/>
        </w:rPr>
        <w:t>，股票代码</w:t>
      </w:r>
      <w:r>
        <w:rPr>
          <w:rFonts w:ascii="Times New Roman" w:hAnsi="Times New Roman" w:cs="Times New Roman" w:eastAsia="Times New Roman" w:hint="default"/>
          <w:spacing w:val="-3"/>
        </w:rPr>
        <w:t>“300085”</w:t>
      </w:r>
      <w:r>
        <w:rPr>
          <w:spacing w:val="-3"/>
        </w:rPr>
        <w:t>。公司总部位于广东省深圳市福田区沙头街道天安社区泰</w:t>
      </w:r>
      <w:r>
        <w:rPr>
          <w:spacing w:val="41"/>
        </w:rPr>
        <w:t> </w:t>
      </w:r>
      <w:r>
        <w:rPr>
          <w:spacing w:val="41"/>
        </w:rPr>
      </w:r>
      <w:r>
        <w:rPr>
          <w:spacing w:val="-3"/>
        </w:rPr>
        <w:t>然五路天安数码城天祥大厦 </w:t>
      </w:r>
      <w:r>
        <w:rPr>
          <w:rFonts w:ascii="Times New Roman" w:hAnsi="Times New Roman" w:cs="Times New Roman" w:eastAsia="Times New Roman" w:hint="default"/>
          <w:spacing w:val="-3"/>
        </w:rPr>
        <w:t>10A-1</w:t>
      </w:r>
      <w:r>
        <w:rPr>
          <w:spacing w:val="-3"/>
        </w:rPr>
        <w:t>，企业统一社会信用代码为</w:t>
      </w:r>
      <w:r>
        <w:rPr/>
        <w:t> </w:t>
      </w:r>
      <w:r>
        <w:rPr>
          <w:rFonts w:ascii="Times New Roman" w:hAnsi="Times New Roman" w:cs="Times New Roman" w:eastAsia="Times New Roman" w:hint="default"/>
        </w:rPr>
        <w:t>91440300708458455M</w:t>
      </w:r>
      <w:r>
        <w:rPr/>
        <w:t>。</w:t>
      </w:r>
    </w:p>
    <w:p>
      <w:pPr>
        <w:pStyle w:val="BodyText"/>
        <w:spacing w:line="240" w:lineRule="auto" w:before="41"/>
        <w:ind w:left="513" w:right="0"/>
        <w:jc w:val="left"/>
      </w:pPr>
      <w:r>
        <w:rPr/>
        <w:t>截至</w:t>
      </w:r>
      <w:r>
        <w:rPr>
          <w:spacing w:val="-38"/>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w:t>
      </w:r>
      <w:r>
        <w:rPr>
          <w:spacing w:val="-44"/>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44"/>
        </w:rPr>
        <w:t> </w:t>
      </w:r>
      <w:r>
        <w:rPr>
          <w:rFonts w:ascii="Times New Roman" w:hAnsi="Times New Roman" w:cs="Times New Roman" w:eastAsia="Times New Roman" w:hint="default"/>
        </w:rPr>
        <w:t>31</w:t>
      </w:r>
      <w:r>
        <w:rPr>
          <w:rFonts w:ascii="Times New Roman" w:hAnsi="Times New Roman" w:cs="Times New Roman" w:eastAsia="Times New Roman" w:hint="default"/>
          <w:spacing w:val="-4"/>
        </w:rPr>
        <w:t> </w:t>
      </w:r>
      <w:r>
        <w:rPr>
          <w:spacing w:val="-3"/>
        </w:rPr>
        <w:t>日止，公司总股本为</w:t>
      </w:r>
      <w:r>
        <w:rPr>
          <w:spacing w:val="-38"/>
        </w:rPr>
        <w:t> </w:t>
      </w:r>
      <w:r>
        <w:rPr>
          <w:rFonts w:ascii="Times New Roman" w:hAnsi="Times New Roman" w:cs="Times New Roman" w:eastAsia="Times New Roman" w:hint="default"/>
        </w:rPr>
        <w:t>706,640,535</w:t>
      </w:r>
      <w:r>
        <w:rPr>
          <w:rFonts w:ascii="Times New Roman" w:hAnsi="Times New Roman" w:cs="Times New Roman" w:eastAsia="Times New Roman" w:hint="default"/>
          <w:spacing w:val="1"/>
        </w:rPr>
        <w:t> </w:t>
      </w:r>
      <w:r>
        <w:rPr>
          <w:spacing w:val="-3"/>
        </w:rPr>
        <w:t>股。其中，有限售条件的流通股</w:t>
      </w:r>
      <w:r>
        <w:rPr>
          <w:spacing w:val="-38"/>
        </w:rPr>
        <w:t> </w:t>
      </w:r>
      <w:r>
        <w:rPr>
          <w:rFonts w:ascii="Times New Roman" w:hAnsi="Times New Roman" w:cs="Times New Roman" w:eastAsia="Times New Roman" w:hint="default"/>
        </w:rPr>
        <w:t>291,578,928</w:t>
      </w:r>
      <w:r>
        <w:rPr>
          <w:rFonts w:ascii="Times New Roman" w:hAnsi="Times New Roman" w:cs="Times New Roman" w:eastAsia="Times New Roman" w:hint="default"/>
          <w:spacing w:val="-5"/>
        </w:rPr>
        <w:t> </w:t>
      </w:r>
      <w:r>
        <w:rPr/>
        <w:t>股；无限售条件的</w:t>
      </w:r>
    </w:p>
    <w:p>
      <w:pPr>
        <w:spacing w:line="240" w:lineRule="auto" w:before="12"/>
        <w:rPr>
          <w:rFonts w:ascii="宋体" w:hAnsi="宋体" w:cs="宋体" w:eastAsia="宋体" w:hint="default"/>
          <w:sz w:val="16"/>
          <w:szCs w:val="16"/>
        </w:rPr>
      </w:pPr>
    </w:p>
    <w:p>
      <w:pPr>
        <w:pStyle w:val="BodyText"/>
        <w:spacing w:line="448" w:lineRule="auto"/>
        <w:ind w:left="513" w:right="0" w:hanging="360"/>
        <w:jc w:val="left"/>
      </w:pPr>
      <w:r>
        <w:rPr/>
        <w:t>流通股份</w:t>
      </w:r>
      <w:r>
        <w:rPr>
          <w:spacing w:val="-47"/>
        </w:rPr>
        <w:t> </w:t>
      </w:r>
      <w:r>
        <w:rPr>
          <w:rFonts w:ascii="Times New Roman" w:hAnsi="Times New Roman" w:cs="Times New Roman" w:eastAsia="Times New Roman" w:hint="default"/>
        </w:rPr>
        <w:t>415,061,607</w:t>
      </w:r>
      <w:r>
        <w:rPr>
          <w:rFonts w:ascii="Times New Roman" w:hAnsi="Times New Roman" w:cs="Times New Roman" w:eastAsia="Times New Roman" w:hint="default"/>
          <w:spacing w:val="-7"/>
        </w:rPr>
        <w:t> </w:t>
      </w:r>
      <w:r>
        <w:rPr>
          <w:spacing w:val="-5"/>
        </w:rPr>
        <w:t>股。</w:t>
      </w:r>
      <w:r>
        <w:rPr>
          <w:spacing w:val="-85"/>
        </w:rPr>
        <w:t> </w:t>
      </w:r>
      <w:r>
        <w:rPr>
          <w:spacing w:val="-5"/>
        </w:rPr>
        <w:t>本公司的基本组织架构：根据国家法律法规和公司章程的规定，建立了由股东大会、董事会、监事会及经营管理层组成</w:t>
      </w:r>
    </w:p>
    <w:p>
      <w:pPr>
        <w:pStyle w:val="BodyText"/>
        <w:spacing w:line="475" w:lineRule="auto" w:before="78"/>
        <w:ind w:left="513" w:right="0" w:hanging="360"/>
        <w:jc w:val="left"/>
      </w:pPr>
      <w:r>
        <w:rPr>
          <w:spacing w:val="-3"/>
        </w:rPr>
        <w:t>的规范的多层次治理结构；董事会下设审计委员会、薪酬与考核委员会。</w:t>
      </w:r>
      <w:r>
        <w:rPr>
          <w:spacing w:val="2"/>
        </w:rPr>
        <w:t> </w:t>
      </w:r>
      <w:r>
        <w:rPr>
          <w:spacing w:val="2"/>
        </w:rPr>
      </w:r>
      <w:r>
        <w:rPr>
          <w:spacing w:val="-4"/>
        </w:rPr>
        <w:t>本公司属于软件和信息技术服务业。公司及各子公司主营业务是为银行等金融机构提供软件产品、软件开发、金融专用</w:t>
      </w:r>
    </w:p>
    <w:p>
      <w:pPr>
        <w:pStyle w:val="BodyText"/>
        <w:spacing w:line="475" w:lineRule="auto" w:before="59"/>
        <w:ind w:right="1124"/>
        <w:jc w:val="both"/>
      </w:pPr>
      <w:r>
        <w:rPr>
          <w:spacing w:val="-4"/>
        </w:rPr>
        <w:t>设备和技术服务；为企业提供移动信息服务、流量服务、大数据运营服务；电子商务；金融信息咨询和金融中介服务；投资</w:t>
      </w:r>
      <w:r>
        <w:rPr>
          <w:spacing w:val="40"/>
        </w:rPr>
        <w:t> </w:t>
      </w:r>
      <w:r>
        <w:rPr>
          <w:spacing w:val="40"/>
        </w:rPr>
      </w:r>
      <w:r>
        <w:rPr>
          <w:spacing w:val="-3"/>
        </w:rPr>
        <w:t>发展支票自助结算金融服务和企业移动支付业务；投资发展个人征信及相关业务、互联网保险业务、证券业务。</w:t>
      </w:r>
    </w:p>
    <w:p>
      <w:pPr>
        <w:pStyle w:val="BodyText"/>
        <w:spacing w:line="240" w:lineRule="auto" w:before="58"/>
        <w:ind w:left="513" w:right="0"/>
        <w:jc w:val="left"/>
      </w:pPr>
      <w:r>
        <w:rPr/>
        <w:t>本公司财务报表及财务报表附注于</w:t>
      </w:r>
      <w:r>
        <w:rPr>
          <w:spacing w:val="-31"/>
        </w:rPr>
        <w:t> </w:t>
      </w:r>
      <w:r>
        <w:rPr>
          <w:rFonts w:ascii="Times New Roman" w:hAnsi="Times New Roman" w:cs="Times New Roman" w:eastAsia="Times New Roman" w:hint="default"/>
          <w:spacing w:val="-3"/>
        </w:rPr>
        <w:t>2020</w:t>
      </w:r>
      <w:r>
        <w:rPr>
          <w:rFonts w:ascii="Times New Roman" w:hAnsi="Times New Roman" w:cs="Times New Roman" w:eastAsia="Times New Roman" w:hint="default"/>
          <w:spacing w:val="7"/>
        </w:rPr>
        <w:t> </w:t>
      </w:r>
      <w:r>
        <w:rPr/>
        <w:t>年</w:t>
      </w:r>
      <w:r>
        <w:rPr>
          <w:spacing w:val="-38"/>
        </w:rPr>
        <w:t> </w:t>
      </w:r>
      <w:r>
        <w:rPr>
          <w:rFonts w:ascii="Times New Roman" w:hAnsi="Times New Roman" w:cs="Times New Roman" w:eastAsia="Times New Roman" w:hint="default"/>
        </w:rPr>
        <w:t>4</w:t>
      </w:r>
      <w:r>
        <w:rPr>
          <w:rFonts w:ascii="Times New Roman" w:hAnsi="Times New Roman" w:cs="Times New Roman" w:eastAsia="Times New Roman" w:hint="default"/>
          <w:spacing w:val="7"/>
        </w:rPr>
        <w:t> </w:t>
      </w:r>
      <w:r>
        <w:rPr/>
        <w:t>月</w:t>
      </w:r>
      <w:r>
        <w:rPr>
          <w:spacing w:val="-31"/>
        </w:rPr>
        <w:t> </w:t>
      </w:r>
      <w:r>
        <w:rPr>
          <w:rFonts w:ascii="Times New Roman" w:hAnsi="Times New Roman" w:cs="Times New Roman" w:eastAsia="Times New Roman" w:hint="default"/>
          <w:spacing w:val="-3"/>
        </w:rPr>
        <w:t>27</w:t>
      </w:r>
      <w:r>
        <w:rPr>
          <w:rFonts w:ascii="Times New Roman" w:hAnsi="Times New Roman" w:cs="Times New Roman" w:eastAsia="Times New Roman" w:hint="default"/>
          <w:spacing w:val="7"/>
        </w:rPr>
        <w:t> </w:t>
      </w:r>
      <w:r>
        <w:rPr>
          <w:spacing w:val="-3"/>
        </w:rPr>
        <w:t>日经公司第四届董事会第二十二次会议审议批准报出。</w:t>
      </w:r>
    </w:p>
    <w:p>
      <w:pPr>
        <w:spacing w:line="240" w:lineRule="auto" w:before="7"/>
        <w:rPr>
          <w:rFonts w:ascii="宋体" w:hAnsi="宋体" w:cs="宋体" w:eastAsia="宋体" w:hint="default"/>
          <w:sz w:val="16"/>
          <w:szCs w:val="16"/>
        </w:rPr>
      </w:pPr>
    </w:p>
    <w:p>
      <w:pPr>
        <w:pStyle w:val="BodyText"/>
        <w:spacing w:line="240" w:lineRule="auto"/>
        <w:ind w:left="513" w:right="0"/>
        <w:jc w:val="left"/>
      </w:pPr>
      <w:r>
        <w:rPr/>
        <w:t>本公司 </w:t>
      </w:r>
      <w:r>
        <w:rPr>
          <w:rFonts w:ascii="Times New Roman" w:hAnsi="Times New Roman" w:cs="Times New Roman" w:eastAsia="Times New Roman" w:hint="default"/>
          <w:spacing w:val="-3"/>
        </w:rPr>
        <w:t>2019  </w:t>
      </w:r>
      <w:r>
        <w:rPr>
          <w:rFonts w:ascii="Times New Roman" w:hAnsi="Times New Roman" w:cs="Times New Roman" w:eastAsia="Times New Roman" w:hint="default"/>
          <w:spacing w:val="9"/>
        </w:rPr>
        <w:t> </w:t>
      </w:r>
      <w:r>
        <w:rPr>
          <w:spacing w:val="-3"/>
        </w:rPr>
        <w:t>年度将深圳银之杰拓扑技术有限公司、深圳银之杰智慧科技有限公司、北京亿美软通科技有限公司、安科</w:t>
      </w:r>
    </w:p>
    <w:p>
      <w:pPr>
        <w:spacing w:line="240" w:lineRule="auto" w:before="12"/>
        <w:rPr>
          <w:rFonts w:ascii="宋体" w:hAnsi="宋体" w:cs="宋体" w:eastAsia="宋体" w:hint="default"/>
          <w:sz w:val="16"/>
          <w:szCs w:val="16"/>
        </w:rPr>
      </w:pPr>
    </w:p>
    <w:p>
      <w:pPr>
        <w:pStyle w:val="BodyText"/>
        <w:spacing w:line="448" w:lineRule="auto"/>
        <w:ind w:right="1127"/>
        <w:jc w:val="both"/>
      </w:pPr>
      <w:r>
        <w:rPr>
          <w:spacing w:val="-10"/>
        </w:rPr>
        <w:t>创新（深圳）有限公司、北京杰智融软件有限公司、深圳银之杰资产管理有限公司共 </w:t>
      </w:r>
      <w:r>
        <w:rPr>
          <w:rFonts w:ascii="Times New Roman" w:hAnsi="Times New Roman" w:cs="Times New Roman" w:eastAsia="Times New Roman" w:hint="default"/>
        </w:rPr>
        <w:t>6 </w:t>
      </w:r>
      <w:r>
        <w:rPr>
          <w:spacing w:val="-3"/>
        </w:rPr>
        <w:t>家子公司纳入本期合并财务报表范围，</w:t>
      </w:r>
      <w:r>
        <w:rPr>
          <w:spacing w:val="-19"/>
        </w:rPr>
        <w:t> </w:t>
      </w:r>
      <w:r>
        <w:rPr>
          <w:spacing w:val="-19"/>
        </w:rPr>
      </w:r>
      <w:r>
        <w:rPr>
          <w:spacing w:val="-4"/>
        </w:rPr>
        <w:t>详见本附注九</w:t>
      </w:r>
      <w:r>
        <w:rPr>
          <w:rFonts w:ascii="Times New Roman" w:hAnsi="Times New Roman" w:cs="Times New Roman" w:eastAsia="Times New Roman" w:hint="default"/>
          <w:spacing w:val="-4"/>
        </w:rPr>
        <w:t>“</w:t>
      </w:r>
      <w:r>
        <w:rPr>
          <w:spacing w:val="-4"/>
        </w:rPr>
        <w:t>在其他主体中的权益</w:t>
      </w:r>
      <w:r>
        <w:rPr>
          <w:rFonts w:ascii="Times New Roman" w:hAnsi="Times New Roman" w:cs="Times New Roman" w:eastAsia="Times New Roman" w:hint="default"/>
          <w:spacing w:val="-4"/>
        </w:rPr>
        <w:t>”</w:t>
      </w:r>
      <w:r>
        <w:rPr>
          <w:spacing w:val="-4"/>
        </w:rPr>
        <w:t>。本公司新增控股子公司北京杰智融软件有限公司，详见本附注八</w:t>
      </w:r>
      <w:r>
        <w:rPr>
          <w:rFonts w:ascii="Times New Roman" w:hAnsi="Times New Roman" w:cs="Times New Roman" w:eastAsia="Times New Roman" w:hint="default"/>
          <w:spacing w:val="-4"/>
        </w:rPr>
        <w:t>“</w:t>
      </w:r>
      <w:r>
        <w:rPr>
          <w:spacing w:val="-4"/>
        </w:rPr>
        <w:t>合并范围的变更</w:t>
      </w:r>
      <w:r>
        <w:rPr>
          <w:rFonts w:ascii="Times New Roman" w:hAnsi="Times New Roman" w:cs="Times New Roman" w:eastAsia="Times New Roman" w:hint="default"/>
          <w:spacing w:val="-4"/>
        </w:rPr>
        <w:t>”</w:t>
      </w:r>
      <w:r>
        <w:rPr>
          <w:spacing w:val="-4"/>
        </w:rPr>
        <w:t>。</w:t>
      </w:r>
    </w:p>
    <w:p>
      <w:pPr>
        <w:spacing w:after="0" w:line="448" w:lineRule="auto"/>
        <w:jc w:val="both"/>
        <w:sectPr>
          <w:pgSz w:w="11910" w:h="16840"/>
          <w:pgMar w:header="871" w:footer="1186" w:top="1100" w:bottom="1380" w:left="980" w:right="0"/>
        </w:sectPr>
      </w:pPr>
    </w:p>
    <w:p>
      <w:pPr>
        <w:spacing w:line="240" w:lineRule="auto" w:before="7"/>
        <w:rPr>
          <w:rFonts w:ascii="宋体" w:hAnsi="宋体" w:cs="宋体" w:eastAsia="宋体" w:hint="default"/>
          <w:sz w:val="19"/>
          <w:szCs w:val="19"/>
        </w:rPr>
      </w:pPr>
    </w:p>
    <w:p>
      <w:pPr>
        <w:pStyle w:val="Heading2"/>
        <w:spacing w:line="240" w:lineRule="auto" w:before="26"/>
        <w:ind w:right="0"/>
        <w:jc w:val="left"/>
        <w:rPr>
          <w:b w:val="0"/>
          <w:bCs w:val="0"/>
        </w:rPr>
      </w:pPr>
      <w:bookmarkStart w:name="四、财务报表的编制基础" w:id="167"/>
      <w:bookmarkEnd w:id="167"/>
      <w:r>
        <w:rPr>
          <w:b w:val="0"/>
          <w:bCs w:val="0"/>
        </w:rPr>
      </w:r>
      <w:r>
        <w:rPr/>
        <w:t>四、财务报表的编制基础</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left"/>
        <w:rPr>
          <w:b w:val="0"/>
          <w:bCs w:val="0"/>
        </w:rPr>
      </w:pPr>
      <w:bookmarkStart w:name="1、编制基础" w:id="168"/>
      <w:bookmarkEnd w:id="168"/>
      <w:r>
        <w:rPr>
          <w:b w:val="0"/>
          <w:bCs w:val="0"/>
        </w:rPr>
      </w:r>
      <w:r>
        <w:rPr>
          <w:rFonts w:ascii="Times New Roman" w:hAnsi="Times New Roman" w:cs="Times New Roman" w:eastAsia="Times New Roman" w:hint="default"/>
        </w:rPr>
        <w:t>1</w:t>
      </w:r>
      <w:r>
        <w:rPr/>
        <w:t>、编制基础</w:t>
      </w:r>
      <w:r>
        <w:rPr>
          <w:b w:val="0"/>
          <w:bCs w:val="0"/>
        </w:rPr>
      </w:r>
    </w:p>
    <w:p>
      <w:pPr>
        <w:spacing w:line="240" w:lineRule="auto" w:before="13"/>
        <w:rPr>
          <w:rFonts w:ascii="宋体" w:hAnsi="宋体" w:cs="宋体" w:eastAsia="宋体" w:hint="default"/>
          <w:b/>
          <w:bCs/>
          <w:sz w:val="32"/>
          <w:szCs w:val="32"/>
        </w:rPr>
      </w:pPr>
    </w:p>
    <w:p>
      <w:pPr>
        <w:pStyle w:val="BodyText"/>
        <w:spacing w:line="451" w:lineRule="auto"/>
        <w:ind w:right="1122" w:firstLine="360"/>
        <w:jc w:val="both"/>
      </w:pPr>
      <w:r>
        <w:rPr>
          <w:spacing w:val="-4"/>
        </w:rPr>
        <w:t>本公司以持续经营为基础，根据实际发生的交易和事项，按照财政部颁布的《企业会计准则</w:t>
      </w:r>
      <w:r>
        <w:rPr>
          <w:rFonts w:ascii="Times New Roman" w:hAnsi="Times New Roman" w:cs="Times New Roman" w:eastAsia="Times New Roman" w:hint="default"/>
          <w:spacing w:val="-4"/>
        </w:rPr>
        <w:t>——</w:t>
      </w:r>
      <w:r>
        <w:rPr>
          <w:spacing w:val="-4"/>
        </w:rPr>
        <w:t>基本准则》和各项具体</w:t>
      </w:r>
      <w:r>
        <w:rPr>
          <w:w w:val="101"/>
        </w:rPr>
        <w:t> </w:t>
      </w:r>
      <w:r>
        <w:rPr>
          <w:spacing w:val="-3"/>
        </w:rPr>
        <w:t>会计准则、企业会计准则应用指南、企业会计准则解释及其他相关规定</w:t>
      </w:r>
      <w:r>
        <w:rPr>
          <w:rFonts w:ascii="Times New Roman" w:hAnsi="Times New Roman" w:cs="Times New Roman" w:eastAsia="Times New Roman" w:hint="default"/>
          <w:spacing w:val="-3"/>
        </w:rPr>
        <w:t>(</w:t>
      </w:r>
      <w:r>
        <w:rPr>
          <w:spacing w:val="-3"/>
        </w:rPr>
        <w:t>以下合称</w:t>
      </w:r>
      <w:r>
        <w:rPr>
          <w:rFonts w:ascii="Times New Roman" w:hAnsi="Times New Roman" w:cs="Times New Roman" w:eastAsia="Times New Roman" w:hint="default"/>
          <w:spacing w:val="-3"/>
        </w:rPr>
        <w:t>“</w:t>
      </w:r>
      <w:r>
        <w:rPr>
          <w:spacing w:val="-3"/>
        </w:rPr>
        <w:t>企业会计准则</w:t>
      </w:r>
      <w:r>
        <w:rPr>
          <w:rFonts w:ascii="Times New Roman" w:hAnsi="Times New Roman" w:cs="Times New Roman" w:eastAsia="Times New Roman" w:hint="default"/>
          <w:spacing w:val="-3"/>
        </w:rPr>
        <w:t>”)</w:t>
      </w:r>
      <w:r>
        <w:rPr>
          <w:spacing w:val="-3"/>
        </w:rPr>
        <w:t>，以及中国证券监督管理</w:t>
      </w:r>
      <w:r>
        <w:rPr>
          <w:spacing w:val="69"/>
        </w:rPr>
        <w:t> </w:t>
      </w:r>
      <w:r>
        <w:rPr>
          <w:spacing w:val="69"/>
        </w:rPr>
      </w:r>
      <w:r>
        <w:rPr>
          <w:spacing w:val="-6"/>
          <w:w w:val="101"/>
        </w:rPr>
        <w:t>委员会《公开发行证券的公司信息披露编报规则第</w:t>
      </w:r>
      <w:r>
        <w:rPr>
          <w:spacing w:val="-35"/>
          <w:w w:val="101"/>
        </w:rPr>
        <w:t> </w:t>
      </w:r>
      <w:r>
        <w:rPr>
          <w:rFonts w:ascii="Times New Roman" w:hAnsi="Times New Roman" w:cs="Times New Roman" w:eastAsia="Times New Roman" w:hint="default"/>
          <w:spacing w:val="-3"/>
          <w:w w:val="101"/>
        </w:rPr>
        <w:t>15</w:t>
      </w:r>
      <w:r>
        <w:rPr>
          <w:rFonts w:ascii="Times New Roman" w:hAnsi="Times New Roman" w:cs="Times New Roman" w:eastAsia="Times New Roman" w:hint="default"/>
          <w:spacing w:val="-4"/>
          <w:w w:val="101"/>
        </w:rPr>
        <w:t> </w:t>
      </w:r>
      <w:r>
        <w:rPr>
          <w:spacing w:val="-6"/>
          <w:w w:val="101"/>
        </w:rPr>
        <w:t>号</w:t>
      </w:r>
      <w:r>
        <w:rPr>
          <w:rFonts w:ascii="Times New Roman" w:hAnsi="Times New Roman" w:cs="Times New Roman" w:eastAsia="Times New Roman" w:hint="default"/>
          <w:spacing w:val="-6"/>
          <w:w w:val="101"/>
        </w:rPr>
        <w:t>——</w:t>
      </w:r>
      <w:r>
        <w:rPr>
          <w:spacing w:val="-6"/>
          <w:w w:val="101"/>
        </w:rPr>
        <w:t>财务报告的一般规定》</w:t>
      </w:r>
      <w:r>
        <w:rPr>
          <w:rFonts w:ascii="Times New Roman" w:hAnsi="Times New Roman" w:cs="Times New Roman" w:eastAsia="Times New Roman" w:hint="default"/>
          <w:spacing w:val="-6"/>
          <w:w w:val="101"/>
        </w:rPr>
        <w:t>(2014</w:t>
      </w:r>
      <w:r>
        <w:rPr>
          <w:rFonts w:ascii="Times New Roman" w:hAnsi="Times New Roman" w:cs="Times New Roman" w:eastAsia="Times New Roman" w:hint="default"/>
          <w:spacing w:val="-4"/>
          <w:w w:val="101"/>
        </w:rPr>
        <w:t> </w:t>
      </w:r>
      <w:r>
        <w:rPr>
          <w:spacing w:val="-3"/>
          <w:w w:val="101"/>
        </w:rPr>
        <w:t>年修订</w:t>
      </w:r>
      <w:r>
        <w:rPr>
          <w:rFonts w:ascii="Times New Roman" w:hAnsi="Times New Roman" w:cs="Times New Roman" w:eastAsia="Times New Roman" w:hint="default"/>
          <w:spacing w:val="-3"/>
          <w:w w:val="101"/>
        </w:rPr>
        <w:t>)</w:t>
      </w:r>
      <w:r>
        <w:rPr>
          <w:spacing w:val="-3"/>
          <w:w w:val="101"/>
        </w:rPr>
        <w:t>的披露规定编制财务报表。</w:t>
      </w:r>
      <w:r>
        <w:rPr>
          <w:spacing w:val="-3"/>
        </w:rPr>
      </w:r>
    </w:p>
    <w:p>
      <w:pPr>
        <w:spacing w:line="240" w:lineRule="auto" w:before="1"/>
        <w:rPr>
          <w:rFonts w:ascii="宋体" w:hAnsi="宋体" w:cs="宋体" w:eastAsia="宋体" w:hint="default"/>
          <w:sz w:val="18"/>
          <w:szCs w:val="18"/>
        </w:rPr>
      </w:pPr>
    </w:p>
    <w:p>
      <w:pPr>
        <w:pStyle w:val="Heading3"/>
        <w:spacing w:line="240" w:lineRule="auto"/>
        <w:ind w:right="0"/>
        <w:jc w:val="left"/>
        <w:rPr>
          <w:b w:val="0"/>
          <w:bCs w:val="0"/>
        </w:rPr>
      </w:pPr>
      <w:bookmarkStart w:name="2、持续经营" w:id="169"/>
      <w:bookmarkEnd w:id="169"/>
      <w:r>
        <w:rPr>
          <w:b w:val="0"/>
          <w:bCs w:val="0"/>
        </w:rPr>
      </w:r>
      <w:r>
        <w:rPr>
          <w:rFonts w:ascii="Times New Roman" w:hAnsi="Times New Roman" w:cs="Times New Roman" w:eastAsia="Times New Roman" w:hint="default"/>
        </w:rPr>
        <w:t>2</w:t>
      </w:r>
      <w:r>
        <w:rPr/>
        <w:t>、持续经营</w:t>
      </w:r>
      <w:r>
        <w:rPr>
          <w:b w:val="0"/>
          <w:bCs w:val="0"/>
        </w:rPr>
      </w:r>
    </w:p>
    <w:p>
      <w:pPr>
        <w:spacing w:line="240" w:lineRule="auto" w:before="7"/>
        <w:rPr>
          <w:rFonts w:ascii="宋体" w:hAnsi="宋体" w:cs="宋体" w:eastAsia="宋体" w:hint="default"/>
          <w:b/>
          <w:bCs/>
          <w:sz w:val="32"/>
          <w:szCs w:val="32"/>
        </w:rPr>
      </w:pPr>
    </w:p>
    <w:p>
      <w:pPr>
        <w:pStyle w:val="BodyText"/>
        <w:spacing w:line="240" w:lineRule="auto"/>
        <w:ind w:left="513" w:right="0"/>
        <w:jc w:val="left"/>
      </w:pPr>
      <w:r>
        <w:rPr>
          <w:spacing w:val="-3"/>
        </w:rPr>
        <w:t>本公司不存在导致对报告期末起 </w:t>
      </w:r>
      <w:r>
        <w:rPr>
          <w:rFonts w:ascii="Times New Roman" w:hAnsi="Times New Roman" w:cs="Times New Roman" w:eastAsia="Times New Roman" w:hint="default"/>
          <w:spacing w:val="-3"/>
        </w:rPr>
        <w:t>12 </w:t>
      </w:r>
      <w:r>
        <w:rPr>
          <w:rFonts w:ascii="Times New Roman" w:hAnsi="Times New Roman" w:cs="Times New Roman" w:eastAsia="Times New Roman" w:hint="default"/>
          <w:spacing w:val="25"/>
        </w:rPr>
        <w:t> </w:t>
      </w:r>
      <w:r>
        <w:rPr>
          <w:spacing w:val="-3"/>
        </w:rPr>
        <w:t>个月内的持续经营假设产生重大疑虑的事项或情况。</w:t>
      </w:r>
    </w:p>
    <w:p>
      <w:pPr>
        <w:spacing w:line="240" w:lineRule="auto" w:before="0"/>
        <w:rPr>
          <w:rFonts w:ascii="宋体" w:hAnsi="宋体" w:cs="宋体" w:eastAsia="宋体" w:hint="default"/>
          <w:sz w:val="18"/>
          <w:szCs w:val="18"/>
        </w:rPr>
      </w:pPr>
    </w:p>
    <w:p>
      <w:pPr>
        <w:pStyle w:val="Heading2"/>
        <w:spacing w:line="240" w:lineRule="auto" w:before="151"/>
        <w:ind w:right="0"/>
        <w:jc w:val="left"/>
        <w:rPr>
          <w:b w:val="0"/>
          <w:bCs w:val="0"/>
        </w:rPr>
      </w:pPr>
      <w:bookmarkStart w:name="五、重要会计政策及会计估计" w:id="170"/>
      <w:bookmarkEnd w:id="170"/>
      <w:r>
        <w:rPr>
          <w:b w:val="0"/>
          <w:bCs w:val="0"/>
        </w:rPr>
      </w:r>
      <w:r>
        <w:rPr/>
        <w:t>五、重要会计政策及会计估计</w:t>
      </w:r>
      <w:r>
        <w:rPr>
          <w:b w:val="0"/>
          <w:bCs w:val="0"/>
        </w:rPr>
      </w:r>
    </w:p>
    <w:p>
      <w:pPr>
        <w:spacing w:line="240" w:lineRule="auto" w:before="3"/>
        <w:rPr>
          <w:rFonts w:ascii="宋体" w:hAnsi="宋体" w:cs="宋体" w:eastAsia="宋体" w:hint="default"/>
          <w:b/>
          <w:bCs/>
          <w:sz w:val="27"/>
          <w:szCs w:val="27"/>
        </w:rPr>
      </w:pPr>
    </w:p>
    <w:p>
      <w:pPr>
        <w:pStyle w:val="BodyText"/>
        <w:spacing w:line="434" w:lineRule="auto"/>
        <w:ind w:left="513" w:right="0" w:hanging="360"/>
        <w:jc w:val="left"/>
      </w:pPr>
      <w:r>
        <w:rPr>
          <w:spacing w:val="-3"/>
        </w:rPr>
        <w:t>具体会计政策和会计估计提示：</w:t>
      </w:r>
      <w:r>
        <w:rPr>
          <w:spacing w:val="-45"/>
        </w:rPr>
        <w:t> </w:t>
      </w:r>
      <w:r>
        <w:rPr>
          <w:spacing w:val="-45"/>
        </w:rPr>
      </w:r>
      <w:r>
        <w:rPr>
          <w:spacing w:val="-4"/>
        </w:rPr>
        <w:t>本公司及各子公司根据实际生产经营特点，依据相关企业会计准则的规定，对收入确认、研究开发支出等交易和事项制</w:t>
      </w:r>
    </w:p>
    <w:p>
      <w:pPr>
        <w:pStyle w:val="BodyText"/>
        <w:spacing w:line="240" w:lineRule="auto" w:before="89"/>
        <w:ind w:right="0"/>
        <w:jc w:val="left"/>
      </w:pPr>
      <w:r>
        <w:rPr>
          <w:w w:val="101"/>
        </w:rPr>
        <w:t>定</w:t>
      </w:r>
      <w:r>
        <w:rPr>
          <w:spacing w:val="-5"/>
          <w:w w:val="101"/>
        </w:rPr>
        <w:t>了</w:t>
      </w:r>
      <w:r>
        <w:rPr>
          <w:w w:val="101"/>
        </w:rPr>
        <w:t>若</w:t>
      </w:r>
      <w:r>
        <w:rPr>
          <w:spacing w:val="-5"/>
          <w:w w:val="101"/>
        </w:rPr>
        <w:t>干</w:t>
      </w:r>
      <w:r>
        <w:rPr>
          <w:w w:val="101"/>
        </w:rPr>
        <w:t>项</w:t>
      </w:r>
      <w:r>
        <w:rPr>
          <w:spacing w:val="-5"/>
          <w:w w:val="101"/>
        </w:rPr>
        <w:t>具</w:t>
      </w:r>
      <w:r>
        <w:rPr>
          <w:w w:val="101"/>
        </w:rPr>
        <w:t>体</w:t>
      </w:r>
      <w:r>
        <w:rPr>
          <w:spacing w:val="-5"/>
          <w:w w:val="101"/>
        </w:rPr>
        <w:t>会</w:t>
      </w:r>
      <w:r>
        <w:rPr>
          <w:w w:val="101"/>
        </w:rPr>
        <w:t>计</w:t>
      </w:r>
      <w:r>
        <w:rPr>
          <w:spacing w:val="-5"/>
          <w:w w:val="101"/>
        </w:rPr>
        <w:t>政</w:t>
      </w:r>
      <w:r>
        <w:rPr>
          <w:w w:val="101"/>
        </w:rPr>
        <w:t>策</w:t>
      </w:r>
      <w:r>
        <w:rPr>
          <w:spacing w:val="-5"/>
          <w:w w:val="101"/>
        </w:rPr>
        <w:t>和</w:t>
      </w:r>
      <w:r>
        <w:rPr>
          <w:w w:val="101"/>
        </w:rPr>
        <w:t>会</w:t>
      </w:r>
      <w:r>
        <w:rPr>
          <w:spacing w:val="-5"/>
          <w:w w:val="101"/>
        </w:rPr>
        <w:t>计</w:t>
      </w:r>
      <w:r>
        <w:rPr>
          <w:w w:val="101"/>
        </w:rPr>
        <w:t>估</w:t>
      </w:r>
      <w:r>
        <w:rPr>
          <w:spacing w:val="-5"/>
          <w:w w:val="101"/>
        </w:rPr>
        <w:t>计</w:t>
      </w:r>
      <w:r>
        <w:rPr>
          <w:w w:val="101"/>
        </w:rPr>
        <w:t>，</w:t>
      </w:r>
      <w:r>
        <w:rPr>
          <w:spacing w:val="-5"/>
          <w:w w:val="101"/>
        </w:rPr>
        <w:t>详</w:t>
      </w:r>
      <w:r>
        <w:rPr>
          <w:w w:val="101"/>
        </w:rPr>
        <w:t>见</w:t>
      </w:r>
      <w:r>
        <w:rPr>
          <w:spacing w:val="-5"/>
          <w:w w:val="101"/>
        </w:rPr>
        <w:t>本</w:t>
      </w:r>
      <w:r>
        <w:rPr>
          <w:w w:val="101"/>
        </w:rPr>
        <w:t>附</w:t>
      </w:r>
      <w:r>
        <w:rPr>
          <w:spacing w:val="-5"/>
          <w:w w:val="101"/>
        </w:rPr>
        <w:t>注</w:t>
      </w:r>
      <w:r>
        <w:rPr>
          <w:w w:val="101"/>
        </w:rPr>
        <w:t>五、</w:t>
      </w:r>
      <w:r>
        <w:rPr>
          <w:rFonts w:ascii="Times New Roman" w:hAnsi="Times New Roman" w:cs="Times New Roman" w:eastAsia="Times New Roman" w:hint="default"/>
          <w:spacing w:val="-5"/>
          <w:w w:val="101"/>
        </w:rPr>
        <w:t>3</w:t>
      </w:r>
      <w:r>
        <w:rPr>
          <w:rFonts w:ascii="Times New Roman" w:hAnsi="Times New Roman" w:cs="Times New Roman" w:eastAsia="Times New Roman" w:hint="default"/>
          <w:w w:val="101"/>
        </w:rPr>
        <w:t>1</w:t>
      </w:r>
      <w:r>
        <w:rPr>
          <w:rFonts w:ascii="Times New Roman" w:hAnsi="Times New Roman" w:cs="Times New Roman" w:eastAsia="Times New Roman" w:hint="default"/>
          <w:spacing w:val="-4"/>
          <w:w w:val="101"/>
        </w:rPr>
        <w:t>“</w:t>
      </w:r>
      <w:r>
        <w:rPr>
          <w:spacing w:val="-5"/>
          <w:w w:val="101"/>
        </w:rPr>
        <w:t>收</w:t>
      </w:r>
      <w:r>
        <w:rPr>
          <w:w w:val="101"/>
        </w:rPr>
        <w:t>入</w:t>
      </w:r>
      <w:r>
        <w:rPr>
          <w:rFonts w:ascii="Times New Roman" w:hAnsi="Times New Roman" w:cs="Times New Roman" w:eastAsia="Times New Roman" w:hint="default"/>
          <w:w w:val="101"/>
        </w:rPr>
        <w:t>”</w:t>
      </w:r>
      <w:r>
        <w:rPr>
          <w:spacing w:val="-5"/>
          <w:w w:val="101"/>
        </w:rPr>
        <w:t>（</w:t>
      </w:r>
      <w:r>
        <w:rPr>
          <w:rFonts w:ascii="Times New Roman" w:hAnsi="Times New Roman" w:cs="Times New Roman" w:eastAsia="Times New Roman" w:hint="default"/>
          <w:w w:val="101"/>
        </w:rPr>
        <w:t>2</w:t>
      </w:r>
      <w:r>
        <w:rPr>
          <w:w w:val="101"/>
        </w:rPr>
        <w:t>）及</w:t>
      </w:r>
      <w:r>
        <w:rPr>
          <w:spacing w:val="-52"/>
        </w:rPr>
        <w:t> </w:t>
      </w:r>
      <w:r>
        <w:rPr>
          <w:rFonts w:ascii="Times New Roman" w:hAnsi="Times New Roman" w:cs="Times New Roman" w:eastAsia="Times New Roman" w:hint="default"/>
          <w:w w:val="101"/>
        </w:rPr>
        <w:t>25</w:t>
      </w:r>
      <w:r>
        <w:rPr>
          <w:spacing w:val="-5"/>
          <w:w w:val="101"/>
        </w:rPr>
        <w:t>、</w:t>
      </w:r>
      <w:r>
        <w:rPr>
          <w:rFonts w:ascii="Times New Roman" w:hAnsi="Times New Roman" w:cs="Times New Roman" w:eastAsia="Times New Roman" w:hint="default"/>
          <w:w w:val="101"/>
        </w:rPr>
        <w:t>“</w:t>
      </w:r>
      <w:r>
        <w:rPr>
          <w:spacing w:val="-5"/>
          <w:w w:val="101"/>
        </w:rPr>
        <w:t>无</w:t>
      </w:r>
      <w:r>
        <w:rPr>
          <w:w w:val="101"/>
        </w:rPr>
        <w:t>形</w:t>
      </w:r>
      <w:r>
        <w:rPr>
          <w:spacing w:val="-5"/>
          <w:w w:val="101"/>
        </w:rPr>
        <w:t>资</w:t>
      </w:r>
      <w:r>
        <w:rPr>
          <w:spacing w:val="-1"/>
          <w:w w:val="101"/>
        </w:rPr>
        <w:t>产</w:t>
      </w:r>
      <w:r>
        <w:rPr>
          <w:rFonts w:ascii="Times New Roman" w:hAnsi="Times New Roman" w:cs="Times New Roman" w:eastAsia="Times New Roman" w:hint="default"/>
          <w:w w:val="101"/>
        </w:rPr>
        <w:t>”</w:t>
      </w:r>
      <w:r>
        <w:rPr>
          <w:spacing w:val="-96"/>
          <w:w w:val="101"/>
        </w:rPr>
        <w:t>、</w:t>
      </w:r>
      <w:r>
        <w:rPr>
          <w:w w:val="101"/>
        </w:rPr>
        <w:t>（</w:t>
      </w:r>
      <w:r>
        <w:rPr>
          <w:rFonts w:ascii="Times New Roman" w:hAnsi="Times New Roman" w:cs="Times New Roman" w:eastAsia="Times New Roman" w:hint="default"/>
          <w:spacing w:val="-5"/>
          <w:w w:val="101"/>
        </w:rPr>
        <w:t>2</w:t>
      </w:r>
      <w:r>
        <w:rPr>
          <w:w w:val="101"/>
        </w:rPr>
        <w:t>）</w:t>
      </w:r>
      <w:r>
        <w:rPr>
          <w:spacing w:val="-5"/>
          <w:w w:val="101"/>
        </w:rPr>
        <w:t>各</w:t>
      </w:r>
      <w:r>
        <w:rPr>
          <w:w w:val="101"/>
        </w:rPr>
        <w:t>项</w:t>
      </w:r>
      <w:r>
        <w:rPr>
          <w:spacing w:val="-5"/>
          <w:w w:val="101"/>
        </w:rPr>
        <w:t>描</w:t>
      </w:r>
      <w:r>
        <w:rPr>
          <w:w w:val="101"/>
        </w:rPr>
        <w:t>述。</w:t>
      </w:r>
      <w:r>
        <w:rPr/>
      </w: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13"/>
          <w:szCs w:val="13"/>
        </w:rPr>
      </w:pPr>
    </w:p>
    <w:p>
      <w:pPr>
        <w:pStyle w:val="Heading3"/>
        <w:spacing w:line="240" w:lineRule="auto"/>
        <w:ind w:right="0"/>
        <w:jc w:val="left"/>
        <w:rPr>
          <w:b w:val="0"/>
          <w:bCs w:val="0"/>
        </w:rPr>
      </w:pPr>
      <w:bookmarkStart w:name="1、遵循企业会计准则的声明" w:id="171"/>
      <w:bookmarkEnd w:id="171"/>
      <w:r>
        <w:rPr>
          <w:b w:val="0"/>
          <w:bCs w:val="0"/>
        </w:rPr>
      </w:r>
      <w:r>
        <w:rPr>
          <w:rFonts w:ascii="Times New Roman" w:hAnsi="Times New Roman" w:cs="Times New Roman" w:eastAsia="Times New Roman" w:hint="default"/>
        </w:rPr>
        <w:t>1</w:t>
      </w:r>
      <w:r>
        <w:rPr/>
        <w:t>、遵循企业会计准则的声明</w:t>
      </w:r>
      <w:r>
        <w:rPr>
          <w:b w:val="0"/>
          <w:bCs w:val="0"/>
        </w:rPr>
      </w:r>
    </w:p>
    <w:p>
      <w:pPr>
        <w:spacing w:line="240" w:lineRule="auto" w:before="12"/>
        <w:rPr>
          <w:rFonts w:ascii="宋体" w:hAnsi="宋体" w:cs="宋体" w:eastAsia="宋体" w:hint="default"/>
          <w:b/>
          <w:bCs/>
          <w:sz w:val="32"/>
          <w:szCs w:val="32"/>
        </w:rPr>
      </w:pPr>
    </w:p>
    <w:p>
      <w:pPr>
        <w:pStyle w:val="BodyText"/>
        <w:spacing w:line="475" w:lineRule="auto"/>
        <w:ind w:right="1124" w:firstLine="360"/>
        <w:jc w:val="both"/>
      </w:pPr>
      <w:r>
        <w:rPr>
          <w:spacing w:val="-4"/>
        </w:rPr>
        <w:t>本公司编制的财务报表符合企业会计准则的要求，真实、完整地反映了公司的财务状况、经营成果和现金流量等有关信</w:t>
      </w:r>
      <w:r>
        <w:rPr>
          <w:w w:val="101"/>
        </w:rPr>
        <w:t> </w:t>
      </w:r>
      <w:r>
        <w:rPr/>
        <w:t>息。</w:t>
      </w:r>
    </w:p>
    <w:p>
      <w:pPr>
        <w:spacing w:line="240" w:lineRule="auto" w:before="5"/>
        <w:rPr>
          <w:rFonts w:ascii="宋体" w:hAnsi="宋体" w:cs="宋体" w:eastAsia="宋体" w:hint="default"/>
          <w:sz w:val="19"/>
          <w:szCs w:val="19"/>
        </w:rPr>
      </w:pPr>
    </w:p>
    <w:p>
      <w:pPr>
        <w:pStyle w:val="Heading3"/>
        <w:spacing w:line="240" w:lineRule="auto"/>
        <w:ind w:right="0"/>
        <w:jc w:val="left"/>
        <w:rPr>
          <w:b w:val="0"/>
          <w:bCs w:val="0"/>
        </w:rPr>
      </w:pPr>
      <w:bookmarkStart w:name="2、会计期间" w:id="172"/>
      <w:bookmarkEnd w:id="172"/>
      <w:r>
        <w:rPr>
          <w:b w:val="0"/>
          <w:bCs w:val="0"/>
        </w:rPr>
      </w:r>
      <w:r>
        <w:rPr>
          <w:rFonts w:ascii="Times New Roman" w:hAnsi="Times New Roman" w:cs="Times New Roman" w:eastAsia="Times New Roman" w:hint="default"/>
        </w:rPr>
        <w:t>2</w:t>
      </w:r>
      <w:r>
        <w:rPr/>
        <w:t>、会计期间</w:t>
      </w:r>
      <w:r>
        <w:rPr>
          <w:b w:val="0"/>
          <w:bCs w:val="0"/>
        </w:rPr>
      </w:r>
    </w:p>
    <w:p>
      <w:pPr>
        <w:spacing w:line="240" w:lineRule="auto" w:before="7"/>
        <w:rPr>
          <w:rFonts w:ascii="宋体" w:hAnsi="宋体" w:cs="宋体" w:eastAsia="宋体" w:hint="default"/>
          <w:b/>
          <w:bCs/>
          <w:sz w:val="32"/>
          <w:szCs w:val="32"/>
        </w:rPr>
      </w:pPr>
    </w:p>
    <w:p>
      <w:pPr>
        <w:pStyle w:val="BodyText"/>
        <w:spacing w:line="475" w:lineRule="auto"/>
        <w:ind w:right="1029" w:firstLine="360"/>
        <w:jc w:val="left"/>
      </w:pPr>
      <w:r>
        <w:rPr>
          <w:spacing w:val="-3"/>
        </w:rPr>
        <w:t>本公司的会计期间分为年度和中期，会计中期指短于一个完整的会计年度的报告期间。本公司会计年度采用公历年度，</w:t>
      </w:r>
      <w:r>
        <w:rPr>
          <w:w w:val="101"/>
        </w:rPr>
        <w:t> </w:t>
      </w:r>
      <w:r>
        <w:rPr/>
        <w:t>即每年自</w:t>
      </w:r>
      <w:r>
        <w:rPr>
          <w:spacing w:val="-44"/>
        </w:rPr>
        <w:t> </w:t>
      </w:r>
      <w:r>
        <w:rPr>
          <w:rFonts w:ascii="Times New Roman" w:hAnsi="Times New Roman" w:cs="Times New Roman" w:eastAsia="Times New Roman" w:hint="default"/>
        </w:rPr>
        <w:t>1</w:t>
      </w:r>
      <w:r>
        <w:rPr>
          <w:rFonts w:ascii="Times New Roman" w:hAnsi="Times New Roman" w:cs="Times New Roman" w:eastAsia="Times New Roman" w:hint="default"/>
          <w:spacing w:val="-10"/>
        </w:rPr>
        <w:t> </w:t>
      </w:r>
      <w:r>
        <w:rPr/>
        <w:t>月</w:t>
      </w:r>
      <w:r>
        <w:rPr>
          <w:spacing w:val="-44"/>
        </w:rPr>
        <w:t> </w:t>
      </w:r>
      <w:r>
        <w:rPr>
          <w:rFonts w:ascii="Times New Roman" w:hAnsi="Times New Roman" w:cs="Times New Roman" w:eastAsia="Times New Roman" w:hint="default"/>
        </w:rPr>
        <w:t>1</w:t>
      </w:r>
      <w:r>
        <w:rPr>
          <w:rFonts w:ascii="Times New Roman" w:hAnsi="Times New Roman" w:cs="Times New Roman" w:eastAsia="Times New Roman" w:hint="default"/>
          <w:spacing w:val="-10"/>
        </w:rPr>
        <w:t> </w:t>
      </w:r>
      <w:r>
        <w:rPr/>
        <w:t>日起至</w:t>
      </w:r>
      <w:r>
        <w:rPr>
          <w:spacing w:val="-49"/>
        </w:rPr>
        <w:t> </w:t>
      </w:r>
      <w:r>
        <w:rPr>
          <w:rFonts w:ascii="Times New Roman" w:hAnsi="Times New Roman" w:cs="Times New Roman" w:eastAsia="Times New Roman" w:hint="default"/>
        </w:rPr>
        <w:t>12</w:t>
      </w:r>
      <w:r>
        <w:rPr>
          <w:rFonts w:ascii="Times New Roman" w:hAnsi="Times New Roman" w:cs="Times New Roman" w:eastAsia="Times New Roman" w:hint="default"/>
          <w:spacing w:val="-8"/>
        </w:rPr>
        <w:t> </w:t>
      </w:r>
      <w:r>
        <w:rPr/>
        <w:t>月</w:t>
      </w:r>
      <w:r>
        <w:rPr>
          <w:spacing w:val="-44"/>
        </w:rPr>
        <w:t> </w:t>
      </w:r>
      <w:r>
        <w:rPr>
          <w:rFonts w:ascii="Times New Roman" w:hAnsi="Times New Roman" w:cs="Times New Roman" w:eastAsia="Times New Roman" w:hint="default"/>
          <w:spacing w:val="-3"/>
        </w:rPr>
        <w:t>31</w:t>
      </w:r>
      <w:r>
        <w:rPr>
          <w:rFonts w:ascii="Times New Roman" w:hAnsi="Times New Roman" w:cs="Times New Roman" w:eastAsia="Times New Roman" w:hint="default"/>
          <w:spacing w:val="-4"/>
        </w:rPr>
        <w:t> </w:t>
      </w:r>
      <w:r>
        <w:rPr/>
        <w:t>日止。</w:t>
      </w:r>
    </w:p>
    <w:p>
      <w:pPr>
        <w:spacing w:line="240" w:lineRule="auto" w:before="12"/>
        <w:rPr>
          <w:rFonts w:ascii="宋体" w:hAnsi="宋体" w:cs="宋体" w:eastAsia="宋体" w:hint="default"/>
          <w:sz w:val="16"/>
          <w:szCs w:val="16"/>
        </w:rPr>
      </w:pPr>
    </w:p>
    <w:p>
      <w:pPr>
        <w:pStyle w:val="Heading3"/>
        <w:spacing w:line="240" w:lineRule="auto"/>
        <w:ind w:right="0"/>
        <w:jc w:val="left"/>
        <w:rPr>
          <w:b w:val="0"/>
          <w:bCs w:val="0"/>
        </w:rPr>
      </w:pPr>
      <w:bookmarkStart w:name="3、营业周期" w:id="173"/>
      <w:bookmarkEnd w:id="173"/>
      <w:r>
        <w:rPr>
          <w:b w:val="0"/>
          <w:bCs w:val="0"/>
        </w:rPr>
      </w:r>
      <w:r>
        <w:rPr>
          <w:rFonts w:ascii="Times New Roman" w:hAnsi="Times New Roman" w:cs="Times New Roman" w:eastAsia="Times New Roman" w:hint="default"/>
        </w:rPr>
        <w:t>3</w:t>
      </w:r>
      <w:r>
        <w:rPr/>
        <w:t>、营业周期</w:t>
      </w:r>
      <w:r>
        <w:rPr>
          <w:b w:val="0"/>
          <w:bCs w:val="0"/>
        </w:rPr>
      </w:r>
    </w:p>
    <w:p>
      <w:pPr>
        <w:spacing w:line="240" w:lineRule="auto" w:before="7"/>
        <w:rPr>
          <w:rFonts w:ascii="宋体" w:hAnsi="宋体" w:cs="宋体" w:eastAsia="宋体" w:hint="default"/>
          <w:b/>
          <w:bCs/>
          <w:sz w:val="32"/>
          <w:szCs w:val="32"/>
        </w:rPr>
      </w:pPr>
    </w:p>
    <w:p>
      <w:pPr>
        <w:pStyle w:val="BodyText"/>
        <w:spacing w:line="453" w:lineRule="auto"/>
        <w:ind w:right="0" w:firstLine="360"/>
        <w:jc w:val="left"/>
      </w:pPr>
      <w:r>
        <w:rPr>
          <w:spacing w:val="-3"/>
        </w:rPr>
        <w:t>正常营业周期是指本公司从购买用于加工的资产起至实现现金或现金等价物的期间。本公司以 </w:t>
      </w:r>
      <w:r>
        <w:rPr>
          <w:rFonts w:ascii="Times New Roman" w:hAnsi="Times New Roman" w:cs="Times New Roman" w:eastAsia="Times New Roman" w:hint="default"/>
          <w:spacing w:val="-3"/>
        </w:rPr>
        <w:t>12</w:t>
      </w:r>
      <w:r>
        <w:rPr>
          <w:rFonts w:ascii="Times New Roman" w:hAnsi="Times New Roman" w:cs="Times New Roman" w:eastAsia="Times New Roman" w:hint="default"/>
          <w:spacing w:val="35"/>
        </w:rPr>
        <w:t> </w:t>
      </w:r>
      <w:r>
        <w:rPr>
          <w:spacing w:val="-3"/>
        </w:rPr>
        <w:t>个月作为一个营业周</w:t>
      </w:r>
      <w:r>
        <w:rPr>
          <w:w w:val="101"/>
        </w:rPr>
        <w:t> </w:t>
      </w:r>
      <w:r>
        <w:rPr>
          <w:spacing w:val="-3"/>
        </w:rPr>
        <w:t>期，并以其作为资产和负债的流动性划分标准。</w:t>
      </w:r>
    </w:p>
    <w:p>
      <w:pPr>
        <w:spacing w:line="240" w:lineRule="auto" w:before="3"/>
        <w:rPr>
          <w:rFonts w:ascii="宋体" w:hAnsi="宋体" w:cs="宋体" w:eastAsia="宋体" w:hint="default"/>
          <w:sz w:val="20"/>
          <w:szCs w:val="20"/>
        </w:rPr>
      </w:pPr>
    </w:p>
    <w:p>
      <w:pPr>
        <w:pStyle w:val="Heading3"/>
        <w:spacing w:line="240" w:lineRule="auto"/>
        <w:ind w:right="0"/>
        <w:jc w:val="left"/>
        <w:rPr>
          <w:b w:val="0"/>
          <w:bCs w:val="0"/>
        </w:rPr>
      </w:pPr>
      <w:bookmarkStart w:name="4、记账本位币" w:id="174"/>
      <w:bookmarkEnd w:id="174"/>
      <w:r>
        <w:rPr>
          <w:b w:val="0"/>
          <w:bCs w:val="0"/>
        </w:rPr>
      </w:r>
      <w:r>
        <w:rPr>
          <w:rFonts w:ascii="Times New Roman" w:hAnsi="Times New Roman" w:cs="Times New Roman" w:eastAsia="Times New Roman" w:hint="default"/>
        </w:rPr>
        <w:t>4</w:t>
      </w:r>
      <w:r>
        <w:rPr/>
        <w:t>、记账本位币</w:t>
      </w:r>
      <w:r>
        <w:rPr>
          <w:b w:val="0"/>
          <w:bCs w:val="0"/>
        </w:rPr>
      </w:r>
    </w:p>
    <w:p>
      <w:pPr>
        <w:spacing w:line="240" w:lineRule="auto" w:before="5"/>
        <w:rPr>
          <w:rFonts w:ascii="宋体" w:hAnsi="宋体" w:cs="宋体" w:eastAsia="宋体" w:hint="default"/>
          <w:b/>
          <w:bCs/>
          <w:sz w:val="26"/>
          <w:szCs w:val="26"/>
        </w:rPr>
      </w:pPr>
    </w:p>
    <w:p>
      <w:pPr>
        <w:pStyle w:val="BodyText"/>
        <w:spacing w:line="316" w:lineRule="auto"/>
        <w:ind w:right="1128" w:firstLine="360"/>
        <w:jc w:val="both"/>
      </w:pPr>
      <w:r>
        <w:rPr>
          <w:spacing w:val="-5"/>
          <w:w w:val="101"/>
        </w:rPr>
        <w:t>本公司及境内子公司采用人民币为记账本位币。本公司境外子公司根据其经营所处的主要经济环境中的货币确定人民币</w:t>
      </w:r>
      <w:r>
        <w:rPr>
          <w:w w:val="101"/>
        </w:rPr>
        <w:t> </w:t>
      </w:r>
      <w:r>
        <w:rPr/>
        <w:t>为其记账本位币。</w:t>
      </w:r>
    </w:p>
    <w:p>
      <w:pPr>
        <w:pStyle w:val="BodyText"/>
        <w:spacing w:line="240" w:lineRule="auto" w:before="18"/>
        <w:ind w:left="513" w:right="0"/>
        <w:jc w:val="left"/>
      </w:pPr>
      <w:r>
        <w:rPr>
          <w:spacing w:val="-3"/>
        </w:rPr>
        <w:t>本公司编制本财务报表时所采用的货币为人民币。</w:t>
      </w:r>
    </w:p>
    <w:p>
      <w:pPr>
        <w:spacing w:after="0" w:line="240" w:lineRule="auto"/>
        <w:jc w:val="left"/>
        <w:sectPr>
          <w:pgSz w:w="11910" w:h="16840"/>
          <w:pgMar w:header="871" w:footer="1186" w:top="1100" w:bottom="1380" w:left="980" w:right="0"/>
        </w:sectPr>
      </w:pPr>
    </w:p>
    <w:p>
      <w:pPr>
        <w:spacing w:line="240" w:lineRule="auto" w:before="0"/>
        <w:rPr>
          <w:rFonts w:ascii="宋体" w:hAnsi="宋体" w:cs="宋体" w:eastAsia="宋体" w:hint="default"/>
          <w:sz w:val="21"/>
          <w:szCs w:val="21"/>
        </w:rPr>
      </w:pPr>
    </w:p>
    <w:p>
      <w:pPr>
        <w:pStyle w:val="Heading3"/>
        <w:spacing w:line="240" w:lineRule="auto" w:before="36"/>
        <w:ind w:right="0"/>
        <w:jc w:val="both"/>
        <w:rPr>
          <w:b w:val="0"/>
          <w:bCs w:val="0"/>
        </w:rPr>
      </w:pPr>
      <w:bookmarkStart w:name="5、同一控制下和非同一控制下企业合并的会计处理方法" w:id="175"/>
      <w:bookmarkEnd w:id="175"/>
      <w:r>
        <w:rPr>
          <w:b w:val="0"/>
          <w:bCs w:val="0"/>
        </w:rPr>
      </w:r>
      <w:r>
        <w:rPr>
          <w:rFonts w:ascii="Times New Roman" w:hAnsi="Times New Roman" w:cs="Times New Roman" w:eastAsia="Times New Roman" w:hint="default"/>
        </w:rPr>
        <w:t>5</w:t>
      </w:r>
      <w:r>
        <w:rPr/>
        <w:t>、同一控制下和非同一控制下企业合并的会计处理方法</w:t>
      </w:r>
      <w:r>
        <w:rPr>
          <w:b w:val="0"/>
          <w:bCs w:val="0"/>
        </w:rPr>
      </w:r>
    </w:p>
    <w:p>
      <w:pPr>
        <w:spacing w:line="240" w:lineRule="auto" w:before="7"/>
        <w:rPr>
          <w:rFonts w:ascii="宋体" w:hAnsi="宋体" w:cs="宋体" w:eastAsia="宋体" w:hint="default"/>
          <w:b/>
          <w:bCs/>
          <w:sz w:val="32"/>
          <w:szCs w:val="32"/>
        </w:rPr>
      </w:pPr>
    </w:p>
    <w:p>
      <w:pPr>
        <w:pStyle w:val="BodyText"/>
        <w:spacing w:line="475" w:lineRule="auto"/>
        <w:ind w:right="1124" w:firstLine="360"/>
        <w:jc w:val="both"/>
      </w:pPr>
      <w:r>
        <w:rPr>
          <w:spacing w:val="-4"/>
        </w:rPr>
        <w:t>企业合并，是指将两个或两个以上单独的企业合并形成一个报告主体的交易或事项。企业合并分为同一控制下企业合并</w:t>
      </w:r>
      <w:r>
        <w:rPr>
          <w:w w:val="101"/>
        </w:rPr>
        <w:t> </w:t>
      </w:r>
      <w:r>
        <w:rPr>
          <w:spacing w:val="-3"/>
        </w:rPr>
        <w:t>和非同一控制下企业合并。</w:t>
      </w:r>
    </w:p>
    <w:p>
      <w:pPr>
        <w:pStyle w:val="BodyText"/>
        <w:spacing w:line="463" w:lineRule="auto" w:before="58"/>
        <w:ind w:left="513" w:right="0"/>
        <w:jc w:val="left"/>
      </w:pPr>
      <w:r>
        <w:rPr>
          <w:rFonts w:ascii="Times New Roman" w:hAnsi="Times New Roman" w:cs="Times New Roman" w:eastAsia="Times New Roman" w:hint="default"/>
          <w:spacing w:val="-3"/>
        </w:rPr>
        <w:t>1</w:t>
      </w:r>
      <w:r>
        <w:rPr>
          <w:spacing w:val="-3"/>
        </w:rPr>
        <w:t>．同一控制下企业合并的会计处理</w:t>
      </w:r>
      <w:r>
        <w:rPr>
          <w:spacing w:val="-40"/>
        </w:rPr>
        <w:t> </w:t>
      </w:r>
      <w:r>
        <w:rPr>
          <w:spacing w:val="-40"/>
        </w:rPr>
      </w:r>
      <w:r>
        <w:rPr>
          <w:spacing w:val="-3"/>
        </w:rPr>
        <w:t>参与合并的企业在合并前后均受同一方或相同的多方最终控制，且该控制并非暂时性的，为同一控制下的企业合并。</w:t>
      </w:r>
      <w:r>
        <w:rPr>
          <w:spacing w:val="60"/>
        </w:rPr>
        <w:t> </w:t>
      </w:r>
      <w:r>
        <w:rPr>
          <w:spacing w:val="60"/>
        </w:rPr>
      </w:r>
      <w:r>
        <w:rPr>
          <w:spacing w:val="-4"/>
        </w:rPr>
        <w:t>公司在企业合并中取得的被合并方的资产、负债，除因会计政策不同而进行的调整以外，按照合并日被合并方在最终控</w:t>
      </w:r>
    </w:p>
    <w:p>
      <w:pPr>
        <w:pStyle w:val="BodyText"/>
        <w:spacing w:line="480" w:lineRule="auto" w:before="62"/>
        <w:ind w:right="1128"/>
        <w:jc w:val="both"/>
      </w:pPr>
      <w:r>
        <w:rPr>
          <w:spacing w:val="-4"/>
          <w:w w:val="101"/>
        </w:rPr>
        <w:t>制方合并财务报表中的账面价值计量。公司取得的被合并方所有者权益在最终控制方合并财务报表中的账面价值的份额与支</w:t>
      </w:r>
      <w:r>
        <w:rPr>
          <w:w w:val="101"/>
        </w:rPr>
        <w:t> </w:t>
      </w:r>
      <w:r>
        <w:rPr>
          <w:spacing w:val="-3"/>
        </w:rPr>
        <w:t>付的合并对价账面价值</w:t>
      </w:r>
      <w:r>
        <w:rPr>
          <w:rFonts w:ascii="Times New Roman" w:hAnsi="Times New Roman" w:cs="Times New Roman" w:eastAsia="Times New Roman" w:hint="default"/>
          <w:spacing w:val="-3"/>
        </w:rPr>
        <w:t>(</w:t>
      </w:r>
      <w:r>
        <w:rPr>
          <w:spacing w:val="-3"/>
        </w:rPr>
        <w:t>或发行股份面值总额</w:t>
      </w:r>
      <w:r>
        <w:rPr>
          <w:rFonts w:ascii="Times New Roman" w:hAnsi="Times New Roman" w:cs="Times New Roman" w:eastAsia="Times New Roman" w:hint="default"/>
          <w:spacing w:val="-3"/>
        </w:rPr>
        <w:t>)</w:t>
      </w:r>
      <w:r>
        <w:rPr>
          <w:spacing w:val="-3"/>
        </w:rPr>
        <w:t>的差额，调整资本公积；资本公积不足冲减的，调整留存收益。</w:t>
      </w:r>
    </w:p>
    <w:p>
      <w:pPr>
        <w:pStyle w:val="BodyText"/>
        <w:spacing w:line="470" w:lineRule="auto" w:before="17"/>
        <w:ind w:right="1124" w:firstLine="360"/>
        <w:jc w:val="both"/>
      </w:pPr>
      <w:r>
        <w:rPr>
          <w:spacing w:val="-4"/>
        </w:rPr>
        <w:t>通过多次交易分步实现同一控制下的企业合并，合并前持有投资的账面价值加上合并日新支付对价的账面价值之和，与</w:t>
      </w:r>
      <w:r>
        <w:rPr>
          <w:w w:val="101"/>
        </w:rPr>
        <w:t> </w:t>
      </w:r>
      <w:r>
        <w:rPr>
          <w:spacing w:val="-3"/>
        </w:rPr>
        <w:t>合并中取得的净资产账面价值的差额，调整资本公积</w:t>
      </w:r>
      <w:r>
        <w:rPr>
          <w:rFonts w:ascii="Times New Roman" w:hAnsi="Times New Roman" w:cs="Times New Roman" w:eastAsia="Times New Roman" w:hint="default"/>
          <w:spacing w:val="-3"/>
        </w:rPr>
        <w:t>(</w:t>
      </w:r>
      <w:r>
        <w:rPr>
          <w:spacing w:val="-3"/>
        </w:rPr>
        <w:t>股本溢价</w:t>
      </w:r>
      <w:r>
        <w:rPr>
          <w:rFonts w:ascii="Times New Roman" w:hAnsi="Times New Roman" w:cs="Times New Roman" w:eastAsia="Times New Roman" w:hint="default"/>
          <w:spacing w:val="-3"/>
        </w:rPr>
        <w:t>)</w:t>
      </w:r>
      <w:r>
        <w:rPr>
          <w:spacing w:val="-3"/>
        </w:rPr>
        <w:t>，资本公积不足冲减的，调整留存收益。合并方在取得被合</w:t>
      </w:r>
      <w:r>
        <w:rPr>
          <w:spacing w:val="45"/>
        </w:rPr>
        <w:t> </w:t>
      </w:r>
      <w:r>
        <w:rPr>
          <w:spacing w:val="45"/>
        </w:rPr>
      </w:r>
      <w:r>
        <w:rPr>
          <w:spacing w:val="-4"/>
          <w:w w:val="101"/>
        </w:rPr>
        <w:t>并方控制权之前持有的长期股权投资，在取得原股权之日与合并方与被合并方同处于同一方最终控制之日孰晚日起至合并日</w:t>
      </w:r>
      <w:r>
        <w:rPr>
          <w:w w:val="101"/>
        </w:rPr>
        <w:t> </w:t>
      </w:r>
      <w:r>
        <w:rPr>
          <w:spacing w:val="-4"/>
        </w:rPr>
        <w:t>之间已确认有关损益、其他综合收益和其他所有者权益变动，应分别冲减比较报表期间的期初留存收益或当期损益，由于被</w:t>
      </w:r>
      <w:r>
        <w:rPr>
          <w:spacing w:val="43"/>
        </w:rPr>
        <w:t> </w:t>
      </w:r>
      <w:r>
        <w:rPr>
          <w:spacing w:val="43"/>
        </w:rPr>
      </w:r>
      <w:r>
        <w:rPr>
          <w:spacing w:val="-3"/>
        </w:rPr>
        <w:t>投资方重新计量设定受益计划净负债或净资产变动而产生的其他综合收益除外。</w:t>
      </w:r>
    </w:p>
    <w:p>
      <w:pPr>
        <w:pStyle w:val="BodyText"/>
        <w:spacing w:line="463" w:lineRule="auto" w:before="62"/>
        <w:ind w:left="513" w:right="1029"/>
        <w:jc w:val="left"/>
      </w:pPr>
      <w:r>
        <w:rPr>
          <w:rFonts w:ascii="Times New Roman" w:hAnsi="Times New Roman" w:cs="Times New Roman" w:eastAsia="Times New Roman" w:hint="default"/>
          <w:spacing w:val="-3"/>
        </w:rPr>
        <w:t>2</w:t>
      </w:r>
      <w:r>
        <w:rPr>
          <w:spacing w:val="-3"/>
        </w:rPr>
        <w:t>．非同一控制下企业合并的会计处理</w:t>
      </w:r>
      <w:r>
        <w:rPr>
          <w:spacing w:val="-35"/>
        </w:rPr>
        <w:t> </w:t>
      </w:r>
      <w:r>
        <w:rPr>
          <w:spacing w:val="-35"/>
        </w:rPr>
      </w:r>
      <w:r>
        <w:rPr>
          <w:spacing w:val="-3"/>
        </w:rPr>
        <w:t>参与合并的企业在合并前后不受同一方或相同的多方最终控制的，为非同一控制下的企业合并。</w:t>
      </w:r>
      <w:r>
        <w:rPr>
          <w:spacing w:val="31"/>
        </w:rPr>
        <w:t> </w:t>
      </w:r>
      <w:r>
        <w:rPr>
          <w:spacing w:val="31"/>
        </w:rPr>
      </w:r>
      <w:r>
        <w:rPr>
          <w:spacing w:val="-5"/>
        </w:rPr>
        <w:t>公司在购买日对合并成本大于合并中取得的被购买方可辨认净资产公允价值份额的差额，确认为商誉；对于合并成本小</w:t>
      </w:r>
    </w:p>
    <w:p>
      <w:pPr>
        <w:pStyle w:val="BodyText"/>
        <w:spacing w:line="477" w:lineRule="auto" w:before="63"/>
        <w:ind w:right="1124"/>
        <w:jc w:val="both"/>
      </w:pPr>
      <w:r>
        <w:rPr>
          <w:spacing w:val="-4"/>
        </w:rPr>
        <w:t>于合并中取得的被购买方可辨认净资产公允价值份额，首先对取得的被购买方各项可辨认资产、负债及或有负债的公允价值</w:t>
      </w:r>
      <w:r>
        <w:rPr>
          <w:spacing w:val="43"/>
        </w:rPr>
        <w:t> </w:t>
      </w:r>
      <w:r>
        <w:rPr>
          <w:spacing w:val="43"/>
        </w:rPr>
      </w:r>
      <w:r>
        <w:rPr>
          <w:spacing w:val="-4"/>
        </w:rPr>
        <w:t>以及合并成本的计量进行复核，经复核后合并成本仍小于合并中取得的被购买方可辨认净资产公允价值份额的，其差额计入</w:t>
      </w:r>
      <w:r>
        <w:rPr>
          <w:spacing w:val="42"/>
        </w:rPr>
        <w:t> </w:t>
      </w:r>
      <w:r>
        <w:rPr>
          <w:spacing w:val="42"/>
        </w:rPr>
      </w:r>
      <w:r>
        <w:rPr/>
        <w:t>当期损益。</w:t>
      </w:r>
    </w:p>
    <w:p>
      <w:pPr>
        <w:pStyle w:val="BodyText"/>
        <w:spacing w:line="477" w:lineRule="auto" w:before="56"/>
        <w:ind w:right="1124" w:firstLine="360"/>
        <w:jc w:val="both"/>
      </w:pPr>
      <w:r>
        <w:rPr>
          <w:spacing w:val="-4"/>
        </w:rPr>
        <w:t>如果在购买日或合并当期期末，因各种因素影响无法合理确定作为合并对价付出的各项资产的公允价值，或合并中取得</w:t>
      </w:r>
      <w:r>
        <w:rPr>
          <w:w w:val="101"/>
        </w:rPr>
        <w:t> </w:t>
      </w:r>
      <w:r>
        <w:rPr>
          <w:spacing w:val="-4"/>
        </w:rPr>
        <w:t>被购买方各项可辨认资产、负债的公允价值，合并当期期末，公司以暂时确定的价值为基础对企业合并进行核算。自购买日</w:t>
      </w:r>
      <w:r>
        <w:rPr>
          <w:spacing w:val="40"/>
        </w:rPr>
        <w:t> </w:t>
      </w:r>
      <w:r>
        <w:rPr>
          <w:spacing w:val="40"/>
        </w:rPr>
      </w:r>
      <w:r>
        <w:rPr/>
        <w:t>算起 </w:t>
      </w:r>
      <w:r>
        <w:rPr>
          <w:rFonts w:ascii="Times New Roman" w:hAnsi="Times New Roman" w:cs="Times New Roman" w:eastAsia="Times New Roman" w:hint="default"/>
          <w:spacing w:val="-3"/>
        </w:rPr>
        <w:t>12  </w:t>
      </w:r>
      <w:r>
        <w:rPr>
          <w:rFonts w:ascii="Times New Roman" w:hAnsi="Times New Roman" w:cs="Times New Roman" w:eastAsia="Times New Roman" w:hint="default"/>
          <w:spacing w:val="15"/>
        </w:rPr>
        <w:t> </w:t>
      </w:r>
      <w:r>
        <w:rPr>
          <w:spacing w:val="-3"/>
        </w:rPr>
        <w:t>个月内取得进一步的信息表明需对原暂时确定的价值进行调整的，则视同在购买日发生，进行追溯调整，同时对以</w:t>
      </w:r>
    </w:p>
    <w:p>
      <w:pPr>
        <w:pStyle w:val="BodyText"/>
        <w:spacing w:line="453" w:lineRule="auto" w:before="19"/>
        <w:ind w:right="1141"/>
        <w:jc w:val="both"/>
      </w:pPr>
      <w:r>
        <w:rPr>
          <w:spacing w:val="-3"/>
        </w:rPr>
        <w:t>暂时性价值为基础提供的比较报表信息进行相关的调整；自购买日算起 </w:t>
      </w:r>
      <w:r>
        <w:rPr>
          <w:rFonts w:ascii="Times New Roman" w:hAnsi="Times New Roman" w:cs="Times New Roman" w:eastAsia="Times New Roman" w:hint="default"/>
          <w:spacing w:val="-3"/>
        </w:rPr>
        <w:t>12 </w:t>
      </w:r>
      <w:r>
        <w:rPr>
          <w:spacing w:val="-3"/>
        </w:rPr>
        <w:t>个月以后对企业合并成本或合并中取得的可辨认</w:t>
      </w:r>
      <w:r>
        <w:rPr>
          <w:spacing w:val="-20"/>
        </w:rPr>
        <w:t> </w:t>
      </w:r>
      <w:r>
        <w:rPr>
          <w:spacing w:val="-20"/>
        </w:rPr>
      </w:r>
      <w:r>
        <w:rPr>
          <w:spacing w:val="-3"/>
        </w:rPr>
        <w:t>资产、负债价值的调整，按照《企业会计准则第 </w:t>
      </w:r>
      <w:r>
        <w:rPr>
          <w:rFonts w:ascii="Times New Roman" w:hAnsi="Times New Roman" w:cs="Times New Roman" w:eastAsia="Times New Roman" w:hint="default"/>
        </w:rPr>
        <w:t>28  </w:t>
      </w:r>
      <w:r>
        <w:rPr>
          <w:rFonts w:ascii="Times New Roman" w:hAnsi="Times New Roman" w:cs="Times New Roman" w:eastAsia="Times New Roman" w:hint="default"/>
          <w:spacing w:val="12"/>
        </w:rPr>
        <w:t> </w:t>
      </w:r>
      <w:r>
        <w:rPr>
          <w:spacing w:val="-3"/>
        </w:rPr>
        <w:t>号</w:t>
      </w:r>
      <w:r>
        <w:rPr>
          <w:rFonts w:ascii="Times New Roman" w:hAnsi="Times New Roman" w:cs="Times New Roman" w:eastAsia="Times New Roman" w:hint="default"/>
          <w:spacing w:val="-3"/>
        </w:rPr>
        <w:t>——</w:t>
      </w:r>
      <w:r>
        <w:rPr>
          <w:spacing w:val="-3"/>
        </w:rPr>
        <w:t>会计政策、会计估计变更和会计差错更正》的原则进行处理。</w:t>
      </w:r>
    </w:p>
    <w:p>
      <w:pPr>
        <w:pStyle w:val="BodyText"/>
        <w:spacing w:line="470" w:lineRule="auto" w:before="39"/>
        <w:ind w:right="1123" w:firstLine="360"/>
        <w:jc w:val="both"/>
      </w:pPr>
      <w:r>
        <w:rPr>
          <w:spacing w:val="-4"/>
        </w:rPr>
        <w:t>公司在企业合并中取得的被购买方的可抵扣暂时性差异，在购买日不符合递延所得税资产确认条件的，不予以确认。购</w:t>
      </w:r>
      <w:r>
        <w:rPr>
          <w:w w:val="101"/>
        </w:rPr>
        <w:t> </w:t>
      </w:r>
      <w:r>
        <w:rPr/>
        <w:t>买日后 </w:t>
      </w:r>
      <w:r>
        <w:rPr>
          <w:rFonts w:ascii="Times New Roman" w:hAnsi="Times New Roman" w:cs="Times New Roman" w:eastAsia="Times New Roman" w:hint="default"/>
          <w:spacing w:val="-3"/>
        </w:rPr>
        <w:t>12 </w:t>
      </w:r>
      <w:r>
        <w:rPr>
          <w:spacing w:val="-3"/>
        </w:rPr>
        <w:t>个月内，如取得新的或进一步的信息表明购买日的相关情况已经存在，预期被购买方在购买日可抵扣暂时性差异</w:t>
      </w:r>
      <w:r>
        <w:rPr>
          <w:spacing w:val="-32"/>
        </w:rPr>
        <w:t> </w:t>
      </w:r>
      <w:r>
        <w:rPr>
          <w:spacing w:val="-32"/>
        </w:rPr>
      </w:r>
      <w:r>
        <w:rPr>
          <w:spacing w:val="-4"/>
        </w:rPr>
        <w:t>带来的经济利益能够实现的，确认相关的递延所得税资产，同时减少商誉，商誉不足冲减的，差额部分确认为当期损益；除</w:t>
      </w:r>
      <w:r>
        <w:rPr>
          <w:spacing w:val="40"/>
        </w:rPr>
        <w:t> </w:t>
      </w:r>
      <w:r>
        <w:rPr>
          <w:spacing w:val="40"/>
        </w:rPr>
      </w:r>
      <w:r>
        <w:rPr>
          <w:spacing w:val="-3"/>
        </w:rPr>
        <w:t>上述情况以外，确认与企业合并相关的递延所得税资产，计入当期损益。</w:t>
      </w:r>
    </w:p>
    <w:p>
      <w:pPr>
        <w:pStyle w:val="BodyText"/>
        <w:spacing w:line="240" w:lineRule="auto" w:before="57"/>
        <w:ind w:left="513" w:right="0"/>
        <w:jc w:val="left"/>
      </w:pPr>
      <w:r>
        <w:rPr>
          <w:spacing w:val="-4"/>
        </w:rPr>
        <w:t>通过多次交易分步实现的非同一控制下企业合并，根据企业会计准则判断该多次交易是否属于</w:t>
      </w:r>
      <w:r>
        <w:rPr>
          <w:rFonts w:ascii="Times New Roman" w:hAnsi="Times New Roman" w:cs="Times New Roman" w:eastAsia="Times New Roman" w:hint="default"/>
          <w:spacing w:val="-4"/>
        </w:rPr>
        <w:t>“</w:t>
      </w:r>
      <w:r>
        <w:rPr>
          <w:spacing w:val="-4"/>
        </w:rPr>
        <w:t>一揽子交易</w:t>
      </w:r>
      <w:r>
        <w:rPr>
          <w:rFonts w:ascii="Times New Roman" w:hAnsi="Times New Roman" w:cs="Times New Roman" w:eastAsia="Times New Roman" w:hint="default"/>
          <w:spacing w:val="-4"/>
        </w:rPr>
        <w:t>”</w:t>
      </w:r>
      <w:r>
        <w:rPr>
          <w:spacing w:val="-4"/>
        </w:rPr>
        <w:t>。多次交易</w:t>
      </w:r>
    </w:p>
    <w:p>
      <w:pPr>
        <w:spacing w:after="0" w:line="240" w:lineRule="auto"/>
        <w:jc w:val="left"/>
        <w:sectPr>
          <w:pgSz w:w="11910" w:h="16840"/>
          <w:pgMar w:header="871" w:footer="1186" w:top="1100" w:bottom="1380" w:left="980" w:right="0"/>
        </w:sectPr>
      </w:pPr>
    </w:p>
    <w:p>
      <w:pPr>
        <w:spacing w:line="240" w:lineRule="auto" w:before="1"/>
        <w:rPr>
          <w:rFonts w:ascii="宋体" w:hAnsi="宋体" w:cs="宋体" w:eastAsia="宋体" w:hint="default"/>
          <w:sz w:val="28"/>
          <w:szCs w:val="28"/>
        </w:rPr>
      </w:pPr>
    </w:p>
    <w:p>
      <w:pPr>
        <w:pStyle w:val="BodyText"/>
        <w:spacing w:line="451" w:lineRule="auto" w:before="46"/>
        <w:ind w:right="1160"/>
        <w:jc w:val="both"/>
      </w:pPr>
      <w:r>
        <w:rPr>
          <w:spacing w:val="-3"/>
        </w:rPr>
        <w:t>的条款、条件以及经济影响符合以下一种或多种情况，通常表明应将多次交易事项作为一揽子交易进行会计处理：</w:t>
      </w:r>
      <w:r>
        <w:rPr>
          <w:rFonts w:ascii="Times New Roman" w:hAnsi="Times New Roman" w:cs="Times New Roman" w:eastAsia="Times New Roman" w:hint="default"/>
          <w:spacing w:val="-3"/>
        </w:rPr>
        <w:t>(1)</w:t>
      </w:r>
      <w:r>
        <w:rPr>
          <w:spacing w:val="-3"/>
        </w:rPr>
        <w:t>这些</w:t>
      </w:r>
      <w:r>
        <w:rPr>
          <w:spacing w:val="65"/>
        </w:rPr>
        <w:t> </w:t>
      </w:r>
      <w:r>
        <w:rPr>
          <w:spacing w:val="-3"/>
        </w:rPr>
        <w:t>交易是同时或者在考虑了彼此影响的情况下订立的；</w:t>
      </w:r>
      <w:r>
        <w:rPr>
          <w:rFonts w:ascii="Times New Roman" w:hAnsi="Times New Roman" w:cs="Times New Roman" w:eastAsia="Times New Roman" w:hint="default"/>
          <w:spacing w:val="-3"/>
        </w:rPr>
        <w:t>(2)</w:t>
      </w:r>
      <w:r>
        <w:rPr>
          <w:spacing w:val="-3"/>
        </w:rPr>
        <w:t>这些交易整体才能达成一项完整的商业结果；</w:t>
      </w:r>
      <w:r>
        <w:rPr>
          <w:rFonts w:ascii="Times New Roman" w:hAnsi="Times New Roman" w:cs="Times New Roman" w:eastAsia="Times New Roman" w:hint="default"/>
          <w:spacing w:val="-3"/>
        </w:rPr>
        <w:t>(3)</w:t>
      </w:r>
      <w:r>
        <w:rPr>
          <w:spacing w:val="-3"/>
        </w:rPr>
        <w:t>一项交易的发生取</w:t>
      </w:r>
      <w:r>
        <w:rPr>
          <w:spacing w:val="77"/>
        </w:rPr>
        <w:t> </w:t>
      </w:r>
      <w:r>
        <w:rPr>
          <w:spacing w:val="77"/>
        </w:rPr>
      </w:r>
      <w:r>
        <w:rPr>
          <w:spacing w:val="-3"/>
        </w:rPr>
        <w:t>决于其他至少一项交易的发生；</w:t>
      </w:r>
      <w:r>
        <w:rPr>
          <w:rFonts w:ascii="Times New Roman" w:hAnsi="Times New Roman" w:cs="Times New Roman" w:eastAsia="Times New Roman" w:hint="default"/>
          <w:spacing w:val="-3"/>
        </w:rPr>
        <w:t>(4)</w:t>
      </w:r>
      <w:r>
        <w:rPr>
          <w:spacing w:val="-3"/>
        </w:rPr>
        <w:t>一项交易单独看是不经济的，但是和其他交易一并考虑时是经济的。</w:t>
      </w:r>
    </w:p>
    <w:p>
      <w:pPr>
        <w:pStyle w:val="BodyText"/>
        <w:spacing w:line="468" w:lineRule="auto" w:before="41"/>
        <w:ind w:right="0" w:firstLine="360"/>
        <w:jc w:val="left"/>
      </w:pPr>
      <w:r>
        <w:rPr>
          <w:spacing w:val="-4"/>
        </w:rPr>
        <w:t>属于</w:t>
      </w:r>
      <w:r>
        <w:rPr>
          <w:rFonts w:ascii="Times New Roman" w:hAnsi="Times New Roman" w:cs="Times New Roman" w:eastAsia="Times New Roman" w:hint="default"/>
          <w:spacing w:val="-4"/>
        </w:rPr>
        <w:t>“</w:t>
      </w:r>
      <w:r>
        <w:rPr>
          <w:spacing w:val="-4"/>
        </w:rPr>
        <w:t>一揽子交易</w:t>
      </w:r>
      <w:r>
        <w:rPr>
          <w:rFonts w:ascii="Times New Roman" w:hAnsi="Times New Roman" w:cs="Times New Roman" w:eastAsia="Times New Roman" w:hint="default"/>
          <w:spacing w:val="-4"/>
        </w:rPr>
        <w:t>”</w:t>
      </w:r>
      <w:r>
        <w:rPr>
          <w:spacing w:val="-4"/>
        </w:rPr>
        <w:t>的，将各项交易作为一项取得控制权的交易进行会计处理。不属于</w:t>
      </w:r>
      <w:r>
        <w:rPr>
          <w:rFonts w:ascii="Times New Roman" w:hAnsi="Times New Roman" w:cs="Times New Roman" w:eastAsia="Times New Roman" w:hint="default"/>
          <w:spacing w:val="-4"/>
        </w:rPr>
        <w:t>“</w:t>
      </w:r>
      <w:r>
        <w:rPr>
          <w:spacing w:val="-4"/>
        </w:rPr>
        <w:t>一揽子交易</w:t>
      </w:r>
      <w:r>
        <w:rPr>
          <w:rFonts w:ascii="Times New Roman" w:hAnsi="Times New Roman" w:cs="Times New Roman" w:eastAsia="Times New Roman" w:hint="default"/>
          <w:spacing w:val="-4"/>
        </w:rPr>
        <w:t>”</w:t>
      </w:r>
      <w:r>
        <w:rPr>
          <w:spacing w:val="-4"/>
        </w:rPr>
        <w:t>的，在合并财务报表</w:t>
      </w:r>
      <w:r>
        <w:rPr>
          <w:w w:val="101"/>
        </w:rPr>
        <w:t> </w:t>
      </w:r>
      <w:r>
        <w:rPr>
          <w:spacing w:val="-4"/>
        </w:rPr>
        <w:t>中，对于购买日之前持有的被购买方的股权，按照该股权在购买日的公允价值进行重新计量，公允价值与其账面价值的差额</w:t>
      </w:r>
      <w:r>
        <w:rPr>
          <w:spacing w:val="44"/>
        </w:rPr>
        <w:t> </w:t>
      </w:r>
      <w:r>
        <w:rPr>
          <w:spacing w:val="44"/>
        </w:rPr>
      </w:r>
      <w:r>
        <w:rPr>
          <w:spacing w:val="-3"/>
        </w:rPr>
        <w:t>计入当期投资收益；购买日之前已经持有的被购买方的股权涉及其他综合收益、其他所有者权益变动转为购买日当期收益，</w:t>
      </w:r>
      <w:r>
        <w:rPr>
          <w:spacing w:val="75"/>
        </w:rPr>
        <w:t> </w:t>
      </w:r>
      <w:r>
        <w:rPr>
          <w:spacing w:val="75"/>
        </w:rPr>
      </w:r>
      <w:r>
        <w:rPr>
          <w:spacing w:val="-3"/>
        </w:rPr>
        <w:t>由于被投资方重新计量设定受益计划净负债或净资产变动而产生的其他综合收益除外。</w:t>
      </w:r>
    </w:p>
    <w:p>
      <w:pPr>
        <w:pStyle w:val="BodyText"/>
        <w:spacing w:line="453" w:lineRule="auto" w:before="59"/>
        <w:ind w:left="513" w:right="0"/>
        <w:jc w:val="left"/>
      </w:pPr>
      <w:r>
        <w:rPr>
          <w:rFonts w:ascii="Times New Roman" w:hAnsi="Times New Roman" w:cs="Times New Roman" w:eastAsia="Times New Roman" w:hint="default"/>
          <w:spacing w:val="-3"/>
        </w:rPr>
        <w:t>3</w:t>
      </w:r>
      <w:r>
        <w:rPr>
          <w:spacing w:val="-3"/>
        </w:rPr>
        <w:t>．企业合并中有关交易费用的处理</w:t>
      </w:r>
      <w:r>
        <w:rPr>
          <w:spacing w:val="-40"/>
        </w:rPr>
        <w:t> </w:t>
      </w:r>
      <w:r>
        <w:rPr>
          <w:spacing w:val="-40"/>
        </w:rPr>
      </w:r>
      <w:r>
        <w:rPr>
          <w:spacing w:val="-5"/>
        </w:rPr>
        <w:t>为进行企业合并发生的审计、法律服务、评估咨询等中介费用以及其他相关管理费用，于发生时计入当期损益。作为合</w:t>
      </w:r>
    </w:p>
    <w:p>
      <w:pPr>
        <w:pStyle w:val="BodyText"/>
        <w:spacing w:line="240" w:lineRule="auto" w:before="70"/>
        <w:ind w:right="0"/>
        <w:jc w:val="both"/>
      </w:pPr>
      <w:r>
        <w:rPr>
          <w:spacing w:val="-3"/>
        </w:rPr>
        <w:t>并对价发行的权益性证券或债务性证券的交易费用，计入权益性证券或债务性证券的初始确认金额。</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4"/>
          <w:szCs w:val="14"/>
        </w:rPr>
      </w:pPr>
    </w:p>
    <w:p>
      <w:pPr>
        <w:pStyle w:val="Heading3"/>
        <w:spacing w:line="240" w:lineRule="auto"/>
        <w:ind w:right="0"/>
        <w:jc w:val="both"/>
        <w:rPr>
          <w:b w:val="0"/>
          <w:bCs w:val="0"/>
        </w:rPr>
      </w:pPr>
      <w:bookmarkStart w:name="6、合并财务报表的编制方法" w:id="176"/>
      <w:bookmarkEnd w:id="176"/>
      <w:r>
        <w:rPr>
          <w:b w:val="0"/>
          <w:bCs w:val="0"/>
        </w:rPr>
      </w:r>
      <w:r>
        <w:rPr>
          <w:rFonts w:ascii="Times New Roman" w:hAnsi="Times New Roman" w:cs="Times New Roman" w:eastAsia="Times New Roman" w:hint="default"/>
        </w:rPr>
        <w:t>6</w:t>
      </w:r>
      <w:r>
        <w:rPr/>
        <w:t>、合并财务报表的编制方法</w:t>
      </w:r>
      <w:r>
        <w:rPr>
          <w:b w:val="0"/>
          <w:bCs w:val="0"/>
        </w:rPr>
      </w:r>
    </w:p>
    <w:p>
      <w:pPr>
        <w:spacing w:line="240" w:lineRule="auto" w:before="7"/>
        <w:rPr>
          <w:rFonts w:ascii="宋体" w:hAnsi="宋体" w:cs="宋体" w:eastAsia="宋体" w:hint="default"/>
          <w:b/>
          <w:bCs/>
          <w:sz w:val="32"/>
          <w:szCs w:val="32"/>
        </w:rPr>
      </w:pPr>
    </w:p>
    <w:p>
      <w:pPr>
        <w:pStyle w:val="BodyText"/>
        <w:spacing w:line="453" w:lineRule="auto"/>
        <w:ind w:left="513" w:right="1029"/>
        <w:jc w:val="left"/>
      </w:pPr>
      <w:r>
        <w:rPr/>
        <w:t>（</w:t>
      </w:r>
      <w:r>
        <w:rPr>
          <w:rFonts w:ascii="Times New Roman" w:hAnsi="Times New Roman" w:cs="Times New Roman" w:eastAsia="Times New Roman" w:hint="default"/>
        </w:rPr>
        <w:t>1</w:t>
      </w:r>
      <w:r>
        <w:rPr/>
        <w:t>）合并范围</w:t>
      </w:r>
      <w:r>
        <w:rPr>
          <w:spacing w:val="-85"/>
        </w:rPr>
        <w:t> </w:t>
      </w:r>
      <w:r>
        <w:rPr>
          <w:spacing w:val="-85"/>
        </w:rPr>
      </w:r>
      <w:r>
        <w:rPr>
          <w:spacing w:val="-4"/>
        </w:rPr>
        <w:t>合并财务报表的合并范围以控制为基础确定。控制是指本公司拥有对被投资方的权力，通过参与被投资方的相关活动而</w:t>
      </w:r>
    </w:p>
    <w:p>
      <w:pPr>
        <w:pStyle w:val="BodyText"/>
        <w:spacing w:line="480" w:lineRule="auto" w:before="70"/>
        <w:ind w:right="1124"/>
        <w:jc w:val="both"/>
      </w:pPr>
      <w:r>
        <w:rPr>
          <w:spacing w:val="-4"/>
        </w:rPr>
        <w:t>享有可变回报，并且有能力运用对被投资方的权力影响该回报金额。合并范围包括本公司及全部子公司。子公司，是指被本</w:t>
      </w:r>
      <w:r>
        <w:rPr>
          <w:spacing w:val="40"/>
        </w:rPr>
        <w:t> </w:t>
      </w:r>
      <w:r>
        <w:rPr>
          <w:spacing w:val="40"/>
        </w:rPr>
      </w:r>
      <w:r>
        <w:rPr>
          <w:spacing w:val="-3"/>
        </w:rPr>
        <w:t>公司控制的主体</w:t>
      </w:r>
      <w:r>
        <w:rPr>
          <w:rFonts w:ascii="Times New Roman" w:hAnsi="Times New Roman" w:cs="Times New Roman" w:eastAsia="Times New Roman" w:hint="default"/>
          <w:spacing w:val="-3"/>
        </w:rPr>
        <w:t>(</w:t>
      </w:r>
      <w:r>
        <w:rPr>
          <w:spacing w:val="-3"/>
        </w:rPr>
        <w:t>含企业、被投资单位中可分割的部分、结构化主体等</w:t>
      </w:r>
      <w:r>
        <w:rPr>
          <w:rFonts w:ascii="Times New Roman" w:hAnsi="Times New Roman" w:cs="Times New Roman" w:eastAsia="Times New Roman" w:hint="default"/>
          <w:spacing w:val="-3"/>
        </w:rPr>
        <w:t>)</w:t>
      </w:r>
      <w:r>
        <w:rPr>
          <w:spacing w:val="-3"/>
        </w:rPr>
        <w:t>。</w:t>
      </w:r>
    </w:p>
    <w:p>
      <w:pPr>
        <w:pStyle w:val="BodyText"/>
        <w:spacing w:line="453" w:lineRule="auto" w:before="17"/>
        <w:ind w:left="513" w:right="0"/>
        <w:jc w:val="left"/>
      </w:pPr>
      <w:r>
        <w:rPr>
          <w:spacing w:val="-3"/>
        </w:rPr>
        <w:t>（</w:t>
      </w:r>
      <w:r>
        <w:rPr>
          <w:rFonts w:ascii="Times New Roman" w:hAnsi="Times New Roman" w:cs="Times New Roman" w:eastAsia="Times New Roman" w:hint="default"/>
          <w:spacing w:val="-3"/>
        </w:rPr>
        <w:t>2</w:t>
      </w:r>
      <w:r>
        <w:rPr>
          <w:spacing w:val="-3"/>
        </w:rPr>
        <w:t>）合并报表的编制方法</w:t>
      </w:r>
      <w:r>
        <w:rPr>
          <w:spacing w:val="-52"/>
        </w:rPr>
        <w:t> </w:t>
      </w:r>
      <w:r>
        <w:rPr>
          <w:spacing w:val="-52"/>
        </w:rPr>
      </w:r>
      <w:r>
        <w:rPr>
          <w:spacing w:val="-5"/>
        </w:rPr>
        <w:t>本公司以自身和各子公司的财务报表为基础，根据其他有关资料，编制合并报表。本公司编制合并财务报表，将整个企</w:t>
      </w:r>
    </w:p>
    <w:p>
      <w:pPr>
        <w:pStyle w:val="BodyText"/>
        <w:spacing w:line="480" w:lineRule="auto" w:before="70"/>
        <w:ind w:right="1122"/>
        <w:jc w:val="both"/>
      </w:pPr>
      <w:r>
        <w:rPr>
          <w:spacing w:val="-4"/>
        </w:rPr>
        <w:t>业集团视为一个会计主体，依据相关企业会计准则的确定、计量和列报要求，按照统一的会计政策，反映本公司整体财务状</w:t>
      </w:r>
      <w:r>
        <w:rPr>
          <w:spacing w:val="42"/>
        </w:rPr>
        <w:t> </w:t>
      </w:r>
      <w:r>
        <w:rPr>
          <w:spacing w:val="42"/>
        </w:rPr>
      </w:r>
      <w:r>
        <w:rPr>
          <w:spacing w:val="-3"/>
        </w:rPr>
        <w:t>况、经营成果和现金流量。</w:t>
      </w:r>
    </w:p>
    <w:p>
      <w:pPr>
        <w:pStyle w:val="BodyText"/>
        <w:spacing w:line="480" w:lineRule="auto" w:before="50"/>
        <w:ind w:right="1124" w:firstLine="360"/>
        <w:jc w:val="both"/>
      </w:pPr>
      <w:r>
        <w:rPr>
          <w:spacing w:val="-4"/>
        </w:rPr>
        <w:t>合并财务报表时抵销本公司与各子公司、各子公司相互之间发生的内部交易和往来对合并资产负债表、合并利润表、合</w:t>
      </w:r>
      <w:r>
        <w:rPr>
          <w:w w:val="101"/>
        </w:rPr>
        <w:t> </w:t>
      </w:r>
      <w:r>
        <w:rPr>
          <w:spacing w:val="-3"/>
        </w:rPr>
        <w:t>并现金流量表、合并所有者权益变动表的影响。</w:t>
      </w:r>
    </w:p>
    <w:p>
      <w:pPr>
        <w:pStyle w:val="BodyText"/>
        <w:spacing w:line="477" w:lineRule="auto" w:before="50"/>
        <w:ind w:right="1124" w:firstLine="360"/>
        <w:jc w:val="both"/>
      </w:pPr>
      <w:r>
        <w:rPr>
          <w:spacing w:val="-5"/>
          <w:w w:val="101"/>
        </w:rPr>
        <w:t>在报告期内因同一控制下企业合并增加的子公司以及业务，视同该子公司以及业务自同受最终控制方控制之日起纳入本</w:t>
      </w:r>
      <w:r>
        <w:rPr>
          <w:w w:val="101"/>
        </w:rPr>
        <w:t> </w:t>
      </w:r>
      <w:r>
        <w:rPr>
          <w:spacing w:val="-4"/>
        </w:rPr>
        <w:t>公司的合并范围，将其自同受最终控制方控制之日起的经营成果、现金流量分别纳入合并利润表、合并现金流量表中。在报</w:t>
      </w:r>
      <w:r>
        <w:rPr>
          <w:spacing w:val="40"/>
        </w:rPr>
        <w:t> </w:t>
      </w:r>
      <w:r>
        <w:rPr>
          <w:spacing w:val="40"/>
        </w:rPr>
      </w:r>
      <w:r>
        <w:rPr>
          <w:spacing w:val="-4"/>
        </w:rPr>
        <w:t>告期内，同时调整合并资产负债表的期初数，同时对比较报表的相关项目进行调整，视同合并后的报表主体自最终控制方开</w:t>
      </w:r>
      <w:r>
        <w:rPr>
          <w:spacing w:val="43"/>
        </w:rPr>
        <w:t> </w:t>
      </w:r>
      <w:r>
        <w:rPr>
          <w:spacing w:val="43"/>
        </w:rPr>
      </w:r>
      <w:r>
        <w:rPr>
          <w:spacing w:val="-3"/>
        </w:rPr>
        <w:t>始控制时点起一直存在。</w:t>
      </w:r>
    </w:p>
    <w:p>
      <w:pPr>
        <w:pStyle w:val="BodyText"/>
        <w:spacing w:line="477" w:lineRule="auto" w:before="52"/>
        <w:ind w:right="1124" w:firstLine="360"/>
        <w:jc w:val="both"/>
      </w:pPr>
      <w:r>
        <w:rPr>
          <w:spacing w:val="-4"/>
        </w:rPr>
        <w:t>本期若因非同一控制下企业合并增加子公司的，则不调整合并资产负债表期初数；以购买日可辨认净资产公允价值为基</w:t>
      </w:r>
      <w:r>
        <w:rPr>
          <w:w w:val="101"/>
        </w:rPr>
        <w:t> </w:t>
      </w:r>
      <w:r>
        <w:rPr>
          <w:spacing w:val="-4"/>
        </w:rPr>
        <w:t>础对其财务报表进行调整。将子公司自购买日至期末的收入、费用、利润纳入合并利润表；该子公司自购买日至期末的现金</w:t>
      </w:r>
      <w:r>
        <w:rPr>
          <w:spacing w:val="40"/>
        </w:rPr>
        <w:t> </w:t>
      </w:r>
      <w:r>
        <w:rPr>
          <w:spacing w:val="40"/>
        </w:rPr>
      </w:r>
      <w:r>
        <w:rPr>
          <w:spacing w:val="-3"/>
        </w:rPr>
        <w:t>流量纳入合并现金流量表。</w:t>
      </w:r>
    </w:p>
    <w:p>
      <w:pPr>
        <w:pStyle w:val="BodyText"/>
        <w:spacing w:line="240" w:lineRule="auto" w:before="56"/>
        <w:ind w:left="513" w:right="0"/>
        <w:jc w:val="left"/>
      </w:pPr>
      <w:r>
        <w:rPr>
          <w:spacing w:val="-4"/>
        </w:rPr>
        <w:t>子公司少数股东应占的权益、损益和当期综合收益中分别在合并资产负债表中所有者权益项目下、合并利润表中净利润</w:t>
      </w:r>
    </w:p>
    <w:p>
      <w:pPr>
        <w:spacing w:after="0" w:line="240" w:lineRule="auto"/>
        <w:jc w:val="left"/>
        <w:sectPr>
          <w:pgSz w:w="11910" w:h="16840"/>
          <w:pgMar w:header="871" w:footer="1186" w:top="1100" w:bottom="1380" w:left="980" w:right="0"/>
        </w:sectPr>
      </w:pPr>
    </w:p>
    <w:p>
      <w:pPr>
        <w:spacing w:line="240" w:lineRule="auto" w:before="1"/>
        <w:rPr>
          <w:rFonts w:ascii="宋体" w:hAnsi="宋体" w:cs="宋体" w:eastAsia="宋体" w:hint="default"/>
          <w:sz w:val="28"/>
          <w:szCs w:val="28"/>
        </w:rPr>
      </w:pPr>
    </w:p>
    <w:p>
      <w:pPr>
        <w:pStyle w:val="BodyText"/>
        <w:spacing w:line="475" w:lineRule="auto" w:before="46"/>
        <w:ind w:right="1117"/>
        <w:jc w:val="left"/>
      </w:pPr>
      <w:r>
        <w:rPr>
          <w:spacing w:val="-4"/>
          <w:w w:val="101"/>
        </w:rPr>
        <w:t>项目和综合收益总额项下单独列示。子公司少数股东分担的当期亏损超过了少数股东在该子公司期初所有者权益中所享有份</w:t>
      </w:r>
      <w:r>
        <w:rPr>
          <w:w w:val="101"/>
        </w:rPr>
        <w:t> </w:t>
      </w:r>
      <w:r>
        <w:rPr>
          <w:spacing w:val="-3"/>
        </w:rPr>
        <w:t>额而形成的余额，冲减少数股东权益。</w:t>
      </w:r>
    </w:p>
    <w:p>
      <w:pPr>
        <w:pStyle w:val="BodyText"/>
        <w:spacing w:line="448" w:lineRule="auto" w:before="59"/>
        <w:ind w:left="513" w:right="0"/>
        <w:jc w:val="left"/>
      </w:pPr>
      <w:r>
        <w:rPr>
          <w:spacing w:val="-3"/>
        </w:rPr>
        <w:t>（</w:t>
      </w:r>
      <w:r>
        <w:rPr>
          <w:rFonts w:ascii="Times New Roman" w:hAnsi="Times New Roman" w:cs="Times New Roman" w:eastAsia="Times New Roman" w:hint="default"/>
          <w:spacing w:val="-3"/>
        </w:rPr>
        <w:t>3</w:t>
      </w:r>
      <w:r>
        <w:rPr>
          <w:spacing w:val="-3"/>
        </w:rPr>
        <w:t>）购买少数股东股权及不丧失控制权的部分处置子公司股权</w:t>
      </w:r>
      <w:r>
        <w:rPr>
          <w:spacing w:val="-5"/>
        </w:rPr>
        <w:t> </w:t>
      </w:r>
      <w:r>
        <w:rPr>
          <w:spacing w:val="-5"/>
        </w:rPr>
      </w:r>
      <w:r>
        <w:rPr>
          <w:spacing w:val="-3"/>
        </w:rPr>
        <w:t>本公司因购买少数股权新取得的长期股权投资成本与按照新增持股比例计算应享有子公司自购买日或合并日开始持续</w:t>
      </w:r>
    </w:p>
    <w:p>
      <w:pPr>
        <w:pStyle w:val="BodyText"/>
        <w:spacing w:line="477" w:lineRule="auto" w:before="78"/>
        <w:ind w:right="1128"/>
        <w:jc w:val="both"/>
      </w:pPr>
      <w:r>
        <w:rPr>
          <w:spacing w:val="-4"/>
          <w:w w:val="101"/>
        </w:rPr>
        <w:t>计算的净资产份额之间的差额，以及在不丧失控制权的情况下因部分处置对子公司的股权投资而取得的处置价款与处置长期</w:t>
      </w:r>
      <w:r>
        <w:rPr>
          <w:w w:val="101"/>
        </w:rPr>
        <w:t> </w:t>
      </w:r>
      <w:r>
        <w:rPr>
          <w:spacing w:val="-4"/>
          <w:w w:val="101"/>
        </w:rPr>
        <w:t>股权投资相对应享有子公司自购买日或合并日开始持续计算的净资产份额之间的差额，均调整合并资产负债表中的资本公积</w:t>
      </w:r>
      <w:r>
        <w:rPr>
          <w:w w:val="101"/>
        </w:rPr>
        <w:t> </w:t>
      </w:r>
      <w:r>
        <w:rPr>
          <w:spacing w:val="-3"/>
        </w:rPr>
        <w:t>中的股本溢价，资本公积中的股本溢价不足冲减的，调整留存收益。</w:t>
      </w:r>
    </w:p>
    <w:p>
      <w:pPr>
        <w:pStyle w:val="BodyText"/>
        <w:spacing w:line="453" w:lineRule="auto" w:before="52"/>
        <w:ind w:left="513" w:right="0"/>
        <w:jc w:val="left"/>
      </w:pPr>
      <w:r>
        <w:rPr>
          <w:spacing w:val="-3"/>
        </w:rPr>
        <w:t>（</w:t>
      </w:r>
      <w:r>
        <w:rPr>
          <w:rFonts w:ascii="Times New Roman" w:hAnsi="Times New Roman" w:cs="Times New Roman" w:eastAsia="Times New Roman" w:hint="default"/>
          <w:spacing w:val="-3"/>
        </w:rPr>
        <w:t>4</w:t>
      </w:r>
      <w:r>
        <w:rPr>
          <w:spacing w:val="-3"/>
        </w:rPr>
        <w:t>）丧失控制权的处置子公司股权</w:t>
      </w:r>
      <w:r>
        <w:rPr>
          <w:spacing w:val="-40"/>
        </w:rPr>
        <w:t> </w:t>
      </w:r>
      <w:r>
        <w:rPr>
          <w:spacing w:val="-40"/>
        </w:rPr>
      </w:r>
      <w:r>
        <w:rPr>
          <w:spacing w:val="-4"/>
        </w:rPr>
        <w:t>本期本公司处置子公司，则该子公司期初至处置日的收入、费用、利润纳入合并利润表；该子公司期初至处置日的现金</w:t>
      </w:r>
    </w:p>
    <w:p>
      <w:pPr>
        <w:pStyle w:val="BodyText"/>
        <w:spacing w:line="468" w:lineRule="auto" w:before="70"/>
        <w:ind w:right="0"/>
        <w:jc w:val="left"/>
      </w:pPr>
      <w:r>
        <w:rPr>
          <w:spacing w:val="-4"/>
        </w:rPr>
        <w:t>流量纳入合并现金流量表。因处置部分股权投资或其他原因丧失了对原有子公司控制权时，对于处置后的剩余股权投资，本</w:t>
      </w:r>
      <w:r>
        <w:rPr>
          <w:spacing w:val="43"/>
        </w:rPr>
        <w:t> </w:t>
      </w:r>
      <w:r>
        <w:rPr>
          <w:spacing w:val="43"/>
        </w:rPr>
      </w:r>
      <w:r>
        <w:rPr>
          <w:spacing w:val="-4"/>
        </w:rPr>
        <w:t>公司按照其在丧失控制权日的公允价值进行重新计量。处置股权取得的对价与剩余股权公允价值之和，减去按原持股比例计</w:t>
      </w:r>
      <w:r>
        <w:rPr>
          <w:spacing w:val="42"/>
        </w:rPr>
        <w:t> </w:t>
      </w:r>
      <w:r>
        <w:rPr>
          <w:spacing w:val="42"/>
        </w:rPr>
      </w:r>
      <w:r>
        <w:rPr>
          <w:spacing w:val="-4"/>
        </w:rPr>
        <w:t>算应享有原有子公司自购买日开始持续计算的净资产的份额与商誉之和，形成的差额计入丧失控制权当期的投资收益。与原</w:t>
      </w:r>
      <w:r>
        <w:rPr>
          <w:spacing w:val="38"/>
        </w:rPr>
        <w:t> </w:t>
      </w:r>
      <w:r>
        <w:rPr>
          <w:spacing w:val="38"/>
        </w:rPr>
      </w:r>
      <w:r>
        <w:rPr>
          <w:spacing w:val="-3"/>
        </w:rPr>
        <w:t>有子公司股权投资相关的其他综合收益，在丧失控制权时采用被购买方直接处置相关资产和负债相同的基础进行会计处理</w:t>
      </w:r>
      <w:r>
        <w:rPr>
          <w:spacing w:val="66"/>
        </w:rPr>
        <w:t> </w:t>
      </w:r>
      <w:r>
        <w:rPr>
          <w:spacing w:val="66"/>
        </w:rPr>
      </w:r>
      <w:r>
        <w:rPr>
          <w:rFonts w:ascii="Times New Roman" w:hAnsi="Times New Roman" w:cs="Times New Roman" w:eastAsia="Times New Roman" w:hint="default"/>
          <w:spacing w:val="-2"/>
        </w:rPr>
        <w:t>(</w:t>
      </w:r>
      <w:r>
        <w:rPr>
          <w:spacing w:val="-2"/>
        </w:rPr>
        <w:t>即除了在该原有子公司重新计量设定受益计划外净负债或者净资产导致的变动以外，其余一并转入当期投资收益</w:t>
      </w:r>
      <w:r>
        <w:rPr>
          <w:rFonts w:ascii="Times New Roman" w:hAnsi="Times New Roman" w:cs="Times New Roman" w:eastAsia="Times New Roman" w:hint="default"/>
          <w:spacing w:val="-2"/>
        </w:rPr>
        <w:t>)</w:t>
      </w:r>
      <w:r>
        <w:rPr>
          <w:spacing w:val="-2"/>
        </w:rPr>
        <w:t>。其后，</w:t>
      </w:r>
      <w:r>
        <w:rPr>
          <w:spacing w:val="81"/>
        </w:rPr>
        <w:t> </w:t>
      </w:r>
      <w:r>
        <w:rPr>
          <w:spacing w:val="81"/>
        </w:rPr>
      </w:r>
      <w:r>
        <w:rPr>
          <w:spacing w:val="-3"/>
        </w:rPr>
        <w:t>对该部分剩余股权按照《企业会计准则第 </w:t>
      </w:r>
      <w:r>
        <w:rPr>
          <w:rFonts w:ascii="Times New Roman" w:hAnsi="Times New Roman" w:cs="Times New Roman" w:eastAsia="Times New Roman" w:hint="default"/>
        </w:rPr>
        <w:t>2 </w:t>
      </w:r>
      <w:r>
        <w:rPr>
          <w:spacing w:val="-3"/>
        </w:rPr>
        <w:t>号</w:t>
      </w:r>
      <w:r>
        <w:rPr>
          <w:rFonts w:ascii="Times New Roman" w:hAnsi="Times New Roman" w:cs="Times New Roman" w:eastAsia="Times New Roman" w:hint="default"/>
          <w:spacing w:val="-3"/>
        </w:rPr>
        <w:t>——</w:t>
      </w:r>
      <w:r>
        <w:rPr>
          <w:spacing w:val="-3"/>
        </w:rPr>
        <w:t>长期股权投资》或《企业会计准则第 </w:t>
      </w:r>
      <w:r>
        <w:rPr>
          <w:rFonts w:ascii="Times New Roman" w:hAnsi="Times New Roman" w:cs="Times New Roman" w:eastAsia="Times New Roman" w:hint="default"/>
          <w:spacing w:val="-3"/>
        </w:rPr>
        <w:t>22 </w:t>
      </w:r>
      <w:r>
        <w:rPr>
          <w:spacing w:val="-3"/>
        </w:rPr>
        <w:t>号</w:t>
      </w:r>
      <w:r>
        <w:rPr>
          <w:rFonts w:ascii="Times New Roman" w:hAnsi="Times New Roman" w:cs="Times New Roman" w:eastAsia="Times New Roman" w:hint="default"/>
          <w:spacing w:val="-3"/>
        </w:rPr>
        <w:t>——</w:t>
      </w:r>
      <w:r>
        <w:rPr>
          <w:spacing w:val="-3"/>
        </w:rPr>
        <w:t>金融工具确认和计量》等</w:t>
      </w:r>
      <w:r>
        <w:rPr>
          <w:spacing w:val="-32"/>
        </w:rPr>
        <w:t> </w:t>
      </w:r>
      <w:r>
        <w:rPr>
          <w:spacing w:val="-32"/>
        </w:rPr>
      </w:r>
      <w:r>
        <w:rPr>
          <w:spacing w:val="-3"/>
        </w:rPr>
        <w:t>相关规定进行后续计量，详见本附注五、</w:t>
      </w:r>
      <w:r>
        <w:rPr>
          <w:rFonts w:ascii="Times New Roman" w:hAnsi="Times New Roman" w:cs="Times New Roman" w:eastAsia="Times New Roman" w:hint="default"/>
          <w:spacing w:val="-3"/>
        </w:rPr>
        <w:t>21“</w:t>
      </w:r>
      <w:r>
        <w:rPr>
          <w:spacing w:val="-3"/>
        </w:rPr>
        <w:t>长期股权投资</w:t>
      </w:r>
      <w:r>
        <w:rPr>
          <w:rFonts w:ascii="Times New Roman" w:hAnsi="Times New Roman" w:cs="Times New Roman" w:eastAsia="Times New Roman" w:hint="default"/>
          <w:spacing w:val="-3"/>
        </w:rPr>
        <w:t>”</w:t>
      </w:r>
      <w:r>
        <w:rPr>
          <w:spacing w:val="-3"/>
        </w:rPr>
        <w:t>或本附注五、</w:t>
      </w:r>
      <w:r>
        <w:rPr>
          <w:rFonts w:ascii="Times New Roman" w:hAnsi="Times New Roman" w:cs="Times New Roman" w:eastAsia="Times New Roman" w:hint="default"/>
          <w:spacing w:val="-3"/>
        </w:rPr>
        <w:t>10“</w:t>
      </w:r>
      <w:r>
        <w:rPr>
          <w:spacing w:val="-3"/>
        </w:rPr>
        <w:t>金融工具</w:t>
      </w:r>
      <w:r>
        <w:rPr>
          <w:rFonts w:ascii="Times New Roman" w:hAnsi="Times New Roman" w:cs="Times New Roman" w:eastAsia="Times New Roman" w:hint="default"/>
          <w:spacing w:val="-3"/>
        </w:rPr>
        <w:t>”</w:t>
      </w:r>
      <w:r>
        <w:rPr>
          <w:spacing w:val="-3"/>
        </w:rPr>
        <w:t>。</w:t>
      </w:r>
    </w:p>
    <w:p>
      <w:pPr>
        <w:pStyle w:val="BodyText"/>
        <w:spacing w:line="448" w:lineRule="auto" w:before="32"/>
        <w:ind w:left="513" w:right="0"/>
        <w:jc w:val="left"/>
      </w:pPr>
      <w:r>
        <w:rPr>
          <w:spacing w:val="-3"/>
        </w:rPr>
        <w:t>（</w:t>
      </w:r>
      <w:r>
        <w:rPr>
          <w:rFonts w:ascii="Times New Roman" w:hAnsi="Times New Roman" w:cs="Times New Roman" w:eastAsia="Times New Roman" w:hint="default"/>
          <w:spacing w:val="-3"/>
        </w:rPr>
        <w:t>5</w:t>
      </w:r>
      <w:r>
        <w:rPr>
          <w:spacing w:val="-3"/>
        </w:rPr>
        <w:t>）分步处置对子公司股权投资至丧失控制权的处理</w:t>
      </w:r>
      <w:r>
        <w:rPr>
          <w:spacing w:val="-17"/>
        </w:rPr>
        <w:t> </w:t>
      </w:r>
      <w:r>
        <w:rPr>
          <w:spacing w:val="-17"/>
        </w:rPr>
      </w:r>
      <w:r>
        <w:rPr>
          <w:spacing w:val="-5"/>
          <w:w w:val="101"/>
        </w:rPr>
        <w:t>本公司通过多次交易分步处置对子公司股权投资直至丧失控制权的，需区分处置对子公司股权投资直至丧失控制权的各</w:t>
      </w:r>
      <w:r>
        <w:rPr>
          <w:spacing w:val="-5"/>
        </w:rPr>
      </w:r>
    </w:p>
    <w:p>
      <w:pPr>
        <w:pStyle w:val="BodyText"/>
        <w:spacing w:line="475" w:lineRule="auto" w:before="78"/>
        <w:ind w:left="513" w:right="0" w:hanging="360"/>
        <w:jc w:val="left"/>
      </w:pPr>
      <w:r>
        <w:rPr>
          <w:spacing w:val="-3"/>
        </w:rPr>
        <w:t>项交易是否属于一揽子交易。</w:t>
      </w:r>
      <w:r>
        <w:rPr>
          <w:spacing w:val="-50"/>
        </w:rPr>
        <w:t> </w:t>
      </w:r>
      <w:r>
        <w:rPr>
          <w:spacing w:val="-50"/>
        </w:rPr>
      </w:r>
      <w:r>
        <w:rPr>
          <w:spacing w:val="-5"/>
          <w:w w:val="101"/>
        </w:rPr>
        <w:t>处置对子公司股权投资直至丧失控制权的各项交易属于一揽子交易的，将各项交易作为一项处置子公司并丧失控制权的</w:t>
      </w:r>
      <w:r>
        <w:rPr>
          <w:spacing w:val="-5"/>
        </w:rPr>
      </w:r>
    </w:p>
    <w:p>
      <w:pPr>
        <w:pStyle w:val="BodyText"/>
        <w:spacing w:line="475" w:lineRule="auto" w:before="59"/>
        <w:ind w:right="0"/>
        <w:jc w:val="left"/>
      </w:pPr>
      <w:r>
        <w:rPr>
          <w:spacing w:val="-4"/>
        </w:rPr>
        <w:t>交易进行会计处理；但是，在丧失控制权之前每一次处置价款与处置投资对应的享有该子公司净资产份额的差额，在合并财</w:t>
      </w:r>
      <w:r>
        <w:rPr>
          <w:spacing w:val="43"/>
        </w:rPr>
        <w:t> </w:t>
      </w:r>
      <w:r>
        <w:rPr>
          <w:spacing w:val="43"/>
        </w:rPr>
      </w:r>
      <w:r>
        <w:rPr>
          <w:spacing w:val="-3"/>
        </w:rPr>
        <w:t>务报表中确认为其他综合收益，在丧失控制权时一并转入丧失控制权当期的损益。</w:t>
      </w:r>
    </w:p>
    <w:p>
      <w:pPr>
        <w:pStyle w:val="BodyText"/>
        <w:spacing w:line="458" w:lineRule="auto" w:before="58"/>
        <w:ind w:right="1122" w:firstLine="360"/>
        <w:jc w:val="both"/>
      </w:pPr>
      <w:r>
        <w:rPr>
          <w:spacing w:val="-4"/>
        </w:rPr>
        <w:t>不属于一揽子交易的，对其中的每一项交易视情况分别按照</w:t>
      </w:r>
      <w:r>
        <w:rPr>
          <w:rFonts w:ascii="Times New Roman" w:hAnsi="Times New Roman" w:cs="Times New Roman" w:eastAsia="Times New Roman" w:hint="default"/>
          <w:spacing w:val="-4"/>
        </w:rPr>
        <w:t>“</w:t>
      </w:r>
      <w:r>
        <w:rPr>
          <w:spacing w:val="-4"/>
        </w:rPr>
        <w:t>不丧失控制权的情况下部分处置对子公司的长期股权投资</w:t>
      </w:r>
      <w:r>
        <w:rPr>
          <w:rFonts w:ascii="Times New Roman" w:hAnsi="Times New Roman" w:cs="Times New Roman" w:eastAsia="Times New Roman" w:hint="default"/>
          <w:spacing w:val="-4"/>
        </w:rPr>
        <w:t>”</w:t>
      </w:r>
      <w:r>
        <w:rPr>
          <w:rFonts w:ascii="Times New Roman" w:hAnsi="Times New Roman" w:cs="Times New Roman" w:eastAsia="Times New Roman" w:hint="default"/>
          <w:w w:val="101"/>
        </w:rPr>
        <w:t> </w:t>
      </w:r>
      <w:r>
        <w:rPr>
          <w:spacing w:val="-3"/>
        </w:rPr>
        <w:t>和</w:t>
      </w:r>
      <w:r>
        <w:rPr>
          <w:rFonts w:ascii="Times New Roman" w:hAnsi="Times New Roman" w:cs="Times New Roman" w:eastAsia="Times New Roman" w:hint="default"/>
          <w:spacing w:val="-3"/>
        </w:rPr>
        <w:t>“</w:t>
      </w:r>
      <w:r>
        <w:rPr>
          <w:spacing w:val="-3"/>
        </w:rPr>
        <w:t>因处置部分股权投资或其他原因丧失了对原有子公司的控制权</w:t>
      </w:r>
      <w:r>
        <w:rPr>
          <w:rFonts w:ascii="Times New Roman" w:hAnsi="Times New Roman" w:cs="Times New Roman" w:eastAsia="Times New Roman" w:hint="default"/>
          <w:spacing w:val="-3"/>
        </w:rPr>
        <w:t>”(</w:t>
      </w:r>
      <w:r>
        <w:rPr>
          <w:spacing w:val="-3"/>
        </w:rPr>
        <w:t>详见前段</w:t>
      </w:r>
      <w:r>
        <w:rPr>
          <w:rFonts w:ascii="Times New Roman" w:hAnsi="Times New Roman" w:cs="Times New Roman" w:eastAsia="Times New Roman" w:hint="default"/>
          <w:spacing w:val="-3"/>
        </w:rPr>
        <w:t>)</w:t>
      </w:r>
      <w:r>
        <w:rPr>
          <w:spacing w:val="-3"/>
        </w:rPr>
        <w:t>适用的原则进行会计处理。即在丧失控制权之</w:t>
      </w:r>
      <w:r>
        <w:rPr>
          <w:spacing w:val="69"/>
        </w:rPr>
        <w:t> </w:t>
      </w:r>
      <w:r>
        <w:rPr>
          <w:spacing w:val="69"/>
        </w:rPr>
      </w:r>
      <w:r>
        <w:rPr>
          <w:spacing w:val="-4"/>
          <w:w w:val="101"/>
        </w:rPr>
        <w:t>前每一次处置价款与处置投资对应的享有该子公司自购买日开始持续计算的净资产账面价值份额之间的差额，作为权益性交</w:t>
      </w:r>
      <w:r>
        <w:rPr>
          <w:w w:val="101"/>
        </w:rPr>
        <w:t> </w:t>
      </w:r>
      <w:r>
        <w:rPr>
          <w:spacing w:val="-3"/>
        </w:rPr>
        <w:t>易计入资本公积</w:t>
      </w:r>
      <w:r>
        <w:rPr>
          <w:rFonts w:ascii="Times New Roman" w:hAnsi="Times New Roman" w:cs="Times New Roman" w:eastAsia="Times New Roman" w:hint="default"/>
          <w:spacing w:val="-3"/>
        </w:rPr>
        <w:t>(</w:t>
      </w:r>
      <w:r>
        <w:rPr>
          <w:spacing w:val="-3"/>
        </w:rPr>
        <w:t>股本溢价</w:t>
      </w:r>
      <w:r>
        <w:rPr>
          <w:rFonts w:ascii="Times New Roman" w:hAnsi="Times New Roman" w:cs="Times New Roman" w:eastAsia="Times New Roman" w:hint="default"/>
          <w:spacing w:val="-3"/>
        </w:rPr>
        <w:t>)</w:t>
      </w:r>
      <w:r>
        <w:rPr>
          <w:spacing w:val="-3"/>
        </w:rPr>
        <w:t>。在丧失控制权时不得转入丧失控制权当期的损益。</w:t>
      </w:r>
    </w:p>
    <w:p>
      <w:pPr>
        <w:spacing w:line="240" w:lineRule="auto" w:before="13"/>
        <w:rPr>
          <w:rFonts w:ascii="宋体" w:hAnsi="宋体" w:cs="宋体" w:eastAsia="宋体" w:hint="default"/>
          <w:sz w:val="17"/>
          <w:szCs w:val="17"/>
        </w:rPr>
      </w:pPr>
    </w:p>
    <w:p>
      <w:pPr>
        <w:pStyle w:val="Heading3"/>
        <w:spacing w:line="240" w:lineRule="auto"/>
        <w:ind w:right="0"/>
        <w:jc w:val="left"/>
        <w:rPr>
          <w:b w:val="0"/>
          <w:bCs w:val="0"/>
        </w:rPr>
      </w:pPr>
      <w:bookmarkStart w:name="7、合营安排分类及共同经营会计处理方法" w:id="177"/>
      <w:bookmarkEnd w:id="177"/>
      <w:r>
        <w:rPr>
          <w:b w:val="0"/>
          <w:bCs w:val="0"/>
        </w:rPr>
      </w:r>
      <w:r>
        <w:rPr>
          <w:rFonts w:ascii="Times New Roman" w:hAnsi="Times New Roman" w:cs="Times New Roman" w:eastAsia="Times New Roman" w:hint="default"/>
        </w:rPr>
        <w:t>7</w:t>
      </w:r>
      <w:r>
        <w:rPr/>
        <w:t>、合营安排分类及共同经营会计处理方法</w:t>
      </w:r>
      <w:r>
        <w:rPr>
          <w:b w:val="0"/>
          <w:bCs w:val="0"/>
        </w:rPr>
      </w:r>
    </w:p>
    <w:p>
      <w:pPr>
        <w:pStyle w:val="BodyText"/>
        <w:spacing w:line="470" w:lineRule="atLeast" w:before="192"/>
        <w:ind w:right="1037" w:firstLine="360"/>
        <w:jc w:val="both"/>
      </w:pPr>
      <w:r>
        <w:rPr>
          <w:spacing w:val="-3"/>
        </w:rPr>
        <w:t>合营安排，是指一项由两个或两个以上的参与方共同控制的安排。本公司根据在合营安排中享有的权利和承担的义务，</w:t>
      </w:r>
      <w:r>
        <w:rPr>
          <w:w w:val="101"/>
        </w:rPr>
        <w:t> </w:t>
      </w:r>
      <w:r>
        <w:rPr>
          <w:spacing w:val="-3"/>
        </w:rPr>
        <w:t>将合营安排分为共同经营和合营企业。</w:t>
      </w:r>
    </w:p>
    <w:p>
      <w:pPr>
        <w:spacing w:after="0" w:line="470" w:lineRule="atLeast"/>
        <w:jc w:val="both"/>
        <w:sectPr>
          <w:pgSz w:w="11910" w:h="16840"/>
          <w:pgMar w:header="871" w:footer="1186" w:top="1100" w:bottom="1380" w:left="980" w:right="0"/>
        </w:sectPr>
      </w:pPr>
    </w:p>
    <w:p>
      <w:pPr>
        <w:spacing w:line="240" w:lineRule="auto" w:before="1"/>
        <w:rPr>
          <w:rFonts w:ascii="宋体" w:hAnsi="宋体" w:cs="宋体" w:eastAsia="宋体" w:hint="default"/>
          <w:sz w:val="28"/>
          <w:szCs w:val="28"/>
        </w:rPr>
      </w:pPr>
    </w:p>
    <w:p>
      <w:pPr>
        <w:pStyle w:val="BodyText"/>
        <w:spacing w:line="240" w:lineRule="auto" w:before="46"/>
        <w:ind w:left="513" w:right="0"/>
        <w:jc w:val="left"/>
      </w:pPr>
      <w:r>
        <w:rPr>
          <w:spacing w:val="-3"/>
        </w:rPr>
        <w:t>合营企业，是指本公司仅对该安排的净资产享有权利的合营安排。本公司对合营企业的投资采用权益法核算，按照五、</w:t>
      </w:r>
    </w:p>
    <w:p>
      <w:pPr>
        <w:spacing w:line="240" w:lineRule="auto" w:before="8"/>
        <w:rPr>
          <w:rFonts w:ascii="宋体" w:hAnsi="宋体" w:cs="宋体" w:eastAsia="宋体" w:hint="default"/>
          <w:sz w:val="17"/>
          <w:szCs w:val="17"/>
        </w:rPr>
      </w:pPr>
    </w:p>
    <w:p>
      <w:pPr>
        <w:pStyle w:val="BodyText"/>
        <w:spacing w:line="453" w:lineRule="auto"/>
        <w:ind w:left="513" w:right="0" w:hanging="360"/>
        <w:jc w:val="left"/>
      </w:pPr>
      <w:r>
        <w:rPr>
          <w:rFonts w:ascii="Times New Roman" w:hAnsi="Times New Roman" w:cs="Times New Roman" w:eastAsia="Times New Roman" w:hint="default"/>
          <w:spacing w:val="-3"/>
        </w:rPr>
        <w:t>21</w:t>
      </w:r>
      <w:r>
        <w:rPr>
          <w:spacing w:val="-3"/>
        </w:rPr>
        <w:t>（</w:t>
      </w:r>
      <w:r>
        <w:rPr>
          <w:rFonts w:ascii="Times New Roman" w:hAnsi="Times New Roman" w:cs="Times New Roman" w:eastAsia="Times New Roman" w:hint="default"/>
          <w:spacing w:val="-3"/>
        </w:rPr>
        <w:t>3</w:t>
      </w:r>
      <w:r>
        <w:rPr>
          <w:spacing w:val="-3"/>
        </w:rPr>
        <w:t>）②</w:t>
      </w:r>
      <w:r>
        <w:rPr>
          <w:rFonts w:ascii="Times New Roman" w:hAnsi="Times New Roman" w:cs="Times New Roman" w:eastAsia="Times New Roman" w:hint="default"/>
          <w:spacing w:val="-3"/>
        </w:rPr>
        <w:t>“</w:t>
      </w:r>
      <w:r>
        <w:rPr>
          <w:spacing w:val="-3"/>
        </w:rPr>
        <w:t>权益法核算的长期股权投资</w:t>
      </w:r>
      <w:r>
        <w:rPr>
          <w:rFonts w:ascii="Times New Roman" w:hAnsi="Times New Roman" w:cs="Times New Roman" w:eastAsia="Times New Roman" w:hint="default"/>
          <w:spacing w:val="-3"/>
        </w:rPr>
        <w:t>”</w:t>
      </w:r>
      <w:r>
        <w:rPr>
          <w:spacing w:val="-3"/>
        </w:rPr>
        <w:t>中所述的会计政策处理。</w:t>
      </w:r>
      <w:r>
        <w:rPr>
          <w:spacing w:val="1"/>
        </w:rPr>
        <w:t> </w:t>
      </w:r>
      <w:r>
        <w:rPr>
          <w:spacing w:val="1"/>
        </w:rPr>
      </w:r>
      <w:r>
        <w:rPr>
          <w:spacing w:val="-4"/>
        </w:rPr>
        <w:t>共同经营，是指本公司享有该安排相关资产且承担该安排相关负债的合营安排。本公司确认与共同经营中利益份额相关</w:t>
      </w:r>
    </w:p>
    <w:p>
      <w:pPr>
        <w:pStyle w:val="BodyText"/>
        <w:spacing w:line="240" w:lineRule="auto" w:before="70"/>
        <w:ind w:right="0"/>
        <w:jc w:val="both"/>
      </w:pPr>
      <w:r>
        <w:rPr>
          <w:spacing w:val="-3"/>
        </w:rPr>
        <w:t>的下列项目，并按照相关企业会计准则的规定进行会计处理：</w:t>
      </w:r>
    </w:p>
    <w:p>
      <w:pPr>
        <w:spacing w:line="240" w:lineRule="auto" w:before="12"/>
        <w:rPr>
          <w:rFonts w:ascii="宋体" w:hAnsi="宋体" w:cs="宋体" w:eastAsia="宋体" w:hint="default"/>
          <w:sz w:val="17"/>
          <w:szCs w:val="17"/>
        </w:rPr>
      </w:pPr>
    </w:p>
    <w:p>
      <w:pPr>
        <w:pStyle w:val="BodyText"/>
        <w:spacing w:line="240" w:lineRule="auto"/>
        <w:ind w:left="513" w:right="0"/>
        <w:jc w:val="left"/>
      </w:pPr>
      <w:r>
        <w:rPr>
          <w:spacing w:val="-3"/>
        </w:rPr>
        <w:t>（</w:t>
      </w:r>
      <w:r>
        <w:rPr>
          <w:rFonts w:ascii="Times New Roman" w:hAnsi="Times New Roman" w:cs="Times New Roman" w:eastAsia="Times New Roman" w:hint="default"/>
          <w:spacing w:val="-3"/>
        </w:rPr>
        <w:t>1</w:t>
      </w:r>
      <w:r>
        <w:rPr>
          <w:spacing w:val="-3"/>
        </w:rPr>
        <w:t>）确认本公司单独所持有的资产，以及按本公司份额确认共同持有的资产；</w:t>
      </w:r>
    </w:p>
    <w:p>
      <w:pPr>
        <w:spacing w:line="240" w:lineRule="auto" w:before="7"/>
        <w:rPr>
          <w:rFonts w:ascii="宋体" w:hAnsi="宋体" w:cs="宋体" w:eastAsia="宋体" w:hint="default"/>
          <w:sz w:val="16"/>
          <w:szCs w:val="16"/>
        </w:rPr>
      </w:pPr>
    </w:p>
    <w:p>
      <w:pPr>
        <w:pStyle w:val="BodyText"/>
        <w:spacing w:line="240" w:lineRule="auto"/>
        <w:ind w:left="513" w:right="0"/>
        <w:jc w:val="left"/>
      </w:pPr>
      <w:r>
        <w:rPr>
          <w:spacing w:val="-3"/>
        </w:rPr>
        <w:t>（</w:t>
      </w:r>
      <w:r>
        <w:rPr>
          <w:rFonts w:ascii="Times New Roman" w:hAnsi="Times New Roman" w:cs="Times New Roman" w:eastAsia="Times New Roman" w:hint="default"/>
          <w:spacing w:val="-3"/>
        </w:rPr>
        <w:t>2</w:t>
      </w:r>
      <w:r>
        <w:rPr>
          <w:spacing w:val="-3"/>
        </w:rPr>
        <w:t>）确认本公司单独所承担的负债，以及按本公司份额确认共同承担的负债；</w:t>
      </w:r>
    </w:p>
    <w:p>
      <w:pPr>
        <w:spacing w:line="240" w:lineRule="auto" w:before="12"/>
        <w:rPr>
          <w:rFonts w:ascii="宋体" w:hAnsi="宋体" w:cs="宋体" w:eastAsia="宋体" w:hint="default"/>
          <w:sz w:val="16"/>
          <w:szCs w:val="16"/>
        </w:rPr>
      </w:pPr>
    </w:p>
    <w:p>
      <w:pPr>
        <w:pStyle w:val="BodyText"/>
        <w:spacing w:line="240" w:lineRule="auto"/>
        <w:ind w:left="513" w:right="0"/>
        <w:jc w:val="left"/>
      </w:pPr>
      <w:r>
        <w:rPr>
          <w:spacing w:val="-3"/>
        </w:rPr>
        <w:t>（</w:t>
      </w:r>
      <w:r>
        <w:rPr>
          <w:rFonts w:ascii="Times New Roman" w:hAnsi="Times New Roman" w:cs="Times New Roman" w:eastAsia="Times New Roman" w:hint="default"/>
          <w:spacing w:val="-3"/>
        </w:rPr>
        <w:t>3</w:t>
      </w:r>
      <w:r>
        <w:rPr>
          <w:spacing w:val="-3"/>
        </w:rPr>
        <w:t>）确认出售本公司享有的共同经营产出份额所产生的收入；</w:t>
      </w:r>
    </w:p>
    <w:p>
      <w:pPr>
        <w:spacing w:line="240" w:lineRule="auto" w:before="7"/>
        <w:rPr>
          <w:rFonts w:ascii="宋体" w:hAnsi="宋体" w:cs="宋体" w:eastAsia="宋体" w:hint="default"/>
          <w:sz w:val="16"/>
          <w:szCs w:val="16"/>
        </w:rPr>
      </w:pPr>
    </w:p>
    <w:p>
      <w:pPr>
        <w:pStyle w:val="BodyText"/>
        <w:spacing w:line="240" w:lineRule="auto"/>
        <w:ind w:left="513" w:right="0"/>
        <w:jc w:val="left"/>
      </w:pPr>
      <w:r>
        <w:rPr>
          <w:spacing w:val="-3"/>
        </w:rPr>
        <w:t>（</w:t>
      </w:r>
      <w:r>
        <w:rPr>
          <w:rFonts w:ascii="Times New Roman" w:hAnsi="Times New Roman" w:cs="Times New Roman" w:eastAsia="Times New Roman" w:hint="default"/>
          <w:spacing w:val="-3"/>
        </w:rPr>
        <w:t>4</w:t>
      </w:r>
      <w:r>
        <w:rPr>
          <w:spacing w:val="-3"/>
        </w:rPr>
        <w:t>）按本公司份额确认共同经营因出售产出所产生的收入；</w:t>
      </w:r>
    </w:p>
    <w:p>
      <w:pPr>
        <w:spacing w:line="240" w:lineRule="auto" w:before="12"/>
        <w:rPr>
          <w:rFonts w:ascii="宋体" w:hAnsi="宋体" w:cs="宋体" w:eastAsia="宋体" w:hint="default"/>
          <w:sz w:val="16"/>
          <w:szCs w:val="16"/>
        </w:rPr>
      </w:pPr>
    </w:p>
    <w:p>
      <w:pPr>
        <w:pStyle w:val="BodyText"/>
        <w:spacing w:line="448" w:lineRule="auto"/>
        <w:ind w:left="513" w:right="0"/>
        <w:jc w:val="left"/>
      </w:pPr>
      <w:r>
        <w:rPr>
          <w:spacing w:val="-3"/>
        </w:rPr>
        <w:t>（</w:t>
      </w:r>
      <w:r>
        <w:rPr>
          <w:rFonts w:ascii="Times New Roman" w:hAnsi="Times New Roman" w:cs="Times New Roman" w:eastAsia="Times New Roman" w:hint="default"/>
          <w:spacing w:val="-3"/>
        </w:rPr>
        <w:t>5</w:t>
      </w:r>
      <w:r>
        <w:rPr>
          <w:spacing w:val="-3"/>
        </w:rPr>
        <w:t>）确认单独所发生的费用，以及按本公司份额确认共同经营发生的费用。</w:t>
      </w:r>
      <w:r>
        <w:rPr>
          <w:spacing w:val="12"/>
        </w:rPr>
        <w:t> </w:t>
      </w:r>
      <w:r>
        <w:rPr>
          <w:spacing w:val="12"/>
        </w:rPr>
      </w:r>
      <w:r>
        <w:rPr>
          <w:spacing w:val="-3"/>
        </w:rPr>
        <w:t>当本公司作为合营方向共同经营投出或出售资产</w:t>
      </w:r>
      <w:r>
        <w:rPr>
          <w:rFonts w:ascii="Times New Roman" w:hAnsi="Times New Roman" w:cs="Times New Roman" w:eastAsia="Times New Roman" w:hint="default"/>
          <w:spacing w:val="-3"/>
        </w:rPr>
        <w:t>(</w:t>
      </w:r>
      <w:r>
        <w:rPr>
          <w:spacing w:val="-3"/>
        </w:rPr>
        <w:t>该资产不构成业务，下同</w:t>
      </w:r>
      <w:r>
        <w:rPr>
          <w:rFonts w:ascii="Times New Roman" w:hAnsi="Times New Roman" w:cs="Times New Roman" w:eastAsia="Times New Roman" w:hint="default"/>
          <w:spacing w:val="-3"/>
        </w:rPr>
        <w:t>)</w:t>
      </w:r>
      <w:r>
        <w:rPr>
          <w:spacing w:val="-3"/>
        </w:rPr>
        <w:t>或者自共同经营购买资产时，在该等资产出</w:t>
      </w:r>
    </w:p>
    <w:p>
      <w:pPr>
        <w:pStyle w:val="BodyText"/>
        <w:spacing w:line="463" w:lineRule="auto" w:before="48"/>
        <w:ind w:right="1124"/>
        <w:jc w:val="both"/>
      </w:pPr>
      <w:r>
        <w:rPr>
          <w:spacing w:val="-4"/>
        </w:rPr>
        <w:t>售给第三方之前，本公司仅确认因该项交易产生的损益中属于共同经营其他参与方的部分。该等资产发生符合《企业会计准</w:t>
      </w:r>
      <w:r>
        <w:rPr>
          <w:spacing w:val="43"/>
        </w:rPr>
        <w:t> </w:t>
      </w:r>
      <w:r>
        <w:rPr>
          <w:spacing w:val="43"/>
        </w:rPr>
      </w:r>
      <w:r>
        <w:rPr/>
        <w:t>则第 </w:t>
      </w:r>
      <w:r>
        <w:rPr>
          <w:rFonts w:ascii="Times New Roman" w:hAnsi="Times New Roman" w:cs="Times New Roman" w:eastAsia="Times New Roman" w:hint="default"/>
        </w:rPr>
        <w:t>8 </w:t>
      </w:r>
      <w:r>
        <w:rPr>
          <w:spacing w:val="-4"/>
        </w:rPr>
        <w:t>号</w:t>
      </w:r>
      <w:r>
        <w:rPr>
          <w:rFonts w:ascii="Times New Roman" w:hAnsi="Times New Roman" w:cs="Times New Roman" w:eastAsia="Times New Roman" w:hint="default"/>
          <w:spacing w:val="-4"/>
        </w:rPr>
        <w:t>——</w:t>
      </w:r>
      <w:r>
        <w:rPr>
          <w:spacing w:val="-4"/>
        </w:rPr>
        <w:t>资产减值》等规定的资产减值损失的，对于由本公司向共同经营投出或者出售资产的情况，本公司全额确认损</w:t>
      </w:r>
      <w:r>
        <w:rPr>
          <w:spacing w:val="-66"/>
        </w:rPr>
        <w:t> </w:t>
      </w:r>
      <w:r>
        <w:rPr>
          <w:spacing w:val="-66"/>
        </w:rPr>
      </w:r>
      <w:r>
        <w:rPr>
          <w:spacing w:val="-3"/>
        </w:rPr>
        <w:t>失；对于本公司自共同经营购买资产的情况，本公司按承担的份额确认该损失。</w:t>
      </w:r>
    </w:p>
    <w:p>
      <w:pPr>
        <w:spacing w:line="240" w:lineRule="auto" w:before="10"/>
        <w:rPr>
          <w:rFonts w:ascii="宋体" w:hAnsi="宋体" w:cs="宋体" w:eastAsia="宋体" w:hint="default"/>
          <w:sz w:val="19"/>
          <w:szCs w:val="19"/>
        </w:rPr>
      </w:pPr>
    </w:p>
    <w:p>
      <w:pPr>
        <w:pStyle w:val="Heading3"/>
        <w:spacing w:line="240" w:lineRule="auto"/>
        <w:ind w:right="0"/>
        <w:jc w:val="both"/>
        <w:rPr>
          <w:b w:val="0"/>
          <w:bCs w:val="0"/>
        </w:rPr>
      </w:pPr>
      <w:bookmarkStart w:name="8、现金及现金等价物的确定标准" w:id="178"/>
      <w:bookmarkEnd w:id="178"/>
      <w:r>
        <w:rPr>
          <w:b w:val="0"/>
          <w:bCs w:val="0"/>
        </w:rPr>
      </w:r>
      <w:r>
        <w:rPr>
          <w:rFonts w:ascii="Times New Roman" w:hAnsi="Times New Roman" w:cs="Times New Roman" w:eastAsia="Times New Roman" w:hint="default"/>
        </w:rPr>
        <w:t>8</w:t>
      </w:r>
      <w:r>
        <w:rPr/>
        <w:t>、现金及现金等价物的确定标准</w:t>
      </w:r>
      <w:r>
        <w:rPr>
          <w:b w:val="0"/>
          <w:bCs w:val="0"/>
        </w:rPr>
      </w:r>
    </w:p>
    <w:p>
      <w:pPr>
        <w:spacing w:line="240" w:lineRule="auto" w:before="12"/>
        <w:rPr>
          <w:rFonts w:ascii="宋体" w:hAnsi="宋体" w:cs="宋体" w:eastAsia="宋体" w:hint="default"/>
          <w:b/>
          <w:bCs/>
          <w:sz w:val="32"/>
          <w:szCs w:val="32"/>
        </w:rPr>
      </w:pPr>
    </w:p>
    <w:p>
      <w:pPr>
        <w:pStyle w:val="BodyText"/>
        <w:spacing w:line="448" w:lineRule="auto"/>
        <w:ind w:right="1110" w:firstLine="360"/>
        <w:jc w:val="left"/>
      </w:pPr>
      <w:r>
        <w:rPr>
          <w:spacing w:val="-5"/>
          <w:w w:val="101"/>
        </w:rPr>
        <w:t>在编制现金流量表时，将本公司库存现金及可以随时用于支付的存款确认为现金。现金等价物是指企业持有的期限短</w:t>
      </w:r>
      <w:r>
        <w:rPr>
          <w:rFonts w:ascii="Times New Roman" w:hAnsi="Times New Roman" w:cs="Times New Roman" w:eastAsia="Times New Roman" w:hint="default"/>
          <w:spacing w:val="-5"/>
          <w:w w:val="101"/>
        </w:rPr>
        <w:t>(</w:t>
      </w:r>
      <w:r>
        <w:rPr>
          <w:spacing w:val="-5"/>
          <w:w w:val="101"/>
        </w:rPr>
        <w:t>一</w:t>
      </w:r>
      <w:r>
        <w:rPr>
          <w:w w:val="101"/>
        </w:rPr>
        <w:t> </w:t>
      </w:r>
      <w:r>
        <w:rPr/>
        <w:t>般是指从购买日起 </w:t>
      </w:r>
      <w:r>
        <w:rPr>
          <w:rFonts w:ascii="Times New Roman" w:hAnsi="Times New Roman" w:cs="Times New Roman" w:eastAsia="Times New Roman" w:hint="default"/>
        </w:rPr>
        <w:t>3 </w:t>
      </w:r>
      <w:r>
        <w:rPr>
          <w:rFonts w:ascii="Times New Roman" w:hAnsi="Times New Roman" w:cs="Times New Roman" w:eastAsia="Times New Roman" w:hint="default"/>
          <w:spacing w:val="5"/>
        </w:rPr>
        <w:t> </w:t>
      </w:r>
      <w:r>
        <w:rPr>
          <w:spacing w:val="-3"/>
        </w:rPr>
        <w:t>个月内到期</w:t>
      </w:r>
      <w:r>
        <w:rPr>
          <w:rFonts w:ascii="Times New Roman" w:hAnsi="Times New Roman" w:cs="Times New Roman" w:eastAsia="Times New Roman" w:hint="default"/>
          <w:spacing w:val="-3"/>
        </w:rPr>
        <w:t>)</w:t>
      </w:r>
      <w:r>
        <w:rPr>
          <w:spacing w:val="-3"/>
        </w:rPr>
        <w:t>、流动性强、易于转换为已知金额现金、价值变动风险很小的投资。</w:t>
      </w:r>
    </w:p>
    <w:p>
      <w:pPr>
        <w:spacing w:line="240" w:lineRule="auto" w:before="8"/>
        <w:rPr>
          <w:rFonts w:ascii="宋体" w:hAnsi="宋体" w:cs="宋体" w:eastAsia="宋体" w:hint="default"/>
          <w:sz w:val="18"/>
          <w:szCs w:val="18"/>
        </w:rPr>
      </w:pPr>
    </w:p>
    <w:p>
      <w:pPr>
        <w:pStyle w:val="Heading3"/>
        <w:spacing w:line="240" w:lineRule="auto"/>
        <w:ind w:right="0"/>
        <w:jc w:val="both"/>
        <w:rPr>
          <w:b w:val="0"/>
          <w:bCs w:val="0"/>
        </w:rPr>
      </w:pPr>
      <w:bookmarkStart w:name="9、外币业务和外币报表折算" w:id="179"/>
      <w:bookmarkEnd w:id="179"/>
      <w:r>
        <w:rPr>
          <w:b w:val="0"/>
          <w:bCs w:val="0"/>
        </w:rPr>
      </w:r>
      <w:r>
        <w:rPr>
          <w:rFonts w:ascii="Times New Roman" w:hAnsi="Times New Roman" w:cs="Times New Roman" w:eastAsia="Times New Roman" w:hint="default"/>
        </w:rPr>
        <w:t>9</w:t>
      </w:r>
      <w:r>
        <w:rPr/>
        <w:t>、外币业务和外币报表折算</w:t>
      </w:r>
      <w:r>
        <w:rPr>
          <w:b w:val="0"/>
          <w:bCs w:val="0"/>
        </w:rPr>
      </w:r>
    </w:p>
    <w:p>
      <w:pPr>
        <w:spacing w:line="240" w:lineRule="auto" w:before="7"/>
        <w:rPr>
          <w:rFonts w:ascii="宋体" w:hAnsi="宋体" w:cs="宋体" w:eastAsia="宋体" w:hint="default"/>
          <w:b/>
          <w:bCs/>
          <w:sz w:val="32"/>
          <w:szCs w:val="32"/>
        </w:rPr>
      </w:pPr>
    </w:p>
    <w:p>
      <w:pPr>
        <w:pStyle w:val="BodyText"/>
        <w:spacing w:line="453" w:lineRule="auto"/>
        <w:ind w:left="513" w:right="0"/>
        <w:jc w:val="left"/>
      </w:pPr>
      <w:r>
        <w:rPr/>
        <w:t>（</w:t>
      </w:r>
      <w:r>
        <w:rPr>
          <w:rFonts w:ascii="Times New Roman" w:hAnsi="Times New Roman" w:cs="Times New Roman" w:eastAsia="Times New Roman" w:hint="default"/>
        </w:rPr>
        <w:t>1</w:t>
      </w:r>
      <w:r>
        <w:rPr/>
        <w:t>）外币交易业务</w:t>
      </w:r>
      <w:r>
        <w:rPr>
          <w:spacing w:val="-85"/>
        </w:rPr>
        <w:t> </w:t>
      </w:r>
      <w:r>
        <w:rPr>
          <w:spacing w:val="-85"/>
        </w:rPr>
      </w:r>
      <w:r>
        <w:rPr>
          <w:spacing w:val="-3"/>
        </w:rPr>
        <w:t>对发生的外币业务，采用交易发生日的即期汇率</w:t>
      </w:r>
      <w:r>
        <w:rPr>
          <w:rFonts w:ascii="Times New Roman" w:hAnsi="Times New Roman" w:cs="Times New Roman" w:eastAsia="Times New Roman" w:hint="default"/>
          <w:spacing w:val="-3"/>
        </w:rPr>
        <w:t>(</w:t>
      </w:r>
      <w:r>
        <w:rPr>
          <w:spacing w:val="-3"/>
        </w:rPr>
        <w:t>通常指中国人民银行公布的当日外汇牌价的中间价，下同</w:t>
      </w:r>
      <w:r>
        <w:rPr>
          <w:rFonts w:ascii="Times New Roman" w:hAnsi="Times New Roman" w:cs="Times New Roman" w:eastAsia="Times New Roman" w:hint="default"/>
          <w:spacing w:val="-3"/>
        </w:rPr>
        <w:t>)</w:t>
      </w:r>
      <w:r>
        <w:rPr>
          <w:spacing w:val="-3"/>
        </w:rPr>
        <w:t>折合记账本</w:t>
      </w:r>
    </w:p>
    <w:p>
      <w:pPr>
        <w:pStyle w:val="BodyText"/>
        <w:spacing w:line="240" w:lineRule="auto" w:before="39"/>
        <w:ind w:right="0"/>
        <w:jc w:val="both"/>
      </w:pPr>
      <w:r>
        <w:rPr>
          <w:spacing w:val="-3"/>
        </w:rPr>
        <w:t>位币记账。但公司发生的外币兑换业务或涉及外币兑换的交易事项，按照实际采用的汇率折算为记账本位币金额。</w:t>
      </w:r>
    </w:p>
    <w:p>
      <w:pPr>
        <w:spacing w:line="240" w:lineRule="auto" w:before="12"/>
        <w:rPr>
          <w:rFonts w:ascii="宋体" w:hAnsi="宋体" w:cs="宋体" w:eastAsia="宋体" w:hint="default"/>
          <w:sz w:val="17"/>
          <w:szCs w:val="17"/>
        </w:rPr>
      </w:pPr>
    </w:p>
    <w:p>
      <w:pPr>
        <w:pStyle w:val="BodyText"/>
        <w:spacing w:line="448" w:lineRule="auto"/>
        <w:ind w:left="513" w:right="0"/>
        <w:jc w:val="left"/>
      </w:pPr>
      <w:r>
        <w:rPr>
          <w:spacing w:val="-3"/>
        </w:rPr>
        <w:t>（</w:t>
      </w:r>
      <w:r>
        <w:rPr>
          <w:rFonts w:ascii="Times New Roman" w:hAnsi="Times New Roman" w:cs="Times New Roman" w:eastAsia="Times New Roman" w:hint="default"/>
          <w:spacing w:val="-3"/>
        </w:rPr>
        <w:t>2</w:t>
      </w:r>
      <w:r>
        <w:rPr>
          <w:spacing w:val="-3"/>
        </w:rPr>
        <w:t>）外币货币性项目和非货币性项目的折算方法</w:t>
      </w:r>
      <w:r>
        <w:rPr>
          <w:spacing w:val="-23"/>
        </w:rPr>
        <w:t> </w:t>
      </w:r>
      <w:r>
        <w:rPr>
          <w:spacing w:val="-23"/>
        </w:rPr>
      </w:r>
      <w:r>
        <w:rPr>
          <w:spacing w:val="-4"/>
        </w:rPr>
        <w:t>资产负债表日，对于外币货币性项目采用资产负债表日即期汇率折算，由此产生的汇兑差额，除①属于与购建符合资本</w:t>
      </w:r>
    </w:p>
    <w:p>
      <w:pPr>
        <w:pStyle w:val="BodyText"/>
        <w:spacing w:line="468" w:lineRule="auto" w:before="78"/>
        <w:ind w:right="1122"/>
        <w:jc w:val="both"/>
      </w:pPr>
      <w:r>
        <w:rPr>
          <w:spacing w:val="-4"/>
          <w:w w:val="101"/>
        </w:rPr>
        <w:t>化条件的资产相关的外币专门借款产生的汇兑差额按照借款费用资本化的原则处理；②用于境外经营净投资有效套期的套期</w:t>
      </w:r>
      <w:r>
        <w:rPr>
          <w:w w:val="101"/>
        </w:rPr>
        <w:t> </w:t>
      </w:r>
      <w:r>
        <w:rPr>
          <w:spacing w:val="-3"/>
        </w:rPr>
        <w:t>工具的汇兑差额</w:t>
      </w:r>
      <w:r>
        <w:rPr>
          <w:rFonts w:ascii="Times New Roman" w:hAnsi="Times New Roman" w:cs="Times New Roman" w:eastAsia="Times New Roman" w:hint="default"/>
          <w:spacing w:val="-3"/>
        </w:rPr>
        <w:t>(</w:t>
      </w:r>
      <w:r>
        <w:rPr>
          <w:spacing w:val="-3"/>
        </w:rPr>
        <w:t>该差额计入其他综合收益，直至净投资被处置才被确认为当期损益</w:t>
      </w:r>
      <w:r>
        <w:rPr>
          <w:rFonts w:ascii="Times New Roman" w:hAnsi="Times New Roman" w:cs="Times New Roman" w:eastAsia="Times New Roman" w:hint="default"/>
          <w:spacing w:val="-3"/>
        </w:rPr>
        <w:t>)</w:t>
      </w:r>
      <w:r>
        <w:rPr>
          <w:spacing w:val="-3"/>
        </w:rPr>
        <w:t>；以及③以公允价值计量且其变动计入</w:t>
      </w:r>
      <w:r>
        <w:rPr>
          <w:spacing w:val="51"/>
        </w:rPr>
        <w:t> </w:t>
      </w:r>
      <w:r>
        <w:rPr>
          <w:spacing w:val="51"/>
        </w:rPr>
      </w:r>
      <w:r>
        <w:rPr>
          <w:spacing w:val="-4"/>
          <w:w w:val="101"/>
        </w:rPr>
        <w:t>其他综合收益的外币货币性项目除摊余成本之外的其他账面余额变动产生的汇兑差额计入其他综合收益之外，均计入当期损</w:t>
      </w:r>
      <w:r>
        <w:rPr>
          <w:w w:val="101"/>
        </w:rPr>
        <w:t> </w:t>
      </w:r>
      <w:r>
        <w:rPr/>
        <w:t>益。</w:t>
      </w:r>
    </w:p>
    <w:p>
      <w:pPr>
        <w:pStyle w:val="BodyText"/>
        <w:spacing w:line="240" w:lineRule="auto" w:before="64"/>
        <w:ind w:left="513" w:right="0"/>
        <w:jc w:val="left"/>
      </w:pPr>
      <w:r>
        <w:rPr>
          <w:spacing w:val="-4"/>
        </w:rPr>
        <w:t>以历史成本计量的外币非货币性项目，仍采用交易发生日的即期汇率折算的记账本位币金额计量。以公允价值计量的外</w:t>
      </w:r>
    </w:p>
    <w:p>
      <w:pPr>
        <w:spacing w:after="0" w:line="240" w:lineRule="auto"/>
        <w:jc w:val="left"/>
        <w:sectPr>
          <w:footerReference w:type="default" r:id="rId23"/>
          <w:pgSz w:w="11910" w:h="16840"/>
          <w:pgMar w:footer="1522" w:header="871" w:top="1100" w:bottom="1720" w:left="980" w:right="0"/>
          <w:pgNumType w:start="111"/>
        </w:sectPr>
      </w:pPr>
    </w:p>
    <w:p>
      <w:pPr>
        <w:spacing w:line="240" w:lineRule="auto" w:before="1"/>
        <w:rPr>
          <w:rFonts w:ascii="宋体" w:hAnsi="宋体" w:cs="宋体" w:eastAsia="宋体" w:hint="default"/>
          <w:sz w:val="28"/>
          <w:szCs w:val="28"/>
        </w:rPr>
      </w:pPr>
    </w:p>
    <w:p>
      <w:pPr>
        <w:pStyle w:val="BodyText"/>
        <w:spacing w:line="240" w:lineRule="auto" w:before="46"/>
        <w:ind w:right="0"/>
        <w:jc w:val="left"/>
      </w:pPr>
      <w:r>
        <w:rPr/>
        <w:t>益。</w:t>
      </w: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14"/>
          <w:szCs w:val="14"/>
        </w:rPr>
      </w:pPr>
    </w:p>
    <w:p>
      <w:pPr>
        <w:pStyle w:val="Heading3"/>
        <w:spacing w:line="240" w:lineRule="auto"/>
        <w:ind w:right="0"/>
        <w:jc w:val="left"/>
        <w:rPr>
          <w:b w:val="0"/>
          <w:bCs w:val="0"/>
        </w:rPr>
      </w:pPr>
      <w:bookmarkStart w:name="10、金融工具" w:id="180"/>
      <w:bookmarkEnd w:id="180"/>
      <w:r>
        <w:rPr>
          <w:b w:val="0"/>
          <w:bCs w:val="0"/>
        </w:rPr>
      </w:r>
      <w:r>
        <w:rPr>
          <w:rFonts w:ascii="Times New Roman" w:hAnsi="Times New Roman" w:cs="Times New Roman" w:eastAsia="Times New Roman" w:hint="default"/>
        </w:rPr>
        <w:t>10</w:t>
      </w:r>
      <w:r>
        <w:rPr/>
        <w:t>、金融工具</w:t>
      </w:r>
      <w:r>
        <w:rPr>
          <w:b w:val="0"/>
          <w:bCs w:val="0"/>
        </w:rPr>
      </w:r>
    </w:p>
    <w:p>
      <w:pPr>
        <w:spacing w:line="240" w:lineRule="auto" w:before="13"/>
        <w:rPr>
          <w:rFonts w:ascii="宋体" w:hAnsi="宋体" w:cs="宋体" w:eastAsia="宋体" w:hint="default"/>
          <w:b/>
          <w:bCs/>
          <w:sz w:val="32"/>
          <w:szCs w:val="32"/>
        </w:rPr>
      </w:pPr>
    </w:p>
    <w:p>
      <w:pPr>
        <w:pStyle w:val="BodyText"/>
        <w:spacing w:line="475" w:lineRule="auto"/>
        <w:ind w:right="1128" w:firstLine="360"/>
        <w:jc w:val="both"/>
      </w:pPr>
      <w:r>
        <w:rPr>
          <w:spacing w:val="-5"/>
        </w:rPr>
        <w:t>金融工具是指形成一方的金融资产并形成其他方的金融负债或权益工具的合同。金融工具包括金融资产、金融负债和权</w:t>
      </w:r>
      <w:r>
        <w:rPr>
          <w:w w:val="101"/>
        </w:rPr>
        <w:t> </w:t>
      </w:r>
      <w:r>
        <w:rPr/>
        <w:t>益工具。</w:t>
      </w:r>
    </w:p>
    <w:p>
      <w:pPr>
        <w:pStyle w:val="BodyText"/>
        <w:spacing w:line="240" w:lineRule="auto" w:before="58"/>
        <w:ind w:left="513" w:right="0"/>
        <w:jc w:val="left"/>
      </w:pPr>
      <w:r>
        <w:rPr>
          <w:rFonts w:ascii="Times New Roman" w:hAnsi="Times New Roman" w:cs="Times New Roman" w:eastAsia="Times New Roman" w:hint="default"/>
          <w:spacing w:val="-3"/>
        </w:rPr>
        <w:t>(1)</w:t>
      </w:r>
      <w:r>
        <w:rPr>
          <w:spacing w:val="-3"/>
        </w:rPr>
        <w:t>金融工具的分类、确认依据和计量方法</w:t>
      </w:r>
    </w:p>
    <w:p>
      <w:pPr>
        <w:spacing w:line="240" w:lineRule="auto" w:before="7"/>
        <w:rPr>
          <w:rFonts w:ascii="宋体" w:hAnsi="宋体" w:cs="宋体" w:eastAsia="宋体" w:hint="default"/>
          <w:sz w:val="16"/>
          <w:szCs w:val="16"/>
        </w:rPr>
      </w:pPr>
    </w:p>
    <w:p>
      <w:pPr>
        <w:pStyle w:val="BodyText"/>
        <w:spacing w:line="480" w:lineRule="auto"/>
        <w:ind w:left="513" w:right="0"/>
        <w:jc w:val="left"/>
      </w:pPr>
      <w:r>
        <w:rPr>
          <w:spacing w:val="-3"/>
        </w:rPr>
        <w:t>①金融资产和金融负债的确认和初始计量</w:t>
      </w:r>
      <w:r>
        <w:rPr>
          <w:spacing w:val="-33"/>
        </w:rPr>
        <w:t> </w:t>
      </w:r>
      <w:r>
        <w:rPr>
          <w:spacing w:val="-33"/>
        </w:rPr>
      </w:r>
      <w:r>
        <w:rPr>
          <w:spacing w:val="-4"/>
        </w:rPr>
        <w:t>本公司成为金融工具合同的一方时，确认一项金融资产或金融负债。对于以常规方式购买或出售金融资产的，本公司在</w:t>
      </w:r>
    </w:p>
    <w:p>
      <w:pPr>
        <w:pStyle w:val="BodyText"/>
        <w:spacing w:line="480" w:lineRule="auto" w:before="50"/>
        <w:ind w:right="0"/>
        <w:jc w:val="left"/>
      </w:pPr>
      <w:r>
        <w:rPr>
          <w:spacing w:val="-4"/>
        </w:rPr>
        <w:t>交易日确认将收到的资产和为此将承担的负债，或者在交易日终止确认已出售的资产，同时确认处置利得或损失以及应向买</w:t>
      </w:r>
      <w:r>
        <w:rPr>
          <w:spacing w:val="44"/>
        </w:rPr>
        <w:t> </w:t>
      </w:r>
      <w:r>
        <w:rPr>
          <w:spacing w:val="44"/>
        </w:rPr>
      </w:r>
      <w:r>
        <w:rPr>
          <w:spacing w:val="-3"/>
        </w:rPr>
        <w:t>方收取的应收款项。</w:t>
      </w:r>
    </w:p>
    <w:p>
      <w:pPr>
        <w:pStyle w:val="BodyText"/>
        <w:spacing w:line="477" w:lineRule="auto" w:before="50"/>
        <w:ind w:right="935" w:firstLine="360"/>
        <w:jc w:val="left"/>
      </w:pPr>
      <w:r>
        <w:rPr>
          <w:spacing w:val="-4"/>
          <w:w w:val="101"/>
        </w:rPr>
        <w:t>金融资产和金融负债在初始确认时以公允价值计量。对于以公允价值计量且其变动计入当期损益的金融资产和金融负债，</w:t>
      </w:r>
      <w:r>
        <w:rPr>
          <w:w w:val="101"/>
        </w:rPr>
        <w:t> </w:t>
      </w:r>
      <w:r>
        <w:rPr>
          <w:spacing w:val="-4"/>
        </w:rPr>
        <w:t>相关的交易费用直接计入当期损益，对于其他类别的金融资产和金融负债，相关交易费用计入初始确认金额。对于初始确认</w:t>
      </w:r>
      <w:r>
        <w:rPr>
          <w:spacing w:val="43"/>
        </w:rPr>
        <w:t> </w:t>
      </w:r>
      <w:r>
        <w:rPr>
          <w:spacing w:val="43"/>
        </w:rPr>
      </w:r>
      <w:r>
        <w:rPr>
          <w:spacing w:val="-3"/>
        </w:rPr>
        <w:t>时不具有重大融资成分的应收账款，按照本附注五、</w:t>
      </w:r>
      <w:r>
        <w:rPr>
          <w:rFonts w:ascii="Times New Roman" w:hAnsi="Times New Roman" w:cs="Times New Roman" w:eastAsia="Times New Roman" w:hint="default"/>
          <w:spacing w:val="-3"/>
        </w:rPr>
        <w:t>31   </w:t>
      </w:r>
      <w:r>
        <w:rPr>
          <w:rFonts w:ascii="Times New Roman" w:hAnsi="Times New Roman" w:cs="Times New Roman" w:eastAsia="Times New Roman" w:hint="default"/>
          <w:spacing w:val="13"/>
        </w:rPr>
        <w:t> </w:t>
      </w:r>
      <w:r>
        <w:rPr>
          <w:spacing w:val="-3"/>
        </w:rPr>
        <w:t>的收入确认方法确定的交易价格进行初始计量。</w:t>
      </w:r>
    </w:p>
    <w:p>
      <w:pPr>
        <w:pStyle w:val="BodyText"/>
        <w:spacing w:line="475" w:lineRule="auto" w:before="24"/>
        <w:ind w:left="513" w:right="0"/>
        <w:jc w:val="left"/>
      </w:pPr>
      <w:r>
        <w:rPr>
          <w:spacing w:val="-3"/>
        </w:rPr>
        <w:t>②金融资产的分类和后续计量</w:t>
      </w:r>
      <w:r>
        <w:rPr>
          <w:spacing w:val="-50"/>
        </w:rPr>
        <w:t> </w:t>
      </w:r>
      <w:r>
        <w:rPr>
          <w:spacing w:val="-50"/>
        </w:rPr>
      </w:r>
      <w:r>
        <w:rPr>
          <w:spacing w:val="-5"/>
          <w:w w:val="101"/>
        </w:rPr>
        <w:t>本公司根据管理金融资产的业务模式和金融资产的合同现金流量特征将金融资产分类为以摊余成本计量的金融资产、以</w:t>
      </w:r>
      <w:r>
        <w:rPr>
          <w:spacing w:val="-5"/>
        </w:rPr>
      </w:r>
    </w:p>
    <w:p>
      <w:pPr>
        <w:pStyle w:val="BodyText"/>
        <w:spacing w:line="240" w:lineRule="auto" w:before="58"/>
        <w:ind w:right="0"/>
        <w:jc w:val="left"/>
      </w:pPr>
      <w:r>
        <w:rPr>
          <w:spacing w:val="-3"/>
        </w:rPr>
        <w:t>公允价值计量且其变动计入其他综合收益的金融资产和以公允价值计量且其变动计入当期损益的金融资产。</w:t>
      </w:r>
    </w:p>
    <w:p>
      <w:pPr>
        <w:spacing w:line="240" w:lineRule="auto" w:before="8"/>
        <w:rPr>
          <w:rFonts w:ascii="宋体" w:hAnsi="宋体" w:cs="宋体" w:eastAsia="宋体" w:hint="default"/>
          <w:sz w:val="17"/>
          <w:szCs w:val="17"/>
        </w:rPr>
      </w:pPr>
    </w:p>
    <w:p>
      <w:pPr>
        <w:pStyle w:val="BodyText"/>
        <w:spacing w:line="240" w:lineRule="auto"/>
        <w:ind w:left="513" w:right="0"/>
        <w:jc w:val="left"/>
      </w:pPr>
      <w:r>
        <w:rPr>
          <w:rFonts w:ascii="Times New Roman" w:hAnsi="Times New Roman" w:cs="Times New Roman" w:eastAsia="Times New Roman" w:hint="default"/>
        </w:rPr>
        <w:t>A</w:t>
      </w:r>
      <w:r>
        <w:rPr>
          <w:rFonts w:ascii="Times New Roman" w:hAnsi="Times New Roman" w:cs="Times New Roman" w:eastAsia="Times New Roman" w:hint="default"/>
          <w:spacing w:val="-4"/>
        </w:rPr>
        <w:t> </w:t>
      </w:r>
      <w:r>
        <w:rPr/>
        <w:t>以摊余成本计量的金融资产</w:t>
      </w:r>
    </w:p>
    <w:p>
      <w:pPr>
        <w:spacing w:line="240" w:lineRule="auto" w:before="12"/>
        <w:rPr>
          <w:rFonts w:ascii="宋体" w:hAnsi="宋体" w:cs="宋体" w:eastAsia="宋体" w:hint="default"/>
          <w:sz w:val="16"/>
          <w:szCs w:val="16"/>
        </w:rPr>
      </w:pPr>
    </w:p>
    <w:p>
      <w:pPr>
        <w:pStyle w:val="BodyText"/>
        <w:spacing w:line="451" w:lineRule="auto"/>
        <w:ind w:right="1127" w:firstLine="360"/>
        <w:jc w:val="both"/>
      </w:pPr>
      <w:r>
        <w:rPr>
          <w:spacing w:val="-4"/>
        </w:rPr>
        <w:t>以摊余成本计量的金融资产，是指同时符合下列条件的金融资产：</w:t>
      </w:r>
      <w:r>
        <w:rPr>
          <w:rFonts w:ascii="Times New Roman" w:hAnsi="Times New Roman" w:cs="Times New Roman" w:eastAsia="Times New Roman" w:hint="default"/>
          <w:spacing w:val="-4"/>
        </w:rPr>
        <w:t>a</w:t>
      </w:r>
      <w:r>
        <w:rPr>
          <w:rFonts w:ascii="Times New Roman" w:hAnsi="Times New Roman" w:cs="Times New Roman" w:eastAsia="Times New Roman" w:hint="default"/>
          <w:spacing w:val="24"/>
        </w:rPr>
        <w:t> </w:t>
      </w:r>
      <w:r>
        <w:rPr>
          <w:spacing w:val="-3"/>
        </w:rPr>
        <w:t>本公司管理该金融资产的业务模式是以收取合同现</w:t>
      </w:r>
      <w:r>
        <w:rPr>
          <w:w w:val="101"/>
        </w:rPr>
        <w:t> </w:t>
      </w:r>
      <w:r>
        <w:rPr>
          <w:spacing w:val="-3"/>
        </w:rPr>
        <w:t>金流量为目标；</w:t>
      </w:r>
      <w:r>
        <w:rPr>
          <w:rFonts w:ascii="Times New Roman" w:hAnsi="Times New Roman" w:cs="Times New Roman" w:eastAsia="Times New Roman" w:hint="default"/>
          <w:spacing w:val="-3"/>
        </w:rPr>
        <w:t>b </w:t>
      </w:r>
      <w:r>
        <w:rPr>
          <w:spacing w:val="-3"/>
        </w:rPr>
        <w:t>该金融资产的合同条款规定，在特定日期产生的现金流量，仅为对本金和以未偿付本金金额为基础的利息</w:t>
      </w:r>
      <w:r>
        <w:rPr>
          <w:spacing w:val="-52"/>
        </w:rPr>
        <w:t> </w:t>
      </w:r>
      <w:r>
        <w:rPr>
          <w:spacing w:val="-52"/>
        </w:rPr>
      </w:r>
      <w:r>
        <w:rPr/>
        <w:t>的支付。</w:t>
      </w:r>
    </w:p>
    <w:p>
      <w:pPr>
        <w:pStyle w:val="BodyText"/>
        <w:spacing w:line="480" w:lineRule="auto" w:before="72"/>
        <w:ind w:right="1123" w:firstLine="360"/>
        <w:jc w:val="both"/>
      </w:pPr>
      <w:r>
        <w:rPr>
          <w:spacing w:val="-4"/>
        </w:rPr>
        <w:t>该类金融资产在初始确认后采用实际利率法以摊余成本计量，所产生的利得或损失在终止确认、按照实际利率法摊销或</w:t>
      </w:r>
      <w:r>
        <w:rPr>
          <w:w w:val="101"/>
        </w:rPr>
        <w:t> </w:t>
      </w:r>
      <w:r>
        <w:rPr>
          <w:spacing w:val="-3"/>
        </w:rPr>
        <w:t>确认减值时，计入当期损益。</w:t>
      </w:r>
    </w:p>
    <w:p>
      <w:pPr>
        <w:pStyle w:val="BodyText"/>
        <w:spacing w:line="453" w:lineRule="auto" w:before="50"/>
        <w:ind w:right="1035" w:firstLine="360"/>
        <w:jc w:val="both"/>
      </w:pPr>
      <w:r>
        <w:rPr>
          <w:spacing w:val="-3"/>
        </w:rPr>
        <w:t>对于金融资产的摊余成本，应当以该金融资产的初始确认金额经下列调整后的结果确定：</w:t>
      </w:r>
      <w:r>
        <w:rPr>
          <w:rFonts w:ascii="Times New Roman" w:hAnsi="Times New Roman" w:cs="Times New Roman" w:eastAsia="Times New Roman" w:hint="default"/>
          <w:spacing w:val="-3"/>
        </w:rPr>
        <w:t>a </w:t>
      </w:r>
      <w:r>
        <w:rPr>
          <w:spacing w:val="-3"/>
        </w:rPr>
        <w:t>扣除已偿还的本金；</w:t>
      </w:r>
      <w:r>
        <w:rPr>
          <w:rFonts w:ascii="Times New Roman" w:hAnsi="Times New Roman" w:cs="Times New Roman" w:eastAsia="Times New Roman" w:hint="default"/>
          <w:spacing w:val="-3"/>
        </w:rPr>
        <w:t>b</w:t>
      </w:r>
      <w:r>
        <w:rPr>
          <w:rFonts w:ascii="Times New Roman" w:hAnsi="Times New Roman" w:cs="Times New Roman" w:eastAsia="Times New Roman" w:hint="default"/>
          <w:spacing w:val="-7"/>
        </w:rPr>
        <w:t> </w:t>
      </w:r>
      <w:r>
        <w:rPr/>
        <w:t>加上</w:t>
      </w:r>
      <w:r>
        <w:rPr>
          <w:w w:val="101"/>
        </w:rPr>
        <w:t> </w:t>
      </w:r>
      <w:r>
        <w:rPr>
          <w:spacing w:val="-4"/>
          <w:w w:val="101"/>
        </w:rPr>
        <w:t>或减去采用实际利率法将该初始确认金额与到期日金额之间的差额进行摊销形成的累计摊销额；</w:t>
      </w:r>
      <w:r>
        <w:rPr>
          <w:rFonts w:ascii="Times New Roman" w:hAnsi="Times New Roman" w:cs="Times New Roman" w:eastAsia="Times New Roman" w:hint="default"/>
          <w:spacing w:val="-4"/>
          <w:w w:val="101"/>
        </w:rPr>
        <w:t>c</w:t>
      </w:r>
      <w:r>
        <w:rPr>
          <w:spacing w:val="-4"/>
          <w:w w:val="101"/>
        </w:rPr>
        <w:t>扣除累计计提的损失准备。</w:t>
      </w:r>
      <w:r>
        <w:rPr>
          <w:spacing w:val="-4"/>
        </w:rPr>
      </w:r>
    </w:p>
    <w:p>
      <w:pPr>
        <w:pStyle w:val="BodyText"/>
        <w:spacing w:line="468" w:lineRule="auto" w:before="39"/>
        <w:ind w:right="1122" w:firstLine="360"/>
        <w:jc w:val="both"/>
      </w:pPr>
      <w:r>
        <w:rPr>
          <w:spacing w:val="-4"/>
        </w:rPr>
        <w:t>实际利率法，是指计算金融资产或金融负债的摊余成本以及将利息收入或利息费用分摊计入各会计期间的方法。实际利</w:t>
      </w:r>
      <w:r>
        <w:rPr>
          <w:w w:val="101"/>
        </w:rPr>
        <w:t> </w:t>
      </w:r>
      <w:r>
        <w:rPr>
          <w:spacing w:val="-4"/>
        </w:rPr>
        <w:t>率，是指将金融资产或金融负债在预计存续期的估计未来现金流量，折现为该金融资产账面余额或该金融负债摊余成本所使</w:t>
      </w:r>
      <w:r>
        <w:rPr>
          <w:spacing w:val="44"/>
        </w:rPr>
        <w:t> </w:t>
      </w:r>
      <w:r>
        <w:rPr>
          <w:spacing w:val="44"/>
        </w:rPr>
      </w:r>
      <w:r>
        <w:rPr>
          <w:spacing w:val="-3"/>
        </w:rPr>
        <w:t>用的利率。在确定实际利率时，本公司在考虑金融资产或金融负债所有合同条款</w:t>
      </w:r>
      <w:r>
        <w:rPr>
          <w:rFonts w:ascii="Times New Roman" w:hAnsi="Times New Roman" w:cs="Times New Roman" w:eastAsia="Times New Roman" w:hint="default"/>
          <w:spacing w:val="-3"/>
        </w:rPr>
        <w:t>(</w:t>
      </w:r>
      <w:r>
        <w:rPr>
          <w:spacing w:val="-3"/>
        </w:rPr>
        <w:t>如提前还款、展期、看涨期权或其他类似</w:t>
      </w:r>
      <w:r>
        <w:rPr>
          <w:spacing w:val="66"/>
        </w:rPr>
        <w:t> </w:t>
      </w:r>
      <w:r>
        <w:rPr>
          <w:spacing w:val="66"/>
        </w:rPr>
      </w:r>
      <w:r>
        <w:rPr>
          <w:spacing w:val="-3"/>
        </w:rPr>
        <w:t>期权等</w:t>
      </w:r>
      <w:r>
        <w:rPr>
          <w:rFonts w:ascii="Times New Roman" w:hAnsi="Times New Roman" w:cs="Times New Roman" w:eastAsia="Times New Roman" w:hint="default"/>
          <w:spacing w:val="-3"/>
        </w:rPr>
        <w:t>)</w:t>
      </w:r>
      <w:r>
        <w:rPr>
          <w:spacing w:val="-3"/>
        </w:rPr>
        <w:t>的基础上估计预期现金流量，但不考虑预期信用损失。</w:t>
      </w:r>
    </w:p>
    <w:p>
      <w:pPr>
        <w:pStyle w:val="BodyText"/>
        <w:spacing w:line="240" w:lineRule="auto" w:before="27"/>
        <w:ind w:left="513" w:right="0"/>
        <w:jc w:val="left"/>
      </w:pPr>
      <w:r>
        <w:rPr>
          <w:spacing w:val="-3"/>
        </w:rPr>
        <w:t>本公司根据金融资产账面余额乘以实际利率计算确定利息收入，但下列情况除外：</w:t>
      </w:r>
      <w:r>
        <w:rPr>
          <w:rFonts w:ascii="Times New Roman" w:hAnsi="Times New Roman" w:cs="Times New Roman" w:eastAsia="Times New Roman" w:hint="default"/>
          <w:spacing w:val="-3"/>
        </w:rPr>
        <w:t>a   </w:t>
      </w:r>
      <w:r>
        <w:rPr>
          <w:rFonts w:ascii="Times New Roman" w:hAnsi="Times New Roman" w:cs="Times New Roman" w:eastAsia="Times New Roman" w:hint="default"/>
          <w:spacing w:val="-1"/>
        </w:rPr>
        <w:t> </w:t>
      </w:r>
      <w:r>
        <w:rPr>
          <w:spacing w:val="-3"/>
        </w:rPr>
        <w:t>对于购入或源生的已发生信用减值</w:t>
      </w:r>
    </w:p>
    <w:p>
      <w:pPr>
        <w:spacing w:after="0" w:line="240" w:lineRule="auto"/>
        <w:jc w:val="left"/>
        <w:sectPr>
          <w:footerReference w:type="default" r:id="rId24"/>
          <w:pgSz w:w="11910" w:h="16840"/>
          <w:pgMar w:footer="1522" w:header="871" w:top="1100" w:bottom="1720" w:left="980" w:right="0"/>
          <w:pgNumType w:start="112"/>
        </w:sectPr>
      </w:pPr>
    </w:p>
    <w:p>
      <w:pPr>
        <w:spacing w:line="240" w:lineRule="auto" w:before="1"/>
        <w:rPr>
          <w:rFonts w:ascii="宋体" w:hAnsi="宋体" w:cs="宋体" w:eastAsia="宋体" w:hint="default"/>
          <w:sz w:val="28"/>
          <w:szCs w:val="28"/>
        </w:rPr>
      </w:pPr>
    </w:p>
    <w:p>
      <w:pPr>
        <w:pStyle w:val="BodyText"/>
        <w:spacing w:line="477" w:lineRule="auto" w:before="46"/>
        <w:ind w:right="1122"/>
        <w:jc w:val="both"/>
      </w:pPr>
      <w:r>
        <w:rPr>
          <w:spacing w:val="-4"/>
        </w:rPr>
        <w:t>的未发生信用减值、但在后续期间成为已发生信用减值的金融资产，按照该金融资产的摊余成本和实际利率计算确定其利息</w:t>
      </w:r>
      <w:r>
        <w:rPr>
          <w:spacing w:val="45"/>
        </w:rPr>
        <w:t> </w:t>
      </w:r>
      <w:r>
        <w:rPr>
          <w:spacing w:val="45"/>
        </w:rPr>
      </w:r>
      <w:r>
        <w:rPr>
          <w:spacing w:val="-4"/>
        </w:rPr>
        <w:t>收入。若该金融工具在后续期间因其信用风险有所改善而不再存在信用减值，并且这一改善在客观上可与应用上述规定之后</w:t>
      </w:r>
      <w:r>
        <w:rPr>
          <w:spacing w:val="44"/>
        </w:rPr>
        <w:t> </w:t>
      </w:r>
      <w:r>
        <w:rPr>
          <w:spacing w:val="44"/>
        </w:rPr>
      </w:r>
      <w:r>
        <w:rPr>
          <w:spacing w:val="-3"/>
        </w:rPr>
        <w:t>发生的某一事件相联系，应转按实际利率乘以该金融资产账面余额来计算确定利息收入。</w:t>
      </w:r>
    </w:p>
    <w:p>
      <w:pPr>
        <w:pStyle w:val="BodyText"/>
        <w:spacing w:line="453" w:lineRule="auto" w:before="52"/>
        <w:ind w:left="513" w:right="1117"/>
        <w:jc w:val="left"/>
      </w:pPr>
      <w:r>
        <w:rPr>
          <w:rFonts w:ascii="Times New Roman" w:hAnsi="Times New Roman" w:cs="Times New Roman" w:eastAsia="Times New Roman" w:hint="default"/>
        </w:rPr>
        <w:t>B </w:t>
      </w:r>
      <w:r>
        <w:rPr>
          <w:spacing w:val="-3"/>
        </w:rPr>
        <w:t>以公允价值计量且其变动计入其他综合收益的金融资产</w:t>
      </w:r>
      <w:r>
        <w:rPr>
          <w:spacing w:val="-28"/>
        </w:rPr>
        <w:t> </w:t>
      </w:r>
      <w:r>
        <w:rPr>
          <w:spacing w:val="-28"/>
        </w:rPr>
      </w:r>
      <w:r>
        <w:rPr>
          <w:spacing w:val="-3"/>
        </w:rPr>
        <w:t>以公允价值计量且其变动计入其他综合收益的金融资产，是指同时符合下列条件的金融资产：</w:t>
      </w:r>
      <w:r>
        <w:rPr>
          <w:rFonts w:ascii="Times New Roman" w:hAnsi="Times New Roman" w:cs="Times New Roman" w:eastAsia="Times New Roman" w:hint="default"/>
          <w:spacing w:val="-3"/>
        </w:rPr>
        <w:t>a   </w:t>
      </w:r>
      <w:r>
        <w:rPr>
          <w:rFonts w:ascii="Times New Roman" w:hAnsi="Times New Roman" w:cs="Times New Roman" w:eastAsia="Times New Roman" w:hint="default"/>
          <w:spacing w:val="-1"/>
        </w:rPr>
        <w:t> </w:t>
      </w:r>
      <w:r>
        <w:rPr>
          <w:spacing w:val="-3"/>
        </w:rPr>
        <w:t>本公司管理该金融资产</w:t>
      </w:r>
    </w:p>
    <w:p>
      <w:pPr>
        <w:pStyle w:val="BodyText"/>
        <w:spacing w:line="453" w:lineRule="auto" w:before="39"/>
        <w:ind w:right="1127"/>
        <w:jc w:val="both"/>
      </w:pPr>
      <w:r>
        <w:rPr>
          <w:spacing w:val="-3"/>
        </w:rPr>
        <w:t>的业务模式既以收取合同现金流量为目标又以出售该金融资产为目标。</w:t>
      </w:r>
      <w:r>
        <w:rPr>
          <w:rFonts w:ascii="Times New Roman" w:hAnsi="Times New Roman" w:cs="Times New Roman" w:eastAsia="Times New Roman" w:hint="default"/>
          <w:spacing w:val="-3"/>
        </w:rPr>
        <w:t>b </w:t>
      </w:r>
      <w:r>
        <w:rPr>
          <w:spacing w:val="-4"/>
        </w:rPr>
        <w:t>该金融资产的合同条款规定，在特定日期产生的现</w:t>
      </w:r>
      <w:r>
        <w:rPr>
          <w:spacing w:val="-30"/>
        </w:rPr>
        <w:t> </w:t>
      </w:r>
      <w:r>
        <w:rPr>
          <w:spacing w:val="-30"/>
        </w:rPr>
      </w:r>
      <w:r>
        <w:rPr>
          <w:spacing w:val="-3"/>
        </w:rPr>
        <w:t>金流量，仅为对本金和以未偿付本金金额为基础的利息的支付。</w:t>
      </w:r>
    </w:p>
    <w:p>
      <w:pPr>
        <w:pStyle w:val="BodyText"/>
        <w:spacing w:line="477" w:lineRule="auto" w:before="70"/>
        <w:ind w:right="1124" w:firstLine="360"/>
        <w:jc w:val="both"/>
      </w:pPr>
      <w:r>
        <w:rPr>
          <w:spacing w:val="-4"/>
        </w:rPr>
        <w:t>该类金融资产在初始确认后以公允价值进行后续计量。采用实际利率法计算的利息、减值损失或利得及汇兑损益计入当</w:t>
      </w:r>
      <w:r>
        <w:rPr>
          <w:w w:val="101"/>
        </w:rPr>
        <w:t> </w:t>
      </w:r>
      <w:r>
        <w:rPr>
          <w:spacing w:val="-4"/>
        </w:rPr>
        <w:t>期损益，其他利得或损失计入其他综合收益。终止确认时，将之前计入其他综合收益的累计利得或损失从其他综合收益中转</w:t>
      </w:r>
      <w:r>
        <w:rPr>
          <w:spacing w:val="38"/>
        </w:rPr>
        <w:t> </w:t>
      </w:r>
      <w:r>
        <w:rPr>
          <w:spacing w:val="38"/>
        </w:rPr>
      </w:r>
      <w:r>
        <w:rPr>
          <w:spacing w:val="-3"/>
        </w:rPr>
        <w:t>出，计入当期损益。</w:t>
      </w:r>
    </w:p>
    <w:p>
      <w:pPr>
        <w:pStyle w:val="BodyText"/>
        <w:spacing w:line="463" w:lineRule="auto" w:before="56"/>
        <w:ind w:right="1029" w:firstLine="360"/>
        <w:jc w:val="left"/>
      </w:pPr>
      <w:r>
        <w:rPr>
          <w:spacing w:val="-5"/>
          <w:w w:val="101"/>
        </w:rPr>
        <w:t>对于非交易性权益工具投资，本公司可在初始确认时将其不可撤销地指定为以公允价值计量且其变动计入其他综合收益</w:t>
      </w:r>
      <w:r>
        <w:rPr>
          <w:w w:val="101"/>
        </w:rPr>
        <w:t> </w:t>
      </w:r>
      <w:r>
        <w:rPr>
          <w:spacing w:val="-3"/>
        </w:rPr>
        <w:t>的金融资产。该指定基于单项非交易性权益工具投资的基础上作出，且相关投资从工具发行者的角度符合权益工具的定义。</w:t>
      </w:r>
      <w:r>
        <w:rPr>
          <w:spacing w:val="75"/>
        </w:rPr>
        <w:t> </w:t>
      </w:r>
      <w:r>
        <w:rPr>
          <w:spacing w:val="75"/>
        </w:rPr>
      </w:r>
      <w:r>
        <w:rPr>
          <w:spacing w:val="-4"/>
        </w:rPr>
        <w:t>此类投资在初始指定后，除了获得的股利</w:t>
      </w:r>
      <w:r>
        <w:rPr>
          <w:rFonts w:ascii="Times New Roman" w:hAnsi="Times New Roman" w:cs="Times New Roman" w:eastAsia="Times New Roman" w:hint="default"/>
          <w:spacing w:val="-4"/>
        </w:rPr>
        <w:t>(</w:t>
      </w:r>
      <w:r>
        <w:rPr>
          <w:spacing w:val="-4"/>
        </w:rPr>
        <w:t>属于投资成本收回部分的除外</w:t>
      </w:r>
      <w:r>
        <w:rPr>
          <w:rFonts w:ascii="Times New Roman" w:hAnsi="Times New Roman" w:cs="Times New Roman" w:eastAsia="Times New Roman" w:hint="default"/>
          <w:spacing w:val="-4"/>
        </w:rPr>
        <w:t>)</w:t>
      </w:r>
      <w:r>
        <w:rPr>
          <w:spacing w:val="-4"/>
        </w:rPr>
        <w:t>计入当期损益外，其他相关的利得或损失</w:t>
      </w:r>
      <w:r>
        <w:rPr>
          <w:rFonts w:ascii="Times New Roman" w:hAnsi="Times New Roman" w:cs="Times New Roman" w:eastAsia="Times New Roman" w:hint="default"/>
          <w:spacing w:val="-4"/>
        </w:rPr>
        <w:t>(</w:t>
      </w:r>
      <w:r>
        <w:rPr>
          <w:spacing w:val="-4"/>
        </w:rPr>
        <w:t>包括汇兑</w:t>
      </w:r>
      <w:r>
        <w:rPr>
          <w:spacing w:val="47"/>
        </w:rPr>
        <w:t> </w:t>
      </w:r>
      <w:r>
        <w:rPr>
          <w:spacing w:val="47"/>
        </w:rPr>
      </w:r>
      <w:r>
        <w:rPr>
          <w:spacing w:val="-3"/>
        </w:rPr>
        <w:t>损益</w:t>
      </w:r>
      <w:r>
        <w:rPr>
          <w:rFonts w:ascii="Times New Roman" w:hAnsi="Times New Roman" w:cs="Times New Roman" w:eastAsia="Times New Roman" w:hint="default"/>
          <w:spacing w:val="-3"/>
        </w:rPr>
        <w:t>)</w:t>
      </w:r>
      <w:r>
        <w:rPr>
          <w:spacing w:val="-3"/>
        </w:rPr>
        <w:t>均计入其他综合收益。终止确认时，将之前计入其他综合收益的累计利得或损失从其他综合收益中转出，计入留存收</w:t>
      </w:r>
      <w:r>
        <w:rPr>
          <w:spacing w:val="65"/>
        </w:rPr>
        <w:t> </w:t>
      </w:r>
      <w:r>
        <w:rPr>
          <w:spacing w:val="65"/>
        </w:rPr>
      </w:r>
      <w:r>
        <w:rPr/>
        <w:t>益。</w:t>
      </w:r>
    </w:p>
    <w:p>
      <w:pPr>
        <w:pStyle w:val="BodyText"/>
        <w:spacing w:line="240" w:lineRule="auto" w:before="62"/>
        <w:ind w:left="513" w:right="0"/>
        <w:jc w:val="left"/>
      </w:pPr>
      <w:r>
        <w:rPr>
          <w:rFonts w:ascii="Times New Roman" w:hAnsi="Times New Roman" w:cs="Times New Roman" w:eastAsia="Times New Roman" w:hint="default"/>
        </w:rPr>
        <w:t>C </w:t>
      </w:r>
      <w:r>
        <w:rPr>
          <w:rFonts w:ascii="Times New Roman" w:hAnsi="Times New Roman" w:cs="Times New Roman" w:eastAsia="Times New Roman" w:hint="default"/>
          <w:spacing w:val="11"/>
        </w:rPr>
        <w:t> </w:t>
      </w:r>
      <w:r>
        <w:rPr>
          <w:spacing w:val="-3"/>
        </w:rPr>
        <w:t>以公允价值计量且其变动计入当期损益的金融资产</w:t>
      </w:r>
    </w:p>
    <w:p>
      <w:pPr>
        <w:spacing w:line="240" w:lineRule="auto" w:before="12"/>
        <w:rPr>
          <w:rFonts w:ascii="宋体" w:hAnsi="宋体" w:cs="宋体" w:eastAsia="宋体" w:hint="default"/>
          <w:sz w:val="16"/>
          <w:szCs w:val="16"/>
        </w:rPr>
      </w:pPr>
    </w:p>
    <w:p>
      <w:pPr>
        <w:pStyle w:val="BodyText"/>
        <w:spacing w:line="468" w:lineRule="auto"/>
        <w:ind w:right="1123" w:firstLine="360"/>
        <w:jc w:val="both"/>
      </w:pPr>
      <w:r>
        <w:rPr/>
        <w:t>除上述 </w:t>
      </w:r>
      <w:r>
        <w:rPr>
          <w:rFonts w:ascii="Times New Roman" w:hAnsi="Times New Roman" w:cs="Times New Roman" w:eastAsia="Times New Roman" w:hint="default"/>
          <w:spacing w:val="-9"/>
        </w:rPr>
        <w:t>A</w:t>
      </w:r>
      <w:r>
        <w:rPr>
          <w:spacing w:val="-9"/>
        </w:rPr>
        <w:t>、</w:t>
      </w:r>
      <w:r>
        <w:rPr>
          <w:rFonts w:ascii="Times New Roman" w:hAnsi="Times New Roman" w:cs="Times New Roman" w:eastAsia="Times New Roman" w:hint="default"/>
          <w:spacing w:val="-9"/>
        </w:rPr>
        <w:t>B</w:t>
      </w:r>
      <w:r>
        <w:rPr>
          <w:rFonts w:ascii="Times New Roman" w:hAnsi="Times New Roman" w:cs="Times New Roman" w:eastAsia="Times New Roman" w:hint="default"/>
          <w:spacing w:val="-1"/>
        </w:rPr>
        <w:t> </w:t>
      </w:r>
      <w:r>
        <w:rPr>
          <w:spacing w:val="-4"/>
        </w:rPr>
        <w:t>情形外，本公司将其余所有的金融资产分类为以公允价值计量且其变动计入当期损益的金融资产。在初始</w:t>
      </w:r>
      <w:r>
        <w:rPr>
          <w:w w:val="101"/>
        </w:rPr>
        <w:t> </w:t>
      </w:r>
      <w:r>
        <w:rPr>
          <w:spacing w:val="-4"/>
        </w:rPr>
        <w:t>确认时，如果能够消除或显著减少会计错配，可以将金融资产不可撤销地指定为以公允价值计量且其变动计入当期损益的金</w:t>
      </w:r>
      <w:r>
        <w:rPr>
          <w:spacing w:val="38"/>
        </w:rPr>
        <w:t> </w:t>
      </w:r>
      <w:r>
        <w:rPr>
          <w:spacing w:val="38"/>
        </w:rPr>
      </w:r>
      <w:r>
        <w:rPr>
          <w:spacing w:val="-4"/>
        </w:rPr>
        <w:t>融资产。本公司在非同一控制下的企业合并中确认的或有对价构成金融资产的，该金融资产分类为以公允价值计量且其变动</w:t>
      </w:r>
      <w:r>
        <w:rPr>
          <w:spacing w:val="42"/>
        </w:rPr>
        <w:t> </w:t>
      </w:r>
      <w:r>
        <w:rPr>
          <w:spacing w:val="42"/>
        </w:rPr>
      </w:r>
      <w:r>
        <w:rPr>
          <w:spacing w:val="-3"/>
        </w:rPr>
        <w:t>计入当期损益的金融资产。</w:t>
      </w:r>
    </w:p>
    <w:p>
      <w:pPr>
        <w:pStyle w:val="BodyText"/>
        <w:spacing w:line="240" w:lineRule="auto" w:before="64"/>
        <w:ind w:left="513" w:right="0"/>
        <w:jc w:val="left"/>
      </w:pPr>
      <w:r>
        <w:rPr>
          <w:spacing w:val="-3"/>
        </w:rPr>
        <w:t>该类金融资产在初始确认后以公允价值进行后续计量，产生的利得或损失计入当期损益。</w:t>
      </w:r>
    </w:p>
    <w:p>
      <w:pPr>
        <w:spacing w:line="240" w:lineRule="auto" w:before="8"/>
        <w:rPr>
          <w:rFonts w:ascii="宋体" w:hAnsi="宋体" w:cs="宋体" w:eastAsia="宋体" w:hint="default"/>
          <w:sz w:val="17"/>
          <w:szCs w:val="17"/>
        </w:rPr>
      </w:pPr>
    </w:p>
    <w:p>
      <w:pPr>
        <w:pStyle w:val="BodyText"/>
        <w:spacing w:line="480" w:lineRule="auto"/>
        <w:ind w:left="513" w:right="1114"/>
        <w:jc w:val="left"/>
      </w:pPr>
      <w:r>
        <w:rPr>
          <w:spacing w:val="-3"/>
        </w:rPr>
        <w:t>③金融负债的分类和后续计量</w:t>
      </w:r>
      <w:r>
        <w:rPr>
          <w:spacing w:val="-50"/>
        </w:rPr>
        <w:t> </w:t>
      </w:r>
      <w:r>
        <w:rPr>
          <w:spacing w:val="-50"/>
        </w:rPr>
      </w:r>
      <w:r>
        <w:rPr>
          <w:spacing w:val="-4"/>
          <w:w w:val="101"/>
        </w:rPr>
        <w:t>本公司将金融负债分类为以公允价值计量且其变动计入当期损益的金融负债、金融资产转移不符合终止确认条件或继续</w:t>
      </w:r>
      <w:r>
        <w:rPr>
          <w:spacing w:val="-4"/>
        </w:rPr>
      </w:r>
    </w:p>
    <w:p>
      <w:pPr>
        <w:pStyle w:val="BodyText"/>
        <w:spacing w:line="240" w:lineRule="auto" w:before="50"/>
        <w:ind w:right="0"/>
        <w:jc w:val="both"/>
      </w:pPr>
      <w:r>
        <w:rPr>
          <w:spacing w:val="-3"/>
        </w:rPr>
        <w:t>涉入被转移金融资产所形成的金融负债、财务担保合同及以摊余成本计量的金融负债。</w:t>
      </w:r>
    </w:p>
    <w:p>
      <w:pPr>
        <w:spacing w:line="240" w:lineRule="auto" w:before="13"/>
        <w:rPr>
          <w:rFonts w:ascii="宋体" w:hAnsi="宋体" w:cs="宋体" w:eastAsia="宋体" w:hint="default"/>
          <w:sz w:val="17"/>
          <w:szCs w:val="17"/>
        </w:rPr>
      </w:pPr>
    </w:p>
    <w:p>
      <w:pPr>
        <w:pStyle w:val="BodyText"/>
        <w:spacing w:line="448" w:lineRule="auto"/>
        <w:ind w:left="513" w:right="1205"/>
        <w:jc w:val="left"/>
      </w:pPr>
      <w:r>
        <w:rPr>
          <w:rFonts w:ascii="Times New Roman" w:hAnsi="Times New Roman" w:cs="Times New Roman" w:eastAsia="Times New Roman" w:hint="default"/>
        </w:rPr>
        <w:t>A </w:t>
      </w:r>
      <w:r>
        <w:rPr>
          <w:spacing w:val="-3"/>
        </w:rPr>
        <w:t>以公允价值计量且其变动计入当期损益的金融负债</w:t>
      </w:r>
      <w:r>
        <w:rPr>
          <w:spacing w:val="-34"/>
        </w:rPr>
        <w:t> </w:t>
      </w:r>
      <w:r>
        <w:rPr>
          <w:spacing w:val="-34"/>
        </w:rPr>
      </w:r>
      <w:r>
        <w:rPr>
          <w:spacing w:val="-3"/>
        </w:rPr>
        <w:t>以公允价值计量且其变动计入当期损益的金融负债，包括交易性金融负债</w:t>
      </w:r>
      <w:r>
        <w:rPr>
          <w:rFonts w:ascii="Times New Roman" w:hAnsi="Times New Roman" w:cs="Times New Roman" w:eastAsia="Times New Roman" w:hint="default"/>
          <w:spacing w:val="-3"/>
        </w:rPr>
        <w:t>(</w:t>
      </w:r>
      <w:r>
        <w:rPr>
          <w:spacing w:val="-3"/>
        </w:rPr>
        <w:t>含属于金融负债的衍生工具</w:t>
      </w:r>
      <w:r>
        <w:rPr>
          <w:rFonts w:ascii="Times New Roman" w:hAnsi="Times New Roman" w:cs="Times New Roman" w:eastAsia="Times New Roman" w:hint="default"/>
          <w:spacing w:val="-3"/>
        </w:rPr>
        <w:t>)    </w:t>
      </w:r>
      <w:r>
        <w:rPr>
          <w:rFonts w:ascii="Times New Roman" w:hAnsi="Times New Roman" w:cs="Times New Roman" w:eastAsia="Times New Roman" w:hint="default"/>
          <w:spacing w:val="9"/>
        </w:rPr>
        <w:t> </w:t>
      </w:r>
      <w:r>
        <w:rPr>
          <w:spacing w:val="-3"/>
        </w:rPr>
        <w:t>和指定为以公</w:t>
      </w:r>
    </w:p>
    <w:p>
      <w:pPr>
        <w:pStyle w:val="BodyText"/>
        <w:spacing w:line="475" w:lineRule="auto" w:before="48"/>
        <w:ind w:right="1124"/>
        <w:jc w:val="both"/>
      </w:pPr>
      <w:r>
        <w:rPr>
          <w:spacing w:val="-4"/>
        </w:rPr>
        <w:t>允价值计量且其变动计入当期损益的金融负债。在非同一控制下的企业合并中，本公司作为购买方确认的或有对价形成金融</w:t>
      </w:r>
      <w:r>
        <w:rPr>
          <w:spacing w:val="43"/>
        </w:rPr>
        <w:t> </w:t>
      </w:r>
      <w:r>
        <w:rPr>
          <w:spacing w:val="43"/>
        </w:rPr>
      </w:r>
      <w:r>
        <w:rPr>
          <w:spacing w:val="-3"/>
        </w:rPr>
        <w:t>负债的，该金融负债应当按照以公允价值计量且其变动计入当期损益进行会计处理。</w:t>
      </w:r>
    </w:p>
    <w:p>
      <w:pPr>
        <w:pStyle w:val="BodyText"/>
        <w:spacing w:line="240" w:lineRule="auto" w:before="58"/>
        <w:ind w:left="513" w:right="0"/>
        <w:jc w:val="left"/>
      </w:pPr>
      <w:r>
        <w:rPr>
          <w:w w:val="101"/>
        </w:rPr>
        <w:t>以</w:t>
      </w:r>
      <w:r>
        <w:rPr>
          <w:spacing w:val="-5"/>
          <w:w w:val="101"/>
        </w:rPr>
        <w:t>公</w:t>
      </w:r>
      <w:r>
        <w:rPr>
          <w:w w:val="101"/>
        </w:rPr>
        <w:t>允</w:t>
      </w:r>
      <w:r>
        <w:rPr>
          <w:spacing w:val="-5"/>
          <w:w w:val="101"/>
        </w:rPr>
        <w:t>价</w:t>
      </w:r>
      <w:r>
        <w:rPr>
          <w:w w:val="101"/>
        </w:rPr>
        <w:t>值</w:t>
      </w:r>
      <w:r>
        <w:rPr>
          <w:spacing w:val="-5"/>
          <w:w w:val="101"/>
        </w:rPr>
        <w:t>计</w:t>
      </w:r>
      <w:r>
        <w:rPr>
          <w:w w:val="101"/>
        </w:rPr>
        <w:t>量</w:t>
      </w:r>
      <w:r>
        <w:rPr>
          <w:spacing w:val="-5"/>
          <w:w w:val="101"/>
        </w:rPr>
        <w:t>且</w:t>
      </w:r>
      <w:r>
        <w:rPr>
          <w:w w:val="101"/>
        </w:rPr>
        <w:t>其</w:t>
      </w:r>
      <w:r>
        <w:rPr>
          <w:spacing w:val="-5"/>
          <w:w w:val="101"/>
        </w:rPr>
        <w:t>变</w:t>
      </w:r>
      <w:r>
        <w:rPr>
          <w:w w:val="101"/>
        </w:rPr>
        <w:t>动</w:t>
      </w:r>
      <w:r>
        <w:rPr>
          <w:spacing w:val="-5"/>
          <w:w w:val="101"/>
        </w:rPr>
        <w:t>计</w:t>
      </w:r>
      <w:r>
        <w:rPr>
          <w:w w:val="101"/>
        </w:rPr>
        <w:t>入</w:t>
      </w:r>
      <w:r>
        <w:rPr>
          <w:spacing w:val="-5"/>
          <w:w w:val="101"/>
        </w:rPr>
        <w:t>当</w:t>
      </w:r>
      <w:r>
        <w:rPr>
          <w:w w:val="101"/>
        </w:rPr>
        <w:t>期</w:t>
      </w:r>
      <w:r>
        <w:rPr>
          <w:spacing w:val="-5"/>
          <w:w w:val="101"/>
        </w:rPr>
        <w:t>损</w:t>
      </w:r>
      <w:r>
        <w:rPr>
          <w:w w:val="101"/>
        </w:rPr>
        <w:t>益</w:t>
      </w:r>
      <w:r>
        <w:rPr>
          <w:spacing w:val="-5"/>
          <w:w w:val="101"/>
        </w:rPr>
        <w:t>的</w:t>
      </w:r>
      <w:r>
        <w:rPr>
          <w:w w:val="101"/>
        </w:rPr>
        <w:t>金</w:t>
      </w:r>
      <w:r>
        <w:rPr>
          <w:spacing w:val="-5"/>
          <w:w w:val="101"/>
        </w:rPr>
        <w:t>融</w:t>
      </w:r>
      <w:r>
        <w:rPr>
          <w:w w:val="101"/>
        </w:rPr>
        <w:t>负</w:t>
      </w:r>
      <w:r>
        <w:rPr>
          <w:spacing w:val="-5"/>
          <w:w w:val="101"/>
        </w:rPr>
        <w:t>债</w:t>
      </w:r>
      <w:r>
        <w:rPr>
          <w:w w:val="101"/>
        </w:rPr>
        <w:t>在</w:t>
      </w:r>
      <w:r>
        <w:rPr>
          <w:spacing w:val="-5"/>
          <w:w w:val="101"/>
        </w:rPr>
        <w:t>初</w:t>
      </w:r>
      <w:r>
        <w:rPr>
          <w:w w:val="101"/>
        </w:rPr>
        <w:t>始</w:t>
      </w:r>
      <w:r>
        <w:rPr>
          <w:spacing w:val="-5"/>
          <w:w w:val="101"/>
        </w:rPr>
        <w:t>确认</w:t>
      </w:r>
      <w:r>
        <w:rPr>
          <w:w w:val="101"/>
        </w:rPr>
        <w:t>后</w:t>
      </w:r>
      <w:r>
        <w:rPr>
          <w:spacing w:val="-5"/>
          <w:w w:val="101"/>
        </w:rPr>
        <w:t>以</w:t>
      </w:r>
      <w:r>
        <w:rPr>
          <w:w w:val="101"/>
        </w:rPr>
        <w:t>公</w:t>
      </w:r>
      <w:r>
        <w:rPr>
          <w:spacing w:val="-4"/>
          <w:w w:val="101"/>
        </w:rPr>
        <w:t>允</w:t>
      </w:r>
      <w:r>
        <w:rPr>
          <w:w w:val="101"/>
        </w:rPr>
        <w:t>价</w:t>
      </w:r>
      <w:r>
        <w:rPr>
          <w:spacing w:val="-5"/>
          <w:w w:val="101"/>
        </w:rPr>
        <w:t>值</w:t>
      </w:r>
      <w:r>
        <w:rPr>
          <w:w w:val="101"/>
        </w:rPr>
        <w:t>进</w:t>
      </w:r>
      <w:r>
        <w:rPr>
          <w:spacing w:val="-5"/>
          <w:w w:val="101"/>
        </w:rPr>
        <w:t>行</w:t>
      </w:r>
      <w:r>
        <w:rPr>
          <w:w w:val="101"/>
        </w:rPr>
        <w:t>后</w:t>
      </w:r>
      <w:r>
        <w:rPr>
          <w:spacing w:val="-5"/>
          <w:w w:val="101"/>
        </w:rPr>
        <w:t>续</w:t>
      </w:r>
      <w:r>
        <w:rPr>
          <w:w w:val="101"/>
        </w:rPr>
        <w:t>计</w:t>
      </w:r>
      <w:r>
        <w:rPr>
          <w:spacing w:val="-5"/>
          <w:w w:val="101"/>
        </w:rPr>
        <w:t>量</w:t>
      </w:r>
      <w:r>
        <w:rPr>
          <w:spacing w:val="-82"/>
          <w:w w:val="101"/>
        </w:rPr>
        <w:t>，</w:t>
      </w:r>
      <w:r>
        <w:rPr>
          <w:spacing w:val="-5"/>
          <w:w w:val="101"/>
        </w:rPr>
        <w:t>产</w:t>
      </w:r>
      <w:r>
        <w:rPr>
          <w:w w:val="101"/>
        </w:rPr>
        <w:t>生</w:t>
      </w:r>
      <w:r>
        <w:rPr>
          <w:spacing w:val="-5"/>
          <w:w w:val="101"/>
        </w:rPr>
        <w:t>的</w:t>
      </w:r>
      <w:r>
        <w:rPr>
          <w:w w:val="101"/>
        </w:rPr>
        <w:t>利</w:t>
      </w:r>
      <w:r>
        <w:rPr>
          <w:spacing w:val="-5"/>
          <w:w w:val="101"/>
        </w:rPr>
        <w:t>得</w:t>
      </w:r>
      <w:r>
        <w:rPr>
          <w:w w:val="101"/>
        </w:rPr>
        <w:t>或</w:t>
      </w:r>
      <w:r>
        <w:rPr>
          <w:spacing w:val="-5"/>
          <w:w w:val="101"/>
        </w:rPr>
        <w:t>损</w:t>
      </w:r>
      <w:r>
        <w:rPr>
          <w:w w:val="101"/>
        </w:rPr>
        <w:t>失</w:t>
      </w:r>
      <w:r>
        <w:rPr>
          <w:spacing w:val="-5"/>
          <w:w w:val="101"/>
        </w:rPr>
        <w:t>计</w:t>
      </w:r>
      <w:r>
        <w:rPr>
          <w:w w:val="101"/>
        </w:rPr>
        <w:t>入</w:t>
      </w:r>
      <w:r>
        <w:rPr>
          <w:spacing w:val="-5"/>
          <w:w w:val="101"/>
        </w:rPr>
        <w:t>当</w:t>
      </w:r>
      <w:r>
        <w:rPr>
          <w:w w:val="101"/>
        </w:rPr>
        <w:t>期</w:t>
      </w:r>
      <w:r>
        <w:rPr/>
      </w:r>
    </w:p>
    <w:p>
      <w:pPr>
        <w:spacing w:after="0" w:line="240" w:lineRule="auto"/>
        <w:jc w:val="left"/>
        <w:sectPr>
          <w:footerReference w:type="default" r:id="rId25"/>
          <w:pgSz w:w="11910" w:h="16840"/>
          <w:pgMar w:footer="1498" w:header="871" w:top="1100" w:bottom="1680" w:left="980" w:right="0"/>
          <w:pgNumType w:start="113"/>
        </w:sectPr>
      </w:pPr>
    </w:p>
    <w:p>
      <w:pPr>
        <w:spacing w:line="240" w:lineRule="auto" w:before="1"/>
        <w:rPr>
          <w:rFonts w:ascii="宋体" w:hAnsi="宋体" w:cs="宋体" w:eastAsia="宋体" w:hint="default"/>
          <w:sz w:val="28"/>
          <w:szCs w:val="28"/>
        </w:rPr>
      </w:pPr>
    </w:p>
    <w:p>
      <w:pPr>
        <w:pStyle w:val="BodyText"/>
        <w:spacing w:line="477" w:lineRule="auto" w:before="46"/>
        <w:ind w:right="0" w:firstLine="360"/>
        <w:jc w:val="left"/>
      </w:pPr>
      <w:r>
        <w:rPr>
          <w:spacing w:val="-3"/>
        </w:rPr>
        <w:t>因公司自身信用风险变动引起的指定为以公允价值计量且其变动计入当期损益的金融负债的公允价值变动金额计入其</w:t>
      </w:r>
      <w:r>
        <w:rPr>
          <w:w w:val="101"/>
        </w:rPr>
        <w:t> </w:t>
      </w:r>
      <w:r>
        <w:rPr>
          <w:spacing w:val="-4"/>
        </w:rPr>
        <w:t>他综合收益，除非该处理会造成或扩大损益中的会计错配。该金融负债的其他公允价值变动计入当期损益。终止确认时，将</w:t>
      </w:r>
      <w:r>
        <w:rPr>
          <w:spacing w:val="40"/>
        </w:rPr>
        <w:t> </w:t>
      </w:r>
      <w:r>
        <w:rPr>
          <w:spacing w:val="40"/>
        </w:rPr>
      </w:r>
      <w:r>
        <w:rPr>
          <w:spacing w:val="-3"/>
        </w:rPr>
        <w:t>之前计入其他综合收益的累计利得或损失从其他综合收益中转出，计入留存收益。</w:t>
      </w:r>
    </w:p>
    <w:p>
      <w:pPr>
        <w:pStyle w:val="BodyText"/>
        <w:spacing w:line="451" w:lineRule="auto" w:before="52"/>
        <w:ind w:left="513" w:right="3893"/>
        <w:jc w:val="both"/>
      </w:pPr>
      <w:r>
        <w:rPr>
          <w:rFonts w:ascii="Times New Roman" w:hAnsi="Times New Roman" w:cs="Times New Roman" w:eastAsia="Times New Roman" w:hint="default"/>
        </w:rPr>
        <w:t>B </w:t>
      </w:r>
      <w:r>
        <w:rPr>
          <w:spacing w:val="-3"/>
        </w:rPr>
        <w:t>金融资产转移不符合终止确认条件或继续涉入被转移金融资产所形成的金融负债</w:t>
      </w:r>
      <w:r>
        <w:rPr>
          <w:spacing w:val="-44"/>
        </w:rPr>
        <w:t> </w:t>
      </w:r>
      <w:r>
        <w:rPr>
          <w:spacing w:val="-44"/>
        </w:rPr>
      </w:r>
      <w:r>
        <w:rPr>
          <w:spacing w:val="-3"/>
        </w:rPr>
        <w:t>该类金融负债按照本附注五、</w:t>
      </w:r>
      <w:r>
        <w:rPr>
          <w:rFonts w:ascii="Times New Roman" w:hAnsi="Times New Roman" w:cs="Times New Roman" w:eastAsia="Times New Roman" w:hint="default"/>
          <w:spacing w:val="-3"/>
        </w:rPr>
        <w:t>10(2)</w:t>
      </w:r>
      <w:r>
        <w:rPr>
          <w:spacing w:val="-3"/>
        </w:rPr>
        <w:t>金融资产转移的会计政策确定的方法进行计量。</w:t>
      </w:r>
      <w:r>
        <w:rPr>
          <w:spacing w:val="25"/>
        </w:rPr>
        <w:t> </w:t>
      </w:r>
      <w:r>
        <w:rPr>
          <w:spacing w:val="25"/>
        </w:rPr>
      </w:r>
      <w:r>
        <w:rPr>
          <w:rFonts w:ascii="Times New Roman" w:hAnsi="Times New Roman" w:cs="Times New Roman" w:eastAsia="Times New Roman" w:hint="default"/>
        </w:rPr>
        <w:t>C</w:t>
      </w:r>
      <w:r>
        <w:rPr>
          <w:rFonts w:ascii="Times New Roman" w:hAnsi="Times New Roman" w:cs="Times New Roman" w:eastAsia="Times New Roman" w:hint="default"/>
          <w:spacing w:val="10"/>
        </w:rPr>
        <w:t> </w:t>
      </w:r>
      <w:r>
        <w:rPr>
          <w:spacing w:val="-3"/>
        </w:rPr>
        <w:t>财务担保合同</w:t>
      </w:r>
    </w:p>
    <w:p>
      <w:pPr>
        <w:pStyle w:val="BodyText"/>
        <w:spacing w:line="475" w:lineRule="auto" w:before="46"/>
        <w:ind w:right="0" w:firstLine="360"/>
        <w:jc w:val="left"/>
      </w:pPr>
      <w:r>
        <w:rPr>
          <w:spacing w:val="-4"/>
        </w:rPr>
        <w:t>财务担保合同，是指当特定债务人到期不能按照最初或修改后的债务工具条款偿付债务时，要求本公司向蒙受损失的合</w:t>
      </w:r>
      <w:r>
        <w:rPr>
          <w:w w:val="101"/>
        </w:rPr>
        <w:t> </w:t>
      </w:r>
      <w:r>
        <w:rPr>
          <w:spacing w:val="-3"/>
        </w:rPr>
        <w:t>同持有人赔付特定金额的合同。</w:t>
      </w:r>
    </w:p>
    <w:p>
      <w:pPr>
        <w:pStyle w:val="BodyText"/>
        <w:spacing w:line="451" w:lineRule="auto" w:before="58"/>
        <w:ind w:right="1122" w:firstLine="360"/>
        <w:jc w:val="left"/>
      </w:pPr>
      <w:r>
        <w:rPr>
          <w:spacing w:val="-2"/>
          <w:w w:val="101"/>
        </w:rPr>
        <w:t>不属于上述</w:t>
      </w:r>
      <w:r>
        <w:rPr>
          <w:spacing w:val="-53"/>
          <w:w w:val="101"/>
        </w:rPr>
        <w:t> </w:t>
      </w:r>
      <w:r>
        <w:rPr>
          <w:rFonts w:ascii="Times New Roman" w:hAnsi="Times New Roman" w:cs="Times New Roman" w:eastAsia="Times New Roman" w:hint="default"/>
          <w:spacing w:val="8"/>
          <w:w w:val="101"/>
        </w:rPr>
        <w:t>A</w:t>
      </w:r>
      <w:r>
        <w:rPr>
          <w:spacing w:val="8"/>
          <w:w w:val="101"/>
        </w:rPr>
        <w:t>或</w:t>
      </w:r>
      <w:r>
        <w:rPr>
          <w:spacing w:val="-54"/>
          <w:w w:val="101"/>
        </w:rPr>
        <w:t> </w:t>
      </w:r>
      <w:r>
        <w:rPr>
          <w:rFonts w:ascii="Times New Roman" w:hAnsi="Times New Roman" w:cs="Times New Roman" w:eastAsia="Times New Roman" w:hint="default"/>
          <w:spacing w:val="-7"/>
          <w:w w:val="101"/>
        </w:rPr>
        <w:t>B</w:t>
      </w:r>
      <w:r>
        <w:rPr>
          <w:spacing w:val="-7"/>
          <w:w w:val="101"/>
        </w:rPr>
        <w:t>情形的财务担保合同，在初始确认后按照下列两项金额之中的较高者进行后续计量：</w:t>
      </w:r>
      <w:r>
        <w:rPr>
          <w:rFonts w:ascii="Times New Roman" w:hAnsi="Times New Roman" w:cs="Times New Roman" w:eastAsia="Times New Roman" w:hint="default"/>
          <w:spacing w:val="-7"/>
          <w:w w:val="101"/>
        </w:rPr>
        <w:t>a</w:t>
      </w:r>
      <w:r>
        <w:rPr>
          <w:rFonts w:ascii="Times New Roman" w:hAnsi="Times New Roman" w:cs="Times New Roman" w:eastAsia="Times New Roman" w:hint="default"/>
          <w:spacing w:val="-19"/>
          <w:w w:val="101"/>
        </w:rPr>
        <w:t> </w:t>
      </w:r>
      <w:r>
        <w:rPr>
          <w:spacing w:val="-3"/>
          <w:w w:val="101"/>
        </w:rPr>
        <w:t>按照本附注五、</w:t>
      </w:r>
      <w:r>
        <w:rPr>
          <w:w w:val="101"/>
        </w:rPr>
        <w:t> </w:t>
      </w:r>
      <w:r>
        <w:rPr>
          <w:rFonts w:ascii="Times New Roman" w:hAnsi="Times New Roman" w:cs="Times New Roman" w:eastAsia="Times New Roman" w:hint="default"/>
        </w:rPr>
        <w:t>10 </w:t>
      </w:r>
      <w:r>
        <w:rPr>
          <w:spacing w:val="-3"/>
        </w:rPr>
        <w:t>金融工具的减值方法确定的损失准备金额；</w:t>
      </w:r>
      <w:r>
        <w:rPr>
          <w:rFonts w:ascii="Times New Roman" w:hAnsi="Times New Roman" w:cs="Times New Roman" w:eastAsia="Times New Roman" w:hint="default"/>
          <w:spacing w:val="-3"/>
        </w:rPr>
        <w:t>b </w:t>
      </w:r>
      <w:r>
        <w:rPr>
          <w:spacing w:val="-3"/>
        </w:rPr>
        <w:t>初始确认金额扣除按照本附注五、</w:t>
      </w:r>
      <w:r>
        <w:rPr>
          <w:rFonts w:ascii="Times New Roman" w:hAnsi="Times New Roman" w:cs="Times New Roman" w:eastAsia="Times New Roman" w:hint="default"/>
          <w:spacing w:val="-3"/>
        </w:rPr>
        <w:t>31 </w:t>
      </w:r>
      <w:r>
        <w:rPr>
          <w:spacing w:val="-3"/>
        </w:rPr>
        <w:t>的收入确认方法所确定的累计摊销额</w:t>
      </w:r>
      <w:r>
        <w:rPr>
          <w:spacing w:val="-32"/>
        </w:rPr>
        <w:t> </w:t>
      </w:r>
      <w:r>
        <w:rPr>
          <w:spacing w:val="-32"/>
        </w:rPr>
      </w:r>
      <w:r>
        <w:rPr/>
        <w:t>后的余额。</w:t>
      </w:r>
    </w:p>
    <w:p>
      <w:pPr>
        <w:pStyle w:val="BodyText"/>
        <w:spacing w:line="240" w:lineRule="auto" w:before="71"/>
        <w:ind w:left="513" w:right="0"/>
        <w:jc w:val="left"/>
      </w:pPr>
      <w:r>
        <w:rPr>
          <w:rFonts w:ascii="Times New Roman" w:hAnsi="Times New Roman" w:cs="Times New Roman" w:eastAsia="Times New Roman" w:hint="default"/>
        </w:rPr>
        <w:t>D</w:t>
      </w:r>
      <w:r>
        <w:rPr>
          <w:rFonts w:ascii="Times New Roman" w:hAnsi="Times New Roman" w:cs="Times New Roman" w:eastAsia="Times New Roman" w:hint="default"/>
          <w:spacing w:val="32"/>
        </w:rPr>
        <w:t> </w:t>
      </w:r>
      <w:r>
        <w:rPr>
          <w:spacing w:val="-3"/>
        </w:rPr>
        <w:t>以摊余成本计量的金融负债</w:t>
      </w:r>
    </w:p>
    <w:p>
      <w:pPr>
        <w:spacing w:line="240" w:lineRule="auto" w:before="12"/>
        <w:rPr>
          <w:rFonts w:ascii="宋体" w:hAnsi="宋体" w:cs="宋体" w:eastAsia="宋体" w:hint="default"/>
          <w:sz w:val="16"/>
          <w:szCs w:val="16"/>
        </w:rPr>
      </w:pPr>
    </w:p>
    <w:p>
      <w:pPr>
        <w:pStyle w:val="BodyText"/>
        <w:spacing w:line="448" w:lineRule="auto"/>
        <w:ind w:left="513" w:right="1114"/>
        <w:jc w:val="left"/>
      </w:pPr>
      <w:r>
        <w:rPr/>
        <w:t>除上述 </w:t>
      </w:r>
      <w:r>
        <w:rPr>
          <w:rFonts w:ascii="Times New Roman" w:hAnsi="Times New Roman" w:cs="Times New Roman" w:eastAsia="Times New Roman" w:hint="default"/>
          <w:spacing w:val="-3"/>
        </w:rPr>
        <w:t>A</w:t>
      </w:r>
      <w:r>
        <w:rPr>
          <w:spacing w:val="-3"/>
        </w:rPr>
        <w:t>、</w:t>
      </w:r>
      <w:r>
        <w:rPr>
          <w:rFonts w:ascii="Times New Roman" w:hAnsi="Times New Roman" w:cs="Times New Roman" w:eastAsia="Times New Roman" w:hint="default"/>
          <w:spacing w:val="-3"/>
        </w:rPr>
        <w:t>B</w:t>
      </w:r>
      <w:r>
        <w:rPr>
          <w:spacing w:val="-3"/>
        </w:rPr>
        <w:t>、</w:t>
      </w:r>
      <w:r>
        <w:rPr>
          <w:rFonts w:ascii="Times New Roman" w:hAnsi="Times New Roman" w:cs="Times New Roman" w:eastAsia="Times New Roman" w:hint="default"/>
          <w:spacing w:val="-3"/>
        </w:rPr>
        <w:t>C </w:t>
      </w:r>
      <w:r>
        <w:rPr>
          <w:spacing w:val="-3"/>
        </w:rPr>
        <w:t>情形外，本公司将其余所有的金融负债分类为以摊余成本计量的金融负债。</w:t>
      </w:r>
      <w:r>
        <w:rPr>
          <w:spacing w:val="-27"/>
        </w:rPr>
        <w:t> </w:t>
      </w:r>
      <w:r>
        <w:rPr>
          <w:spacing w:val="-27"/>
        </w:rPr>
      </w:r>
      <w:r>
        <w:rPr>
          <w:spacing w:val="-4"/>
          <w:w w:val="101"/>
        </w:rPr>
        <w:t>该类金融负债在初始确认后采用实际利率法以摊余成本计量，产生的利得或损失在终止确认或在按照实际利率法摊销时</w:t>
      </w:r>
      <w:r>
        <w:rPr>
          <w:spacing w:val="-4"/>
        </w:rPr>
      </w:r>
    </w:p>
    <w:p>
      <w:pPr>
        <w:pStyle w:val="BodyText"/>
        <w:spacing w:line="240" w:lineRule="auto" w:before="78"/>
        <w:ind w:right="0"/>
        <w:jc w:val="left"/>
      </w:pPr>
      <w:r>
        <w:rPr>
          <w:spacing w:val="-3"/>
        </w:rPr>
        <w:t>计入当期损益。</w:t>
      </w:r>
    </w:p>
    <w:p>
      <w:pPr>
        <w:spacing w:line="240" w:lineRule="auto" w:before="8"/>
        <w:rPr>
          <w:rFonts w:ascii="宋体" w:hAnsi="宋体" w:cs="宋体" w:eastAsia="宋体" w:hint="default"/>
          <w:sz w:val="17"/>
          <w:szCs w:val="17"/>
        </w:rPr>
      </w:pPr>
    </w:p>
    <w:p>
      <w:pPr>
        <w:pStyle w:val="BodyText"/>
        <w:spacing w:line="480" w:lineRule="auto"/>
        <w:ind w:left="513" w:right="1029"/>
        <w:jc w:val="left"/>
      </w:pPr>
      <w:r>
        <w:rPr/>
        <w:t>④权益工具</w:t>
      </w:r>
      <w:r>
        <w:rPr>
          <w:w w:val="101"/>
        </w:rPr>
        <w:t> </w:t>
      </w:r>
      <w:r>
        <w:rPr>
          <w:spacing w:val="-3"/>
        </w:rPr>
        <w:t>权益工具是指能证明拥有本公司在扣除所有负债后的资产中的剩余权益的合同。本公司发行</w:t>
      </w:r>
      <w:r>
        <w:rPr>
          <w:rFonts w:ascii="Times New Roman" w:hAnsi="Times New Roman" w:cs="Times New Roman" w:eastAsia="Times New Roman" w:hint="default"/>
          <w:spacing w:val="-3"/>
        </w:rPr>
        <w:t>(</w:t>
      </w:r>
      <w:r>
        <w:rPr>
          <w:spacing w:val="-3"/>
        </w:rPr>
        <w:t>含再融资</w:t>
      </w:r>
      <w:r>
        <w:rPr>
          <w:rFonts w:ascii="Times New Roman" w:hAnsi="Times New Roman" w:cs="Times New Roman" w:eastAsia="Times New Roman" w:hint="default"/>
          <w:spacing w:val="-3"/>
        </w:rPr>
        <w:t>)</w:t>
      </w:r>
      <w:r>
        <w:rPr>
          <w:spacing w:val="-3"/>
        </w:rPr>
        <w:t>、回购、出售或</w:t>
      </w:r>
    </w:p>
    <w:p>
      <w:pPr>
        <w:pStyle w:val="BodyText"/>
        <w:spacing w:line="453" w:lineRule="auto" w:before="17"/>
        <w:ind w:right="0"/>
        <w:jc w:val="left"/>
      </w:pPr>
      <w:r>
        <w:rPr>
          <w:spacing w:val="-3"/>
        </w:rPr>
        <w:t>注销权益工具作为权益的变动处理。与权益性交易相关的交易费用从权益中扣减。本公司对权益工具持有方的各种分配</w:t>
      </w:r>
      <w:r>
        <w:rPr>
          <w:rFonts w:ascii="Times New Roman" w:hAnsi="Times New Roman" w:cs="Times New Roman" w:eastAsia="Times New Roman" w:hint="default"/>
          <w:spacing w:val="-3"/>
        </w:rPr>
        <w:t>(</w:t>
      </w:r>
      <w:r>
        <w:rPr>
          <w:spacing w:val="-3"/>
        </w:rPr>
        <w:t>不</w:t>
      </w:r>
      <w:r>
        <w:rPr>
          <w:spacing w:val="66"/>
        </w:rPr>
        <w:t> </w:t>
      </w:r>
      <w:r>
        <w:rPr>
          <w:spacing w:val="-3"/>
        </w:rPr>
        <w:t>包括股票股利</w:t>
      </w:r>
      <w:r>
        <w:rPr>
          <w:rFonts w:ascii="Times New Roman" w:hAnsi="Times New Roman" w:cs="Times New Roman" w:eastAsia="Times New Roman" w:hint="default"/>
          <w:spacing w:val="-3"/>
        </w:rPr>
        <w:t>)</w:t>
      </w:r>
      <w:r>
        <w:rPr>
          <w:spacing w:val="-3"/>
        </w:rPr>
        <w:t>，减少股东权益。本公司不确认权益工具的公允价值变动额。</w:t>
      </w:r>
    </w:p>
    <w:p>
      <w:pPr>
        <w:pStyle w:val="BodyText"/>
        <w:spacing w:line="453" w:lineRule="auto" w:before="39"/>
        <w:ind w:left="513" w:right="0"/>
        <w:jc w:val="left"/>
      </w:pPr>
      <w:r>
        <w:rPr>
          <w:rFonts w:ascii="Times New Roman" w:hAnsi="Times New Roman" w:cs="Times New Roman" w:eastAsia="Times New Roman" w:hint="default"/>
        </w:rPr>
        <w:t>(2)</w:t>
      </w:r>
      <w:r>
        <w:rPr/>
        <w:t>金融资产转移的确认依据及计量方法</w:t>
      </w:r>
      <w:r>
        <w:rPr>
          <w:spacing w:val="-86"/>
        </w:rPr>
        <w:t> </w:t>
      </w:r>
      <w:r>
        <w:rPr>
          <w:spacing w:val="-86"/>
        </w:rPr>
      </w:r>
      <w:r>
        <w:rPr>
          <w:spacing w:val="-3"/>
        </w:rPr>
        <w:t>金融资产转移，是指将本公司将金融资产</w:t>
      </w:r>
      <w:r>
        <w:rPr>
          <w:rFonts w:ascii="Times New Roman" w:hAnsi="Times New Roman" w:cs="Times New Roman" w:eastAsia="Times New Roman" w:hint="default"/>
          <w:spacing w:val="-3"/>
        </w:rPr>
        <w:t>(</w:t>
      </w:r>
      <w:r>
        <w:rPr>
          <w:spacing w:val="-3"/>
        </w:rPr>
        <w:t>或其现金流量</w:t>
      </w:r>
      <w:r>
        <w:rPr>
          <w:rFonts w:ascii="Times New Roman" w:hAnsi="Times New Roman" w:cs="Times New Roman" w:eastAsia="Times New Roman" w:hint="default"/>
          <w:spacing w:val="-3"/>
        </w:rPr>
        <w:t>)</w:t>
      </w:r>
      <w:r>
        <w:rPr>
          <w:spacing w:val="-3"/>
        </w:rPr>
        <w:t>让与或交付该金融资产发行方以外的另一方。金融资产终止确</w:t>
      </w:r>
    </w:p>
    <w:p>
      <w:pPr>
        <w:pStyle w:val="BodyText"/>
        <w:spacing w:line="480" w:lineRule="auto" w:before="39"/>
        <w:ind w:left="513" w:right="0" w:hanging="360"/>
        <w:jc w:val="left"/>
      </w:pPr>
      <w:r>
        <w:rPr>
          <w:spacing w:val="-3"/>
        </w:rPr>
        <w:t>认，是指本公司将之前确认的金融资产从其资产负债表中予以转出。 </w:t>
      </w:r>
      <w:r>
        <w:rPr>
          <w:spacing w:val="-4"/>
        </w:rPr>
        <w:t>满足下列条件之一的金融资产，本公司予以终止确认：①收取该金融资产现金流量的合同权利终止；②该金融资产已转</w:t>
      </w:r>
    </w:p>
    <w:p>
      <w:pPr>
        <w:pStyle w:val="BodyText"/>
        <w:spacing w:line="480" w:lineRule="auto" w:before="50"/>
        <w:ind w:right="0"/>
        <w:jc w:val="left"/>
      </w:pPr>
      <w:r>
        <w:rPr>
          <w:spacing w:val="-4"/>
        </w:rPr>
        <w:t>移，且将金融资产所有权上几乎所有的风险和报酬转移给转入方；③该金融资产已转移，虽然本公司既没有转移也没有保留</w:t>
      </w:r>
      <w:r>
        <w:rPr>
          <w:spacing w:val="43"/>
        </w:rPr>
        <w:t> </w:t>
      </w:r>
      <w:r>
        <w:rPr>
          <w:spacing w:val="43"/>
        </w:rPr>
      </w:r>
      <w:r>
        <w:rPr>
          <w:spacing w:val="-3"/>
        </w:rPr>
        <w:t>金融资产所有权上几乎所有的风险和报酬，但是放弃了对该金融资产的控制。</w:t>
      </w:r>
    </w:p>
    <w:p>
      <w:pPr>
        <w:pStyle w:val="BodyText"/>
        <w:spacing w:line="477" w:lineRule="auto" w:before="50"/>
        <w:ind w:right="1123" w:firstLine="360"/>
        <w:jc w:val="both"/>
      </w:pPr>
      <w:r>
        <w:rPr>
          <w:spacing w:val="-5"/>
        </w:rPr>
        <w:t>若本公司既没有转移也没有保留金融资产所有权上几乎所有的风险和报酬，且保留了对该金融资产的控制的，则按照继</w:t>
      </w:r>
      <w:r>
        <w:rPr>
          <w:w w:val="101"/>
        </w:rPr>
        <w:t> </w:t>
      </w:r>
      <w:r>
        <w:rPr>
          <w:spacing w:val="-4"/>
        </w:rPr>
        <w:t>续涉入被转移金融资产的程度继续确认有关金融资产，并相应确认有关负债。继续涉入所转移金融资产的程度，是指该金融</w:t>
      </w:r>
      <w:r>
        <w:rPr>
          <w:spacing w:val="43"/>
        </w:rPr>
        <w:t> </w:t>
      </w:r>
      <w:r>
        <w:rPr>
          <w:spacing w:val="43"/>
        </w:rPr>
      </w:r>
      <w:r>
        <w:rPr>
          <w:spacing w:val="-3"/>
        </w:rPr>
        <w:t>资产价值变动使企业面临的风险水平。</w:t>
      </w:r>
    </w:p>
    <w:p>
      <w:pPr>
        <w:pStyle w:val="BodyText"/>
        <w:spacing w:line="240" w:lineRule="auto" w:before="56"/>
        <w:ind w:left="513" w:right="0"/>
        <w:jc w:val="left"/>
      </w:pPr>
      <w:r>
        <w:rPr>
          <w:spacing w:val="-4"/>
        </w:rPr>
        <w:t>金融资产整体转移满足终止确认条件的，将下列两项金额的差额计入当期损益：①被转移金融资产在终止确认日的账面</w:t>
      </w:r>
    </w:p>
    <w:p>
      <w:pPr>
        <w:spacing w:after="0" w:line="240" w:lineRule="auto"/>
        <w:jc w:val="left"/>
        <w:sectPr>
          <w:footerReference w:type="default" r:id="rId26"/>
          <w:pgSz w:w="11910" w:h="16840"/>
          <w:pgMar w:footer="1479" w:header="871" w:top="1100" w:bottom="1660" w:left="980" w:right="0"/>
          <w:pgNumType w:start="114"/>
        </w:sectPr>
      </w:pPr>
    </w:p>
    <w:p>
      <w:pPr>
        <w:spacing w:line="240" w:lineRule="auto" w:before="1"/>
        <w:rPr>
          <w:rFonts w:ascii="宋体" w:hAnsi="宋体" w:cs="宋体" w:eastAsia="宋体" w:hint="default"/>
          <w:sz w:val="28"/>
          <w:szCs w:val="28"/>
        </w:rPr>
      </w:pPr>
    </w:p>
    <w:p>
      <w:pPr>
        <w:pStyle w:val="BodyText"/>
        <w:spacing w:line="477" w:lineRule="auto" w:before="46"/>
        <w:ind w:right="1122"/>
        <w:jc w:val="both"/>
      </w:pPr>
      <w:r>
        <w:rPr>
          <w:spacing w:val="-4"/>
        </w:rPr>
        <w:t>金融资产部分转移满足终止确认条件的，将所转移金融资产整体的账面价值，在终止确认部分和未终止确认部分之间，按照</w:t>
      </w:r>
      <w:r>
        <w:rPr>
          <w:spacing w:val="43"/>
        </w:rPr>
        <w:t> </w:t>
      </w:r>
      <w:r>
        <w:rPr>
          <w:spacing w:val="43"/>
        </w:rPr>
      </w:r>
      <w:r>
        <w:rPr>
          <w:spacing w:val="-4"/>
        </w:rPr>
        <w:t>各自的相对公允价值进行分摊，并将下列两项金额的差额计入当期损益：①终止确认部分在终止确认日的账面价值；②终止</w:t>
      </w:r>
      <w:r>
        <w:rPr>
          <w:spacing w:val="44"/>
        </w:rPr>
        <w:t> </w:t>
      </w:r>
      <w:r>
        <w:rPr>
          <w:spacing w:val="44"/>
        </w:rPr>
      </w:r>
      <w:r>
        <w:rPr>
          <w:spacing w:val="-4"/>
        </w:rPr>
        <w:t>确认部分收到的对价，与原直接计入其他综合收益的公允价值变动累计额中对应终止确认部分的金额之和。对于本公司指定</w:t>
      </w:r>
      <w:r>
        <w:rPr>
          <w:spacing w:val="42"/>
        </w:rPr>
        <w:t> </w:t>
      </w:r>
      <w:r>
        <w:rPr>
          <w:spacing w:val="42"/>
        </w:rPr>
      </w:r>
      <w:r>
        <w:rPr>
          <w:spacing w:val="-4"/>
        </w:rPr>
        <w:t>为以公允价值计量且其变动计入其他综合收益的非交易性权益工具，整体或部分转移满足终止确认条件的，按上述方法计算</w:t>
      </w:r>
      <w:r>
        <w:rPr>
          <w:spacing w:val="39"/>
        </w:rPr>
        <w:t> </w:t>
      </w:r>
      <w:r>
        <w:rPr>
          <w:spacing w:val="39"/>
        </w:rPr>
      </w:r>
      <w:r>
        <w:rPr/>
        <w:t>的差额计入留存收益。</w:t>
      </w:r>
    </w:p>
    <w:p>
      <w:pPr>
        <w:pStyle w:val="BodyText"/>
        <w:spacing w:line="453" w:lineRule="auto" w:before="52"/>
        <w:ind w:left="513" w:right="0"/>
        <w:jc w:val="left"/>
      </w:pPr>
      <w:r>
        <w:rPr>
          <w:rFonts w:ascii="Times New Roman" w:hAnsi="Times New Roman" w:cs="Times New Roman" w:eastAsia="Times New Roman" w:hint="default"/>
        </w:rPr>
        <w:t>(3)</w:t>
      </w:r>
      <w:r>
        <w:rPr/>
        <w:t>金融负债终止确认条件</w:t>
      </w:r>
      <w:r>
        <w:rPr>
          <w:spacing w:val="-86"/>
        </w:rPr>
        <w:t> </w:t>
      </w:r>
      <w:r>
        <w:rPr>
          <w:spacing w:val="-86"/>
        </w:rPr>
      </w:r>
      <w:r>
        <w:rPr>
          <w:spacing w:val="-4"/>
        </w:rPr>
        <w:t>金融负债</w:t>
      </w:r>
      <w:r>
        <w:rPr>
          <w:rFonts w:ascii="Times New Roman" w:hAnsi="Times New Roman" w:cs="Times New Roman" w:eastAsia="Times New Roman" w:hint="default"/>
          <w:spacing w:val="-4"/>
        </w:rPr>
        <w:t>(</w:t>
      </w:r>
      <w:r>
        <w:rPr>
          <w:spacing w:val="-4"/>
        </w:rPr>
        <w:t>或其一部分</w:t>
      </w:r>
      <w:r>
        <w:rPr>
          <w:rFonts w:ascii="Times New Roman" w:hAnsi="Times New Roman" w:cs="Times New Roman" w:eastAsia="Times New Roman" w:hint="default"/>
          <w:spacing w:val="-4"/>
        </w:rPr>
        <w:t>)</w:t>
      </w:r>
      <w:r>
        <w:rPr>
          <w:spacing w:val="-4"/>
        </w:rPr>
        <w:t>的现时义务已经解除的，本公司终止确认该金融负债</w:t>
      </w:r>
      <w:r>
        <w:rPr>
          <w:rFonts w:ascii="Times New Roman" w:hAnsi="Times New Roman" w:cs="Times New Roman" w:eastAsia="Times New Roman" w:hint="default"/>
          <w:spacing w:val="-4"/>
        </w:rPr>
        <w:t>(</w:t>
      </w:r>
      <w:r>
        <w:rPr>
          <w:spacing w:val="-4"/>
        </w:rPr>
        <w:t>或该部分金融负债</w:t>
      </w:r>
      <w:r>
        <w:rPr>
          <w:rFonts w:ascii="Times New Roman" w:hAnsi="Times New Roman" w:cs="Times New Roman" w:eastAsia="Times New Roman" w:hint="default"/>
          <w:spacing w:val="-4"/>
        </w:rPr>
        <w:t>)</w:t>
      </w:r>
      <w:r>
        <w:rPr>
          <w:spacing w:val="-4"/>
        </w:rPr>
        <w:t>。本公司</w:t>
      </w:r>
      <w:r>
        <w:rPr>
          <w:rFonts w:ascii="Times New Roman" w:hAnsi="Times New Roman" w:cs="Times New Roman" w:eastAsia="Times New Roman" w:hint="default"/>
          <w:spacing w:val="-4"/>
        </w:rPr>
        <w:t>(</w:t>
      </w:r>
      <w:r>
        <w:rPr>
          <w:spacing w:val="-4"/>
        </w:rPr>
        <w:t>借入方</w:t>
      </w:r>
      <w:r>
        <w:rPr>
          <w:rFonts w:ascii="Times New Roman" w:hAnsi="Times New Roman" w:cs="Times New Roman" w:eastAsia="Times New Roman" w:hint="default"/>
          <w:spacing w:val="-4"/>
        </w:rPr>
        <w:t>)</w:t>
      </w:r>
      <w:r>
        <w:rPr>
          <w:spacing w:val="-4"/>
        </w:rPr>
        <w:t>与借出</w:t>
      </w:r>
    </w:p>
    <w:p>
      <w:pPr>
        <w:pStyle w:val="BodyText"/>
        <w:spacing w:line="463" w:lineRule="auto" w:before="39"/>
        <w:ind w:right="1122"/>
        <w:jc w:val="both"/>
      </w:pPr>
      <w:r>
        <w:rPr>
          <w:spacing w:val="-4"/>
        </w:rPr>
        <w:t>方之间签订协议，以承担新金融负债方式替换原金融负债，且新金融负债与原金融负债的合同条款实质上不同的，终止确认</w:t>
      </w:r>
      <w:r>
        <w:rPr>
          <w:spacing w:val="45"/>
        </w:rPr>
        <w:t> </w:t>
      </w:r>
      <w:r>
        <w:rPr>
          <w:spacing w:val="45"/>
        </w:rPr>
      </w:r>
      <w:r>
        <w:rPr>
          <w:spacing w:val="-3"/>
        </w:rPr>
        <w:t>原金融负债，同时确认一项新金融负债。本公司对原金融负债</w:t>
      </w:r>
      <w:r>
        <w:rPr>
          <w:rFonts w:ascii="Times New Roman" w:hAnsi="Times New Roman" w:cs="Times New Roman" w:eastAsia="Times New Roman" w:hint="default"/>
          <w:spacing w:val="-3"/>
        </w:rPr>
        <w:t>(</w:t>
      </w:r>
      <w:r>
        <w:rPr>
          <w:spacing w:val="-3"/>
        </w:rPr>
        <w:t>或其一部分</w:t>
      </w:r>
      <w:r>
        <w:rPr>
          <w:rFonts w:ascii="Times New Roman" w:hAnsi="Times New Roman" w:cs="Times New Roman" w:eastAsia="Times New Roman" w:hint="default"/>
          <w:spacing w:val="-3"/>
        </w:rPr>
        <w:t>)</w:t>
      </w:r>
      <w:r>
        <w:rPr>
          <w:spacing w:val="-3"/>
        </w:rPr>
        <w:t>的合同条款做出实质性修改的，终止确认原金融</w:t>
      </w:r>
      <w:r>
        <w:rPr>
          <w:spacing w:val="51"/>
        </w:rPr>
        <w:t> </w:t>
      </w:r>
      <w:r>
        <w:rPr>
          <w:spacing w:val="51"/>
        </w:rPr>
      </w:r>
      <w:r>
        <w:rPr>
          <w:spacing w:val="-3"/>
        </w:rPr>
        <w:t>负债，同时按照修改后的条款确认一项新金融负债。</w:t>
      </w:r>
    </w:p>
    <w:p>
      <w:pPr>
        <w:pStyle w:val="BodyText"/>
        <w:spacing w:line="458" w:lineRule="auto" w:before="67"/>
        <w:ind w:right="1128" w:firstLine="360"/>
        <w:jc w:val="both"/>
      </w:pPr>
      <w:r>
        <w:rPr>
          <w:spacing w:val="-3"/>
        </w:rPr>
        <w:t>金融负债</w:t>
      </w:r>
      <w:r>
        <w:rPr>
          <w:rFonts w:ascii="Times New Roman" w:hAnsi="Times New Roman" w:cs="Times New Roman" w:eastAsia="Times New Roman" w:hint="default"/>
          <w:spacing w:val="-3"/>
        </w:rPr>
        <w:t>(</w:t>
      </w:r>
      <w:r>
        <w:rPr>
          <w:spacing w:val="-3"/>
        </w:rPr>
        <w:t>或其一部分</w:t>
      </w:r>
      <w:r>
        <w:rPr>
          <w:rFonts w:ascii="Times New Roman" w:hAnsi="Times New Roman" w:cs="Times New Roman" w:eastAsia="Times New Roman" w:hint="default"/>
          <w:spacing w:val="-3"/>
        </w:rPr>
        <w:t>)</w:t>
      </w:r>
      <w:r>
        <w:rPr>
          <w:spacing w:val="-3"/>
        </w:rPr>
        <w:t>终止确认的，本公司将其账面价值与支付的对价</w:t>
      </w:r>
      <w:r>
        <w:rPr>
          <w:rFonts w:ascii="Times New Roman" w:hAnsi="Times New Roman" w:cs="Times New Roman" w:eastAsia="Times New Roman" w:hint="default"/>
          <w:spacing w:val="-3"/>
        </w:rPr>
        <w:t>(</w:t>
      </w:r>
      <w:r>
        <w:rPr>
          <w:spacing w:val="-3"/>
        </w:rPr>
        <w:t>包括转出的非现金资产或承担的负债</w:t>
      </w:r>
      <w:r>
        <w:rPr>
          <w:rFonts w:ascii="Times New Roman" w:hAnsi="Times New Roman" w:cs="Times New Roman" w:eastAsia="Times New Roman" w:hint="default"/>
          <w:spacing w:val="-3"/>
        </w:rPr>
        <w:t>)</w:t>
      </w:r>
      <w:r>
        <w:rPr>
          <w:spacing w:val="-3"/>
        </w:rPr>
        <w:t>之间的差</w:t>
      </w:r>
      <w:r>
        <w:rPr>
          <w:w w:val="101"/>
        </w:rPr>
        <w:t> </w:t>
      </w:r>
      <w:r>
        <w:rPr>
          <w:spacing w:val="-4"/>
        </w:rPr>
        <w:t>额，计入当期损益。本公司回购金融负债一部分的，按照继续确认部分和终止确认部分在回购日各自的公允价值占整体公允</w:t>
      </w:r>
      <w:r>
        <w:rPr>
          <w:spacing w:val="38"/>
        </w:rPr>
        <w:t> </w:t>
      </w:r>
      <w:r>
        <w:rPr>
          <w:spacing w:val="38"/>
        </w:rPr>
      </w:r>
      <w:r>
        <w:rPr>
          <w:spacing w:val="-3"/>
        </w:rPr>
        <w:t>价值的比例，对该金融负债整体的账面价值进行分配。分配给终止确认部分的账面价值与支付的对价</w:t>
      </w:r>
      <w:r>
        <w:rPr>
          <w:rFonts w:ascii="Times New Roman" w:hAnsi="Times New Roman" w:cs="Times New Roman" w:eastAsia="Times New Roman" w:hint="default"/>
          <w:spacing w:val="-3"/>
        </w:rPr>
        <w:t>(</w:t>
      </w:r>
      <w:r>
        <w:rPr>
          <w:spacing w:val="-3"/>
        </w:rPr>
        <w:t>包括转出的非现金资</w:t>
      </w:r>
      <w:r>
        <w:rPr>
          <w:spacing w:val="66"/>
        </w:rPr>
        <w:t> </w:t>
      </w:r>
      <w:r>
        <w:rPr>
          <w:spacing w:val="66"/>
        </w:rPr>
      </w:r>
      <w:r>
        <w:rPr>
          <w:spacing w:val="-3"/>
        </w:rPr>
        <w:t>产或承担的负债</w:t>
      </w:r>
      <w:r>
        <w:rPr>
          <w:rFonts w:ascii="Times New Roman" w:hAnsi="Times New Roman" w:cs="Times New Roman" w:eastAsia="Times New Roman" w:hint="default"/>
          <w:spacing w:val="-3"/>
        </w:rPr>
        <w:t>)</w:t>
      </w:r>
      <w:r>
        <w:rPr>
          <w:spacing w:val="-3"/>
        </w:rPr>
        <w:t>之间的差额，计入当期损益。</w:t>
      </w:r>
    </w:p>
    <w:p>
      <w:pPr>
        <w:pStyle w:val="BodyText"/>
        <w:spacing w:line="451" w:lineRule="auto" w:before="40"/>
        <w:ind w:left="513" w:right="5655"/>
        <w:jc w:val="left"/>
      </w:pPr>
      <w:r>
        <w:rPr>
          <w:rFonts w:ascii="Times New Roman" w:hAnsi="Times New Roman" w:cs="Times New Roman" w:eastAsia="Times New Roman" w:hint="default"/>
        </w:rPr>
        <w:t>(4)</w:t>
      </w:r>
      <w:r>
        <w:rPr/>
        <w:t>金融工具公允价值的确定</w:t>
      </w:r>
      <w:r>
        <w:rPr>
          <w:spacing w:val="-88"/>
        </w:rPr>
        <w:t> </w:t>
      </w:r>
      <w:r>
        <w:rPr>
          <w:spacing w:val="-88"/>
        </w:rPr>
      </w:r>
      <w:r>
        <w:rPr>
          <w:spacing w:val="-3"/>
        </w:rPr>
        <w:t>金融资产和金融负债的公允价值确定方法见本附注五、</w:t>
      </w:r>
      <w:r>
        <w:rPr>
          <w:rFonts w:ascii="Times New Roman" w:hAnsi="Times New Roman" w:cs="Times New Roman" w:eastAsia="Times New Roman" w:hint="default"/>
          <w:spacing w:val="-3"/>
        </w:rPr>
        <w:t>11</w:t>
      </w:r>
      <w:r>
        <w:rPr>
          <w:spacing w:val="-3"/>
        </w:rPr>
        <w:t>。</w:t>
      </w:r>
      <w:r>
        <w:rPr>
          <w:spacing w:val="-16"/>
        </w:rPr>
        <w:t> </w:t>
      </w:r>
      <w:r>
        <w:rPr>
          <w:rFonts w:ascii="Times New Roman" w:hAnsi="Times New Roman" w:cs="Times New Roman" w:eastAsia="Times New Roman" w:hint="default"/>
        </w:rPr>
        <w:t>(5)</w:t>
      </w:r>
      <w:r>
        <w:rPr/>
        <w:t>金融工具的减值</w:t>
      </w:r>
    </w:p>
    <w:p>
      <w:pPr>
        <w:pStyle w:val="BodyText"/>
        <w:spacing w:line="470" w:lineRule="auto" w:before="41"/>
        <w:ind w:right="0" w:firstLine="360"/>
        <w:jc w:val="left"/>
      </w:pPr>
      <w:r>
        <w:rPr>
          <w:spacing w:val="-4"/>
        </w:rPr>
        <w:t>本公司以预期信用损失为基础，对以摊余成本计量的金融资产、以公允价值计量且其变动计入其他综合收益的债务工具</w:t>
      </w:r>
      <w:r>
        <w:rPr>
          <w:w w:val="101"/>
        </w:rPr>
        <w:t> </w:t>
      </w:r>
      <w:r>
        <w:rPr>
          <w:spacing w:val="-3"/>
        </w:rPr>
        <w:t>投资、租赁应收款以及本附注五、</w:t>
      </w:r>
      <w:r>
        <w:rPr>
          <w:rFonts w:ascii="Times New Roman" w:hAnsi="Times New Roman" w:cs="Times New Roman" w:eastAsia="Times New Roman" w:hint="default"/>
          <w:spacing w:val="-3"/>
        </w:rPr>
        <w:t>10(1)</w:t>
      </w:r>
      <w:r>
        <w:rPr>
          <w:spacing w:val="-3"/>
        </w:rPr>
        <w:t>③</w:t>
      </w:r>
      <w:r>
        <w:rPr>
          <w:rFonts w:ascii="Times New Roman" w:hAnsi="Times New Roman" w:cs="Times New Roman" w:eastAsia="Times New Roman" w:hint="default"/>
          <w:spacing w:val="-3"/>
        </w:rPr>
        <w:t>C)</w:t>
      </w:r>
      <w:r>
        <w:rPr>
          <w:spacing w:val="-3"/>
        </w:rPr>
        <w:t>所述的财务担保合同进行减值处理并确认损失准备。预期信用损失，是指以发</w:t>
      </w:r>
      <w:r>
        <w:rPr>
          <w:spacing w:val="81"/>
        </w:rPr>
        <w:t> </w:t>
      </w:r>
      <w:r>
        <w:rPr>
          <w:spacing w:val="81"/>
        </w:rPr>
      </w:r>
      <w:r>
        <w:rPr>
          <w:spacing w:val="-4"/>
        </w:rPr>
        <w:t>生违约的风险为权重的金融工具信用损失的加权平均值。信用损失，是指本公司按照原实际利率折现的、根据合同应收的所</w:t>
      </w:r>
      <w:r>
        <w:rPr>
          <w:spacing w:val="43"/>
        </w:rPr>
        <w:t> </w:t>
      </w:r>
      <w:r>
        <w:rPr>
          <w:spacing w:val="43"/>
        </w:rPr>
      </w:r>
      <w:r>
        <w:rPr>
          <w:spacing w:val="-3"/>
        </w:rPr>
        <w:t>有合同现金流量与预期收取的所有现金流量之间的差额，即全部现金短缺的现值。</w:t>
      </w:r>
    </w:p>
    <w:p>
      <w:pPr>
        <w:pStyle w:val="BodyText"/>
        <w:spacing w:line="480" w:lineRule="auto" w:before="57"/>
        <w:ind w:right="0" w:firstLine="360"/>
        <w:jc w:val="left"/>
      </w:pPr>
      <w:r>
        <w:rPr>
          <w:spacing w:val="-5"/>
          <w:w w:val="101"/>
        </w:rPr>
        <w:t>对于购买或源生的已发生信用减值的金融资产，公司在资产负债表日仅将自初始确认后整个存续期内预期信用损失的累</w:t>
      </w:r>
      <w:r>
        <w:rPr>
          <w:w w:val="101"/>
        </w:rPr>
        <w:t> </w:t>
      </w:r>
      <w:r>
        <w:rPr>
          <w:spacing w:val="-3"/>
        </w:rPr>
        <w:t>计变动确认为损失准备。</w:t>
      </w:r>
    </w:p>
    <w:p>
      <w:pPr>
        <w:pStyle w:val="BodyText"/>
        <w:spacing w:line="453" w:lineRule="auto" w:before="50"/>
        <w:ind w:right="0" w:firstLine="360"/>
        <w:jc w:val="left"/>
      </w:pPr>
      <w:r>
        <w:rPr/>
        <w:t>对于由《企业会计准则第 </w:t>
      </w:r>
      <w:r>
        <w:rPr>
          <w:rFonts w:ascii="Times New Roman" w:hAnsi="Times New Roman" w:cs="Times New Roman" w:eastAsia="Times New Roman" w:hint="default"/>
          <w:spacing w:val="-3"/>
        </w:rPr>
        <w:t>14</w:t>
      </w:r>
      <w:r>
        <w:rPr>
          <w:rFonts w:ascii="Times New Roman" w:hAnsi="Times New Roman" w:cs="Times New Roman" w:eastAsia="Times New Roman" w:hint="default"/>
          <w:spacing w:val="1"/>
        </w:rPr>
        <w:t> </w:t>
      </w:r>
      <w:r>
        <w:rPr>
          <w:spacing w:val="-3"/>
        </w:rPr>
        <w:t>号</w:t>
      </w:r>
      <w:r>
        <w:rPr>
          <w:rFonts w:ascii="Times New Roman" w:hAnsi="Times New Roman" w:cs="Times New Roman" w:eastAsia="Times New Roman" w:hint="default"/>
          <w:spacing w:val="-3"/>
        </w:rPr>
        <w:t>——</w:t>
      </w:r>
      <w:r>
        <w:rPr>
          <w:spacing w:val="-3"/>
        </w:rPr>
        <w:t>收入》规范的交易形成的应收款项及租赁应收款，本公司运用简化计量方法，按照</w:t>
      </w:r>
      <w:r>
        <w:rPr>
          <w:w w:val="101"/>
        </w:rPr>
        <w:t> </w:t>
      </w:r>
      <w:r>
        <w:rPr>
          <w:spacing w:val="-3"/>
        </w:rPr>
        <w:t>相当于整个存续期内的预期信用损失金额计量损失准备。</w:t>
      </w:r>
    </w:p>
    <w:p>
      <w:pPr>
        <w:pStyle w:val="BodyText"/>
        <w:spacing w:line="477" w:lineRule="auto" w:before="70"/>
        <w:ind w:right="0" w:firstLine="360"/>
        <w:jc w:val="left"/>
      </w:pPr>
      <w:r>
        <w:rPr>
          <w:spacing w:val="-4"/>
        </w:rPr>
        <w:t>除上述计量方法以外的金融工具，本公司按照一般方法计量损失准备，在每个资产负债表日评估其信用风险自初始确认</w:t>
      </w:r>
      <w:r>
        <w:rPr>
          <w:w w:val="101"/>
        </w:rPr>
        <w:t> </w:t>
      </w:r>
      <w:r>
        <w:rPr>
          <w:spacing w:val="-3"/>
        </w:rPr>
        <w:t>后是否已经显著增加。如果信用风险自初始确认后已显著增加，公司按照整个存续期内预期信用损失的金额计量损失准备；</w:t>
      </w:r>
      <w:r>
        <w:rPr>
          <w:spacing w:val="76"/>
        </w:rPr>
        <w:t> </w:t>
      </w:r>
      <w:r>
        <w:rPr>
          <w:spacing w:val="76"/>
        </w:rPr>
      </w:r>
      <w:r>
        <w:rPr>
          <w:spacing w:val="-3"/>
        </w:rPr>
        <w:t>如果信用风险自初始确认后未显著增加，公司按照该金融工具未来 </w:t>
      </w:r>
      <w:r>
        <w:rPr>
          <w:rFonts w:ascii="Times New Roman" w:hAnsi="Times New Roman" w:cs="Times New Roman" w:eastAsia="Times New Roman" w:hint="default"/>
          <w:spacing w:val="-3"/>
        </w:rPr>
        <w:t>12  </w:t>
      </w:r>
      <w:r>
        <w:rPr>
          <w:rFonts w:ascii="Times New Roman" w:hAnsi="Times New Roman" w:cs="Times New Roman" w:eastAsia="Times New Roman" w:hint="default"/>
          <w:spacing w:val="13"/>
        </w:rPr>
        <w:t> </w:t>
      </w:r>
      <w:r>
        <w:rPr>
          <w:spacing w:val="-3"/>
        </w:rPr>
        <w:t>个月内预期信用损失的金额计量损失准备。</w:t>
      </w:r>
    </w:p>
    <w:p>
      <w:pPr>
        <w:pStyle w:val="BodyText"/>
        <w:spacing w:line="240" w:lineRule="auto" w:before="24"/>
        <w:ind w:left="513" w:right="0"/>
        <w:jc w:val="left"/>
      </w:pPr>
      <w:r>
        <w:rPr>
          <w:spacing w:val="-3"/>
        </w:rPr>
        <w:t>整个存续期预期信用损失，是指因金融工具整个预计存续期内所有可能发生的违约事件而导致的预期信用损失。未来</w:t>
      </w:r>
    </w:p>
    <w:p>
      <w:pPr>
        <w:spacing w:after="0" w:line="240" w:lineRule="auto"/>
        <w:jc w:val="left"/>
        <w:sectPr>
          <w:footerReference w:type="default" r:id="rId27"/>
          <w:pgSz w:w="11910" w:h="16840"/>
          <w:pgMar w:footer="1479" w:header="871" w:top="1100" w:bottom="1660" w:left="980" w:right="0"/>
          <w:pgNumType w:start="115"/>
        </w:sectPr>
      </w:pPr>
    </w:p>
    <w:p>
      <w:pPr>
        <w:spacing w:line="240" w:lineRule="auto" w:before="1"/>
        <w:rPr>
          <w:rFonts w:ascii="宋体" w:hAnsi="宋体" w:cs="宋体" w:eastAsia="宋体" w:hint="default"/>
          <w:sz w:val="28"/>
          <w:szCs w:val="28"/>
        </w:rPr>
      </w:pPr>
    </w:p>
    <w:p>
      <w:pPr>
        <w:pStyle w:val="BodyText"/>
        <w:spacing w:line="475" w:lineRule="auto" w:before="46"/>
        <w:ind w:left="513" w:right="0" w:hanging="360"/>
        <w:jc w:val="left"/>
      </w:pPr>
      <w:r>
        <w:rPr>
          <w:spacing w:val="-3"/>
        </w:rPr>
        <w:t>发生的金融工具违约事件而导致的预期信用损失，是整个存续期预期信用损失的一部分。</w:t>
      </w:r>
      <w:r>
        <w:rPr>
          <w:spacing w:val="25"/>
        </w:rPr>
        <w:t> </w:t>
      </w:r>
      <w:r>
        <w:rPr>
          <w:spacing w:val="25"/>
        </w:rPr>
      </w:r>
      <w:r>
        <w:rPr>
          <w:spacing w:val="-5"/>
        </w:rPr>
        <w:t>本公司考虑所有合理且有依据的信息，包括前瞻性信息，通过比较金融工具在资产负债表日发生违约的风险与在初始确</w:t>
      </w:r>
    </w:p>
    <w:p>
      <w:pPr>
        <w:pStyle w:val="BodyText"/>
        <w:spacing w:line="475" w:lineRule="auto" w:before="59"/>
        <w:ind w:right="1124"/>
        <w:jc w:val="both"/>
      </w:pPr>
      <w:r>
        <w:rPr>
          <w:spacing w:val="-4"/>
        </w:rPr>
        <w:t>认日发生违约的风险，确定金融工具预计存续期内发生违约风险的相对变化，以评估金融工具的信用风险自初始确认后是否</w:t>
      </w:r>
      <w:r>
        <w:rPr>
          <w:spacing w:val="43"/>
        </w:rPr>
        <w:t> </w:t>
      </w:r>
      <w:r>
        <w:rPr>
          <w:spacing w:val="43"/>
        </w:rPr>
      </w:r>
      <w:r>
        <w:rPr>
          <w:spacing w:val="-4"/>
        </w:rPr>
        <w:t>已显著增加。对于在单项工具层面无法以合理成本获得关于信用风险显著增加的充分证据的金融工具，本公司以组合为基础</w:t>
      </w:r>
      <w:r>
        <w:rPr>
          <w:spacing w:val="42"/>
        </w:rPr>
        <w:t> </w:t>
      </w:r>
      <w:r>
        <w:rPr>
          <w:spacing w:val="42"/>
        </w:rPr>
      </w:r>
      <w:r>
        <w:rPr>
          <w:spacing w:val="-4"/>
        </w:rPr>
        <w:t>考虑评估信用风险是否显著增加。若本公司判断金融工具在资产负债表日只具有较低的信用风险，则假定该金融工具的信用</w:t>
      </w:r>
      <w:r>
        <w:rPr>
          <w:spacing w:val="43"/>
        </w:rPr>
        <w:t> </w:t>
      </w:r>
      <w:r>
        <w:rPr>
          <w:spacing w:val="43"/>
        </w:rPr>
      </w:r>
      <w:r>
        <w:rPr>
          <w:spacing w:val="-3"/>
        </w:rPr>
        <w:t>风险自初始确认后并未显著增加。</w:t>
      </w:r>
    </w:p>
    <w:p>
      <w:pPr>
        <w:pStyle w:val="BodyText"/>
        <w:spacing w:line="475" w:lineRule="auto" w:before="59"/>
        <w:ind w:right="1122" w:firstLine="360"/>
        <w:jc w:val="both"/>
      </w:pPr>
      <w:r>
        <w:rPr>
          <w:spacing w:val="-4"/>
        </w:rPr>
        <w:t>本公司在每个资产负债表日重新计量预期信用损失，由此形成的损失准备的增加或转回金额，作为减值损失或利得计入</w:t>
      </w:r>
      <w:r>
        <w:rPr>
          <w:w w:val="101"/>
        </w:rPr>
        <w:t> </w:t>
      </w:r>
      <w:r>
        <w:rPr>
          <w:spacing w:val="-4"/>
        </w:rPr>
        <w:t>当期损益。对于以摊余成本计量的金融资产，损失准备抵减该金融资产在资产负债表中列示的账面价值；对于以公允价值计</w:t>
      </w:r>
      <w:r>
        <w:rPr>
          <w:spacing w:val="43"/>
        </w:rPr>
        <w:t> </w:t>
      </w:r>
      <w:r>
        <w:rPr>
          <w:spacing w:val="43"/>
        </w:rPr>
      </w:r>
      <w:r>
        <w:rPr>
          <w:spacing w:val="-4"/>
        </w:rPr>
        <w:t>量且其变动计入其他综合收益的债务工具投资，公司在其他综合收益中确认其损失准备，不抵减该金融资产在资产负债表中</w:t>
      </w:r>
      <w:r>
        <w:rPr>
          <w:spacing w:val="43"/>
        </w:rPr>
        <w:t> </w:t>
      </w:r>
      <w:r>
        <w:rPr>
          <w:spacing w:val="43"/>
        </w:rPr>
      </w:r>
      <w:r>
        <w:rPr/>
        <w:t>列示的账面价值。</w:t>
      </w:r>
    </w:p>
    <w:p>
      <w:pPr>
        <w:pStyle w:val="BodyText"/>
        <w:spacing w:line="448" w:lineRule="auto" w:before="58"/>
        <w:ind w:left="513" w:right="0"/>
        <w:jc w:val="left"/>
      </w:pPr>
      <w:r>
        <w:rPr>
          <w:rFonts w:ascii="Times New Roman" w:hAnsi="Times New Roman" w:cs="Times New Roman" w:eastAsia="Times New Roman" w:hint="default"/>
        </w:rPr>
        <w:t>(6)</w:t>
      </w:r>
      <w:r>
        <w:rPr/>
        <w:t>金融资产和金融负债的抵销</w:t>
      </w:r>
      <w:r>
        <w:rPr>
          <w:spacing w:val="-86"/>
        </w:rPr>
        <w:t> </w:t>
      </w:r>
      <w:r>
        <w:rPr>
          <w:spacing w:val="-86"/>
        </w:rPr>
      </w:r>
      <w:r>
        <w:rPr>
          <w:spacing w:val="-4"/>
        </w:rPr>
        <w:t>当本公司具有抵销已确认金融资产和金融负债的法定权利，且目前可执行该种法定权利，同时本公司计划以净额结算或</w:t>
      </w:r>
    </w:p>
    <w:p>
      <w:pPr>
        <w:pStyle w:val="BodyText"/>
        <w:spacing w:line="475" w:lineRule="auto" w:before="78"/>
        <w:ind w:right="1122"/>
        <w:jc w:val="both"/>
      </w:pPr>
      <w:r>
        <w:rPr>
          <w:spacing w:val="-4"/>
        </w:rPr>
        <w:t>同时变现该金融资产和清偿该金融负债时，金融资产和金融负债以相互抵销后的金额在资产负债表内列示。除此以外，金融</w:t>
      </w:r>
      <w:r>
        <w:rPr>
          <w:spacing w:val="44"/>
        </w:rPr>
        <w:t> </w:t>
      </w:r>
      <w:r>
        <w:rPr>
          <w:spacing w:val="44"/>
        </w:rPr>
      </w:r>
      <w:r>
        <w:rPr>
          <w:spacing w:val="-3"/>
        </w:rPr>
        <w:t>资产和金融负债在资产负债表内分别列示，不予相互抵销。</w:t>
      </w:r>
    </w:p>
    <w:p>
      <w:pPr>
        <w:spacing w:line="240" w:lineRule="auto" w:before="5"/>
        <w:rPr>
          <w:rFonts w:ascii="宋体" w:hAnsi="宋体" w:cs="宋体" w:eastAsia="宋体" w:hint="default"/>
          <w:sz w:val="19"/>
          <w:szCs w:val="19"/>
        </w:rPr>
      </w:pPr>
    </w:p>
    <w:p>
      <w:pPr>
        <w:pStyle w:val="Heading3"/>
        <w:spacing w:line="240" w:lineRule="auto"/>
        <w:ind w:right="0"/>
        <w:jc w:val="both"/>
        <w:rPr>
          <w:b w:val="0"/>
          <w:bCs w:val="0"/>
        </w:rPr>
      </w:pPr>
      <w:bookmarkStart w:name="11、 公允价值" w:id="181"/>
      <w:bookmarkEnd w:id="181"/>
      <w:r>
        <w:rPr>
          <w:b w:val="0"/>
          <w:bCs w:val="0"/>
        </w:rPr>
      </w:r>
      <w:r>
        <w:rPr>
          <w:rFonts w:ascii="Times New Roman" w:hAnsi="Times New Roman" w:cs="Times New Roman" w:eastAsia="Times New Roman" w:hint="default"/>
        </w:rPr>
        <w:t>11</w:t>
      </w:r>
      <w:r>
        <w:rPr/>
        <w:t>、</w:t>
      </w:r>
      <w:r>
        <w:rPr>
          <w:spacing w:val="2"/>
        </w:rPr>
        <w:t> </w:t>
      </w:r>
      <w:r>
        <w:rPr/>
        <w:t>公允价值</w:t>
      </w:r>
      <w:r>
        <w:rPr>
          <w:b w:val="0"/>
          <w:bCs w:val="0"/>
        </w:rPr>
      </w:r>
    </w:p>
    <w:p>
      <w:pPr>
        <w:spacing w:line="240" w:lineRule="auto" w:before="7"/>
        <w:rPr>
          <w:rFonts w:ascii="宋体" w:hAnsi="宋体" w:cs="宋体" w:eastAsia="宋体" w:hint="default"/>
          <w:b/>
          <w:bCs/>
          <w:sz w:val="32"/>
          <w:szCs w:val="32"/>
        </w:rPr>
      </w:pPr>
    </w:p>
    <w:p>
      <w:pPr>
        <w:pStyle w:val="BodyText"/>
        <w:spacing w:line="468" w:lineRule="auto"/>
        <w:ind w:right="1122" w:firstLine="360"/>
        <w:jc w:val="both"/>
      </w:pPr>
      <w:r>
        <w:rPr>
          <w:spacing w:val="-4"/>
        </w:rPr>
        <w:t>公允价值是指市场参与者在计量日发生的有序交易中，出售一项资产所能收到或者转移一项负债所需支付的价格。本公</w:t>
      </w:r>
      <w:r>
        <w:rPr>
          <w:w w:val="101"/>
        </w:rPr>
        <w:t> </w:t>
      </w:r>
      <w:r>
        <w:rPr>
          <w:spacing w:val="-4"/>
        </w:rPr>
        <w:t>司以公允价值计量相关资产或负债，假定出售资产或者转移负债的有序交易在相关资产或负债的主要市场进行；不存在主要</w:t>
      </w:r>
      <w:r>
        <w:rPr>
          <w:spacing w:val="42"/>
        </w:rPr>
        <w:t> </w:t>
      </w:r>
      <w:r>
        <w:rPr>
          <w:spacing w:val="42"/>
        </w:rPr>
      </w:r>
      <w:r>
        <w:rPr>
          <w:spacing w:val="-3"/>
        </w:rPr>
        <w:t>市场的，本公司假定该交易在相关资产或负债的最有利市场进行。主要市场</w:t>
      </w:r>
      <w:r>
        <w:rPr>
          <w:rFonts w:ascii="Times New Roman" w:hAnsi="Times New Roman" w:cs="Times New Roman" w:eastAsia="Times New Roman" w:hint="default"/>
          <w:spacing w:val="-3"/>
        </w:rPr>
        <w:t>(</w:t>
      </w:r>
      <w:r>
        <w:rPr>
          <w:spacing w:val="-3"/>
        </w:rPr>
        <w:t>或最有利市场</w:t>
      </w:r>
      <w:r>
        <w:rPr>
          <w:rFonts w:ascii="Times New Roman" w:hAnsi="Times New Roman" w:cs="Times New Roman" w:eastAsia="Times New Roman" w:hint="default"/>
          <w:spacing w:val="-3"/>
        </w:rPr>
        <w:t>)</w:t>
      </w:r>
      <w:r>
        <w:rPr>
          <w:spacing w:val="-3"/>
        </w:rPr>
        <w:t>是本公司在计量日能够进入的交</w:t>
      </w:r>
      <w:r>
        <w:rPr>
          <w:spacing w:val="51"/>
        </w:rPr>
        <w:t> </w:t>
      </w:r>
      <w:r>
        <w:rPr>
          <w:spacing w:val="51"/>
        </w:rPr>
      </w:r>
      <w:r>
        <w:rPr/>
        <w:t>易市场。</w:t>
      </w:r>
    </w:p>
    <w:p>
      <w:pPr>
        <w:pStyle w:val="BodyText"/>
        <w:spacing w:line="477" w:lineRule="auto" w:before="59"/>
        <w:ind w:right="1124" w:firstLine="360"/>
        <w:jc w:val="both"/>
      </w:pPr>
      <w:r>
        <w:rPr>
          <w:spacing w:val="-5"/>
          <w:w w:val="101"/>
        </w:rPr>
        <w:t>本公司采用在当前情况下适用并且有足够可利用数据和其他信息支持的估值技术，考虑市场参与者将该资产用于最佳用</w:t>
      </w:r>
      <w:r>
        <w:rPr>
          <w:w w:val="101"/>
        </w:rPr>
        <w:t> </w:t>
      </w:r>
      <w:r>
        <w:rPr>
          <w:spacing w:val="-4"/>
        </w:rPr>
        <w:t>途产生经济利益的能力，或者将该资产出售给能够用于最佳用途的其他市场参与者产生经济利益的能力，优先使用相关可观</w:t>
      </w:r>
      <w:r>
        <w:rPr>
          <w:spacing w:val="44"/>
        </w:rPr>
        <w:t> </w:t>
      </w:r>
      <w:r>
        <w:rPr>
          <w:spacing w:val="44"/>
        </w:rPr>
      </w:r>
      <w:r>
        <w:rPr>
          <w:spacing w:val="-3"/>
        </w:rPr>
        <w:t>察输入值，只有在可观察输入值无法取得或取得不切实可行的情况下，才使用不可观察输入值。</w:t>
      </w:r>
    </w:p>
    <w:p>
      <w:pPr>
        <w:pStyle w:val="BodyText"/>
        <w:spacing w:line="477" w:lineRule="auto" w:before="56"/>
        <w:ind w:right="0" w:firstLine="360"/>
        <w:jc w:val="left"/>
      </w:pPr>
      <w:r>
        <w:rPr>
          <w:spacing w:val="-4"/>
        </w:rPr>
        <w:t>在财务报表中以公允价值计量或披露的资产和负债，根据对公允价值计量整体而言具有重要意义的最低层次输入值，确</w:t>
      </w:r>
      <w:r>
        <w:rPr>
          <w:w w:val="101"/>
        </w:rPr>
        <w:t> </w:t>
      </w:r>
      <w:r>
        <w:rPr>
          <w:spacing w:val="-4"/>
        </w:rPr>
        <w:t>定所属的公允价值层次：第一层次输入值，是在计量日能够取得的相同资产或负债在活跃市场上未经调整的报价；第二层次</w:t>
      </w:r>
      <w:r>
        <w:rPr>
          <w:spacing w:val="43"/>
        </w:rPr>
        <w:t> </w:t>
      </w:r>
      <w:r>
        <w:rPr>
          <w:spacing w:val="43"/>
        </w:rPr>
      </w:r>
      <w:r>
        <w:rPr>
          <w:spacing w:val="-3"/>
        </w:rPr>
        <w:t>输入值，是除第一层次输入值外相关资产或负债直接或间接可观察的输入值，包括：活跃市场中有类似资产或负债的报价；</w:t>
      </w:r>
      <w:r>
        <w:rPr>
          <w:spacing w:val="75"/>
        </w:rPr>
        <w:t> </w:t>
      </w:r>
      <w:r>
        <w:rPr>
          <w:spacing w:val="75"/>
        </w:rPr>
      </w:r>
      <w:r>
        <w:rPr>
          <w:spacing w:val="-4"/>
        </w:rPr>
        <w:t>非活跃市场中相同或类似资产或负债的报价；除报价以外的其他可观察输入值，如在正常报价间隔期间可观察的利益和收益</w:t>
      </w:r>
      <w:r>
        <w:rPr>
          <w:spacing w:val="42"/>
        </w:rPr>
        <w:t> </w:t>
      </w:r>
      <w:r>
        <w:rPr>
          <w:spacing w:val="42"/>
        </w:rPr>
      </w:r>
      <w:r>
        <w:rPr>
          <w:spacing w:val="-8"/>
          <w:w w:val="101"/>
        </w:rPr>
        <w:t>率曲线等；第三层次输入值，是相关资产或负债的不可观察输入值，包括不能直接观察或无法由可观察市场数据验证的利率、</w:t>
      </w:r>
      <w:r>
        <w:rPr>
          <w:spacing w:val="-53"/>
          <w:w w:val="101"/>
        </w:rPr>
        <w:t> </w:t>
      </w:r>
      <w:r>
        <w:rPr>
          <w:spacing w:val="-53"/>
          <w:w w:val="101"/>
        </w:rPr>
      </w:r>
      <w:r>
        <w:rPr>
          <w:spacing w:val="-4"/>
        </w:rPr>
        <w:t>股票波动率、企业合并中承担的弃置义务的未来现金流量、使用自身数据做出的财务预测等。每个资产负债表日，本公司对</w:t>
      </w:r>
    </w:p>
    <w:p>
      <w:pPr>
        <w:pStyle w:val="BodyText"/>
        <w:spacing w:line="240" w:lineRule="auto" w:before="56"/>
        <w:ind w:right="0"/>
        <w:jc w:val="both"/>
      </w:pPr>
      <w:r>
        <w:rPr>
          <w:spacing w:val="-3"/>
        </w:rPr>
        <w:t>在财务报表中确认的持续以公允价值计量的资产和负债进行重新评估，以确定是否在公允价值计量层次之间发生转换。</w:t>
      </w:r>
    </w:p>
    <w:p>
      <w:pPr>
        <w:spacing w:after="0" w:line="240" w:lineRule="auto"/>
        <w:jc w:val="both"/>
        <w:sectPr>
          <w:footerReference w:type="default" r:id="rId28"/>
          <w:pgSz w:w="11910" w:h="16840"/>
          <w:pgMar w:footer="1186" w:header="871" w:top="1100" w:bottom="1380" w:left="980" w:right="0"/>
          <w:pgNumType w:start="116"/>
        </w:sectPr>
      </w:pPr>
    </w:p>
    <w:p>
      <w:pPr>
        <w:spacing w:line="240" w:lineRule="auto" w:before="0"/>
        <w:rPr>
          <w:rFonts w:ascii="宋体" w:hAnsi="宋体" w:cs="宋体" w:eastAsia="宋体" w:hint="default"/>
          <w:sz w:val="21"/>
          <w:szCs w:val="21"/>
        </w:rPr>
      </w:pPr>
    </w:p>
    <w:p>
      <w:pPr>
        <w:pStyle w:val="Heading3"/>
        <w:spacing w:line="240" w:lineRule="auto" w:before="36"/>
        <w:ind w:right="0"/>
        <w:jc w:val="left"/>
        <w:rPr>
          <w:b w:val="0"/>
          <w:bCs w:val="0"/>
        </w:rPr>
      </w:pPr>
      <w:bookmarkStart w:name="12、应收票据" w:id="182"/>
      <w:bookmarkEnd w:id="182"/>
      <w:r>
        <w:rPr>
          <w:b w:val="0"/>
          <w:bCs w:val="0"/>
        </w:rPr>
      </w:r>
      <w:r>
        <w:rPr>
          <w:rFonts w:ascii="Times New Roman" w:hAnsi="Times New Roman" w:cs="Times New Roman" w:eastAsia="Times New Roman" w:hint="default"/>
        </w:rPr>
        <w:t>12</w:t>
      </w:r>
      <w:r>
        <w:rPr/>
        <w:t>、应收票据</w:t>
      </w:r>
      <w:r>
        <w:rPr>
          <w:b w:val="0"/>
          <w:bCs w:val="0"/>
        </w:rPr>
      </w:r>
    </w:p>
    <w:p>
      <w:pPr>
        <w:spacing w:line="240" w:lineRule="auto" w:before="7"/>
        <w:rPr>
          <w:rFonts w:ascii="宋体" w:hAnsi="宋体" w:cs="宋体" w:eastAsia="宋体" w:hint="default"/>
          <w:b/>
          <w:bCs/>
          <w:sz w:val="32"/>
          <w:szCs w:val="32"/>
        </w:rPr>
      </w:pPr>
    </w:p>
    <w:p>
      <w:pPr>
        <w:pStyle w:val="BodyText"/>
        <w:spacing w:line="468" w:lineRule="auto"/>
        <w:ind w:right="1117" w:firstLine="360"/>
        <w:jc w:val="left"/>
      </w:pPr>
      <w:r>
        <w:rPr/>
        <w:pict>
          <v:shape style="position:absolute;margin-left:56.424pt;margin-top:89.021706pt;width:494.15pt;height:63.9pt;mso-position-horizontal-relative:page;mso-position-vertical-relative:paragraph;z-index:155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597"/>
                    <w:gridCol w:w="6271"/>
                  </w:tblGrid>
                  <w:tr>
                    <w:trPr>
                      <w:trHeight w:val="423" w:hRule="exact"/>
                    </w:trPr>
                    <w:tc>
                      <w:tcPr>
                        <w:tcW w:w="359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3"/>
                          <w:ind w:right="0"/>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627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3"/>
                          <w:ind w:left="4" w:right="0"/>
                          <w:jc w:val="center"/>
                          <w:rPr>
                            <w:rFonts w:ascii="宋体" w:hAnsi="宋体" w:cs="宋体" w:eastAsia="宋体" w:hint="default"/>
                            <w:sz w:val="18"/>
                            <w:szCs w:val="18"/>
                          </w:rPr>
                        </w:pPr>
                        <w:r>
                          <w:rPr>
                            <w:rFonts w:ascii="宋体" w:hAnsi="宋体" w:cs="宋体" w:eastAsia="宋体" w:hint="default"/>
                            <w:spacing w:val="-3"/>
                            <w:sz w:val="18"/>
                            <w:szCs w:val="18"/>
                          </w:rPr>
                          <w:t>确定组合的依据</w:t>
                        </w:r>
                      </w:p>
                    </w:tc>
                  </w:tr>
                  <w:tr>
                    <w:trPr>
                      <w:trHeight w:val="422" w:hRule="exact"/>
                    </w:trPr>
                    <w:tc>
                      <w:tcPr>
                        <w:tcW w:w="3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sz w:val="18"/>
                            <w:szCs w:val="18"/>
                          </w:rPr>
                          <w:t>银行承兑汇票组合</w:t>
                        </w:r>
                      </w:p>
                    </w:tc>
                    <w:tc>
                      <w:tcPr>
                        <w:tcW w:w="6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spacing w:val="-3"/>
                            <w:sz w:val="18"/>
                            <w:szCs w:val="18"/>
                          </w:rPr>
                          <w:t>承兑人为信用风险较低的银行</w:t>
                        </w:r>
                      </w:p>
                    </w:tc>
                  </w:tr>
                  <w:tr>
                    <w:trPr>
                      <w:trHeight w:val="422" w:hRule="exact"/>
                    </w:trPr>
                    <w:tc>
                      <w:tcPr>
                        <w:tcW w:w="3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sz w:val="18"/>
                            <w:szCs w:val="18"/>
                          </w:rPr>
                          <w:t>商业承兑汇票组合</w:t>
                        </w:r>
                      </w:p>
                    </w:tc>
                    <w:tc>
                      <w:tcPr>
                        <w:tcW w:w="6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spacing w:val="-3"/>
                            <w:sz w:val="18"/>
                            <w:szCs w:val="18"/>
                          </w:rPr>
                          <w:t>承兑人为信用风险较高的企业</w:t>
                        </w:r>
                      </w:p>
                    </w:tc>
                  </w:tr>
                </w:tbl>
                <w:p>
                  <w:pPr/>
                </w:p>
              </w:txbxContent>
            </v:textbox>
            <w10:wrap type="none"/>
          </v:shape>
        </w:pict>
      </w:r>
      <w:r>
        <w:rPr>
          <w:spacing w:val="-3"/>
        </w:rPr>
        <w:t>本公司按照本附注五、</w:t>
      </w:r>
      <w:r>
        <w:rPr>
          <w:rFonts w:ascii="Times New Roman" w:hAnsi="Times New Roman" w:cs="Times New Roman" w:eastAsia="Times New Roman" w:hint="default"/>
          <w:spacing w:val="-3"/>
        </w:rPr>
        <w:t>10(5)</w:t>
      </w:r>
      <w:r>
        <w:rPr>
          <w:spacing w:val="-3"/>
        </w:rPr>
        <w:t>所述的简化计量方法确定应收票据的预期信用损失并进行会计处理。在资产负债表日，本</w:t>
      </w:r>
      <w:r>
        <w:rPr>
          <w:w w:val="101"/>
        </w:rPr>
        <w:t> </w:t>
      </w:r>
      <w:r>
        <w:rPr>
          <w:spacing w:val="-4"/>
          <w:w w:val="101"/>
        </w:rPr>
        <w:t>公司按应收取的合同现金流量与预期收取的现金流量之间的差额的现值计量应收票据的信用损失。当单项应收票据无法以合</w:t>
      </w:r>
      <w:r>
        <w:rPr>
          <w:w w:val="101"/>
        </w:rPr>
        <w:t> </w:t>
      </w:r>
      <w:r>
        <w:rPr>
          <w:spacing w:val="-4"/>
        </w:rPr>
        <w:t>理成本评估预期信用损失的信息时，本公司根据信用风险特征将应收票据划分为若干组合，参考历史信用损失经验，结合当</w:t>
      </w:r>
      <w:r>
        <w:rPr>
          <w:spacing w:val="43"/>
        </w:rPr>
        <w:t> </w:t>
      </w:r>
      <w:r>
        <w:rPr>
          <w:spacing w:val="43"/>
        </w:rPr>
      </w:r>
      <w:r>
        <w:rPr>
          <w:spacing w:val="-3"/>
        </w:rPr>
        <w:t>前状况并考虑前瞻性信息，在组合基础上估计预期信用损失，确定组合的依据如下：</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4"/>
          <w:szCs w:val="14"/>
        </w:rPr>
      </w:pPr>
    </w:p>
    <w:p>
      <w:pPr>
        <w:pStyle w:val="Heading3"/>
        <w:spacing w:line="240" w:lineRule="auto" w:before="36"/>
        <w:ind w:right="0"/>
        <w:jc w:val="both"/>
        <w:rPr>
          <w:b w:val="0"/>
          <w:bCs w:val="0"/>
        </w:rPr>
      </w:pPr>
      <w:bookmarkStart w:name="13、应收账款" w:id="183"/>
      <w:bookmarkEnd w:id="183"/>
      <w:r>
        <w:rPr>
          <w:b w:val="0"/>
          <w:bCs w:val="0"/>
        </w:rPr>
      </w:r>
      <w:r>
        <w:rPr>
          <w:rFonts w:ascii="Times New Roman" w:hAnsi="Times New Roman" w:cs="Times New Roman" w:eastAsia="Times New Roman" w:hint="default"/>
        </w:rPr>
        <w:t>13</w:t>
      </w:r>
      <w:r>
        <w:rPr/>
        <w:t>、应收账款</w:t>
      </w:r>
      <w:r>
        <w:rPr>
          <w:b w:val="0"/>
          <w:bCs w:val="0"/>
        </w:rPr>
      </w:r>
    </w:p>
    <w:p>
      <w:pPr>
        <w:spacing w:line="240" w:lineRule="auto" w:before="10"/>
        <w:rPr>
          <w:rFonts w:ascii="宋体" w:hAnsi="宋体" w:cs="宋体" w:eastAsia="宋体" w:hint="default"/>
          <w:b/>
          <w:bCs/>
          <w:sz w:val="26"/>
          <w:szCs w:val="26"/>
        </w:rPr>
      </w:pPr>
    </w:p>
    <w:p>
      <w:pPr>
        <w:pStyle w:val="BodyText"/>
        <w:spacing w:line="434" w:lineRule="auto"/>
        <w:ind w:left="513" w:right="0" w:hanging="360"/>
        <w:jc w:val="left"/>
      </w:pPr>
      <w:r>
        <w:rPr>
          <w:spacing w:val="-3"/>
        </w:rPr>
        <w:t>应收账款的预期信用损失的确定方法及会计处理方法</w:t>
      </w:r>
      <w:r>
        <w:rPr>
          <w:spacing w:val="-21"/>
        </w:rPr>
        <w:t> </w:t>
      </w:r>
      <w:r>
        <w:rPr>
          <w:spacing w:val="-21"/>
        </w:rPr>
      </w:r>
      <w:r>
        <w:rPr>
          <w:spacing w:val="-3"/>
        </w:rPr>
        <w:t>本公司按照本附注五、</w:t>
      </w:r>
      <w:r>
        <w:rPr>
          <w:rFonts w:ascii="Times New Roman" w:hAnsi="Times New Roman" w:cs="Times New Roman" w:eastAsia="Times New Roman" w:hint="default"/>
          <w:spacing w:val="-3"/>
        </w:rPr>
        <w:t>10(5)</w:t>
      </w:r>
      <w:r>
        <w:rPr>
          <w:spacing w:val="-3"/>
        </w:rPr>
        <w:t>所述的简化计量方法确定应收账款的预期信用损失并进行会计处理。在资产负债表日，本</w:t>
      </w:r>
    </w:p>
    <w:p>
      <w:pPr>
        <w:pStyle w:val="BodyText"/>
        <w:spacing w:line="477" w:lineRule="auto" w:before="59"/>
        <w:ind w:right="1124"/>
        <w:jc w:val="both"/>
      </w:pPr>
      <w:r>
        <w:rPr>
          <w:spacing w:val="-4"/>
          <w:w w:val="101"/>
        </w:rPr>
        <w:t>公司按应收取的合同现金流量与预期收取的现金流量之间的差额的现值计量应收账款的信用损失。当单项应收账款无法以合</w:t>
      </w:r>
      <w:r>
        <w:rPr>
          <w:w w:val="101"/>
        </w:rPr>
        <w:t> </w:t>
      </w:r>
      <w:r>
        <w:rPr>
          <w:spacing w:val="-4"/>
        </w:rPr>
        <w:t>理成本评估预期信用损失的信息时，本公司根据信用风险特征将应收账款划分为若干组合，参考历史信用损失经验，结合当</w:t>
      </w:r>
      <w:r>
        <w:rPr>
          <w:spacing w:val="43"/>
        </w:rPr>
        <w:t> </w:t>
      </w:r>
      <w:r>
        <w:rPr>
          <w:spacing w:val="43"/>
        </w:rPr>
      </w:r>
      <w:r>
        <w:rPr>
          <w:spacing w:val="-3"/>
        </w:rPr>
        <w:t>前状况并考虑前瞻性信息，在组合基础上估计预期信用损失，确定组合的依据如下：</w:t>
      </w:r>
    </w:p>
    <w:p>
      <w:pPr>
        <w:pStyle w:val="BodyText"/>
        <w:spacing w:line="477" w:lineRule="auto" w:before="52"/>
        <w:ind w:right="1123" w:firstLine="360"/>
        <w:jc w:val="both"/>
      </w:pPr>
      <w:r>
        <w:rPr/>
        <w:pict>
          <v:shape style="position:absolute;margin-left:55.944pt;margin-top:91.611694pt;width:483.8pt;height:109.95pt;mso-position-horizontal-relative:page;mso-position-vertical-relative:paragraph;z-index:157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520"/>
                    <w:gridCol w:w="6142"/>
                  </w:tblGrid>
                  <w:tr>
                    <w:trPr>
                      <w:trHeight w:val="494" w:hRule="exact"/>
                    </w:trPr>
                    <w:tc>
                      <w:tcPr>
                        <w:tcW w:w="352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1"/>
                          <w:ind w:left="364" w:right="0"/>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614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1"/>
                          <w:ind w:left="364" w:right="0"/>
                          <w:jc w:val="center"/>
                          <w:rPr>
                            <w:rFonts w:ascii="宋体" w:hAnsi="宋体" w:cs="宋体" w:eastAsia="宋体" w:hint="default"/>
                            <w:sz w:val="18"/>
                            <w:szCs w:val="18"/>
                          </w:rPr>
                        </w:pPr>
                        <w:r>
                          <w:rPr>
                            <w:rFonts w:ascii="宋体" w:hAnsi="宋体" w:cs="宋体" w:eastAsia="宋体" w:hint="default"/>
                            <w:spacing w:val="-3"/>
                            <w:sz w:val="18"/>
                            <w:szCs w:val="18"/>
                          </w:rPr>
                          <w:t>确定组合的依据</w:t>
                        </w:r>
                      </w:p>
                    </w:tc>
                  </w:tr>
                  <w:tr>
                    <w:trPr>
                      <w:trHeight w:val="428" w:hRule="exact"/>
                    </w:trPr>
                    <w:tc>
                      <w:tcPr>
                        <w:tcW w:w="3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4" w:right="0"/>
                          <w:jc w:val="left"/>
                          <w:rPr>
                            <w:rFonts w:ascii="宋体" w:hAnsi="宋体" w:cs="宋体" w:eastAsia="宋体" w:hint="default"/>
                            <w:sz w:val="18"/>
                            <w:szCs w:val="18"/>
                          </w:rPr>
                        </w:pPr>
                        <w:r>
                          <w:rPr>
                            <w:rFonts w:ascii="宋体" w:hAnsi="宋体" w:cs="宋体" w:eastAsia="宋体" w:hint="default"/>
                            <w:sz w:val="18"/>
                            <w:szCs w:val="18"/>
                          </w:rPr>
                          <w:t>应收账款组合</w:t>
                        </w:r>
                        <w:r>
                          <w:rPr>
                            <w:rFonts w:ascii="宋体" w:hAnsi="宋体" w:cs="宋体" w:eastAsia="宋体" w:hint="default"/>
                            <w:sz w:val="18"/>
                            <w:szCs w:val="18"/>
                          </w:rPr>
                          <w:t>1</w:t>
                        </w:r>
                      </w:p>
                    </w:tc>
                    <w:tc>
                      <w:tcPr>
                        <w:tcW w:w="6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4" w:right="0"/>
                          <w:jc w:val="left"/>
                          <w:rPr>
                            <w:rFonts w:ascii="宋体" w:hAnsi="宋体" w:cs="宋体" w:eastAsia="宋体" w:hint="default"/>
                            <w:sz w:val="18"/>
                            <w:szCs w:val="18"/>
                          </w:rPr>
                        </w:pPr>
                        <w:r>
                          <w:rPr>
                            <w:rFonts w:ascii="宋体" w:hAnsi="宋体" w:cs="宋体" w:eastAsia="宋体" w:hint="default"/>
                            <w:spacing w:val="-3"/>
                            <w:sz w:val="18"/>
                            <w:szCs w:val="18"/>
                          </w:rPr>
                          <w:t>组合</w:t>
                        </w:r>
                        <w:r>
                          <w:rPr>
                            <w:rFonts w:ascii="宋体" w:hAnsi="宋体" w:cs="宋体" w:eastAsia="宋体" w:hint="default"/>
                            <w:spacing w:val="-3"/>
                            <w:sz w:val="18"/>
                            <w:szCs w:val="18"/>
                          </w:rPr>
                          <w:t>1</w:t>
                        </w:r>
                        <w:r>
                          <w:rPr>
                            <w:rFonts w:ascii="宋体" w:hAnsi="宋体" w:cs="宋体" w:eastAsia="宋体" w:hint="default"/>
                            <w:spacing w:val="-3"/>
                            <w:sz w:val="18"/>
                            <w:szCs w:val="18"/>
                          </w:rPr>
                          <w:t>：金融信息化业务类款项</w:t>
                        </w:r>
                      </w:p>
                    </w:tc>
                  </w:tr>
                  <w:tr>
                    <w:trPr>
                      <w:trHeight w:val="422" w:hRule="exact"/>
                    </w:trPr>
                    <w:tc>
                      <w:tcPr>
                        <w:tcW w:w="3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sz w:val="18"/>
                            <w:szCs w:val="18"/>
                          </w:rPr>
                          <w:t>应收账款组合</w:t>
                        </w:r>
                        <w:r>
                          <w:rPr>
                            <w:rFonts w:ascii="宋体" w:hAnsi="宋体" w:cs="宋体" w:eastAsia="宋体" w:hint="default"/>
                            <w:sz w:val="18"/>
                            <w:szCs w:val="18"/>
                          </w:rPr>
                          <w:t>2</w:t>
                        </w:r>
                      </w:p>
                    </w:tc>
                    <w:tc>
                      <w:tcPr>
                        <w:tcW w:w="6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sz w:val="18"/>
                            <w:szCs w:val="18"/>
                          </w:rPr>
                          <w:t>组合</w:t>
                        </w:r>
                        <w:r>
                          <w:rPr>
                            <w:rFonts w:ascii="宋体" w:hAnsi="宋体" w:cs="宋体" w:eastAsia="宋体" w:hint="default"/>
                            <w:sz w:val="18"/>
                            <w:szCs w:val="18"/>
                          </w:rPr>
                          <w:t>2</w:t>
                        </w:r>
                        <w:r>
                          <w:rPr>
                            <w:rFonts w:ascii="宋体" w:hAnsi="宋体" w:cs="宋体" w:eastAsia="宋体" w:hint="default"/>
                            <w:sz w:val="18"/>
                            <w:szCs w:val="18"/>
                          </w:rPr>
                          <w:t>：移动信息服务业务类款项</w:t>
                        </w:r>
                      </w:p>
                    </w:tc>
                  </w:tr>
                  <w:tr>
                    <w:trPr>
                      <w:trHeight w:val="422" w:hRule="exact"/>
                    </w:trPr>
                    <w:tc>
                      <w:tcPr>
                        <w:tcW w:w="3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sz w:val="18"/>
                            <w:szCs w:val="18"/>
                          </w:rPr>
                          <w:t>应收账款组合</w:t>
                        </w:r>
                        <w:r>
                          <w:rPr>
                            <w:rFonts w:ascii="宋体" w:hAnsi="宋体" w:cs="宋体" w:eastAsia="宋体" w:hint="default"/>
                            <w:sz w:val="18"/>
                            <w:szCs w:val="18"/>
                          </w:rPr>
                          <w:t>3</w:t>
                        </w:r>
                      </w:p>
                    </w:tc>
                    <w:tc>
                      <w:tcPr>
                        <w:tcW w:w="6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sz w:val="18"/>
                            <w:szCs w:val="18"/>
                          </w:rPr>
                          <w:t>组合</w:t>
                        </w:r>
                        <w:r>
                          <w:rPr>
                            <w:rFonts w:ascii="宋体" w:hAnsi="宋体" w:cs="宋体" w:eastAsia="宋体" w:hint="default"/>
                            <w:sz w:val="18"/>
                            <w:szCs w:val="18"/>
                          </w:rPr>
                          <w:t>3</w:t>
                        </w:r>
                        <w:r>
                          <w:rPr>
                            <w:rFonts w:ascii="宋体" w:hAnsi="宋体" w:cs="宋体" w:eastAsia="宋体" w:hint="default"/>
                            <w:sz w:val="18"/>
                            <w:szCs w:val="18"/>
                          </w:rPr>
                          <w:t>：电子商务业务类款项</w:t>
                        </w:r>
                      </w:p>
                    </w:tc>
                  </w:tr>
                  <w:tr>
                    <w:trPr>
                      <w:trHeight w:val="422" w:hRule="exact"/>
                    </w:trPr>
                    <w:tc>
                      <w:tcPr>
                        <w:tcW w:w="3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sz w:val="18"/>
                            <w:szCs w:val="18"/>
                          </w:rPr>
                          <w:t>应收账款组合</w:t>
                        </w:r>
                        <w:r>
                          <w:rPr>
                            <w:rFonts w:ascii="宋体" w:hAnsi="宋体" w:cs="宋体" w:eastAsia="宋体" w:hint="default"/>
                            <w:sz w:val="18"/>
                            <w:szCs w:val="18"/>
                          </w:rPr>
                          <w:t>4</w:t>
                        </w:r>
                      </w:p>
                    </w:tc>
                    <w:tc>
                      <w:tcPr>
                        <w:tcW w:w="6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spacing w:val="-3"/>
                            <w:sz w:val="18"/>
                            <w:szCs w:val="18"/>
                          </w:rPr>
                          <w:t>组合</w:t>
                        </w:r>
                        <w:r>
                          <w:rPr>
                            <w:rFonts w:ascii="宋体" w:hAnsi="宋体" w:cs="宋体" w:eastAsia="宋体" w:hint="default"/>
                            <w:spacing w:val="-3"/>
                            <w:sz w:val="18"/>
                            <w:szCs w:val="18"/>
                          </w:rPr>
                          <w:t>4</w:t>
                        </w:r>
                        <w:r>
                          <w:rPr>
                            <w:rFonts w:ascii="宋体" w:hAnsi="宋体" w:cs="宋体" w:eastAsia="宋体" w:hint="default"/>
                            <w:spacing w:val="-3"/>
                            <w:sz w:val="18"/>
                            <w:szCs w:val="18"/>
                          </w:rPr>
                          <w:t>：合并范围内关联方款项</w:t>
                        </w:r>
                      </w:p>
                    </w:tc>
                  </w:tr>
                </w:tbl>
                <w:p>
                  <w:pPr/>
                </w:p>
              </w:txbxContent>
            </v:textbox>
            <w10:wrap type="none"/>
          </v:shape>
        </w:pict>
      </w:r>
      <w:r>
        <w:rPr>
          <w:spacing w:val="-5"/>
          <w:w w:val="101"/>
        </w:rPr>
        <w:t>当单项应收票据及应收账款无法以合理成本评估预期信用损失的信息时，本公司依据信用风险特征将应收票据及应收账</w:t>
      </w:r>
      <w:r>
        <w:rPr>
          <w:w w:val="101"/>
        </w:rPr>
        <w:t> </w:t>
      </w:r>
      <w:r>
        <w:rPr>
          <w:spacing w:val="-4"/>
        </w:rPr>
        <w:t>款划分为若干组合，在组合基础上计算预期信用损失。如果有客观证据表明某项应收票据及应收账款已经发生信用减值，则</w:t>
      </w:r>
      <w:r>
        <w:rPr>
          <w:spacing w:val="43"/>
        </w:rPr>
        <w:t> </w:t>
      </w:r>
      <w:r>
        <w:rPr>
          <w:spacing w:val="43"/>
        </w:rPr>
      </w:r>
      <w:r>
        <w:rPr>
          <w:spacing w:val="-4"/>
        </w:rPr>
        <w:t>本公司对该应收票据及应收账款单项计提坏准备并确认预期信用损失。对于划分为组合的应收票据及应收账款，本公司参考</w:t>
      </w:r>
      <w:r>
        <w:rPr>
          <w:spacing w:val="38"/>
        </w:rPr>
        <w:t> </w:t>
      </w:r>
      <w:r>
        <w:rPr>
          <w:spacing w:val="38"/>
        </w:rPr>
      </w:r>
      <w:r>
        <w:rPr>
          <w:spacing w:val="-3"/>
        </w:rPr>
        <w:t>历史信用损失经验， </w:t>
      </w:r>
      <w:r>
        <w:rPr>
          <w:spacing w:val="70"/>
        </w:rPr>
        <w:t> </w:t>
      </w:r>
      <w:r>
        <w:rPr>
          <w:spacing w:val="-3"/>
        </w:rPr>
        <w:t>结合当前状况以及对未来经济状况的预测，在组合基础上计算预期信用损失，确定组合的依据如下：</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4"/>
          <w:szCs w:val="24"/>
        </w:rPr>
      </w:pPr>
    </w:p>
    <w:p>
      <w:pPr>
        <w:pStyle w:val="Heading3"/>
        <w:spacing w:line="240" w:lineRule="auto" w:before="36"/>
        <w:ind w:right="0"/>
        <w:jc w:val="left"/>
        <w:rPr>
          <w:b w:val="0"/>
          <w:bCs w:val="0"/>
        </w:rPr>
      </w:pPr>
      <w:bookmarkStart w:name="14、应收款项融资" w:id="184"/>
      <w:bookmarkEnd w:id="184"/>
      <w:r>
        <w:rPr>
          <w:b w:val="0"/>
          <w:bCs w:val="0"/>
        </w:rPr>
      </w:r>
      <w:r>
        <w:rPr>
          <w:rFonts w:ascii="Times New Roman" w:hAnsi="Times New Roman" w:cs="Times New Roman" w:eastAsia="Times New Roman" w:hint="default"/>
        </w:rPr>
        <w:t>14</w:t>
      </w:r>
      <w:r>
        <w:rPr/>
        <w:t>、应收款项融资</w:t>
      </w:r>
      <w:r>
        <w:rPr>
          <w:b w:val="0"/>
          <w:bCs w:val="0"/>
        </w:rPr>
      </w:r>
    </w:p>
    <w:p>
      <w:pPr>
        <w:spacing w:line="240" w:lineRule="auto" w:before="7"/>
        <w:rPr>
          <w:rFonts w:ascii="宋体" w:hAnsi="宋体" w:cs="宋体" w:eastAsia="宋体" w:hint="default"/>
          <w:b/>
          <w:bCs/>
          <w:sz w:val="32"/>
          <w:szCs w:val="32"/>
        </w:rPr>
      </w:pPr>
    </w:p>
    <w:p>
      <w:pPr>
        <w:pStyle w:val="BodyText"/>
        <w:spacing w:line="475" w:lineRule="auto"/>
        <w:ind w:right="935" w:firstLine="360"/>
        <w:jc w:val="left"/>
      </w:pPr>
      <w:r>
        <w:rPr>
          <w:spacing w:val="-4"/>
          <w:w w:val="101"/>
        </w:rPr>
        <w:t>当应收票据和应收账款同时满足以下条件时，本公司将其划分为以公允价值计量且其变动计入其他综合收益的金融资产，</w:t>
      </w:r>
      <w:r>
        <w:rPr>
          <w:w w:val="101"/>
        </w:rPr>
        <w:t> </w:t>
      </w:r>
      <w:r>
        <w:rPr>
          <w:spacing w:val="-3"/>
        </w:rPr>
        <w:t>在报表中列示为应收款项融资：</w:t>
      </w:r>
    </w:p>
    <w:p>
      <w:pPr>
        <w:pStyle w:val="BodyText"/>
        <w:spacing w:line="448" w:lineRule="auto" w:before="59"/>
        <w:ind w:left="513" w:right="0"/>
        <w:jc w:val="left"/>
      </w:pPr>
      <w:r>
        <w:rPr>
          <w:rFonts w:ascii="Times New Roman" w:hAnsi="Times New Roman" w:cs="Times New Roman" w:eastAsia="Times New Roman" w:hint="default"/>
          <w:spacing w:val="-3"/>
        </w:rPr>
        <w:t>(1)</w:t>
      </w:r>
      <w:r>
        <w:rPr>
          <w:spacing w:val="-3"/>
        </w:rPr>
        <w:t>合同现金流量为对本金和以未偿付本金金额为基础的利息的支付；</w:t>
      </w:r>
      <w:r>
        <w:rPr>
          <w:spacing w:val="6"/>
        </w:rPr>
        <w:t> </w:t>
      </w:r>
      <w:r>
        <w:rPr>
          <w:spacing w:val="6"/>
        </w:rPr>
      </w:r>
      <w:r>
        <w:rPr>
          <w:rFonts w:ascii="Times New Roman" w:hAnsi="Times New Roman" w:cs="Times New Roman" w:eastAsia="Times New Roman" w:hint="default"/>
          <w:spacing w:val="-3"/>
        </w:rPr>
        <w:t>(2)</w:t>
      </w:r>
      <w:r>
        <w:rPr>
          <w:spacing w:val="-3"/>
        </w:rPr>
        <w:t>本公司管理应收票据和应收账款的业务模式既以收取合同现金流量为目标又以出售为目标。</w:t>
      </w:r>
    </w:p>
    <w:p>
      <w:pPr>
        <w:spacing w:after="0" w:line="448" w:lineRule="auto"/>
        <w:jc w:val="left"/>
        <w:sectPr>
          <w:pgSz w:w="11910" w:h="16840"/>
          <w:pgMar w:header="871" w:footer="1186" w:top="1100" w:bottom="1380" w:left="980" w:right="0"/>
        </w:sectPr>
      </w:pPr>
    </w:p>
    <w:p>
      <w:pPr>
        <w:spacing w:line="240" w:lineRule="auto" w:before="1"/>
        <w:rPr>
          <w:rFonts w:ascii="宋体" w:hAnsi="宋体" w:cs="宋体" w:eastAsia="宋体" w:hint="default"/>
          <w:sz w:val="28"/>
          <w:szCs w:val="28"/>
        </w:rPr>
      </w:pPr>
    </w:p>
    <w:p>
      <w:pPr>
        <w:pStyle w:val="BodyText"/>
        <w:spacing w:line="475" w:lineRule="auto" w:before="46"/>
        <w:ind w:right="0" w:firstLine="360"/>
        <w:jc w:val="left"/>
      </w:pPr>
      <w:r>
        <w:rPr>
          <w:spacing w:val="-4"/>
        </w:rPr>
        <w:t>应收款项融资采用实际利率法确认的利息收入、减值损失及汇兑差额确认为当期损益，其余公允价值变动计入其他综合</w:t>
      </w:r>
      <w:r>
        <w:rPr>
          <w:w w:val="101"/>
        </w:rPr>
        <w:t> </w:t>
      </w:r>
      <w:r>
        <w:rPr>
          <w:spacing w:val="-3"/>
        </w:rPr>
        <w:t>收益。终止确认时，之前计入其他综合收益的累计利得或损失从其他综合收益转出，计入当期损益。</w:t>
      </w:r>
    </w:p>
    <w:p>
      <w:pPr>
        <w:pStyle w:val="BodyText"/>
        <w:spacing w:line="448" w:lineRule="auto" w:before="59"/>
        <w:ind w:right="0" w:firstLine="360"/>
        <w:jc w:val="left"/>
      </w:pPr>
      <w:r>
        <w:rPr>
          <w:spacing w:val="-3"/>
        </w:rPr>
        <w:t>应收款项融资参考历史信用损失经验，结合当前状况以及对未来经济状况的预测，通过违约风险敞口和未来 </w:t>
      </w:r>
      <w:r>
        <w:rPr>
          <w:rFonts w:ascii="Times New Roman" w:hAnsi="Times New Roman" w:cs="Times New Roman" w:eastAsia="Times New Roman" w:hint="default"/>
          <w:spacing w:val="-3"/>
        </w:rPr>
        <w:t>12</w:t>
      </w:r>
      <w:r>
        <w:rPr>
          <w:rFonts w:ascii="Times New Roman" w:hAnsi="Times New Roman" w:cs="Times New Roman" w:eastAsia="Times New Roman" w:hint="default"/>
          <w:spacing w:val="28"/>
        </w:rPr>
        <w:t> </w:t>
      </w:r>
      <w:r>
        <w:rPr/>
        <w:t>个月内</w:t>
      </w:r>
      <w:r>
        <w:rPr>
          <w:w w:val="101"/>
        </w:rPr>
        <w:t> </w:t>
      </w:r>
      <w:r>
        <w:rPr>
          <w:spacing w:val="-3"/>
        </w:rPr>
        <w:t>或整个存续期预期信用损失率，计算预期信用损失。</w:t>
      </w:r>
    </w:p>
    <w:p>
      <w:pPr>
        <w:spacing w:line="240" w:lineRule="auto" w:before="12"/>
        <w:rPr>
          <w:rFonts w:ascii="宋体" w:hAnsi="宋体" w:cs="宋体" w:eastAsia="宋体" w:hint="default"/>
          <w:sz w:val="20"/>
          <w:szCs w:val="20"/>
        </w:rPr>
      </w:pPr>
    </w:p>
    <w:p>
      <w:pPr>
        <w:pStyle w:val="Heading3"/>
        <w:spacing w:line="240" w:lineRule="auto"/>
        <w:ind w:right="0"/>
        <w:jc w:val="both"/>
        <w:rPr>
          <w:b w:val="0"/>
          <w:bCs w:val="0"/>
        </w:rPr>
      </w:pPr>
      <w:bookmarkStart w:name="15、其他应收款" w:id="185"/>
      <w:bookmarkEnd w:id="185"/>
      <w:r>
        <w:rPr>
          <w:b w:val="0"/>
          <w:bCs w:val="0"/>
        </w:rPr>
      </w:r>
      <w:r>
        <w:rPr>
          <w:rFonts w:ascii="Times New Roman" w:hAnsi="Times New Roman" w:cs="Times New Roman" w:eastAsia="Times New Roman" w:hint="default"/>
        </w:rPr>
        <w:t>15</w:t>
      </w:r>
      <w:r>
        <w:rPr/>
        <w:t>、其他应收款</w:t>
      </w:r>
      <w:r>
        <w:rPr>
          <w:b w:val="0"/>
          <w:bCs w:val="0"/>
        </w:rPr>
      </w:r>
    </w:p>
    <w:p>
      <w:pPr>
        <w:spacing w:line="240" w:lineRule="auto" w:before="9"/>
        <w:rPr>
          <w:rFonts w:ascii="宋体" w:hAnsi="宋体" w:cs="宋体" w:eastAsia="宋体" w:hint="default"/>
          <w:b/>
          <w:bCs/>
          <w:sz w:val="26"/>
          <w:szCs w:val="26"/>
        </w:rPr>
      </w:pPr>
    </w:p>
    <w:p>
      <w:pPr>
        <w:pStyle w:val="BodyText"/>
        <w:spacing w:line="439" w:lineRule="auto"/>
        <w:ind w:left="513" w:right="0" w:hanging="360"/>
        <w:jc w:val="left"/>
      </w:pPr>
      <w:r>
        <w:rPr>
          <w:spacing w:val="-3"/>
        </w:rPr>
        <w:t>其他应收款的预期信用损失的确定方法及会计处理方法</w:t>
      </w:r>
      <w:r>
        <w:rPr>
          <w:spacing w:val="-16"/>
        </w:rPr>
        <w:t> </w:t>
      </w:r>
      <w:r>
        <w:rPr>
          <w:spacing w:val="-16"/>
        </w:rPr>
      </w:r>
      <w:r>
        <w:rPr>
          <w:spacing w:val="-3"/>
        </w:rPr>
        <w:t>本公司按照本附注五、</w:t>
      </w:r>
      <w:r>
        <w:rPr>
          <w:rFonts w:ascii="Times New Roman" w:hAnsi="Times New Roman" w:cs="Times New Roman" w:eastAsia="Times New Roman" w:hint="default"/>
          <w:spacing w:val="-3"/>
        </w:rPr>
        <w:t>10(5)</w:t>
      </w:r>
      <w:r>
        <w:rPr>
          <w:spacing w:val="-3"/>
        </w:rPr>
        <w:t>所述的一般方法确定其他应收款的预期信用损失并进行会计处理。在资产负债表日，本公</w:t>
      </w:r>
    </w:p>
    <w:p>
      <w:pPr>
        <w:pStyle w:val="BodyText"/>
        <w:spacing w:line="477" w:lineRule="auto" w:before="51"/>
        <w:ind w:right="1124"/>
        <w:jc w:val="both"/>
      </w:pPr>
      <w:r>
        <w:rPr/>
        <w:pict>
          <v:shape style="position:absolute;margin-left:56.424pt;margin-top:68.291710pt;width:494.15pt;height:105.9pt;mso-position-horizontal-relative:page;mso-position-vertical-relative:paragraph;z-index:160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062"/>
                    <w:gridCol w:w="5806"/>
                  </w:tblGrid>
                  <w:tr>
                    <w:trPr>
                      <w:trHeight w:val="422" w:hRule="exact"/>
                    </w:trPr>
                    <w:tc>
                      <w:tcPr>
                        <w:tcW w:w="406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3"/>
                          <w:ind w:left="4" w:right="0"/>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580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3"/>
                          <w:ind w:left="8" w:right="0"/>
                          <w:jc w:val="center"/>
                          <w:rPr>
                            <w:rFonts w:ascii="宋体" w:hAnsi="宋体" w:cs="宋体" w:eastAsia="宋体" w:hint="default"/>
                            <w:sz w:val="18"/>
                            <w:szCs w:val="18"/>
                          </w:rPr>
                        </w:pPr>
                        <w:r>
                          <w:rPr>
                            <w:rFonts w:ascii="宋体" w:hAnsi="宋体" w:cs="宋体" w:eastAsia="宋体" w:hint="default"/>
                            <w:spacing w:val="-3"/>
                            <w:sz w:val="18"/>
                            <w:szCs w:val="18"/>
                          </w:rPr>
                          <w:t>确定组合的依据</w:t>
                        </w:r>
                      </w:p>
                    </w:tc>
                  </w:tr>
                  <w:tr>
                    <w:trPr>
                      <w:trHeight w:val="418" w:hRule="exact"/>
                    </w:trPr>
                    <w:tc>
                      <w:tcPr>
                        <w:tcW w:w="4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其他应收账款组合</w:t>
                        </w:r>
                        <w:r>
                          <w:rPr>
                            <w:rFonts w:ascii="Times New Roman" w:hAnsi="Times New Roman" w:cs="Times New Roman" w:eastAsia="Times New Roman" w:hint="default"/>
                            <w:sz w:val="18"/>
                            <w:szCs w:val="18"/>
                          </w:rPr>
                          <w:t>1</w:t>
                        </w:r>
                      </w:p>
                    </w:tc>
                    <w:tc>
                      <w:tcPr>
                        <w:tcW w:w="5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9" w:right="0"/>
                          <w:jc w:val="left"/>
                          <w:rPr>
                            <w:rFonts w:ascii="宋体" w:hAnsi="宋体" w:cs="宋体" w:eastAsia="宋体" w:hint="default"/>
                            <w:sz w:val="18"/>
                            <w:szCs w:val="18"/>
                          </w:rPr>
                        </w:pPr>
                        <w:r>
                          <w:rPr>
                            <w:rFonts w:ascii="宋体" w:hAnsi="宋体" w:cs="宋体" w:eastAsia="宋体" w:hint="default"/>
                            <w:sz w:val="18"/>
                            <w:szCs w:val="18"/>
                          </w:rPr>
                          <w:t>其他往来款</w:t>
                        </w:r>
                      </w:p>
                    </w:tc>
                  </w:tr>
                  <w:tr>
                    <w:trPr>
                      <w:trHeight w:val="423" w:hRule="exact"/>
                    </w:trPr>
                    <w:tc>
                      <w:tcPr>
                        <w:tcW w:w="4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其他应收账款组合</w:t>
                        </w:r>
                        <w:r>
                          <w:rPr>
                            <w:rFonts w:ascii="Times New Roman" w:hAnsi="Times New Roman" w:cs="Times New Roman" w:eastAsia="Times New Roman" w:hint="default"/>
                            <w:sz w:val="18"/>
                            <w:szCs w:val="18"/>
                          </w:rPr>
                          <w:t>2</w:t>
                        </w:r>
                      </w:p>
                    </w:tc>
                    <w:tc>
                      <w:tcPr>
                        <w:tcW w:w="5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9" w:right="0"/>
                          <w:jc w:val="left"/>
                          <w:rPr>
                            <w:rFonts w:ascii="宋体" w:hAnsi="宋体" w:cs="宋体" w:eastAsia="宋体" w:hint="default"/>
                            <w:sz w:val="18"/>
                            <w:szCs w:val="18"/>
                          </w:rPr>
                        </w:pPr>
                        <w:r>
                          <w:rPr>
                            <w:rFonts w:ascii="宋体" w:hAnsi="宋体" w:cs="宋体" w:eastAsia="宋体" w:hint="default"/>
                            <w:sz w:val="18"/>
                            <w:szCs w:val="18"/>
                          </w:rPr>
                          <w:t>保证金及押金</w:t>
                        </w:r>
                      </w:p>
                    </w:tc>
                  </w:tr>
                  <w:tr>
                    <w:trPr>
                      <w:trHeight w:val="422" w:hRule="exact"/>
                    </w:trPr>
                    <w:tc>
                      <w:tcPr>
                        <w:tcW w:w="4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其他应收账款组合</w:t>
                        </w:r>
                        <w:r>
                          <w:rPr>
                            <w:rFonts w:ascii="Times New Roman" w:hAnsi="Times New Roman" w:cs="Times New Roman" w:eastAsia="Times New Roman" w:hint="default"/>
                            <w:sz w:val="18"/>
                            <w:szCs w:val="18"/>
                          </w:rPr>
                          <w:t>3</w:t>
                        </w:r>
                      </w:p>
                    </w:tc>
                    <w:tc>
                      <w:tcPr>
                        <w:tcW w:w="5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9" w:right="0"/>
                          <w:jc w:val="left"/>
                          <w:rPr>
                            <w:rFonts w:ascii="宋体" w:hAnsi="宋体" w:cs="宋体" w:eastAsia="宋体" w:hint="default"/>
                            <w:sz w:val="18"/>
                            <w:szCs w:val="18"/>
                          </w:rPr>
                        </w:pPr>
                        <w:r>
                          <w:rPr>
                            <w:rFonts w:ascii="宋体" w:hAnsi="宋体" w:cs="宋体" w:eastAsia="宋体" w:hint="default"/>
                            <w:spacing w:val="-3"/>
                            <w:sz w:val="18"/>
                            <w:szCs w:val="18"/>
                          </w:rPr>
                          <w:t>退税款、政府补贴款</w:t>
                        </w:r>
                      </w:p>
                    </w:tc>
                  </w:tr>
                  <w:tr>
                    <w:trPr>
                      <w:trHeight w:val="422" w:hRule="exact"/>
                    </w:trPr>
                    <w:tc>
                      <w:tcPr>
                        <w:tcW w:w="4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其他应收账款组合</w:t>
                        </w:r>
                        <w:r>
                          <w:rPr>
                            <w:rFonts w:ascii="Times New Roman" w:hAnsi="Times New Roman" w:cs="Times New Roman" w:eastAsia="Times New Roman" w:hint="default"/>
                            <w:sz w:val="18"/>
                            <w:szCs w:val="18"/>
                          </w:rPr>
                          <w:t>4</w:t>
                        </w:r>
                      </w:p>
                    </w:tc>
                    <w:tc>
                      <w:tcPr>
                        <w:tcW w:w="5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9" w:right="0"/>
                          <w:jc w:val="left"/>
                          <w:rPr>
                            <w:rFonts w:ascii="宋体" w:hAnsi="宋体" w:cs="宋体" w:eastAsia="宋体" w:hint="default"/>
                            <w:sz w:val="18"/>
                            <w:szCs w:val="18"/>
                          </w:rPr>
                        </w:pPr>
                        <w:r>
                          <w:rPr>
                            <w:rFonts w:ascii="宋体" w:hAnsi="宋体" w:cs="宋体" w:eastAsia="宋体" w:hint="default"/>
                            <w:sz w:val="18"/>
                            <w:szCs w:val="18"/>
                          </w:rPr>
                          <w:t>合并范围内关联方款项</w:t>
                        </w:r>
                      </w:p>
                    </w:tc>
                  </w:tr>
                </w:tbl>
                <w:p>
                  <w:pPr/>
                </w:p>
              </w:txbxContent>
            </v:textbox>
            <w10:wrap type="none"/>
          </v:shape>
        </w:pict>
      </w:r>
      <w:r>
        <w:rPr>
          <w:spacing w:val="-4"/>
          <w:w w:val="101"/>
        </w:rPr>
        <w:t>司按应收取的合同现金流量与预期收取的现金流量之间的差额的现值计量其他应收款的信用损失。当单项其他应收款无法以</w:t>
      </w:r>
      <w:r>
        <w:rPr>
          <w:w w:val="101"/>
        </w:rPr>
        <w:t> </w:t>
      </w:r>
      <w:r>
        <w:rPr>
          <w:spacing w:val="-4"/>
        </w:rPr>
        <w:t>合理成本评估预期信用损失的信息时，本公司根据信用风险特征将其他应收款划分为若干组合，参考历史信用损失经验，结</w:t>
      </w:r>
      <w:r>
        <w:rPr>
          <w:spacing w:val="43"/>
        </w:rPr>
        <w:t> </w:t>
      </w:r>
      <w:r>
        <w:rPr>
          <w:spacing w:val="43"/>
        </w:rPr>
      </w:r>
      <w:r>
        <w:rPr>
          <w:spacing w:val="-3"/>
        </w:rPr>
        <w:t>合当前状况并考虑前瞻性信息，在组合基础上估计预期信用损失，确定组合的依据如下：</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8"/>
          <w:szCs w:val="18"/>
        </w:rPr>
      </w:pPr>
    </w:p>
    <w:p>
      <w:pPr>
        <w:pStyle w:val="Heading3"/>
        <w:spacing w:line="240" w:lineRule="auto" w:before="36"/>
        <w:ind w:right="0"/>
        <w:jc w:val="left"/>
        <w:rPr>
          <w:b w:val="0"/>
          <w:bCs w:val="0"/>
        </w:rPr>
      </w:pPr>
      <w:bookmarkStart w:name="16、存货" w:id="186"/>
      <w:bookmarkEnd w:id="186"/>
      <w:r>
        <w:rPr>
          <w:b w:val="0"/>
          <w:bCs w:val="0"/>
        </w:rPr>
      </w:r>
      <w:r>
        <w:rPr>
          <w:rFonts w:ascii="Times New Roman" w:hAnsi="Times New Roman" w:cs="Times New Roman" w:eastAsia="Times New Roman" w:hint="default"/>
        </w:rPr>
        <w:t>16</w:t>
      </w:r>
      <w:r>
        <w:rPr/>
        <w:t>、存货</w:t>
      </w:r>
      <w:r>
        <w:rPr>
          <w:b w:val="0"/>
          <w:bCs w:val="0"/>
        </w:rPr>
      </w:r>
    </w:p>
    <w:p>
      <w:pPr>
        <w:spacing w:line="240" w:lineRule="auto" w:before="12"/>
        <w:rPr>
          <w:rFonts w:ascii="宋体" w:hAnsi="宋体" w:cs="宋体" w:eastAsia="宋体" w:hint="default"/>
          <w:b/>
          <w:bCs/>
          <w:sz w:val="32"/>
          <w:szCs w:val="32"/>
        </w:rPr>
      </w:pPr>
    </w:p>
    <w:p>
      <w:pPr>
        <w:pStyle w:val="BodyText"/>
        <w:spacing w:line="451" w:lineRule="auto"/>
        <w:ind w:left="513" w:right="3848"/>
        <w:jc w:val="left"/>
      </w:pPr>
      <w:r>
        <w:rPr>
          <w:rFonts w:ascii="Times New Roman" w:hAnsi="Times New Roman" w:cs="Times New Roman" w:eastAsia="Times New Roman" w:hint="default"/>
          <w:spacing w:val="-3"/>
        </w:rPr>
        <w:t>(1)</w:t>
      </w:r>
      <w:r>
        <w:rPr>
          <w:spacing w:val="-3"/>
        </w:rPr>
        <w:t>存货主要包括库存商品、原材料、委托加工物资、在产品、发出商品等。</w:t>
      </w:r>
      <w:r>
        <w:rPr>
          <w:spacing w:val="17"/>
        </w:rPr>
        <w:t> </w:t>
      </w:r>
      <w:r>
        <w:rPr>
          <w:spacing w:val="17"/>
        </w:rPr>
      </w:r>
      <w:r>
        <w:rPr>
          <w:rFonts w:ascii="Times New Roman" w:hAnsi="Times New Roman" w:cs="Times New Roman" w:eastAsia="Times New Roman" w:hint="default"/>
          <w:spacing w:val="-3"/>
        </w:rPr>
        <w:t>(2)</w:t>
      </w:r>
      <w:r>
        <w:rPr>
          <w:spacing w:val="-3"/>
        </w:rPr>
        <w:t>存货在取得时按实际成本计价，存货成本包括采购成本、加工成本和其他成本。</w:t>
      </w:r>
      <w:r>
        <w:rPr>
          <w:spacing w:val="23"/>
        </w:rPr>
        <w:t> </w:t>
      </w:r>
      <w:r>
        <w:rPr>
          <w:spacing w:val="23"/>
        </w:rPr>
      </w:r>
      <w:r>
        <w:rPr>
          <w:rFonts w:ascii="Times New Roman" w:hAnsi="Times New Roman" w:cs="Times New Roman" w:eastAsia="Times New Roman" w:hint="default"/>
          <w:spacing w:val="-3"/>
        </w:rPr>
        <w:t>(3)</w:t>
      </w:r>
      <w:r>
        <w:rPr>
          <w:spacing w:val="-3"/>
        </w:rPr>
        <w:t>企业发出存货的成本计量采用加权平均法核算。</w:t>
      </w:r>
      <w:r>
        <w:rPr>
          <w:spacing w:val="-17"/>
        </w:rPr>
        <w:t> </w:t>
      </w:r>
      <w:r>
        <w:rPr>
          <w:spacing w:val="-17"/>
        </w:rPr>
      </w:r>
      <w:r>
        <w:rPr>
          <w:rFonts w:ascii="Times New Roman" w:hAnsi="Times New Roman" w:cs="Times New Roman" w:eastAsia="Times New Roman" w:hint="default"/>
        </w:rPr>
        <w:t>(4)</w:t>
      </w:r>
      <w:r>
        <w:rPr/>
        <w:t>低值易耗品和包装物的摊销方法</w:t>
      </w:r>
    </w:p>
    <w:p>
      <w:pPr>
        <w:pStyle w:val="BodyText"/>
        <w:spacing w:line="475" w:lineRule="auto" w:before="46"/>
        <w:ind w:left="513" w:right="6680"/>
        <w:jc w:val="left"/>
      </w:pPr>
      <w:r>
        <w:rPr>
          <w:spacing w:val="-3"/>
        </w:rPr>
        <w:t>低值易耗品按照一次转销法进行摊销。</w:t>
      </w:r>
      <w:r>
        <w:rPr>
          <w:spacing w:val="-39"/>
        </w:rPr>
        <w:t> </w:t>
      </w:r>
      <w:r>
        <w:rPr>
          <w:spacing w:val="-39"/>
        </w:rPr>
      </w:r>
      <w:r>
        <w:rPr>
          <w:spacing w:val="-3"/>
        </w:rPr>
        <w:t>包装物按照一次转销法进行摊销。</w:t>
      </w:r>
    </w:p>
    <w:p>
      <w:pPr>
        <w:pStyle w:val="BodyText"/>
        <w:spacing w:line="468" w:lineRule="auto" w:before="58"/>
        <w:ind w:right="0" w:firstLine="360"/>
        <w:jc w:val="left"/>
      </w:pPr>
      <w:r>
        <w:rPr>
          <w:rFonts w:ascii="Times New Roman" w:hAnsi="Times New Roman" w:cs="Times New Roman" w:eastAsia="Times New Roman" w:hint="default"/>
          <w:spacing w:val="-3"/>
        </w:rPr>
        <w:t>(5)</w:t>
      </w:r>
      <w:r>
        <w:rPr>
          <w:spacing w:val="-3"/>
        </w:rPr>
        <w:t>资产负债表日，存货采用成本与可变现净值孰低计量。存货可变现净值是按存货的估计售价减去至完工时估计将要</w:t>
      </w:r>
      <w:r>
        <w:rPr>
          <w:w w:val="101"/>
        </w:rPr>
        <w:t> </w:t>
      </w:r>
      <w:r>
        <w:rPr>
          <w:spacing w:val="-4"/>
        </w:rPr>
        <w:t>发生的成本、估计的销售费用以及相关税费后的金额。在确定存货的可变现净值时，以取得的确凿证据为基础，同时考虑持</w:t>
      </w:r>
      <w:r>
        <w:rPr>
          <w:spacing w:val="40"/>
        </w:rPr>
        <w:t> </w:t>
      </w:r>
      <w:r>
        <w:rPr>
          <w:spacing w:val="40"/>
        </w:rPr>
      </w:r>
      <w:r>
        <w:rPr>
          <w:spacing w:val="-4"/>
        </w:rPr>
        <w:t>有存货的目的以及资产负债表日后事项的影响，除有明确证据表明资产负债表日市场价格异常外，本期期末存货项目的可变</w:t>
      </w:r>
      <w:r>
        <w:rPr>
          <w:spacing w:val="43"/>
        </w:rPr>
        <w:t> </w:t>
      </w:r>
      <w:r>
        <w:rPr>
          <w:spacing w:val="43"/>
        </w:rPr>
      </w:r>
      <w:r>
        <w:rPr>
          <w:spacing w:val="-3"/>
        </w:rPr>
        <w:t>现净值以资产负债表日市场价格为基础确定，其中：</w:t>
      </w:r>
    </w:p>
    <w:p>
      <w:pPr>
        <w:pStyle w:val="BodyText"/>
        <w:spacing w:line="475" w:lineRule="auto" w:before="64"/>
        <w:ind w:right="0" w:firstLine="360"/>
        <w:jc w:val="left"/>
      </w:pPr>
      <w:r>
        <w:rPr>
          <w:spacing w:val="-4"/>
        </w:rPr>
        <w:t>①产成品、商品和用于出售的材料等直接用于出售的商品存货，在正常生产经营过程中以该存货的估计售价减去估计的</w:t>
      </w:r>
      <w:r>
        <w:rPr>
          <w:w w:val="101"/>
        </w:rPr>
        <w:t> </w:t>
      </w:r>
      <w:r>
        <w:rPr>
          <w:spacing w:val="-3"/>
        </w:rPr>
        <w:t>销售费用和相关税费后的金额确定其可变现净值；</w:t>
      </w:r>
    </w:p>
    <w:p>
      <w:pPr>
        <w:spacing w:after="0" w:line="475" w:lineRule="auto"/>
        <w:jc w:val="left"/>
        <w:sectPr>
          <w:pgSz w:w="11910" w:h="16840"/>
          <w:pgMar w:header="871" w:footer="1186" w:top="1100" w:bottom="1380" w:left="980" w:right="0"/>
        </w:sectPr>
      </w:pPr>
    </w:p>
    <w:p>
      <w:pPr>
        <w:spacing w:line="240" w:lineRule="auto" w:before="1"/>
        <w:rPr>
          <w:rFonts w:ascii="宋体" w:hAnsi="宋体" w:cs="宋体" w:eastAsia="宋体" w:hint="default"/>
          <w:sz w:val="28"/>
          <w:szCs w:val="28"/>
        </w:rPr>
      </w:pPr>
    </w:p>
    <w:p>
      <w:pPr>
        <w:pStyle w:val="BodyText"/>
        <w:spacing w:line="477" w:lineRule="auto" w:before="46"/>
        <w:ind w:right="0" w:firstLine="360"/>
        <w:jc w:val="left"/>
      </w:pPr>
      <w:r>
        <w:rPr>
          <w:spacing w:val="-3"/>
        </w:rPr>
        <w:t>②需要经过加工的材料存货，在正常生产经营过程中以所生产的产成品的估计售价减去至完工时估计将要发生的成本、</w:t>
      </w:r>
      <w:r>
        <w:rPr>
          <w:w w:val="101"/>
        </w:rPr>
        <w:t> </w:t>
      </w:r>
      <w:r>
        <w:rPr>
          <w:spacing w:val="-4"/>
        </w:rPr>
        <w:t>估计的销售费用和相关税费后的金额确定其可变现净值；资产负债表日，同一项存货中一部分有合同价格约定、其他部分不</w:t>
      </w:r>
      <w:r>
        <w:rPr>
          <w:spacing w:val="43"/>
        </w:rPr>
        <w:t> </w:t>
      </w:r>
      <w:r>
        <w:rPr>
          <w:spacing w:val="43"/>
        </w:rPr>
      </w:r>
      <w:r>
        <w:rPr>
          <w:spacing w:val="-3"/>
        </w:rPr>
        <w:t>存在合同价格的，分别确定其可变现净值，并与其对应的成本进行比较，分别确定存货跌价准备的计提或转回的金额。</w:t>
      </w:r>
    </w:p>
    <w:p>
      <w:pPr>
        <w:pStyle w:val="BodyText"/>
        <w:spacing w:line="477" w:lineRule="auto" w:before="52"/>
        <w:ind w:right="1122" w:firstLine="360"/>
        <w:jc w:val="both"/>
      </w:pPr>
      <w:r>
        <w:rPr>
          <w:spacing w:val="-5"/>
        </w:rPr>
        <w:t>期末按照单个存货项目计提存货跌价准备；但对于数量繁多、单价较低的存货，按照存货类别计提存货跌价准备；与在</w:t>
      </w:r>
      <w:r>
        <w:rPr>
          <w:w w:val="101"/>
        </w:rPr>
        <w:t> </w:t>
      </w:r>
      <w:r>
        <w:rPr>
          <w:spacing w:val="-4"/>
        </w:rPr>
        <w:t>同一地区生产和销售的产品系列相关、具有相同或者类似最终用途或目的，且难以与其他项目分开计量的存货，则合并计提</w:t>
      </w:r>
      <w:r>
        <w:rPr>
          <w:spacing w:val="44"/>
        </w:rPr>
        <w:t> </w:t>
      </w:r>
      <w:r>
        <w:rPr>
          <w:spacing w:val="44"/>
        </w:rPr>
      </w:r>
      <w:r>
        <w:rPr>
          <w:spacing w:val="-3"/>
        </w:rPr>
        <w:t>存货跌价准备。</w:t>
      </w:r>
    </w:p>
    <w:p>
      <w:pPr>
        <w:pStyle w:val="BodyText"/>
        <w:spacing w:line="475" w:lineRule="auto" w:before="57"/>
        <w:ind w:right="1124" w:firstLine="360"/>
        <w:jc w:val="both"/>
      </w:pPr>
      <w:r>
        <w:rPr>
          <w:spacing w:val="-4"/>
        </w:rPr>
        <w:t>计提存货跌价准备后，如果以前减记存货价值的影响因素已经消失，导致存货的可变现净值高于其账面价值的，在原已</w:t>
      </w:r>
      <w:r>
        <w:rPr>
          <w:w w:val="101"/>
        </w:rPr>
        <w:t> </w:t>
      </w:r>
      <w:r>
        <w:rPr>
          <w:spacing w:val="-3"/>
        </w:rPr>
        <w:t>计提的存货跌价准备金额内予以转回，转回的金额计入当期损益。</w:t>
      </w:r>
    </w:p>
    <w:p>
      <w:pPr>
        <w:pStyle w:val="BodyText"/>
        <w:spacing w:line="240" w:lineRule="auto" w:before="58"/>
        <w:ind w:left="513" w:right="0"/>
        <w:jc w:val="left"/>
      </w:pPr>
      <w:r>
        <w:rPr>
          <w:rFonts w:ascii="Times New Roman" w:hAnsi="Times New Roman" w:cs="Times New Roman" w:eastAsia="Times New Roman" w:hint="default"/>
        </w:rPr>
        <w:t>(6)</w:t>
      </w:r>
      <w:r>
        <w:rPr/>
        <w:t>存货的盘存制度为永续盘存制。</w:t>
      </w: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13"/>
          <w:szCs w:val="13"/>
        </w:rPr>
      </w:pPr>
    </w:p>
    <w:p>
      <w:pPr>
        <w:pStyle w:val="Heading3"/>
        <w:spacing w:line="240" w:lineRule="auto"/>
        <w:ind w:right="0"/>
        <w:jc w:val="left"/>
        <w:rPr>
          <w:b w:val="0"/>
          <w:bCs w:val="0"/>
        </w:rPr>
      </w:pPr>
      <w:bookmarkStart w:name="17、持有待售资产" w:id="187"/>
      <w:bookmarkEnd w:id="187"/>
      <w:r>
        <w:rPr>
          <w:b w:val="0"/>
          <w:bCs w:val="0"/>
        </w:rPr>
      </w:r>
      <w:r>
        <w:rPr>
          <w:rFonts w:ascii="Times New Roman" w:hAnsi="Times New Roman" w:cs="Times New Roman" w:eastAsia="Times New Roman" w:hint="default"/>
        </w:rPr>
        <w:t>17</w:t>
      </w:r>
      <w:r>
        <w:rPr/>
        <w:t>、持有待售资产</w:t>
      </w:r>
      <w:r>
        <w:rPr>
          <w:b w:val="0"/>
          <w:bCs w:val="0"/>
        </w:rPr>
      </w:r>
    </w:p>
    <w:p>
      <w:pPr>
        <w:spacing w:line="240" w:lineRule="auto" w:before="12"/>
        <w:rPr>
          <w:rFonts w:ascii="宋体" w:hAnsi="宋体" w:cs="宋体" w:eastAsia="宋体" w:hint="default"/>
          <w:b/>
          <w:bCs/>
          <w:sz w:val="32"/>
          <w:szCs w:val="32"/>
        </w:rPr>
      </w:pPr>
    </w:p>
    <w:p>
      <w:pPr>
        <w:pStyle w:val="BodyText"/>
        <w:spacing w:line="448" w:lineRule="auto"/>
        <w:ind w:left="513" w:right="0"/>
        <w:jc w:val="left"/>
      </w:pPr>
      <w:r>
        <w:rPr>
          <w:rFonts w:ascii="Times New Roman" w:hAnsi="Times New Roman" w:cs="Times New Roman" w:eastAsia="Times New Roman" w:hint="default"/>
        </w:rPr>
        <w:t>(1)</w:t>
      </w:r>
      <w:r>
        <w:rPr/>
        <w:t>划分为持有待售类别的条件</w:t>
      </w:r>
      <w:r>
        <w:rPr>
          <w:spacing w:val="-86"/>
        </w:rPr>
        <w:t> </w:t>
      </w:r>
      <w:r>
        <w:rPr>
          <w:spacing w:val="-86"/>
        </w:rPr>
      </w:r>
      <w:r>
        <w:rPr>
          <w:spacing w:val="-3"/>
        </w:rPr>
        <w:t>公司主要通过出售</w:t>
      </w:r>
      <w:r>
        <w:rPr>
          <w:rFonts w:ascii="Times New Roman" w:hAnsi="Times New Roman" w:cs="Times New Roman" w:eastAsia="Times New Roman" w:hint="default"/>
          <w:spacing w:val="-3"/>
        </w:rPr>
        <w:t>(</w:t>
      </w:r>
      <w:r>
        <w:rPr>
          <w:spacing w:val="-3"/>
        </w:rPr>
        <w:t>包括具有商业实质的非货币性资产交换，下同</w:t>
      </w:r>
      <w:r>
        <w:rPr>
          <w:rFonts w:ascii="Times New Roman" w:hAnsi="Times New Roman" w:cs="Times New Roman" w:eastAsia="Times New Roman" w:hint="default"/>
          <w:spacing w:val="-3"/>
        </w:rPr>
        <w:t>)</w:t>
      </w:r>
      <w:r>
        <w:rPr>
          <w:spacing w:val="-3"/>
        </w:rPr>
        <w:t>而非持续使用一项非流动资产或处置组收回其账面价</w:t>
      </w:r>
    </w:p>
    <w:p>
      <w:pPr>
        <w:pStyle w:val="BodyText"/>
        <w:spacing w:line="240" w:lineRule="auto" w:before="48"/>
        <w:ind w:right="0"/>
        <w:jc w:val="left"/>
      </w:pPr>
      <w:r>
        <w:rPr>
          <w:spacing w:val="-3"/>
        </w:rPr>
        <w:t>值的，在满足下列条件时，将其划分为持有待售类别：</w:t>
      </w:r>
    </w:p>
    <w:p>
      <w:pPr>
        <w:spacing w:line="240" w:lineRule="auto" w:before="8"/>
        <w:rPr>
          <w:rFonts w:ascii="宋体" w:hAnsi="宋体" w:cs="宋体" w:eastAsia="宋体" w:hint="default"/>
          <w:sz w:val="17"/>
          <w:szCs w:val="17"/>
        </w:rPr>
      </w:pPr>
    </w:p>
    <w:p>
      <w:pPr>
        <w:pStyle w:val="BodyText"/>
        <w:spacing w:line="240" w:lineRule="auto"/>
        <w:ind w:left="513" w:right="0"/>
        <w:jc w:val="left"/>
      </w:pPr>
      <w:r>
        <w:rPr>
          <w:spacing w:val="-3"/>
        </w:rPr>
        <w:t>①根据类似交易中出售此类资产或处置组的惯例，在当前状况下即可立即出售；</w:t>
      </w:r>
    </w:p>
    <w:p>
      <w:pPr>
        <w:spacing w:line="240" w:lineRule="auto" w:before="12"/>
        <w:rPr>
          <w:rFonts w:ascii="宋体" w:hAnsi="宋体" w:cs="宋体" w:eastAsia="宋体" w:hint="default"/>
          <w:sz w:val="17"/>
          <w:szCs w:val="17"/>
        </w:rPr>
      </w:pPr>
    </w:p>
    <w:p>
      <w:pPr>
        <w:pStyle w:val="BodyText"/>
        <w:spacing w:line="475" w:lineRule="auto"/>
        <w:ind w:right="1124" w:firstLine="360"/>
        <w:jc w:val="both"/>
      </w:pPr>
      <w:r>
        <w:rPr>
          <w:spacing w:val="-4"/>
        </w:rPr>
        <w:t>②出售极可能发生，即公司已经就一项出售计划作出决议且获得确定的购买承诺，预计出售将在一年内完成。有关规定</w:t>
      </w:r>
      <w:r>
        <w:rPr>
          <w:w w:val="101"/>
        </w:rPr>
        <w:t> </w:t>
      </w:r>
      <w:r>
        <w:rPr>
          <w:spacing w:val="-4"/>
        </w:rPr>
        <w:t>要求相关权力机构或者监督部门批准后方可出售的，公司已经获得批准。确定的购买承诺，是指公司与其他方签订的具有法</w:t>
      </w:r>
      <w:r>
        <w:rPr>
          <w:spacing w:val="43"/>
        </w:rPr>
        <w:t> </w:t>
      </w:r>
      <w:r>
        <w:rPr>
          <w:spacing w:val="43"/>
        </w:rPr>
      </w:r>
      <w:r>
        <w:rPr>
          <w:spacing w:val="-4"/>
        </w:rPr>
        <w:t>律约束力的购买协议，该协议包含交易价格、时间和足够严厉的违约惩罚等重要条款，使协议出现重大调整或者撤销的可能</w:t>
      </w:r>
      <w:r>
        <w:rPr>
          <w:spacing w:val="43"/>
        </w:rPr>
        <w:t> </w:t>
      </w:r>
      <w:r>
        <w:rPr>
          <w:spacing w:val="43"/>
        </w:rPr>
      </w:r>
      <w:r>
        <w:rPr/>
        <w:t>性极小。</w:t>
      </w:r>
    </w:p>
    <w:p>
      <w:pPr>
        <w:pStyle w:val="BodyText"/>
        <w:spacing w:line="477" w:lineRule="auto" w:before="58"/>
        <w:ind w:right="935" w:firstLine="360"/>
        <w:jc w:val="left"/>
      </w:pPr>
      <w:r>
        <w:rPr>
          <w:spacing w:val="-4"/>
          <w:w w:val="101"/>
        </w:rPr>
        <w:t>公司因出售对子公司的投资等原因导致其丧失对子公司控制权的，当拟出售的子公司投资满足持有待售类别划分条件时，</w:t>
      </w:r>
      <w:r>
        <w:rPr>
          <w:w w:val="101"/>
        </w:rPr>
        <w:t> </w:t>
      </w:r>
      <w:r>
        <w:rPr>
          <w:spacing w:val="-4"/>
          <w:w w:val="101"/>
        </w:rPr>
        <w:t>在母公司个别财务报表中将对子公司投资整体划分为持有待售类别，在合并报表中将子公司所有资产和负债划分为持有待售</w:t>
      </w:r>
      <w:r>
        <w:rPr>
          <w:w w:val="101"/>
        </w:rPr>
        <w:t> </w:t>
      </w:r>
      <w:r>
        <w:rPr/>
        <w:t>类别。</w:t>
      </w:r>
    </w:p>
    <w:p>
      <w:pPr>
        <w:pStyle w:val="BodyText"/>
        <w:spacing w:line="477" w:lineRule="auto" w:before="52"/>
        <w:ind w:right="1124" w:firstLine="360"/>
        <w:jc w:val="both"/>
      </w:pPr>
      <w:r>
        <w:rPr>
          <w:spacing w:val="-5"/>
        </w:rPr>
        <w:t>持有待售的非流动资产或处置组不再满足持有待售类别划分条件的，公司停止将其划分为持有待售类别。部分资产或负</w:t>
      </w:r>
      <w:r>
        <w:rPr>
          <w:w w:val="101"/>
        </w:rPr>
        <w:t> </w:t>
      </w:r>
      <w:r>
        <w:rPr>
          <w:spacing w:val="-4"/>
        </w:rPr>
        <w:t>债从持有待售的处置组中移除的，处置组中剩余资产或负债新组成的处置组仍满足持有待售划分条件的，公司将新组成的处</w:t>
      </w:r>
      <w:r>
        <w:rPr>
          <w:spacing w:val="44"/>
        </w:rPr>
        <w:t> </w:t>
      </w:r>
      <w:r>
        <w:rPr>
          <w:spacing w:val="44"/>
        </w:rPr>
      </w:r>
      <w:r>
        <w:rPr>
          <w:spacing w:val="-3"/>
        </w:rPr>
        <w:t>置组划分为持有待售类别，否则将满足持有待售类别划分条件的非流动资产单独划分为持有待售类别。</w:t>
      </w:r>
    </w:p>
    <w:p>
      <w:pPr>
        <w:pStyle w:val="BodyText"/>
        <w:spacing w:line="463" w:lineRule="auto" w:before="56"/>
        <w:ind w:left="513" w:right="0"/>
        <w:jc w:val="left"/>
      </w:pPr>
      <w:r>
        <w:rPr>
          <w:spacing w:val="-3"/>
        </w:rPr>
        <w:t>对于当期首次满足持有待售类别划分条件的非流动资产或处置组，不调整可比会计期间的资产负债表。</w:t>
      </w:r>
      <w:r>
        <w:rPr>
          <w:spacing w:val="42"/>
        </w:rPr>
        <w:t> </w:t>
      </w:r>
      <w:r>
        <w:rPr>
          <w:spacing w:val="42"/>
        </w:rPr>
      </w:r>
      <w:r>
        <w:rPr>
          <w:rFonts w:ascii="Times New Roman" w:hAnsi="Times New Roman" w:cs="Times New Roman" w:eastAsia="Times New Roman" w:hint="default"/>
          <w:spacing w:val="-3"/>
        </w:rPr>
        <w:t>(2)</w:t>
      </w:r>
      <w:r>
        <w:rPr>
          <w:spacing w:val="-3"/>
        </w:rPr>
        <w:t>持有待售类的非流动资产或处置组的初始计量及后续计量</w:t>
      </w:r>
      <w:r>
        <w:rPr>
          <w:spacing w:val="-6"/>
        </w:rPr>
        <w:t> </w:t>
      </w:r>
      <w:r>
        <w:rPr>
          <w:spacing w:val="-6"/>
        </w:rPr>
      </w:r>
      <w:r>
        <w:rPr>
          <w:spacing w:val="-5"/>
          <w:w w:val="101"/>
        </w:rPr>
        <w:t>对于取得日划分为持有待售类别的非流动资产或处置组，公司在初始计量时比较假定其不划分为持有待售类别情况下的</w:t>
      </w:r>
      <w:r>
        <w:rPr>
          <w:spacing w:val="-5"/>
        </w:rPr>
      </w:r>
    </w:p>
    <w:p>
      <w:pPr>
        <w:pStyle w:val="BodyText"/>
        <w:spacing w:line="240" w:lineRule="auto" w:before="62"/>
        <w:ind w:right="0"/>
        <w:jc w:val="left"/>
      </w:pPr>
      <w:r>
        <w:rPr>
          <w:spacing w:val="-4"/>
        </w:rPr>
        <w:t>初始计量金额和公允价值减去出售费用后的净额，以两者孰低计量。除公司合并中取得的非流动资产或处置组外，由非流动</w:t>
      </w:r>
    </w:p>
    <w:p>
      <w:pPr>
        <w:spacing w:line="240" w:lineRule="auto" w:before="12"/>
        <w:rPr>
          <w:rFonts w:ascii="宋体" w:hAnsi="宋体" w:cs="宋体" w:eastAsia="宋体" w:hint="default"/>
          <w:sz w:val="17"/>
          <w:szCs w:val="17"/>
        </w:rPr>
      </w:pPr>
    </w:p>
    <w:p>
      <w:pPr>
        <w:pStyle w:val="BodyText"/>
        <w:spacing w:line="240" w:lineRule="auto"/>
        <w:ind w:right="0"/>
        <w:jc w:val="left"/>
      </w:pPr>
      <w:r>
        <w:rPr>
          <w:spacing w:val="-3"/>
        </w:rPr>
        <w:t>资产或处置组以公允价值减去出售费用后的净额作为初始计量金额而产生的差额，计入当期损益。</w:t>
      </w:r>
    </w:p>
    <w:p>
      <w:pPr>
        <w:spacing w:after="0" w:line="240" w:lineRule="auto"/>
        <w:jc w:val="left"/>
        <w:sectPr>
          <w:pgSz w:w="11910" w:h="16840"/>
          <w:pgMar w:header="871" w:footer="1186" w:top="1100" w:bottom="1380" w:left="980" w:right="0"/>
        </w:sectPr>
      </w:pPr>
    </w:p>
    <w:p>
      <w:pPr>
        <w:spacing w:line="240" w:lineRule="auto" w:before="1"/>
        <w:rPr>
          <w:rFonts w:ascii="宋体" w:hAnsi="宋体" w:cs="宋体" w:eastAsia="宋体" w:hint="default"/>
          <w:sz w:val="28"/>
          <w:szCs w:val="28"/>
        </w:rPr>
      </w:pPr>
    </w:p>
    <w:p>
      <w:pPr>
        <w:pStyle w:val="BodyText"/>
        <w:spacing w:line="477" w:lineRule="auto" w:before="46"/>
        <w:ind w:right="0" w:firstLine="360"/>
        <w:jc w:val="left"/>
      </w:pPr>
      <w:r>
        <w:rPr>
          <w:spacing w:val="-5"/>
          <w:w w:val="101"/>
        </w:rPr>
        <w:t>公司将非流动资产或处置组首次划分为持有待售类别前，按照相关会计准则规定计量非流动资产或处置组中各项资产和</w:t>
      </w:r>
      <w:r>
        <w:rPr>
          <w:w w:val="101"/>
        </w:rPr>
        <w:t> </w:t>
      </w:r>
      <w:r>
        <w:rPr>
          <w:spacing w:val="-4"/>
        </w:rPr>
        <w:t>负债的账面价值。在初始计量或资产负债表日重新计量持有待售的非流动资产或处置组时，其账面价值高于公允价值减去出</w:t>
      </w:r>
      <w:r>
        <w:rPr>
          <w:spacing w:val="43"/>
        </w:rPr>
        <w:t> </w:t>
      </w:r>
      <w:r>
        <w:rPr>
          <w:spacing w:val="43"/>
        </w:rPr>
      </w:r>
      <w:r>
        <w:rPr>
          <w:spacing w:val="-3"/>
        </w:rPr>
        <w:t>售费用后的净额的，将账面价值减记至公允价值减去出售费用后的净额，减记的金额确认为资产减值损失，计入当期损益，</w:t>
      </w:r>
      <w:r>
        <w:rPr>
          <w:spacing w:val="75"/>
        </w:rPr>
        <w:t> </w:t>
      </w:r>
      <w:r>
        <w:rPr>
          <w:spacing w:val="75"/>
        </w:rPr>
      </w:r>
      <w:r>
        <w:rPr>
          <w:spacing w:val="-4"/>
        </w:rPr>
        <w:t>同时计提持有待售资产减值准备。持有待售的非流动资产或处置组中的非流动资产不计提折旧或摊销，持有待售的处置组中</w:t>
      </w:r>
      <w:r>
        <w:rPr>
          <w:spacing w:val="43"/>
        </w:rPr>
        <w:t> </w:t>
      </w:r>
      <w:r>
        <w:rPr>
          <w:spacing w:val="43"/>
        </w:rPr>
      </w:r>
      <w:r>
        <w:rPr>
          <w:spacing w:val="-3"/>
        </w:rPr>
        <w:t>的负债的利息和其他费用应继续予以确认。</w:t>
      </w:r>
    </w:p>
    <w:p>
      <w:pPr>
        <w:pStyle w:val="BodyText"/>
        <w:spacing w:line="468" w:lineRule="auto" w:before="52"/>
        <w:ind w:right="1123" w:firstLine="360"/>
        <w:jc w:val="both"/>
      </w:pPr>
      <w:r>
        <w:rPr>
          <w:spacing w:val="-4"/>
        </w:rPr>
        <w:t>公司对持有待售的处置组确认资产减值损失金额时，先抵减处置组商誉的账面价值，再根据处置组中适用《企业会计准</w:t>
      </w:r>
      <w:r>
        <w:rPr>
          <w:w w:val="101"/>
        </w:rPr>
        <w:t> </w:t>
      </w:r>
      <w:r>
        <w:rPr/>
        <w:t>则第 </w:t>
      </w:r>
      <w:r>
        <w:rPr>
          <w:rFonts w:ascii="Times New Roman" w:hAnsi="Times New Roman" w:cs="Times New Roman" w:eastAsia="Times New Roman" w:hint="default"/>
          <w:spacing w:val="-3"/>
        </w:rPr>
        <w:t>42 </w:t>
      </w:r>
      <w:r>
        <w:rPr>
          <w:spacing w:val="-3"/>
        </w:rPr>
        <w:t>号</w:t>
      </w:r>
      <w:r>
        <w:rPr>
          <w:rFonts w:ascii="Times New Roman" w:hAnsi="Times New Roman" w:cs="Times New Roman" w:eastAsia="Times New Roman" w:hint="default"/>
          <w:spacing w:val="-3"/>
        </w:rPr>
        <w:t>——</w:t>
      </w:r>
      <w:r>
        <w:rPr>
          <w:spacing w:val="-3"/>
        </w:rPr>
        <w:t>持有待售的非流动资产、处置组和终止经营》</w:t>
      </w:r>
      <w:r>
        <w:rPr>
          <w:rFonts w:ascii="Times New Roman" w:hAnsi="Times New Roman" w:cs="Times New Roman" w:eastAsia="Times New Roman" w:hint="default"/>
          <w:spacing w:val="-3"/>
        </w:rPr>
        <w:t>(</w:t>
      </w:r>
      <w:r>
        <w:rPr>
          <w:spacing w:val="-3"/>
        </w:rPr>
        <w:t>以下简称第 </w:t>
      </w:r>
      <w:r>
        <w:rPr>
          <w:rFonts w:ascii="Times New Roman" w:hAnsi="Times New Roman" w:cs="Times New Roman" w:eastAsia="Times New Roman" w:hint="default"/>
          <w:spacing w:val="-3"/>
        </w:rPr>
        <w:t>42 </w:t>
      </w:r>
      <w:r>
        <w:rPr>
          <w:spacing w:val="-3"/>
        </w:rPr>
        <w:t>号准则</w:t>
      </w:r>
      <w:r>
        <w:rPr>
          <w:rFonts w:ascii="Times New Roman" w:hAnsi="Times New Roman" w:cs="Times New Roman" w:eastAsia="Times New Roman" w:hint="default"/>
          <w:spacing w:val="-3"/>
        </w:rPr>
        <w:t>)</w:t>
      </w:r>
      <w:r>
        <w:rPr>
          <w:spacing w:val="-3"/>
        </w:rPr>
        <w:t>计量规定的各项非流动资产账面价值所</w:t>
      </w:r>
      <w:r>
        <w:rPr>
          <w:spacing w:val="-80"/>
        </w:rPr>
        <w:t> </w:t>
      </w:r>
      <w:r>
        <w:rPr>
          <w:spacing w:val="-80"/>
        </w:rPr>
      </w:r>
      <w:r>
        <w:rPr>
          <w:spacing w:val="-4"/>
        </w:rPr>
        <w:t>占比重，按比例抵减其账面价值。公司在资产负债表日重新计量持有待售的处置组时，首先按照相关会计准则规定计量处置</w:t>
      </w:r>
      <w:r>
        <w:rPr>
          <w:spacing w:val="44"/>
        </w:rPr>
        <w:t> </w:t>
      </w:r>
      <w:r>
        <w:rPr>
          <w:spacing w:val="44"/>
        </w:rPr>
      </w:r>
      <w:r>
        <w:rPr/>
        <w:t>组中不适用第 </w:t>
      </w:r>
      <w:r>
        <w:rPr>
          <w:rFonts w:ascii="Times New Roman" w:hAnsi="Times New Roman" w:cs="Times New Roman" w:eastAsia="Times New Roman" w:hint="default"/>
          <w:spacing w:val="-3"/>
        </w:rPr>
        <w:t>42 </w:t>
      </w:r>
      <w:r>
        <w:rPr>
          <w:rFonts w:ascii="Times New Roman" w:hAnsi="Times New Roman" w:cs="Times New Roman" w:eastAsia="Times New Roman" w:hint="default"/>
          <w:spacing w:val="15"/>
        </w:rPr>
        <w:t> </w:t>
      </w:r>
      <w:r>
        <w:rPr>
          <w:spacing w:val="-3"/>
        </w:rPr>
        <w:t>号准则计量规定的资产和负债的账面价值，再按照上述相关规定进行会计处理。</w:t>
      </w:r>
    </w:p>
    <w:p>
      <w:pPr>
        <w:pStyle w:val="BodyText"/>
        <w:spacing w:line="477" w:lineRule="auto" w:before="27"/>
        <w:ind w:right="1124" w:firstLine="360"/>
        <w:jc w:val="both"/>
      </w:pPr>
      <w:r>
        <w:rPr>
          <w:spacing w:val="-5"/>
        </w:rPr>
        <w:t>后续资产负债表日持有待售的非流动资产公允价值减去出售费用后的净额增加的，以前减记的金额应当予以恢复，并在</w:t>
      </w:r>
      <w:r>
        <w:rPr>
          <w:w w:val="101"/>
        </w:rPr>
        <w:t> </w:t>
      </w:r>
      <w:r>
        <w:rPr>
          <w:spacing w:val="-4"/>
        </w:rPr>
        <w:t>划分为持有待售类别后确认的资产减值损失金额内转回，转回金额计入当期损益；划分为持有待售类别前确认的资产减值损</w:t>
      </w:r>
      <w:r>
        <w:rPr>
          <w:spacing w:val="44"/>
        </w:rPr>
        <w:t> </w:t>
      </w:r>
      <w:r>
        <w:rPr>
          <w:spacing w:val="44"/>
        </w:rPr>
      </w:r>
      <w:r>
        <w:rPr/>
        <w:t>失不得转回。</w:t>
      </w:r>
    </w:p>
    <w:p>
      <w:pPr>
        <w:pStyle w:val="BodyText"/>
        <w:spacing w:line="475" w:lineRule="auto" w:before="56"/>
        <w:ind w:right="1128" w:firstLine="360"/>
        <w:jc w:val="both"/>
      </w:pPr>
      <w:r>
        <w:rPr>
          <w:spacing w:val="-5"/>
        </w:rPr>
        <w:t>后续资产负债表日持有待售的处置组公允价值减去出售费用后的净额增加的，以前减记的金额应当予以恢复，并在划分</w:t>
      </w:r>
      <w:r>
        <w:rPr>
          <w:w w:val="101"/>
        </w:rPr>
        <w:t> </w:t>
      </w:r>
      <w:r>
        <w:rPr/>
        <w:t>为持有待售类别后适用第 </w:t>
      </w:r>
      <w:r>
        <w:rPr>
          <w:rFonts w:ascii="Times New Roman" w:hAnsi="Times New Roman" w:cs="Times New Roman" w:eastAsia="Times New Roman" w:hint="default"/>
          <w:spacing w:val="-3"/>
        </w:rPr>
        <w:t>42 </w:t>
      </w:r>
      <w:r>
        <w:rPr>
          <w:rFonts w:ascii="Times New Roman" w:hAnsi="Times New Roman" w:cs="Times New Roman" w:eastAsia="Times New Roman" w:hint="default"/>
          <w:spacing w:val="30"/>
        </w:rPr>
        <w:t> </w:t>
      </w:r>
      <w:r>
        <w:rPr>
          <w:spacing w:val="-3"/>
        </w:rPr>
        <w:t>号准则计量规定的非流动资产确认的资产减值损失金额内转回，转回金额依据处置组中除商誉</w:t>
      </w:r>
    </w:p>
    <w:p>
      <w:pPr>
        <w:pStyle w:val="BodyText"/>
        <w:spacing w:line="448" w:lineRule="auto" w:before="26"/>
        <w:ind w:right="0"/>
        <w:jc w:val="left"/>
      </w:pPr>
      <w:r>
        <w:rPr/>
        <w:t>外的适用第 </w:t>
      </w:r>
      <w:r>
        <w:rPr>
          <w:rFonts w:ascii="Times New Roman" w:hAnsi="Times New Roman" w:cs="Times New Roman" w:eastAsia="Times New Roman" w:hint="default"/>
          <w:spacing w:val="-3"/>
        </w:rPr>
        <w:t>42 </w:t>
      </w:r>
      <w:r>
        <w:rPr>
          <w:spacing w:val="-3"/>
        </w:rPr>
        <w:t>号准则计量规定的各项非流动资产账面价值所占比重，按比例增加其账面价值，同时将转回金额计入当期损</w:t>
      </w:r>
      <w:r>
        <w:rPr>
          <w:spacing w:val="-39"/>
        </w:rPr>
        <w:t> </w:t>
      </w:r>
      <w:r>
        <w:rPr>
          <w:spacing w:val="-39"/>
        </w:rPr>
      </w:r>
      <w:r>
        <w:rPr>
          <w:spacing w:val="-3"/>
        </w:rPr>
        <w:t>益。已抵减的商誉账面价值以及划分为持有待售类别前确认的资产减值损失不得转回。</w:t>
      </w:r>
    </w:p>
    <w:p>
      <w:pPr>
        <w:pStyle w:val="BodyText"/>
        <w:spacing w:line="448" w:lineRule="auto" w:before="78"/>
        <w:ind w:left="513" w:right="0"/>
        <w:jc w:val="left"/>
      </w:pPr>
      <w:r>
        <w:rPr>
          <w:rFonts w:ascii="Times New Roman" w:hAnsi="Times New Roman" w:cs="Times New Roman" w:eastAsia="Times New Roman" w:hint="default"/>
          <w:spacing w:val="-3"/>
        </w:rPr>
        <w:t>(3)</w:t>
      </w:r>
      <w:r>
        <w:rPr>
          <w:spacing w:val="-3"/>
        </w:rPr>
        <w:t>划分为持有待售类别的终止确认和计量</w:t>
      </w:r>
      <w:r>
        <w:rPr>
          <w:spacing w:val="-29"/>
        </w:rPr>
        <w:t> </w:t>
      </w:r>
      <w:r>
        <w:rPr>
          <w:spacing w:val="-29"/>
        </w:rPr>
      </w:r>
      <w:r>
        <w:rPr>
          <w:spacing w:val="-3"/>
        </w:rPr>
        <w:t>非流动资产或处置组不再满足持有待售类别的划分条件而不再继续划分为持有待售类别或非流动资产从持有待售的处</w:t>
      </w:r>
    </w:p>
    <w:p>
      <w:pPr>
        <w:pStyle w:val="BodyText"/>
        <w:spacing w:line="475" w:lineRule="auto" w:before="78"/>
        <w:ind w:right="0"/>
        <w:jc w:val="left"/>
      </w:pPr>
      <w:r>
        <w:rPr>
          <w:spacing w:val="-4"/>
        </w:rPr>
        <w:t>置组中移除时，按照以下两者孰低计量：①划分为持有待售类别前的账面价值，按照假定不划分为持有待售类别情况下本应</w:t>
      </w:r>
      <w:r>
        <w:rPr>
          <w:spacing w:val="45"/>
        </w:rPr>
        <w:t> </w:t>
      </w:r>
      <w:r>
        <w:rPr>
          <w:spacing w:val="45"/>
        </w:rPr>
      </w:r>
      <w:r>
        <w:rPr>
          <w:spacing w:val="-3"/>
        </w:rPr>
        <w:t>确认的折旧、摊销或减值等进行调整后的金额；②可收回金额。</w:t>
      </w:r>
    </w:p>
    <w:p>
      <w:pPr>
        <w:pStyle w:val="BodyText"/>
        <w:spacing w:line="240" w:lineRule="auto" w:before="59"/>
        <w:ind w:left="513" w:right="0"/>
        <w:jc w:val="left"/>
      </w:pPr>
      <w:r>
        <w:rPr>
          <w:spacing w:val="-3"/>
        </w:rPr>
        <w:t>公司终止确认持有待售的非流动资产或处置组时，将尚未确认的利得或损失计入当期损益。</w:t>
      </w: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14"/>
          <w:szCs w:val="14"/>
        </w:rPr>
      </w:pPr>
    </w:p>
    <w:p>
      <w:pPr>
        <w:pStyle w:val="Heading3"/>
        <w:spacing w:line="240" w:lineRule="auto"/>
        <w:ind w:right="0"/>
        <w:jc w:val="left"/>
        <w:rPr>
          <w:b w:val="0"/>
          <w:bCs w:val="0"/>
        </w:rPr>
      </w:pPr>
      <w:bookmarkStart w:name="18、债权投资" w:id="188"/>
      <w:bookmarkEnd w:id="188"/>
      <w:r>
        <w:rPr>
          <w:b w:val="0"/>
          <w:bCs w:val="0"/>
        </w:rPr>
      </w:r>
      <w:r>
        <w:rPr>
          <w:rFonts w:ascii="Times New Roman" w:hAnsi="Times New Roman" w:cs="Times New Roman" w:eastAsia="Times New Roman" w:hint="default"/>
        </w:rPr>
        <w:t>18</w:t>
      </w:r>
      <w:r>
        <w:rPr/>
        <w:t>、债权投资</w:t>
      </w:r>
      <w:r>
        <w:rPr>
          <w:b w:val="0"/>
          <w:bCs w:val="0"/>
        </w:rPr>
      </w:r>
    </w:p>
    <w:p>
      <w:pPr>
        <w:spacing w:line="240" w:lineRule="auto" w:before="12"/>
        <w:rPr>
          <w:rFonts w:ascii="宋体" w:hAnsi="宋体" w:cs="宋体" w:eastAsia="宋体" w:hint="default"/>
          <w:b/>
          <w:bCs/>
          <w:sz w:val="32"/>
          <w:szCs w:val="32"/>
        </w:rPr>
      </w:pPr>
    </w:p>
    <w:p>
      <w:pPr>
        <w:pStyle w:val="BodyText"/>
        <w:spacing w:line="448" w:lineRule="auto"/>
        <w:ind w:right="1133" w:firstLine="360"/>
        <w:jc w:val="both"/>
      </w:pPr>
      <w:r>
        <w:rPr>
          <w:spacing w:val="-3"/>
        </w:rPr>
        <w:t>本公司按照本附注五、</w:t>
      </w:r>
      <w:r>
        <w:rPr>
          <w:rFonts w:ascii="Times New Roman" w:hAnsi="Times New Roman" w:cs="Times New Roman" w:eastAsia="Times New Roman" w:hint="default"/>
          <w:spacing w:val="-3"/>
        </w:rPr>
        <w:t>10</w:t>
      </w:r>
      <w:r>
        <w:rPr>
          <w:spacing w:val="-3"/>
        </w:rPr>
        <w:t>（</w:t>
      </w:r>
      <w:r>
        <w:rPr>
          <w:rFonts w:ascii="Times New Roman" w:hAnsi="Times New Roman" w:cs="Times New Roman" w:eastAsia="Times New Roman" w:hint="default"/>
          <w:spacing w:val="-3"/>
        </w:rPr>
        <w:t>5</w:t>
      </w:r>
      <w:r>
        <w:rPr>
          <w:spacing w:val="-3"/>
        </w:rPr>
        <w:t>）所述的一般方法确定债权投资的预期信用损失并进行会计处理。在资产负债表日，本公</w:t>
      </w:r>
      <w:r>
        <w:rPr>
          <w:w w:val="101"/>
        </w:rPr>
        <w:t> </w:t>
      </w:r>
      <w:r>
        <w:rPr>
          <w:spacing w:val="-3"/>
        </w:rPr>
        <w:t>司按单项债权投资应收取的合同现金流量与预期收取的现金流量之间的差额的现值计量债权投资的信用损失。</w:t>
      </w:r>
    </w:p>
    <w:p>
      <w:pPr>
        <w:spacing w:line="240" w:lineRule="auto" w:before="12"/>
        <w:rPr>
          <w:rFonts w:ascii="宋体" w:hAnsi="宋体" w:cs="宋体" w:eastAsia="宋体" w:hint="default"/>
          <w:sz w:val="20"/>
          <w:szCs w:val="20"/>
        </w:rPr>
      </w:pPr>
    </w:p>
    <w:p>
      <w:pPr>
        <w:pStyle w:val="Heading3"/>
        <w:spacing w:line="240" w:lineRule="auto"/>
        <w:ind w:right="0"/>
        <w:jc w:val="left"/>
        <w:rPr>
          <w:b w:val="0"/>
          <w:bCs w:val="0"/>
        </w:rPr>
      </w:pPr>
      <w:bookmarkStart w:name="19、其他债权投资" w:id="189"/>
      <w:bookmarkEnd w:id="189"/>
      <w:r>
        <w:rPr>
          <w:b w:val="0"/>
          <w:bCs w:val="0"/>
        </w:rPr>
      </w:r>
      <w:r>
        <w:rPr>
          <w:rFonts w:ascii="Times New Roman" w:hAnsi="Times New Roman" w:cs="Times New Roman" w:eastAsia="Times New Roman" w:hint="default"/>
        </w:rPr>
        <w:t>19</w:t>
      </w:r>
      <w:r>
        <w:rPr/>
        <w:t>、其他债权投资</w:t>
      </w:r>
      <w:r>
        <w:rPr>
          <w:b w:val="0"/>
          <w:bCs w:val="0"/>
        </w:rPr>
      </w:r>
    </w:p>
    <w:p>
      <w:pPr>
        <w:spacing w:line="240" w:lineRule="auto" w:before="8"/>
        <w:rPr>
          <w:rFonts w:ascii="宋体" w:hAnsi="宋体" w:cs="宋体" w:eastAsia="宋体" w:hint="default"/>
          <w:b/>
          <w:bCs/>
          <w:sz w:val="32"/>
          <w:szCs w:val="32"/>
        </w:rPr>
      </w:pPr>
    </w:p>
    <w:p>
      <w:pPr>
        <w:pStyle w:val="BodyText"/>
        <w:spacing w:line="453" w:lineRule="auto"/>
        <w:ind w:right="1037" w:firstLine="360"/>
        <w:jc w:val="both"/>
      </w:pPr>
      <w:r>
        <w:rPr>
          <w:spacing w:val="-3"/>
        </w:rPr>
        <w:t>本公司按照本附注五、</w:t>
      </w:r>
      <w:r>
        <w:rPr>
          <w:rFonts w:ascii="Times New Roman" w:hAnsi="Times New Roman" w:cs="Times New Roman" w:eastAsia="Times New Roman" w:hint="default"/>
          <w:spacing w:val="-3"/>
        </w:rPr>
        <w:t>10</w:t>
      </w:r>
      <w:r>
        <w:rPr>
          <w:spacing w:val="-3"/>
        </w:rPr>
        <w:t>（</w:t>
      </w:r>
      <w:r>
        <w:rPr>
          <w:rFonts w:ascii="Times New Roman" w:hAnsi="Times New Roman" w:cs="Times New Roman" w:eastAsia="Times New Roman" w:hint="default"/>
          <w:spacing w:val="-3"/>
        </w:rPr>
        <w:t>5</w:t>
      </w:r>
      <w:r>
        <w:rPr>
          <w:spacing w:val="-3"/>
        </w:rPr>
        <w:t>）所述的一般方法确定其他债权投资的预期信用损失并进行会计处理。在资产负债表日，</w:t>
      </w:r>
      <w:r>
        <w:rPr>
          <w:w w:val="101"/>
        </w:rPr>
        <w:t> </w:t>
      </w:r>
      <w:r>
        <w:rPr>
          <w:spacing w:val="-3"/>
        </w:rPr>
        <w:t>本公司按单项其他债权投资应收取的合同现金流量与预期收取的现金流量之间的差额的现值计量其他债权投资的信用损失。</w:t>
      </w:r>
    </w:p>
    <w:p>
      <w:pPr>
        <w:spacing w:after="0" w:line="453" w:lineRule="auto"/>
        <w:jc w:val="both"/>
        <w:sectPr>
          <w:pgSz w:w="11910" w:h="16840"/>
          <w:pgMar w:header="871" w:footer="1186" w:top="1100" w:bottom="1380" w:left="980" w:right="0"/>
        </w:sectPr>
      </w:pPr>
    </w:p>
    <w:p>
      <w:pPr>
        <w:spacing w:line="240" w:lineRule="auto" w:before="0"/>
        <w:rPr>
          <w:rFonts w:ascii="宋体" w:hAnsi="宋体" w:cs="宋体" w:eastAsia="宋体" w:hint="default"/>
          <w:sz w:val="21"/>
          <w:szCs w:val="21"/>
        </w:rPr>
      </w:pPr>
    </w:p>
    <w:p>
      <w:pPr>
        <w:pStyle w:val="Heading3"/>
        <w:spacing w:line="240" w:lineRule="auto" w:before="36"/>
        <w:ind w:right="0"/>
        <w:jc w:val="left"/>
        <w:rPr>
          <w:b w:val="0"/>
          <w:bCs w:val="0"/>
        </w:rPr>
      </w:pPr>
      <w:bookmarkStart w:name="20、长期应收款" w:id="190"/>
      <w:bookmarkEnd w:id="190"/>
      <w:r>
        <w:rPr>
          <w:b w:val="0"/>
          <w:bCs w:val="0"/>
        </w:rPr>
      </w:r>
      <w:r>
        <w:rPr>
          <w:rFonts w:ascii="Times New Roman" w:hAnsi="Times New Roman" w:cs="Times New Roman" w:eastAsia="Times New Roman" w:hint="default"/>
        </w:rPr>
        <w:t>20</w:t>
      </w:r>
      <w:r>
        <w:rPr/>
        <w:t>、长期应收款</w:t>
      </w:r>
      <w:r>
        <w:rPr>
          <w:b w:val="0"/>
          <w:bCs w:val="0"/>
        </w:rPr>
      </w:r>
    </w:p>
    <w:p>
      <w:pPr>
        <w:spacing w:line="240" w:lineRule="auto" w:before="7"/>
        <w:rPr>
          <w:rFonts w:ascii="宋体" w:hAnsi="宋体" w:cs="宋体" w:eastAsia="宋体" w:hint="default"/>
          <w:b/>
          <w:bCs/>
          <w:sz w:val="32"/>
          <w:szCs w:val="32"/>
        </w:rPr>
      </w:pPr>
    </w:p>
    <w:p>
      <w:pPr>
        <w:pStyle w:val="BodyText"/>
        <w:spacing w:line="458" w:lineRule="auto"/>
        <w:ind w:right="1127" w:firstLine="360"/>
        <w:jc w:val="both"/>
      </w:pPr>
      <w:r>
        <w:rPr>
          <w:spacing w:val="-3"/>
        </w:rPr>
        <w:t>本公司对租赁应收款和由《企业会计准则第 </w:t>
      </w:r>
      <w:r>
        <w:rPr>
          <w:rFonts w:ascii="Times New Roman" w:hAnsi="Times New Roman" w:cs="Times New Roman" w:eastAsia="Times New Roman" w:hint="default"/>
          <w:spacing w:val="-3"/>
        </w:rPr>
        <w:t>14</w:t>
      </w:r>
      <w:r>
        <w:rPr>
          <w:rFonts w:ascii="Times New Roman" w:hAnsi="Times New Roman" w:cs="Times New Roman" w:eastAsia="Times New Roman" w:hint="default"/>
          <w:spacing w:val="16"/>
        </w:rPr>
        <w:t> </w:t>
      </w:r>
      <w:r>
        <w:rPr>
          <w:spacing w:val="-3"/>
        </w:rPr>
        <w:t>号</w:t>
      </w:r>
      <w:r>
        <w:rPr>
          <w:rFonts w:ascii="Times New Roman" w:hAnsi="Times New Roman" w:cs="Times New Roman" w:eastAsia="Times New Roman" w:hint="default"/>
          <w:spacing w:val="-3"/>
        </w:rPr>
        <w:t>——</w:t>
      </w:r>
      <w:r>
        <w:rPr>
          <w:spacing w:val="-3"/>
        </w:rPr>
        <w:t>收入》规范的交易形成的包含重大融资成分的长期应收款项按照</w:t>
      </w:r>
      <w:r>
        <w:rPr>
          <w:w w:val="101"/>
        </w:rPr>
        <w:t> </w:t>
      </w:r>
      <w:r>
        <w:rPr>
          <w:spacing w:val="-4"/>
        </w:rPr>
        <w:t>本附注五、</w:t>
      </w:r>
      <w:r>
        <w:rPr>
          <w:rFonts w:ascii="Times New Roman" w:hAnsi="Times New Roman" w:cs="Times New Roman" w:eastAsia="Times New Roman" w:hint="default"/>
          <w:spacing w:val="-4"/>
        </w:rPr>
        <w:t>10</w:t>
      </w:r>
      <w:r>
        <w:rPr>
          <w:spacing w:val="-4"/>
        </w:rPr>
        <w:t>（</w:t>
      </w:r>
      <w:r>
        <w:rPr>
          <w:rFonts w:ascii="Times New Roman" w:hAnsi="Times New Roman" w:cs="Times New Roman" w:eastAsia="Times New Roman" w:hint="default"/>
          <w:spacing w:val="-4"/>
        </w:rPr>
        <w:t>5</w:t>
      </w:r>
      <w:r>
        <w:rPr>
          <w:spacing w:val="-4"/>
        </w:rPr>
        <w:t>）所述的简化原则确定预期信用损失，对其他长期应收款按照本附注五、</w:t>
      </w:r>
      <w:r>
        <w:rPr>
          <w:rFonts w:ascii="Times New Roman" w:hAnsi="Times New Roman" w:cs="Times New Roman" w:eastAsia="Times New Roman" w:hint="default"/>
          <w:spacing w:val="-4"/>
        </w:rPr>
        <w:t>10</w:t>
      </w:r>
      <w:r>
        <w:rPr>
          <w:spacing w:val="-4"/>
        </w:rPr>
        <w:t>（</w:t>
      </w:r>
      <w:r>
        <w:rPr>
          <w:rFonts w:ascii="Times New Roman" w:hAnsi="Times New Roman" w:cs="Times New Roman" w:eastAsia="Times New Roman" w:hint="default"/>
          <w:spacing w:val="-4"/>
        </w:rPr>
        <w:t>5</w:t>
      </w:r>
      <w:r>
        <w:rPr>
          <w:spacing w:val="-4"/>
        </w:rPr>
        <w:t>）所述的一般方法确定预期</w:t>
      </w:r>
      <w:r>
        <w:rPr>
          <w:spacing w:val="49"/>
        </w:rPr>
        <w:t> </w:t>
      </w:r>
      <w:r>
        <w:rPr>
          <w:spacing w:val="49"/>
        </w:rPr>
      </w:r>
      <w:r>
        <w:rPr>
          <w:spacing w:val="-4"/>
        </w:rPr>
        <w:t>信用损失并进行会计处理。在资产负债表日，本公司按单项长期应收款应收取的合同现金流量与预期收取的现金流量之间的</w:t>
      </w:r>
      <w:r>
        <w:rPr>
          <w:spacing w:val="38"/>
        </w:rPr>
        <w:t> </w:t>
      </w:r>
      <w:r>
        <w:rPr>
          <w:spacing w:val="38"/>
        </w:rPr>
      </w:r>
      <w:r>
        <w:rPr>
          <w:spacing w:val="-3"/>
        </w:rPr>
        <w:t>差额的现值计量长期应收款的信用损失。</w:t>
      </w:r>
    </w:p>
    <w:p>
      <w:pPr>
        <w:spacing w:line="240" w:lineRule="auto" w:before="5"/>
        <w:rPr>
          <w:rFonts w:ascii="宋体" w:hAnsi="宋体" w:cs="宋体" w:eastAsia="宋体" w:hint="default"/>
          <w:sz w:val="20"/>
          <w:szCs w:val="20"/>
        </w:rPr>
      </w:pPr>
    </w:p>
    <w:p>
      <w:pPr>
        <w:pStyle w:val="Heading3"/>
        <w:spacing w:line="240" w:lineRule="auto"/>
        <w:ind w:right="0"/>
        <w:jc w:val="left"/>
        <w:rPr>
          <w:b w:val="0"/>
          <w:bCs w:val="0"/>
        </w:rPr>
      </w:pPr>
      <w:bookmarkStart w:name="21、长期股权投资" w:id="191"/>
      <w:bookmarkEnd w:id="191"/>
      <w:r>
        <w:rPr>
          <w:b w:val="0"/>
          <w:bCs w:val="0"/>
        </w:rPr>
      </w:r>
      <w:r>
        <w:rPr>
          <w:rFonts w:ascii="Times New Roman" w:hAnsi="Times New Roman" w:cs="Times New Roman" w:eastAsia="Times New Roman" w:hint="default"/>
        </w:rPr>
        <w:t>21</w:t>
      </w:r>
      <w:r>
        <w:rPr/>
        <w:t>、长期股权投资</w:t>
      </w:r>
      <w:r>
        <w:rPr>
          <w:b w:val="0"/>
          <w:bCs w:val="0"/>
        </w:rPr>
      </w:r>
    </w:p>
    <w:p>
      <w:pPr>
        <w:spacing w:line="240" w:lineRule="auto" w:before="7"/>
        <w:rPr>
          <w:rFonts w:ascii="宋体" w:hAnsi="宋体" w:cs="宋体" w:eastAsia="宋体" w:hint="default"/>
          <w:b/>
          <w:bCs/>
          <w:sz w:val="32"/>
          <w:szCs w:val="32"/>
        </w:rPr>
      </w:pPr>
    </w:p>
    <w:p>
      <w:pPr>
        <w:pStyle w:val="BodyText"/>
        <w:spacing w:line="480" w:lineRule="auto"/>
        <w:ind w:right="1037" w:firstLine="360"/>
        <w:jc w:val="both"/>
      </w:pPr>
      <w:r>
        <w:rPr>
          <w:spacing w:val="-3"/>
        </w:rPr>
        <w:t>本部分所指的长期股权投资是指本公司对被投资单位具有控制、共同控制或重大影响的长期股权投资，包括对子公司、</w:t>
      </w:r>
      <w:r>
        <w:rPr>
          <w:w w:val="101"/>
        </w:rPr>
        <w:t> </w:t>
      </w:r>
      <w:r>
        <w:rPr>
          <w:spacing w:val="-3"/>
        </w:rPr>
        <w:t>合营企业和联营企业的权益性投资。</w:t>
      </w:r>
    </w:p>
    <w:p>
      <w:pPr>
        <w:pStyle w:val="BodyText"/>
        <w:spacing w:line="453" w:lineRule="auto" w:before="50"/>
        <w:ind w:left="513" w:right="0"/>
        <w:jc w:val="left"/>
      </w:pPr>
      <w:r>
        <w:rPr>
          <w:rFonts w:ascii="Times New Roman" w:hAnsi="Times New Roman" w:cs="Times New Roman" w:eastAsia="Times New Roman" w:hint="default"/>
        </w:rPr>
        <w:t>(1)</w:t>
      </w:r>
      <w:r>
        <w:rPr/>
        <w:t>共同控制和重大影响的判断标准</w:t>
      </w:r>
      <w:r>
        <w:rPr>
          <w:spacing w:val="-86"/>
        </w:rPr>
        <w:t> </w:t>
      </w:r>
      <w:r>
        <w:rPr>
          <w:spacing w:val="-86"/>
        </w:rPr>
      </w:r>
      <w:r>
        <w:rPr>
          <w:spacing w:val="-5"/>
        </w:rPr>
        <w:t>共同控制，是指按照相关约定对某项安排所共有的控制，并且该安排的相关活动必须经过分享控制权的参与方一致同意</w:t>
      </w:r>
    </w:p>
    <w:p>
      <w:pPr>
        <w:pStyle w:val="BodyText"/>
        <w:spacing w:line="480" w:lineRule="auto" w:before="70"/>
        <w:ind w:right="1117"/>
        <w:jc w:val="left"/>
      </w:pPr>
      <w:r>
        <w:rPr>
          <w:spacing w:val="-4"/>
          <w:w w:val="101"/>
        </w:rPr>
        <w:t>后才能决策。本公司与其他合营方一同对被投资单位实施共同控制且对被投资单位实施共同控制且对被投资单位净资产享有</w:t>
      </w:r>
      <w:r>
        <w:rPr>
          <w:w w:val="101"/>
        </w:rPr>
        <w:t> </w:t>
      </w:r>
      <w:r>
        <w:rPr>
          <w:spacing w:val="-3"/>
        </w:rPr>
        <w:t>权利的，被投资单位为本公司的合营企业。判断是否存在共同控制时，不考虑享有的保护性权利。</w:t>
      </w:r>
    </w:p>
    <w:p>
      <w:pPr>
        <w:pStyle w:val="BodyText"/>
        <w:spacing w:line="477" w:lineRule="auto" w:before="50"/>
        <w:ind w:right="1036" w:firstLine="360"/>
        <w:jc w:val="both"/>
      </w:pPr>
      <w:r>
        <w:rPr>
          <w:spacing w:val="-4"/>
        </w:rPr>
        <w:t>重大影响，是指对一个企业的财务和经营决策有参与决策的权力，但并不能够控制或者与其他方一起共同控制这些政策</w:t>
      </w:r>
      <w:r>
        <w:rPr>
          <w:w w:val="101"/>
        </w:rPr>
        <w:t> </w:t>
      </w:r>
      <w:r>
        <w:rPr>
          <w:spacing w:val="-4"/>
        </w:rPr>
        <w:t>的制定。本公司能够对被投资单位施加重大影响的，被投资单位为本公司联营企业。在确定能否对被投资单位施加重大影响</w:t>
      </w:r>
      <w:r>
        <w:rPr>
          <w:spacing w:val="43"/>
        </w:rPr>
        <w:t> </w:t>
      </w:r>
      <w:r>
        <w:rPr>
          <w:spacing w:val="43"/>
        </w:rPr>
      </w:r>
      <w:r>
        <w:rPr>
          <w:spacing w:val="-4"/>
          <w:w w:val="101"/>
        </w:rPr>
        <w:t>时，考虑投资方直接或间接持有被投资单位的表决权股份以及投资方及其他方持有的当期可执行潜在表决权在假定转换为对</w:t>
      </w:r>
      <w:r>
        <w:rPr>
          <w:w w:val="101"/>
        </w:rPr>
        <w:t> </w:t>
      </w:r>
      <w:r>
        <w:rPr>
          <w:spacing w:val="-3"/>
        </w:rPr>
        <w:t>被投资方单位的股权后产生的影响，包括被投资单位发行的当期可转换的认股权证、股份期权及可转换公司债券等的影响。</w:t>
      </w:r>
    </w:p>
    <w:p>
      <w:pPr>
        <w:pStyle w:val="BodyText"/>
        <w:spacing w:line="240" w:lineRule="auto" w:before="52"/>
        <w:ind w:left="513" w:right="0"/>
        <w:jc w:val="left"/>
      </w:pPr>
      <w:r>
        <w:rPr>
          <w:rFonts w:ascii="Times New Roman" w:hAnsi="Times New Roman" w:cs="Times New Roman" w:eastAsia="Times New Roman" w:hint="default"/>
        </w:rPr>
        <w:t>(2)</w:t>
      </w:r>
      <w:r>
        <w:rPr/>
        <w:t>长期股权投资的投资成本的确定</w:t>
      </w:r>
    </w:p>
    <w:p>
      <w:pPr>
        <w:spacing w:line="240" w:lineRule="auto" w:before="12"/>
        <w:rPr>
          <w:rFonts w:ascii="宋体" w:hAnsi="宋体" w:cs="宋体" w:eastAsia="宋体" w:hint="default"/>
          <w:sz w:val="16"/>
          <w:szCs w:val="16"/>
        </w:rPr>
      </w:pPr>
    </w:p>
    <w:p>
      <w:pPr>
        <w:pStyle w:val="BodyText"/>
        <w:spacing w:line="470" w:lineRule="auto"/>
        <w:ind w:right="1117" w:firstLine="360"/>
        <w:jc w:val="left"/>
      </w:pPr>
      <w:r>
        <w:rPr>
          <w:spacing w:val="-5"/>
        </w:rPr>
        <w:t>①同一控制下的合并形成的，合并方以支付现金、转让非现金资产、承担债务或发行权益性证券作为合并对价的，在合</w:t>
      </w:r>
      <w:r>
        <w:rPr>
          <w:w w:val="101"/>
        </w:rPr>
        <w:t> </w:t>
      </w:r>
      <w:r>
        <w:rPr>
          <w:spacing w:val="-4"/>
          <w:w w:val="101"/>
        </w:rPr>
        <w:t>并日按取得被合并方所有者权益在最终控制方合并财务报表中的账面价值的份额作为其初始投资成本。长期股权投资初始投</w:t>
      </w:r>
      <w:r>
        <w:rPr>
          <w:w w:val="101"/>
        </w:rPr>
        <w:t> </w:t>
      </w:r>
      <w:r>
        <w:rPr>
          <w:spacing w:val="-4"/>
        </w:rPr>
        <w:t>资成本与支付的现金、转让的非现金资产、所承担债务账面价值或发行股份的面值总额之间的差额调整资本公积；资本公积</w:t>
      </w:r>
      <w:r>
        <w:rPr>
          <w:spacing w:val="43"/>
        </w:rPr>
        <w:t> </w:t>
      </w:r>
      <w:r>
        <w:rPr>
          <w:spacing w:val="43"/>
        </w:rPr>
      </w:r>
      <w:r>
        <w:rPr>
          <w:spacing w:val="-4"/>
        </w:rPr>
        <w:t>不足冲减的，调整留存收益。通过多次交易分步取得同一控制下被合并方的股权，最终形成同一控制下企业合并的，应分别</w:t>
      </w:r>
      <w:r>
        <w:rPr>
          <w:spacing w:val="41"/>
        </w:rPr>
        <w:t> </w:t>
      </w:r>
      <w:r>
        <w:rPr>
          <w:spacing w:val="41"/>
        </w:rPr>
      </w:r>
      <w:r>
        <w:rPr>
          <w:spacing w:val="-3"/>
        </w:rPr>
        <w:t>是否属于</w:t>
      </w:r>
      <w:r>
        <w:rPr>
          <w:rFonts w:ascii="Times New Roman" w:hAnsi="Times New Roman" w:cs="Times New Roman" w:eastAsia="Times New Roman" w:hint="default"/>
          <w:spacing w:val="-3"/>
        </w:rPr>
        <w:t>“</w:t>
      </w:r>
      <w:r>
        <w:rPr>
          <w:spacing w:val="-3"/>
        </w:rPr>
        <w:t>一揽子交易</w:t>
      </w:r>
      <w:r>
        <w:rPr>
          <w:rFonts w:ascii="Times New Roman" w:hAnsi="Times New Roman" w:cs="Times New Roman" w:eastAsia="Times New Roman" w:hint="default"/>
          <w:spacing w:val="-3"/>
        </w:rPr>
        <w:t>”</w:t>
      </w:r>
      <w:r>
        <w:rPr>
          <w:spacing w:val="-3"/>
        </w:rPr>
        <w:t>进行处理：属于</w:t>
      </w:r>
      <w:r>
        <w:rPr>
          <w:rFonts w:ascii="Times New Roman" w:hAnsi="Times New Roman" w:cs="Times New Roman" w:eastAsia="Times New Roman" w:hint="default"/>
          <w:spacing w:val="-3"/>
        </w:rPr>
        <w:t>“</w:t>
      </w:r>
      <w:r>
        <w:rPr>
          <w:spacing w:val="-3"/>
        </w:rPr>
        <w:t>一揽子交易</w:t>
      </w:r>
      <w:r>
        <w:rPr>
          <w:rFonts w:ascii="Times New Roman" w:hAnsi="Times New Roman" w:cs="Times New Roman" w:eastAsia="Times New Roman" w:hint="default"/>
          <w:spacing w:val="-3"/>
        </w:rPr>
        <w:t>”</w:t>
      </w:r>
      <w:r>
        <w:rPr>
          <w:spacing w:val="-3"/>
        </w:rPr>
        <w:t>的，将各项交易作为一项取得控制权的交易进行会计处理。不属于</w:t>
      </w:r>
      <w:r>
        <w:rPr>
          <w:rFonts w:ascii="Times New Roman" w:hAnsi="Times New Roman" w:cs="Times New Roman" w:eastAsia="Times New Roman" w:hint="default"/>
          <w:spacing w:val="-3"/>
        </w:rPr>
        <w:t>“</w:t>
      </w:r>
      <w:r>
        <w:rPr>
          <w:spacing w:val="-3"/>
        </w:rPr>
        <w:t>一</w:t>
      </w:r>
      <w:r>
        <w:rPr>
          <w:spacing w:val="70"/>
        </w:rPr>
        <w:t> </w:t>
      </w:r>
      <w:r>
        <w:rPr>
          <w:spacing w:val="-3"/>
        </w:rPr>
        <w:t>揽子交易</w:t>
      </w:r>
      <w:r>
        <w:rPr>
          <w:rFonts w:ascii="Times New Roman" w:hAnsi="Times New Roman" w:cs="Times New Roman" w:eastAsia="Times New Roman" w:hint="default"/>
          <w:spacing w:val="-3"/>
        </w:rPr>
        <w:t>”</w:t>
      </w:r>
      <w:r>
        <w:rPr>
          <w:spacing w:val="-3"/>
        </w:rPr>
        <w:t>的，在合并日按照应享有被合并方股东权益在最终控制方合并财务报表中的账面价值的份额作为长期股权投资的</w:t>
      </w:r>
      <w:r>
        <w:rPr>
          <w:spacing w:val="65"/>
        </w:rPr>
        <w:t> </w:t>
      </w:r>
      <w:r>
        <w:rPr>
          <w:spacing w:val="65"/>
        </w:rPr>
      </w:r>
      <w:r>
        <w:rPr>
          <w:spacing w:val="-4"/>
          <w:w w:val="101"/>
        </w:rPr>
        <w:t>初始投资成本，长期股权投资初始投资成本与达到合并前的长期股权投资账面价值加上合并日进一步取得股份新支付对价的</w:t>
      </w:r>
      <w:r>
        <w:rPr>
          <w:w w:val="101"/>
        </w:rPr>
        <w:t> </w:t>
      </w:r>
      <w:r>
        <w:rPr>
          <w:spacing w:val="-4"/>
        </w:rPr>
        <w:t>账面价值之和的差额，调整资本公积；资本公积不足冲减的，调整留存收益。合并日之前持有的股权投资因采用权益法核算</w:t>
      </w:r>
      <w:r>
        <w:rPr>
          <w:spacing w:val="40"/>
        </w:rPr>
        <w:t> </w:t>
      </w:r>
      <w:r>
        <w:rPr>
          <w:spacing w:val="40"/>
        </w:rPr>
      </w:r>
      <w:r>
        <w:rPr>
          <w:spacing w:val="-3"/>
        </w:rPr>
        <w:t>或为其他权益工具投资而确认的其他综合收益，暂不进行会计处理。</w:t>
      </w:r>
    </w:p>
    <w:p>
      <w:pPr>
        <w:pStyle w:val="BodyText"/>
        <w:spacing w:line="480" w:lineRule="auto" w:before="58"/>
        <w:ind w:right="1124" w:firstLine="360"/>
        <w:jc w:val="both"/>
      </w:pPr>
      <w:r>
        <w:rPr>
          <w:spacing w:val="-4"/>
        </w:rPr>
        <w:t>②非同一控制下的企业合并形成的，公司按照购买日确定的合并成本作为长期股权投资的初始投资成本。合并成本为购</w:t>
      </w:r>
      <w:r>
        <w:rPr>
          <w:w w:val="101"/>
        </w:rPr>
        <w:t> </w:t>
      </w:r>
      <w:r>
        <w:rPr>
          <w:spacing w:val="-4"/>
        </w:rPr>
        <w:t>买日购买方为取得对被购买方的控制权而付出的资产、发生或承担的负债以及发行的权益性证券的公允价值。购买方为企业</w:t>
      </w:r>
    </w:p>
    <w:p>
      <w:pPr>
        <w:spacing w:after="0" w:line="480" w:lineRule="auto"/>
        <w:jc w:val="both"/>
        <w:sectPr>
          <w:pgSz w:w="11910" w:h="16840"/>
          <w:pgMar w:header="871" w:footer="1186" w:top="1100" w:bottom="1380" w:left="980" w:right="0"/>
        </w:sectPr>
      </w:pPr>
    </w:p>
    <w:p>
      <w:pPr>
        <w:spacing w:line="240" w:lineRule="auto" w:before="1"/>
        <w:rPr>
          <w:rFonts w:ascii="宋体" w:hAnsi="宋体" w:cs="宋体" w:eastAsia="宋体" w:hint="default"/>
          <w:sz w:val="28"/>
          <w:szCs w:val="28"/>
        </w:rPr>
      </w:pPr>
    </w:p>
    <w:p>
      <w:pPr>
        <w:pStyle w:val="BodyText"/>
        <w:spacing w:line="468" w:lineRule="auto" w:before="46"/>
        <w:ind w:right="1122"/>
        <w:jc w:val="both"/>
      </w:pPr>
      <w:r>
        <w:rPr>
          <w:spacing w:val="-4"/>
        </w:rPr>
        <w:t>合并而发生的审计、法律服务、评估咨询等中介费用以及其他相关管理费用于发生时计入当期损益；购买方作为合并对价发</w:t>
      </w:r>
      <w:r>
        <w:rPr>
          <w:spacing w:val="43"/>
        </w:rPr>
        <w:t> </w:t>
      </w:r>
      <w:r>
        <w:rPr>
          <w:spacing w:val="43"/>
        </w:rPr>
      </w:r>
      <w:r>
        <w:rPr>
          <w:spacing w:val="-4"/>
        </w:rPr>
        <w:t>行的权益性证券或债务性证券的交易费用，计入权益性证券或债务性证券的初始确认金额。本公司将合并协议约定的或有对</w:t>
      </w:r>
      <w:r>
        <w:rPr>
          <w:spacing w:val="44"/>
        </w:rPr>
        <w:t> </w:t>
      </w:r>
      <w:r>
        <w:rPr>
          <w:spacing w:val="44"/>
        </w:rPr>
      </w:r>
      <w:r>
        <w:rPr>
          <w:spacing w:val="-4"/>
        </w:rPr>
        <w:t>价作为企业合并转移对价的一部分，按照其在购买日的公允价值计入企业合并成本。通过多次交易分步实现的非同一控制下</w:t>
      </w:r>
      <w:r>
        <w:rPr>
          <w:spacing w:val="44"/>
        </w:rPr>
        <w:t> </w:t>
      </w:r>
      <w:r>
        <w:rPr>
          <w:spacing w:val="44"/>
        </w:rPr>
      </w:r>
      <w:r>
        <w:rPr>
          <w:spacing w:val="-4"/>
        </w:rPr>
        <w:t>企业合并，根据企业会计准则判断该多次交易是否属于</w:t>
      </w:r>
      <w:r>
        <w:rPr>
          <w:rFonts w:ascii="Times New Roman" w:hAnsi="Times New Roman" w:cs="Times New Roman" w:eastAsia="Times New Roman" w:hint="default"/>
          <w:spacing w:val="-4"/>
        </w:rPr>
        <w:t>“</w:t>
      </w:r>
      <w:r>
        <w:rPr>
          <w:spacing w:val="-4"/>
        </w:rPr>
        <w:t>一揽子交易</w:t>
      </w:r>
      <w:r>
        <w:rPr>
          <w:rFonts w:ascii="Times New Roman" w:hAnsi="Times New Roman" w:cs="Times New Roman" w:eastAsia="Times New Roman" w:hint="default"/>
          <w:spacing w:val="-4"/>
        </w:rPr>
        <w:t>”</w:t>
      </w:r>
      <w:r>
        <w:rPr>
          <w:spacing w:val="-4"/>
        </w:rPr>
        <w:t>。属于</w:t>
      </w:r>
      <w:r>
        <w:rPr>
          <w:rFonts w:ascii="Times New Roman" w:hAnsi="Times New Roman" w:cs="Times New Roman" w:eastAsia="Times New Roman" w:hint="default"/>
          <w:spacing w:val="-4"/>
        </w:rPr>
        <w:t>“</w:t>
      </w:r>
      <w:r>
        <w:rPr>
          <w:spacing w:val="-4"/>
        </w:rPr>
        <w:t>一揽子交易</w:t>
      </w:r>
      <w:r>
        <w:rPr>
          <w:rFonts w:ascii="Times New Roman" w:hAnsi="Times New Roman" w:cs="Times New Roman" w:eastAsia="Times New Roman" w:hint="default"/>
          <w:spacing w:val="-4"/>
        </w:rPr>
        <w:t>”</w:t>
      </w:r>
      <w:r>
        <w:rPr>
          <w:spacing w:val="-4"/>
        </w:rPr>
        <w:t>的，将各项交易作为一项取得控制</w:t>
      </w:r>
      <w:r>
        <w:rPr>
          <w:spacing w:val="2"/>
        </w:rPr>
        <w:t> </w:t>
      </w:r>
      <w:r>
        <w:rPr>
          <w:spacing w:val="2"/>
        </w:rPr>
      </w:r>
      <w:r>
        <w:rPr>
          <w:spacing w:val="-4"/>
        </w:rPr>
        <w:t>权的交易进行会计处理。不属于</w:t>
      </w:r>
      <w:r>
        <w:rPr>
          <w:rFonts w:ascii="Times New Roman" w:hAnsi="Times New Roman" w:cs="Times New Roman" w:eastAsia="Times New Roman" w:hint="default"/>
          <w:spacing w:val="-4"/>
        </w:rPr>
        <w:t>“</w:t>
      </w:r>
      <w:r>
        <w:rPr>
          <w:spacing w:val="-4"/>
        </w:rPr>
        <w:t>一揽子交易</w:t>
      </w:r>
      <w:r>
        <w:rPr>
          <w:rFonts w:ascii="Times New Roman" w:hAnsi="Times New Roman" w:cs="Times New Roman" w:eastAsia="Times New Roman" w:hint="default"/>
          <w:spacing w:val="-4"/>
        </w:rPr>
        <w:t>”</w:t>
      </w:r>
      <w:r>
        <w:rPr>
          <w:spacing w:val="-4"/>
        </w:rPr>
        <w:t>的，按照原持有被购买方的股权投资账面价值加上新增投资成本之和，作为改</w:t>
      </w:r>
      <w:r>
        <w:rPr>
          <w:spacing w:val="64"/>
        </w:rPr>
        <w:t> </w:t>
      </w:r>
      <w:r>
        <w:rPr>
          <w:spacing w:val="64"/>
        </w:rPr>
      </w:r>
      <w:r>
        <w:rPr>
          <w:spacing w:val="-4"/>
        </w:rPr>
        <w:t>按成本法核算的长期股权投资的初始投资成本；原持有的股权采用权益法核算的，相关其他综合收益暂不进行会计处理；原</w:t>
      </w:r>
      <w:r>
        <w:rPr>
          <w:spacing w:val="43"/>
        </w:rPr>
        <w:t> </w:t>
      </w:r>
      <w:r>
        <w:rPr>
          <w:spacing w:val="43"/>
        </w:rPr>
      </w:r>
      <w:r>
        <w:rPr>
          <w:spacing w:val="-4"/>
        </w:rPr>
        <w:t>持有股权投资为其他权益工具投资的，其公允价值与账面价值之间的差额，以及原计入其他综合收益的累计公允价值变动直</w:t>
      </w:r>
      <w:r>
        <w:rPr>
          <w:spacing w:val="43"/>
        </w:rPr>
        <w:t> </w:t>
      </w:r>
      <w:r>
        <w:rPr>
          <w:spacing w:val="43"/>
        </w:rPr>
      </w:r>
      <w:r>
        <w:rPr/>
        <w:t>接转入留存收益。</w:t>
      </w:r>
    </w:p>
    <w:p>
      <w:pPr>
        <w:pStyle w:val="BodyText"/>
        <w:spacing w:line="470" w:lineRule="auto" w:before="64"/>
        <w:ind w:right="1122" w:firstLine="360"/>
        <w:jc w:val="both"/>
      </w:pPr>
      <w:r>
        <w:rPr>
          <w:spacing w:val="-4"/>
        </w:rPr>
        <w:t>③除企业合并形成的长期股权投资外的其他股权投资，按成本进行初始计量：以支付现金取得的，按照实际支付的购买</w:t>
      </w:r>
      <w:r>
        <w:rPr>
          <w:w w:val="101"/>
        </w:rPr>
        <w:t> </w:t>
      </w:r>
      <w:r>
        <w:rPr>
          <w:spacing w:val="-4"/>
        </w:rPr>
        <w:t>价款作为其初始投资成本；以发行权益性证券取得的，按照发行权益性证券的公允价值作为其初始投资成本，与发行权益性</w:t>
      </w:r>
      <w:r>
        <w:rPr>
          <w:spacing w:val="43"/>
        </w:rPr>
        <w:t> </w:t>
      </w:r>
      <w:r>
        <w:rPr>
          <w:spacing w:val="43"/>
        </w:rPr>
      </w:r>
      <w:r>
        <w:rPr>
          <w:spacing w:val="-3"/>
        </w:rPr>
        <w:t>证券直接相关的费用，按照《企业会计准则第 </w:t>
      </w:r>
      <w:r>
        <w:rPr>
          <w:rFonts w:ascii="Times New Roman" w:hAnsi="Times New Roman" w:cs="Times New Roman" w:eastAsia="Times New Roman" w:hint="default"/>
          <w:spacing w:val="-3"/>
        </w:rPr>
        <w:t>37 </w:t>
      </w:r>
      <w:r>
        <w:rPr>
          <w:spacing w:val="-3"/>
        </w:rPr>
        <w:t>号</w:t>
      </w:r>
      <w:r>
        <w:rPr>
          <w:rFonts w:ascii="Times New Roman" w:hAnsi="Times New Roman" w:cs="Times New Roman" w:eastAsia="Times New Roman" w:hint="default"/>
          <w:spacing w:val="-3"/>
        </w:rPr>
        <w:t>——</w:t>
      </w:r>
      <w:r>
        <w:rPr>
          <w:spacing w:val="-3"/>
        </w:rPr>
        <w:t>金融工具列报》的有关规定确定；在非货币性资产交换具有商业实</w:t>
      </w:r>
      <w:r>
        <w:rPr>
          <w:spacing w:val="-20"/>
        </w:rPr>
        <w:t> </w:t>
      </w:r>
      <w:r>
        <w:rPr>
          <w:spacing w:val="-20"/>
        </w:rPr>
      </w:r>
      <w:r>
        <w:rPr>
          <w:spacing w:val="-4"/>
          <w:w w:val="101"/>
        </w:rPr>
        <w:t>质和换入资产或换出资产的公允价值能够可靠计量的前提下，非货币性资产交换换入的长期股权投资以换出资产的公允价值</w:t>
      </w:r>
      <w:r>
        <w:rPr>
          <w:w w:val="101"/>
        </w:rPr>
        <w:t> </w:t>
      </w:r>
      <w:r>
        <w:rPr>
          <w:spacing w:val="-4"/>
        </w:rPr>
        <w:t>和应支付的相关税费确定其初始投资成本，除非有确凿证据表明换入资产的公允价值更加可靠；不满足上述前提的非货币性</w:t>
      </w:r>
      <w:r>
        <w:rPr>
          <w:spacing w:val="45"/>
        </w:rPr>
        <w:t> </w:t>
      </w:r>
      <w:r>
        <w:rPr>
          <w:spacing w:val="45"/>
        </w:rPr>
      </w:r>
      <w:r>
        <w:rPr>
          <w:spacing w:val="-4"/>
        </w:rPr>
        <w:t>资产交换，以换出资产的账面价值和应支付的相关税费作为换入长期股权投资的初始投资成本。通过债务重组取得的长期股</w:t>
      </w:r>
    </w:p>
    <w:p>
      <w:pPr>
        <w:pStyle w:val="BodyText"/>
        <w:spacing w:line="475" w:lineRule="auto" w:before="62"/>
        <w:ind w:right="1124"/>
        <w:jc w:val="both"/>
      </w:pPr>
      <w:r>
        <w:rPr>
          <w:spacing w:val="-4"/>
        </w:rPr>
        <w:t>权投资，其初始投资成本以放弃债权的公允价值为基础确定。与取得长期股权投资直接相关的费用、税金及其他必要支出也</w:t>
      </w:r>
      <w:r>
        <w:rPr>
          <w:spacing w:val="43"/>
        </w:rPr>
        <w:t> </w:t>
      </w:r>
      <w:r>
        <w:rPr>
          <w:spacing w:val="43"/>
        </w:rPr>
      </w:r>
      <w:r>
        <w:rPr>
          <w:spacing w:val="-3"/>
        </w:rPr>
        <w:t>计入投资成本。</w:t>
      </w:r>
    </w:p>
    <w:p>
      <w:pPr>
        <w:pStyle w:val="BodyText"/>
        <w:spacing w:line="468" w:lineRule="auto" w:before="58"/>
        <w:ind w:right="1124" w:firstLine="360"/>
        <w:jc w:val="both"/>
      </w:pPr>
      <w:r>
        <w:rPr>
          <w:spacing w:val="-5"/>
        </w:rPr>
        <w:t>对于因追加投资能够对被投资单位实施重大影响或实施共同控制但不构成控制的，长期股权投资成本为按照《企业会计</w:t>
      </w:r>
      <w:r>
        <w:rPr>
          <w:w w:val="101"/>
        </w:rPr>
        <w:t> </w:t>
      </w:r>
      <w:r>
        <w:rPr/>
        <w:t>准则第 </w:t>
      </w:r>
      <w:r>
        <w:rPr>
          <w:rFonts w:ascii="Times New Roman" w:hAnsi="Times New Roman" w:cs="Times New Roman" w:eastAsia="Times New Roman" w:hint="default"/>
          <w:spacing w:val="-3"/>
        </w:rPr>
        <w:t>22 </w:t>
      </w:r>
      <w:r>
        <w:rPr>
          <w:spacing w:val="-3"/>
        </w:rPr>
        <w:t>号</w:t>
      </w:r>
      <w:r>
        <w:rPr>
          <w:rFonts w:ascii="Times New Roman" w:hAnsi="Times New Roman" w:cs="Times New Roman" w:eastAsia="Times New Roman" w:hint="default"/>
          <w:spacing w:val="-3"/>
        </w:rPr>
        <w:t>——</w:t>
      </w:r>
      <w:r>
        <w:rPr>
          <w:spacing w:val="-3"/>
        </w:rPr>
        <w:t>金融工具确认和计量》确定的原持有股权投资的公允价值加上新增投资成本之和，作为改按权益法核算的</w:t>
      </w:r>
      <w:r>
        <w:rPr>
          <w:spacing w:val="-32"/>
        </w:rPr>
        <w:t> </w:t>
      </w:r>
      <w:r>
        <w:rPr>
          <w:spacing w:val="-32"/>
        </w:rPr>
      </w:r>
      <w:r>
        <w:rPr>
          <w:spacing w:val="-4"/>
        </w:rPr>
        <w:t>初始投资成本。原持有的股权投资分类为其他权益工具投资的，其公允价值与账面价值之间的差额，以及原计入其他综合收</w:t>
      </w:r>
      <w:r>
        <w:rPr>
          <w:spacing w:val="43"/>
        </w:rPr>
        <w:t> </w:t>
      </w:r>
      <w:r>
        <w:rPr>
          <w:spacing w:val="43"/>
        </w:rPr>
      </w:r>
      <w:r>
        <w:rPr>
          <w:spacing w:val="-3"/>
        </w:rPr>
        <w:t>益的累计公允价值变动应当直接转入留存收益。</w:t>
      </w:r>
    </w:p>
    <w:p>
      <w:pPr>
        <w:pStyle w:val="BodyText"/>
        <w:spacing w:line="240" w:lineRule="auto" w:before="64"/>
        <w:ind w:left="513" w:right="0"/>
        <w:jc w:val="left"/>
      </w:pPr>
      <w:r>
        <w:rPr>
          <w:rFonts w:ascii="Times New Roman" w:hAnsi="Times New Roman" w:cs="Times New Roman" w:eastAsia="Times New Roman" w:hint="default"/>
        </w:rPr>
        <w:t>(3)</w:t>
      </w:r>
      <w:r>
        <w:rPr/>
        <w:t>长期股权投资的后续计量及损益确认方法</w:t>
      </w:r>
    </w:p>
    <w:p>
      <w:pPr>
        <w:spacing w:line="240" w:lineRule="auto" w:before="7"/>
        <w:rPr>
          <w:rFonts w:ascii="宋体" w:hAnsi="宋体" w:cs="宋体" w:eastAsia="宋体" w:hint="default"/>
          <w:sz w:val="16"/>
          <w:szCs w:val="16"/>
        </w:rPr>
      </w:pPr>
    </w:p>
    <w:p>
      <w:pPr>
        <w:pStyle w:val="BodyText"/>
        <w:spacing w:line="480" w:lineRule="auto"/>
        <w:ind w:left="513" w:right="0"/>
        <w:jc w:val="left"/>
      </w:pPr>
      <w:r>
        <w:rPr>
          <w:spacing w:val="-3"/>
        </w:rPr>
        <w:t>①成本法核算的长期股权投资</w:t>
      </w:r>
      <w:r>
        <w:rPr>
          <w:spacing w:val="-50"/>
        </w:rPr>
        <w:t> </w:t>
      </w:r>
      <w:r>
        <w:rPr>
          <w:spacing w:val="-50"/>
        </w:rPr>
      </w:r>
      <w:r>
        <w:rPr>
          <w:spacing w:val="-5"/>
        </w:rPr>
        <w:t>公司对子公司的长期股权投资，采用成本法核算。除取得投资时实际支付的价款或对价中包含的已宣告但尚未发放的现</w:t>
      </w:r>
    </w:p>
    <w:p>
      <w:pPr>
        <w:pStyle w:val="BodyText"/>
        <w:spacing w:line="240" w:lineRule="auto" w:before="50"/>
        <w:ind w:right="0"/>
        <w:jc w:val="both"/>
      </w:pPr>
      <w:r>
        <w:rPr>
          <w:spacing w:val="-3"/>
        </w:rPr>
        <w:t>金股利或利润外，公司按照享有被投资单位宣告发放的现金股利或利润确认当期投资收益。</w:t>
      </w:r>
    </w:p>
    <w:p>
      <w:pPr>
        <w:spacing w:line="240" w:lineRule="auto" w:before="13"/>
        <w:rPr>
          <w:rFonts w:ascii="宋体" w:hAnsi="宋体" w:cs="宋体" w:eastAsia="宋体" w:hint="default"/>
          <w:sz w:val="17"/>
          <w:szCs w:val="17"/>
        </w:rPr>
      </w:pPr>
    </w:p>
    <w:p>
      <w:pPr>
        <w:pStyle w:val="BodyText"/>
        <w:spacing w:line="475" w:lineRule="auto"/>
        <w:ind w:left="513" w:right="3848"/>
        <w:jc w:val="left"/>
      </w:pPr>
      <w:r>
        <w:rPr>
          <w:spacing w:val="-3"/>
        </w:rPr>
        <w:t>②权益法核算的长期股权投资</w:t>
      </w:r>
      <w:r>
        <w:rPr>
          <w:spacing w:val="-50"/>
        </w:rPr>
        <w:t> </w:t>
      </w:r>
      <w:r>
        <w:rPr>
          <w:spacing w:val="-50"/>
        </w:rPr>
      </w:r>
      <w:r>
        <w:rPr>
          <w:spacing w:val="-3"/>
        </w:rPr>
        <w:t>对联营企业和合营企业的长期股权投资，采用权益法核算。</w:t>
      </w:r>
    </w:p>
    <w:p>
      <w:pPr>
        <w:pStyle w:val="BodyText"/>
        <w:spacing w:line="477" w:lineRule="auto" w:before="58"/>
        <w:ind w:right="1037" w:firstLine="360"/>
        <w:jc w:val="both"/>
      </w:pPr>
      <w:r>
        <w:rPr>
          <w:spacing w:val="-5"/>
          <w:w w:val="101"/>
        </w:rPr>
        <w:t>采用权益法核算的长期股权投资的初始投资成本大于投资时应享有被投资单位可辨认净资产公允价值份额的，不调整长</w:t>
      </w:r>
      <w:r>
        <w:rPr>
          <w:w w:val="101"/>
        </w:rPr>
        <w:t> </w:t>
      </w:r>
      <w:r>
        <w:rPr>
          <w:spacing w:val="-4"/>
        </w:rPr>
        <w:t>期股权投资的初始投资成本；长期股权投资的初始投资成本小于投资时应享有被投资单位可辨认净资产公允价值份额的，其</w:t>
      </w:r>
      <w:r>
        <w:rPr>
          <w:spacing w:val="43"/>
        </w:rPr>
        <w:t> </w:t>
      </w:r>
      <w:r>
        <w:rPr>
          <w:spacing w:val="43"/>
        </w:rPr>
      </w:r>
      <w:r>
        <w:rPr>
          <w:spacing w:val="-4"/>
        </w:rPr>
        <w:t>差额应当计入当期损益，同时调整长期股权投资的成本。取得长期股权投资后，被投资单位采用的会计政策及会计期间与公</w:t>
      </w:r>
    </w:p>
    <w:p>
      <w:pPr>
        <w:pStyle w:val="BodyText"/>
        <w:spacing w:line="240" w:lineRule="auto" w:before="52"/>
        <w:ind w:right="0"/>
        <w:jc w:val="both"/>
      </w:pPr>
      <w:r>
        <w:rPr>
          <w:spacing w:val="-3"/>
        </w:rPr>
        <w:t>司不一致的，按照公司的会计政策及会计期间对被投资单位的财务报表进行调整，并据以确认投资损益和其他综合收益等。</w:t>
      </w:r>
    </w:p>
    <w:p>
      <w:pPr>
        <w:spacing w:after="0" w:line="240" w:lineRule="auto"/>
        <w:jc w:val="both"/>
        <w:sectPr>
          <w:pgSz w:w="11910" w:h="16840"/>
          <w:pgMar w:header="871" w:footer="1186" w:top="1100" w:bottom="1380" w:left="980" w:right="0"/>
        </w:sectPr>
      </w:pPr>
    </w:p>
    <w:p>
      <w:pPr>
        <w:spacing w:line="240" w:lineRule="auto" w:before="1"/>
        <w:rPr>
          <w:rFonts w:ascii="宋体" w:hAnsi="宋体" w:cs="宋体" w:eastAsia="宋体" w:hint="default"/>
          <w:sz w:val="28"/>
          <w:szCs w:val="28"/>
        </w:rPr>
      </w:pPr>
    </w:p>
    <w:p>
      <w:pPr>
        <w:pStyle w:val="BodyText"/>
        <w:spacing w:line="477" w:lineRule="auto" w:before="46"/>
        <w:ind w:right="1123"/>
        <w:jc w:val="both"/>
      </w:pPr>
      <w:r>
        <w:rPr>
          <w:spacing w:val="-4"/>
        </w:rPr>
        <w:t>按照应享有或应分担的被投资单位实现的净损益和其他综合收益的份额，分别确认投资收益和其他综合收益，同时调整长期</w:t>
      </w:r>
      <w:r>
        <w:rPr>
          <w:spacing w:val="38"/>
        </w:rPr>
        <w:t> </w:t>
      </w:r>
      <w:r>
        <w:rPr>
          <w:spacing w:val="38"/>
        </w:rPr>
      </w:r>
      <w:r>
        <w:rPr>
          <w:spacing w:val="-4"/>
        </w:rPr>
        <w:t>股权投资的账面价值；在确认应享有被投资单位净损益的份额时，以取得投资时被投资单位各项可辨认资产等的公允价值为</w:t>
      </w:r>
      <w:r>
        <w:rPr>
          <w:spacing w:val="42"/>
        </w:rPr>
        <w:t> </w:t>
      </w:r>
      <w:r>
        <w:rPr>
          <w:spacing w:val="42"/>
        </w:rPr>
      </w:r>
      <w:r>
        <w:rPr>
          <w:spacing w:val="-4"/>
        </w:rPr>
        <w:t>基础，对被投资单位的净利润进行调整后确认。按照被投资单位宣告分派的利润或现金股利计算应享有的部分，相应减少长</w:t>
      </w:r>
      <w:r>
        <w:rPr>
          <w:spacing w:val="43"/>
        </w:rPr>
        <w:t> </w:t>
      </w:r>
      <w:r>
        <w:rPr>
          <w:spacing w:val="43"/>
        </w:rPr>
      </w:r>
      <w:r>
        <w:rPr>
          <w:spacing w:val="-4"/>
        </w:rPr>
        <w:t>期股权投资的账面价值；对于被投资单位除净损益、其他综合收益和利润分配以外所有者权益的其他变动，调整长期股权投</w:t>
      </w:r>
      <w:r>
        <w:rPr>
          <w:spacing w:val="43"/>
        </w:rPr>
        <w:t> </w:t>
      </w:r>
      <w:r>
        <w:rPr>
          <w:spacing w:val="43"/>
        </w:rPr>
      </w:r>
      <w:r>
        <w:rPr>
          <w:spacing w:val="-4"/>
        </w:rPr>
        <w:t>资的账面价值并计入所有者权益。公司与联营企业、合营企业之间发生的未实现内部交易损益按照享有的比例计算归属于公</w:t>
      </w:r>
      <w:r>
        <w:rPr>
          <w:spacing w:val="39"/>
        </w:rPr>
        <w:t> </w:t>
      </w:r>
      <w:r>
        <w:rPr>
          <w:spacing w:val="39"/>
        </w:rPr>
      </w:r>
      <w:r>
        <w:rPr>
          <w:spacing w:val="-4"/>
        </w:rPr>
        <w:t>司的部分，予以抵销，在此基础上确认投资收益。与被投资单位发生的未实现内部交易损失，属于资产减值损失的，全额确</w:t>
      </w:r>
      <w:r>
        <w:rPr>
          <w:spacing w:val="40"/>
        </w:rPr>
        <w:t> </w:t>
      </w:r>
      <w:r>
        <w:rPr>
          <w:spacing w:val="40"/>
        </w:rPr>
      </w:r>
      <w:r>
        <w:rPr/>
        <w:t>认。</w:t>
      </w:r>
    </w:p>
    <w:p>
      <w:pPr>
        <w:pStyle w:val="BodyText"/>
        <w:spacing w:line="477" w:lineRule="auto" w:before="52"/>
        <w:ind w:right="1122" w:firstLine="360"/>
        <w:jc w:val="both"/>
      </w:pPr>
      <w:r>
        <w:rPr>
          <w:spacing w:val="-5"/>
        </w:rPr>
        <w:t>在公司确认应分担被投资单位发生亏损时，按照以下顺序进行处理：首先，冲减长期股权投资的账面价值。其次，长期</w:t>
      </w:r>
      <w:r>
        <w:rPr>
          <w:w w:val="101"/>
        </w:rPr>
        <w:t> </w:t>
      </w:r>
      <w:r>
        <w:rPr>
          <w:spacing w:val="-4"/>
        </w:rPr>
        <w:t>股权投资的账面价值不足以冲减的，以其他实质上构成对被投资单位净投资的长期权益账面价值为限继续确认投资损失、冲</w:t>
      </w:r>
      <w:r>
        <w:rPr>
          <w:spacing w:val="42"/>
        </w:rPr>
        <w:t> </w:t>
      </w:r>
      <w:r>
        <w:rPr>
          <w:spacing w:val="42"/>
        </w:rPr>
      </w:r>
      <w:r>
        <w:rPr>
          <w:spacing w:val="-4"/>
        </w:rPr>
        <w:t>减长期应收项目的账面价值。经过上述处理，按照投资合同或协议约定企业仍承担额外义务的，按预计承担的义务确认预计</w:t>
      </w:r>
      <w:r>
        <w:rPr>
          <w:spacing w:val="43"/>
        </w:rPr>
        <w:t> </w:t>
      </w:r>
      <w:r>
        <w:rPr>
          <w:spacing w:val="43"/>
        </w:rPr>
      </w:r>
      <w:r>
        <w:rPr>
          <w:spacing w:val="-4"/>
        </w:rPr>
        <w:t>负债，计入当期投资损失。被投资单位以后期间实现净利润的，本公司在收益弥补未确认的亏损分担额后，恢复确认收益分</w:t>
      </w:r>
      <w:r>
        <w:rPr>
          <w:spacing w:val="41"/>
        </w:rPr>
        <w:t> </w:t>
      </w:r>
      <w:r>
        <w:rPr>
          <w:spacing w:val="41"/>
        </w:rPr>
      </w:r>
      <w:r>
        <w:rPr/>
        <w:t>享额。</w:t>
      </w:r>
    </w:p>
    <w:p>
      <w:pPr>
        <w:pStyle w:val="BodyText"/>
        <w:spacing w:line="475" w:lineRule="auto" w:before="56"/>
        <w:ind w:right="1124" w:firstLine="360"/>
        <w:jc w:val="both"/>
      </w:pPr>
      <w:r>
        <w:rPr>
          <w:spacing w:val="-4"/>
        </w:rPr>
        <w:t>在持有投资期间，被投资单位编制合并财务报表的，以合并财务报表中的净利润、其他综合收益和其他所有者权益变动</w:t>
      </w:r>
      <w:r>
        <w:rPr>
          <w:w w:val="101"/>
        </w:rPr>
        <w:t> </w:t>
      </w:r>
      <w:r>
        <w:rPr>
          <w:spacing w:val="-3"/>
        </w:rPr>
        <w:t>中归属于被投资单位的金额为基础进行核算。</w:t>
      </w:r>
    </w:p>
    <w:p>
      <w:pPr>
        <w:pStyle w:val="BodyText"/>
        <w:spacing w:line="470" w:lineRule="auto" w:before="58"/>
        <w:ind w:right="1122" w:firstLine="360"/>
        <w:jc w:val="both"/>
      </w:pPr>
      <w:r>
        <w:rPr>
          <w:spacing w:val="-4"/>
        </w:rPr>
        <w:t>对于本公司向合营企业与联营企业投出的资产构成业务的，投资方因此取得长期股权投资但未取得控制权的，以投出业</w:t>
      </w:r>
      <w:r>
        <w:rPr>
          <w:w w:val="101"/>
        </w:rPr>
        <w:t> </w:t>
      </w:r>
      <w:r>
        <w:rPr>
          <w:spacing w:val="-4"/>
        </w:rPr>
        <w:t>务的公允价值作为新增长期股权投资的初始投资成本，初始投资成本与投出业务的账面价值之差，全额计入当期损益。本公</w:t>
      </w:r>
      <w:r>
        <w:rPr>
          <w:spacing w:val="43"/>
        </w:rPr>
        <w:t> </w:t>
      </w:r>
      <w:r>
        <w:rPr>
          <w:spacing w:val="43"/>
        </w:rPr>
      </w:r>
      <w:r>
        <w:rPr>
          <w:spacing w:val="-4"/>
        </w:rPr>
        <w:t>司向合营企业或者联营企业出售的资产构成业务的，取得的对价与业务的账面价值之差，全额计入当期损益。本公司自联营</w:t>
      </w:r>
      <w:r>
        <w:rPr>
          <w:spacing w:val="45"/>
        </w:rPr>
        <w:t> </w:t>
      </w:r>
      <w:r>
        <w:rPr>
          <w:spacing w:val="45"/>
        </w:rPr>
      </w:r>
      <w:r>
        <w:rPr>
          <w:spacing w:val="-3"/>
        </w:rPr>
        <w:t>及合营企业购入的资产构成业务的，按《企业会计准则第 </w:t>
      </w:r>
      <w:r>
        <w:rPr>
          <w:rFonts w:ascii="Times New Roman" w:hAnsi="Times New Roman" w:cs="Times New Roman" w:eastAsia="Times New Roman" w:hint="default"/>
        </w:rPr>
        <w:t>20 </w:t>
      </w:r>
      <w:r>
        <w:rPr>
          <w:spacing w:val="-3"/>
        </w:rPr>
        <w:t>号</w:t>
      </w:r>
      <w:r>
        <w:rPr>
          <w:rFonts w:ascii="Times New Roman" w:hAnsi="Times New Roman" w:cs="Times New Roman" w:eastAsia="Times New Roman" w:hint="default"/>
          <w:spacing w:val="-3"/>
        </w:rPr>
        <w:t>——</w:t>
      </w:r>
      <w:r>
        <w:rPr>
          <w:spacing w:val="-3"/>
        </w:rPr>
        <w:t>企业合并》的规定进行会计处理，全额确认与交易相关</w:t>
      </w:r>
      <w:r>
        <w:rPr>
          <w:spacing w:val="-32"/>
        </w:rPr>
        <w:t> </w:t>
      </w:r>
      <w:r>
        <w:rPr>
          <w:spacing w:val="-32"/>
        </w:rPr>
      </w:r>
      <w:r>
        <w:rPr>
          <w:spacing w:val="-3"/>
        </w:rPr>
        <w:t>的利得或损失。</w:t>
      </w:r>
    </w:p>
    <w:p>
      <w:pPr>
        <w:pStyle w:val="BodyText"/>
        <w:spacing w:line="453" w:lineRule="auto" w:before="57"/>
        <w:ind w:left="513" w:right="3848"/>
        <w:jc w:val="left"/>
      </w:pPr>
      <w:r>
        <w:rPr>
          <w:rFonts w:ascii="Times New Roman" w:hAnsi="Times New Roman" w:cs="Times New Roman" w:eastAsia="Times New Roman" w:hint="default"/>
        </w:rPr>
        <w:t>(4)</w:t>
      </w:r>
      <w:r>
        <w:rPr/>
        <w:t>长期股权投资的处置</w:t>
      </w:r>
      <w:r>
        <w:rPr>
          <w:spacing w:val="-88"/>
        </w:rPr>
        <w:t> </w:t>
      </w:r>
      <w:r>
        <w:rPr>
          <w:spacing w:val="-88"/>
        </w:rPr>
      </w:r>
      <w:r>
        <w:rPr>
          <w:spacing w:val="-3"/>
        </w:rPr>
        <w:t>处置长期股权投资，其账面价值与实际取得价款的差额，计入当期损益。</w:t>
      </w:r>
    </w:p>
    <w:p>
      <w:pPr>
        <w:pStyle w:val="BodyText"/>
        <w:spacing w:line="480" w:lineRule="auto" w:before="70"/>
        <w:ind w:left="513" w:right="0"/>
        <w:jc w:val="left"/>
      </w:pPr>
      <w:r>
        <w:rPr>
          <w:spacing w:val="-3"/>
        </w:rPr>
        <w:t>①权益法核算下的长期股权投资的处置</w:t>
      </w:r>
      <w:r>
        <w:rPr>
          <w:spacing w:val="-39"/>
        </w:rPr>
        <w:t> </w:t>
      </w:r>
      <w:r>
        <w:rPr>
          <w:spacing w:val="-39"/>
        </w:rPr>
      </w:r>
      <w:r>
        <w:rPr>
          <w:spacing w:val="-4"/>
        </w:rPr>
        <w:t>采用权益法核算的长期股权投资，处置后的剩余股权仍采用权益法核算的，在处置该项投资时，采用与被投资单位直接</w:t>
      </w:r>
    </w:p>
    <w:p>
      <w:pPr>
        <w:pStyle w:val="BodyText"/>
        <w:spacing w:line="480" w:lineRule="auto" w:before="50"/>
        <w:ind w:right="1124"/>
        <w:jc w:val="both"/>
      </w:pPr>
      <w:r>
        <w:rPr>
          <w:spacing w:val="-4"/>
        </w:rPr>
        <w:t>处置相关资产或者负债相同的基础，按相应比例对原计入其他综合收益的部分进行会计处理。因被投资单位除净损益、其他</w:t>
      </w:r>
      <w:r>
        <w:rPr>
          <w:spacing w:val="43"/>
        </w:rPr>
        <w:t> </w:t>
      </w:r>
      <w:r>
        <w:rPr>
          <w:spacing w:val="43"/>
        </w:rPr>
      </w:r>
      <w:r>
        <w:rPr>
          <w:spacing w:val="-3"/>
        </w:rPr>
        <w:t>综合收益和利润分配以外的其他所有者权益变动而确认的所有者权益，按比例结转入当期损益。</w:t>
      </w:r>
    </w:p>
    <w:p>
      <w:pPr>
        <w:pStyle w:val="BodyText"/>
        <w:spacing w:line="477" w:lineRule="auto" w:before="50"/>
        <w:ind w:right="0" w:firstLine="360"/>
        <w:jc w:val="left"/>
      </w:pPr>
      <w:r>
        <w:rPr>
          <w:spacing w:val="-5"/>
          <w:w w:val="101"/>
        </w:rPr>
        <w:t>因处置部分股权投资等原因丧失了对投资单位的共同控制或者重大影响的，处置后的剩余股权改按金融工具确认和计量</w:t>
      </w:r>
      <w:r>
        <w:rPr>
          <w:w w:val="101"/>
        </w:rPr>
        <w:t> </w:t>
      </w:r>
      <w:r>
        <w:rPr>
          <w:spacing w:val="-4"/>
        </w:rPr>
        <w:t>准则核算，其在丧失共同控制或重大影响之日的公允价值与账面价值之间的差额计入当期损益。原股权投资因采用权益法核</w:t>
      </w:r>
      <w:r>
        <w:rPr>
          <w:spacing w:val="44"/>
        </w:rPr>
        <w:t> </w:t>
      </w:r>
      <w:r>
        <w:rPr>
          <w:spacing w:val="44"/>
        </w:rPr>
      </w:r>
      <w:r>
        <w:rPr>
          <w:spacing w:val="-3"/>
        </w:rPr>
        <w:t>算而确认的其他综合收益，在终止确认权益法核算时采用与被投资单位直接处置相关资产或负债相同的基础进行会计处理。</w:t>
      </w:r>
      <w:r>
        <w:rPr>
          <w:spacing w:val="75"/>
        </w:rPr>
        <w:t> </w:t>
      </w:r>
      <w:r>
        <w:rPr>
          <w:spacing w:val="75"/>
        </w:rPr>
      </w:r>
      <w:r>
        <w:rPr>
          <w:spacing w:val="-4"/>
        </w:rPr>
        <w:t>因被投资方除净损益、其他综合收益和利润分配以外的其他所有者权益变动而确认的所有者权益，在终止采用权益法核算时</w:t>
      </w:r>
    </w:p>
    <w:p>
      <w:pPr>
        <w:pStyle w:val="BodyText"/>
        <w:spacing w:line="240" w:lineRule="auto" w:before="52"/>
        <w:ind w:right="0"/>
        <w:jc w:val="both"/>
      </w:pPr>
      <w:r>
        <w:rPr>
          <w:spacing w:val="-3"/>
        </w:rPr>
        <w:t>全部转入当期损益。</w:t>
      </w:r>
    </w:p>
    <w:p>
      <w:pPr>
        <w:spacing w:after="0" w:line="240" w:lineRule="auto"/>
        <w:jc w:val="both"/>
        <w:sectPr>
          <w:footerReference w:type="default" r:id="rId29"/>
          <w:pgSz w:w="11910" w:h="16840"/>
          <w:pgMar w:footer="1186" w:header="871" w:top="1100" w:bottom="1380" w:left="980" w:right="0"/>
          <w:pgNumType w:start="123"/>
        </w:sectPr>
      </w:pPr>
    </w:p>
    <w:p>
      <w:pPr>
        <w:spacing w:line="240" w:lineRule="auto" w:before="1"/>
        <w:rPr>
          <w:rFonts w:ascii="宋体" w:hAnsi="宋体" w:cs="宋体" w:eastAsia="宋体" w:hint="default"/>
          <w:sz w:val="28"/>
          <w:szCs w:val="28"/>
        </w:rPr>
      </w:pPr>
    </w:p>
    <w:p>
      <w:pPr>
        <w:pStyle w:val="BodyText"/>
        <w:spacing w:line="475" w:lineRule="auto" w:before="46"/>
        <w:ind w:left="513" w:right="0"/>
        <w:jc w:val="left"/>
      </w:pPr>
      <w:r>
        <w:rPr>
          <w:spacing w:val="-3"/>
        </w:rPr>
        <w:t>②成本法核算下的长期股权投资的处置</w:t>
      </w:r>
      <w:r>
        <w:rPr>
          <w:spacing w:val="-39"/>
        </w:rPr>
        <w:t> </w:t>
      </w:r>
      <w:r>
        <w:rPr>
          <w:spacing w:val="-39"/>
        </w:rPr>
      </w:r>
      <w:r>
        <w:rPr>
          <w:spacing w:val="-4"/>
        </w:rPr>
        <w:t>采用成本法核算的长期股权投资，处置后剩余股权仍采用成本法核算的，其在取得对被投资单位的控制之前因采用权益</w:t>
      </w:r>
    </w:p>
    <w:p>
      <w:pPr>
        <w:pStyle w:val="BodyText"/>
        <w:spacing w:line="477" w:lineRule="auto" w:before="59"/>
        <w:ind w:right="1124"/>
        <w:jc w:val="both"/>
      </w:pPr>
      <w:r>
        <w:rPr>
          <w:spacing w:val="-4"/>
          <w:w w:val="101"/>
        </w:rPr>
        <w:t>法核算或者金融工具确认和计量准则核算而确认的其他综合收益，采用与被投资单位直接处置相关资产或者负债相同的基础</w:t>
      </w:r>
      <w:r>
        <w:rPr>
          <w:w w:val="101"/>
        </w:rPr>
        <w:t> </w:t>
      </w:r>
      <w:r>
        <w:rPr>
          <w:spacing w:val="-4"/>
        </w:rPr>
        <w:t>进行处理，并按比例结转当期损益；因采用权益法核算而确认的被投资单位净资产中除净损益、其他综合收益和净利润分配</w:t>
      </w:r>
      <w:r>
        <w:rPr>
          <w:spacing w:val="43"/>
        </w:rPr>
        <w:t> </w:t>
      </w:r>
      <w:r>
        <w:rPr>
          <w:spacing w:val="43"/>
        </w:rPr>
      </w:r>
      <w:r>
        <w:rPr>
          <w:spacing w:val="-3"/>
        </w:rPr>
        <w:t>以外的其他所有者权益变动按比例结转当期损益。</w:t>
      </w:r>
    </w:p>
    <w:p>
      <w:pPr>
        <w:pStyle w:val="BodyText"/>
        <w:spacing w:line="477" w:lineRule="auto" w:before="52"/>
        <w:ind w:right="1124" w:firstLine="360"/>
        <w:jc w:val="both"/>
      </w:pPr>
      <w:r>
        <w:rPr>
          <w:spacing w:val="-4"/>
        </w:rPr>
        <w:t>因其他投资方增资而导致本公司持股比例下降、从而丧失控制权但能对被投资单位实施共同控制或施加重大影响的，按</w:t>
      </w:r>
      <w:r>
        <w:rPr>
          <w:w w:val="101"/>
        </w:rPr>
        <w:t> </w:t>
      </w:r>
      <w:r>
        <w:rPr>
          <w:spacing w:val="-4"/>
          <w:w w:val="101"/>
        </w:rPr>
        <w:t>照新的持股比例确认本公司应享有的被投资单位因增资扩股而增加净资产的份额，与应结转持股比例下降部分所对应的长期</w:t>
      </w:r>
      <w:r>
        <w:rPr>
          <w:w w:val="101"/>
        </w:rPr>
        <w:t> </w:t>
      </w:r>
      <w:r>
        <w:rPr>
          <w:spacing w:val="-3"/>
        </w:rPr>
        <w:t>股权投资原账面价值之间的差额计入当期损益；然后，按照新的持股比例视同自取得投资时即采用权益法核算进行调整。</w:t>
      </w:r>
    </w:p>
    <w:p>
      <w:pPr>
        <w:pStyle w:val="BodyText"/>
        <w:spacing w:line="470" w:lineRule="auto" w:before="56"/>
        <w:ind w:right="1122" w:firstLine="360"/>
        <w:jc w:val="both"/>
      </w:pPr>
      <w:r>
        <w:rPr>
          <w:spacing w:val="-5"/>
          <w:w w:val="101"/>
        </w:rPr>
        <w:t>公司因处置部分股权投资或其他原因丧失了对原有子公司控制权的，处置后的剩余股权能够对被投资单位实施共同控制</w:t>
      </w:r>
      <w:r>
        <w:rPr>
          <w:w w:val="101"/>
        </w:rPr>
        <w:t> </w:t>
      </w:r>
      <w:r>
        <w:rPr>
          <w:spacing w:val="-4"/>
        </w:rPr>
        <w:t>或施加重大影响的，改按权益法核算，并对该剩余股权视同自取得时即采用权益法核算进行调整，购买日之前持有的股权投</w:t>
      </w:r>
      <w:r>
        <w:rPr>
          <w:spacing w:val="45"/>
        </w:rPr>
        <w:t> </w:t>
      </w:r>
      <w:r>
        <w:rPr>
          <w:spacing w:val="45"/>
        </w:rPr>
      </w:r>
      <w:r>
        <w:rPr>
          <w:spacing w:val="-4"/>
          <w:w w:val="101"/>
        </w:rPr>
        <w:t>资因采用权益法核算而确认的其他综合收益和其他所有者权益按比例结转；处置后的剩余股权不能对被投资单位实施共同控</w:t>
      </w:r>
      <w:r>
        <w:rPr>
          <w:w w:val="101"/>
        </w:rPr>
        <w:t> </w:t>
      </w:r>
      <w:r>
        <w:rPr>
          <w:spacing w:val="-3"/>
        </w:rPr>
        <w:t>制或施加重大影响的，改按《企业会计准则第 </w:t>
      </w:r>
      <w:r>
        <w:rPr>
          <w:rFonts w:ascii="Times New Roman" w:hAnsi="Times New Roman" w:cs="Times New Roman" w:eastAsia="Times New Roman" w:hint="default"/>
          <w:spacing w:val="-3"/>
        </w:rPr>
        <w:t>22 </w:t>
      </w:r>
      <w:r>
        <w:rPr>
          <w:spacing w:val="-3"/>
        </w:rPr>
        <w:t>号</w:t>
      </w:r>
      <w:r>
        <w:rPr>
          <w:rFonts w:ascii="Times New Roman" w:hAnsi="Times New Roman" w:cs="Times New Roman" w:eastAsia="Times New Roman" w:hint="default"/>
          <w:spacing w:val="-3"/>
        </w:rPr>
        <w:t>——</w:t>
      </w:r>
      <w:r>
        <w:rPr>
          <w:spacing w:val="-3"/>
        </w:rPr>
        <w:t>金融工具确认和计量》的有关规定进行会计处理，其在丧失控制之</w:t>
      </w:r>
      <w:r>
        <w:rPr>
          <w:spacing w:val="-20"/>
        </w:rPr>
        <w:t> </w:t>
      </w:r>
      <w:r>
        <w:rPr>
          <w:spacing w:val="-20"/>
        </w:rPr>
      </w:r>
      <w:r>
        <w:rPr>
          <w:spacing w:val="-3"/>
        </w:rPr>
        <w:t>日的公允价值与账面价值间的差额计入当期损益，其他综合收益和其他所有者权益全部结转为当期损益。</w:t>
      </w:r>
    </w:p>
    <w:p>
      <w:pPr>
        <w:pStyle w:val="BodyText"/>
        <w:spacing w:line="477" w:lineRule="auto" w:before="57"/>
        <w:ind w:right="1127" w:firstLine="360"/>
        <w:jc w:val="both"/>
      </w:pPr>
      <w:r>
        <w:rPr>
          <w:spacing w:val="-5"/>
        </w:rPr>
        <w:t>本公司通过多次交易分步处置对子公司股权投资直至丧失控制权，如果上述交易属于一揽子交易的，将各项交易作为一</w:t>
      </w:r>
      <w:r>
        <w:rPr>
          <w:w w:val="101"/>
        </w:rPr>
        <w:t> </w:t>
      </w:r>
      <w:r>
        <w:rPr>
          <w:spacing w:val="-4"/>
          <w:w w:val="101"/>
        </w:rPr>
        <w:t>项处置子公司股权投资并丧失控制权的交易进行会计处理，在丧失控制权之前每一次处置价款与所处置的股权对应的长期股</w:t>
      </w:r>
      <w:r>
        <w:rPr>
          <w:w w:val="101"/>
        </w:rPr>
        <w:t> </w:t>
      </w:r>
      <w:r>
        <w:rPr>
          <w:spacing w:val="-3"/>
        </w:rPr>
        <w:t>权投资账面价值之间的差额，先确认为其他综合收益，到丧失控制权时再一并转入丧失控制权的当期损益。</w:t>
      </w:r>
    </w:p>
    <w:p>
      <w:pPr>
        <w:spacing w:line="240" w:lineRule="auto" w:before="4"/>
        <w:rPr>
          <w:rFonts w:ascii="宋体" w:hAnsi="宋体" w:cs="宋体" w:eastAsia="宋体" w:hint="default"/>
          <w:sz w:val="19"/>
          <w:szCs w:val="19"/>
        </w:rPr>
      </w:pPr>
    </w:p>
    <w:p>
      <w:pPr>
        <w:pStyle w:val="Heading3"/>
        <w:spacing w:line="240" w:lineRule="auto"/>
        <w:ind w:right="0"/>
        <w:jc w:val="both"/>
        <w:rPr>
          <w:b w:val="0"/>
          <w:bCs w:val="0"/>
        </w:rPr>
      </w:pPr>
      <w:bookmarkStart w:name="22、固定资产" w:id="192"/>
      <w:bookmarkEnd w:id="192"/>
      <w:r>
        <w:rPr>
          <w:b w:val="0"/>
          <w:bCs w:val="0"/>
        </w:rPr>
      </w:r>
      <w:r>
        <w:rPr>
          <w:rFonts w:ascii="Times New Roman" w:hAnsi="Times New Roman" w:cs="Times New Roman" w:eastAsia="Times New Roman" w:hint="default"/>
        </w:rPr>
        <w:t>22</w:t>
      </w:r>
      <w:r>
        <w:rPr/>
        <w:t>、固定资产</w:t>
      </w:r>
      <w:r>
        <w:rPr>
          <w:b w:val="0"/>
          <w:bCs w:val="0"/>
        </w:rPr>
      </w:r>
    </w:p>
    <w:p>
      <w:pPr>
        <w:spacing w:line="240" w:lineRule="auto" w:before="5"/>
        <w:rPr>
          <w:rFonts w:ascii="宋体" w:hAnsi="宋体" w:cs="宋体" w:eastAsia="宋体" w:hint="default"/>
          <w:b/>
          <w:bCs/>
          <w:sz w:val="24"/>
          <w:szCs w:val="24"/>
        </w:rPr>
      </w:pPr>
    </w:p>
    <w:p>
      <w:pPr>
        <w:pStyle w:val="Heading3"/>
        <w:spacing w:line="240" w:lineRule="auto"/>
        <w:ind w:right="0"/>
        <w:jc w:val="both"/>
        <w:rPr>
          <w:b w:val="0"/>
          <w:bCs w:val="0"/>
        </w:rPr>
      </w:pPr>
      <w:bookmarkStart w:name="（1）确认条件" w:id="193"/>
      <w:bookmarkEnd w:id="193"/>
      <w:r>
        <w:rPr>
          <w:b w:val="0"/>
          <w:bCs w:val="0"/>
        </w:rPr>
      </w:r>
      <w:r>
        <w:rPr/>
        <w:t>（</w:t>
      </w:r>
      <w:r>
        <w:rPr>
          <w:rFonts w:ascii="Times New Roman" w:hAnsi="Times New Roman" w:cs="Times New Roman" w:eastAsia="Times New Roman" w:hint="default"/>
        </w:rPr>
        <w:t>1</w:t>
      </w:r>
      <w:r>
        <w:rPr/>
        <w:t>）确认条件</w:t>
      </w:r>
      <w:r>
        <w:rPr>
          <w:b w:val="0"/>
          <w:bCs w:val="0"/>
        </w:rPr>
      </w:r>
    </w:p>
    <w:p>
      <w:pPr>
        <w:spacing w:line="240" w:lineRule="auto" w:before="12"/>
        <w:rPr>
          <w:rFonts w:ascii="宋体" w:hAnsi="宋体" w:cs="宋体" w:eastAsia="宋体" w:hint="default"/>
          <w:b/>
          <w:bCs/>
          <w:sz w:val="32"/>
          <w:szCs w:val="32"/>
        </w:rPr>
      </w:pPr>
    </w:p>
    <w:p>
      <w:pPr>
        <w:pStyle w:val="BodyText"/>
        <w:spacing w:line="477" w:lineRule="auto"/>
        <w:ind w:right="1122" w:firstLine="360"/>
        <w:jc w:val="both"/>
      </w:pPr>
      <w:r>
        <w:rPr>
          <w:spacing w:val="-4"/>
        </w:rPr>
        <w:t>固定资产是指同时具有下列特征的有形资产：①为生产商品、提供劳务、出租或经营管理持有的；②使用寿命超过一个</w:t>
      </w:r>
      <w:r>
        <w:rPr>
          <w:w w:val="101"/>
        </w:rPr>
        <w:t> </w:t>
      </w:r>
      <w:r>
        <w:rPr/>
        <w:t>会计年度。 </w:t>
      </w:r>
      <w:r>
        <w:rPr>
          <w:spacing w:val="-3"/>
        </w:rPr>
        <w:t>固定资产同时满足下列条件的予以确认：①与该固定资产有关的经济利益很可能流入企业；②该固定资产的成</w:t>
      </w:r>
      <w:r>
        <w:rPr>
          <w:spacing w:val="-38"/>
        </w:rPr>
        <w:t> </w:t>
      </w:r>
      <w:r>
        <w:rPr>
          <w:spacing w:val="-38"/>
        </w:rPr>
      </w:r>
      <w:r>
        <w:rPr>
          <w:spacing w:val="-4"/>
        </w:rPr>
        <w:t>本能够可靠地计量。与固定资产有关的后续支出，符合上述确认条件的，计入固定资产成本；不符合上述确认条件的，发生</w:t>
      </w:r>
      <w:r>
        <w:rPr>
          <w:spacing w:val="40"/>
        </w:rPr>
        <w:t> </w:t>
      </w:r>
      <w:r>
        <w:rPr>
          <w:spacing w:val="40"/>
        </w:rPr>
      </w:r>
      <w:r>
        <w:rPr/>
        <w:t>时计入当期损益。</w:t>
      </w:r>
    </w:p>
    <w:p>
      <w:pPr>
        <w:spacing w:line="240" w:lineRule="auto" w:before="12"/>
        <w:rPr>
          <w:rFonts w:ascii="宋体" w:hAnsi="宋体" w:cs="宋体" w:eastAsia="宋体" w:hint="default"/>
          <w:sz w:val="18"/>
          <w:szCs w:val="18"/>
        </w:rPr>
      </w:pPr>
    </w:p>
    <w:p>
      <w:pPr>
        <w:pStyle w:val="Heading3"/>
        <w:spacing w:line="240" w:lineRule="auto"/>
        <w:ind w:right="0"/>
        <w:jc w:val="both"/>
        <w:rPr>
          <w:b w:val="0"/>
          <w:bCs w:val="0"/>
        </w:rPr>
      </w:pPr>
      <w:bookmarkStart w:name="（2）折旧方法" w:id="194"/>
      <w:bookmarkEnd w:id="194"/>
      <w:r>
        <w:rPr>
          <w:b w:val="0"/>
          <w:bCs w:val="0"/>
        </w:rPr>
      </w:r>
      <w:r>
        <w:rPr/>
        <w:t>（</w:t>
      </w:r>
      <w:r>
        <w:rPr>
          <w:rFonts w:ascii="Times New Roman" w:hAnsi="Times New Roman" w:cs="Times New Roman" w:eastAsia="Times New Roman" w:hint="default"/>
        </w:rPr>
        <w:t>2</w:t>
      </w:r>
      <w:r>
        <w:rPr/>
        <w:t>）折旧方法</w:t>
      </w:r>
      <w:r>
        <w:rPr>
          <w:b w:val="0"/>
          <w:bCs w:val="0"/>
        </w:rPr>
      </w:r>
    </w:p>
    <w:p>
      <w:pPr>
        <w:spacing w:line="240" w:lineRule="auto" w:before="7"/>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916"/>
        <w:gridCol w:w="1916"/>
        <w:gridCol w:w="1911"/>
        <w:gridCol w:w="1916"/>
        <w:gridCol w:w="1916"/>
      </w:tblGrid>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折旧方法</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折旧年限</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年折旧率</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sz w:val="18"/>
              </w:rPr>
              <w:t>2.375%</w:t>
            </w:r>
          </w:p>
        </w:tc>
      </w:tr>
      <w:tr>
        <w:trPr>
          <w:trHeight w:val="404"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sz w:val="18"/>
              </w:rPr>
              <w:t>19%</w:t>
            </w:r>
          </w:p>
        </w:tc>
      </w:tr>
      <w:tr>
        <w:trPr>
          <w:trHeight w:val="398"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sz w:val="18"/>
              </w:rPr>
              <w:t>19%</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sz w:val="18"/>
              </w:rPr>
              <w:t>19%</w:t>
            </w:r>
          </w:p>
        </w:tc>
      </w:tr>
    </w:tbl>
    <w:p>
      <w:pPr>
        <w:spacing w:after="0" w:line="240" w:lineRule="auto"/>
        <w:jc w:val="left"/>
        <w:rPr>
          <w:rFonts w:ascii="Times New Roman" w:hAnsi="Times New Roman" w:cs="Times New Roman" w:eastAsia="Times New Roman" w:hint="default"/>
          <w:sz w:val="18"/>
          <w:szCs w:val="18"/>
        </w:rPr>
        <w:sectPr>
          <w:pgSz w:w="11910" w:h="16840"/>
          <w:pgMar w:header="871" w:footer="1186" w:top="1100" w:bottom="1380" w:left="980" w:right="0"/>
        </w:sectPr>
      </w:pPr>
    </w:p>
    <w:p>
      <w:pPr>
        <w:spacing w:line="240" w:lineRule="auto" w:before="8"/>
        <w:rPr>
          <w:rFonts w:ascii="宋体" w:hAnsi="宋体" w:cs="宋体" w:eastAsia="宋体" w:hint="default"/>
          <w:b/>
          <w:bCs/>
          <w:sz w:val="24"/>
          <w:szCs w:val="24"/>
        </w:rPr>
      </w:pPr>
    </w:p>
    <w:tbl>
      <w:tblPr>
        <w:tblW w:w="0" w:type="auto"/>
        <w:jc w:val="left"/>
        <w:tblInd w:w="146" w:type="dxa"/>
        <w:tblLayout w:type="fixed"/>
        <w:tblCellMar>
          <w:top w:w="0" w:type="dxa"/>
          <w:left w:w="0" w:type="dxa"/>
          <w:bottom w:w="0" w:type="dxa"/>
          <w:right w:w="0" w:type="dxa"/>
        </w:tblCellMar>
        <w:tblLook w:val="01E0"/>
      </w:tblPr>
      <w:tblGrid>
        <w:gridCol w:w="1918"/>
        <w:gridCol w:w="1916"/>
        <w:gridCol w:w="1911"/>
        <w:gridCol w:w="1916"/>
        <w:gridCol w:w="1916"/>
      </w:tblGrid>
      <w:tr>
        <w:trPr>
          <w:trHeight w:val="403" w:hRule="exact"/>
        </w:trPr>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办公设备</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sz w:val="18"/>
              </w:rPr>
              <w:t>19%</w:t>
            </w:r>
          </w:p>
        </w:tc>
      </w:tr>
    </w:tbl>
    <w:p>
      <w:pPr>
        <w:pStyle w:val="BodyText"/>
        <w:spacing w:line="475" w:lineRule="auto" w:before="92"/>
        <w:ind w:right="1124" w:firstLine="360"/>
        <w:jc w:val="both"/>
      </w:pPr>
      <w:r>
        <w:rPr>
          <w:spacing w:val="-4"/>
        </w:rPr>
        <w:t>①符合资本化条件的固定资产装修费用，在两次装修期间与固定资产尚可使用年限两者中较短的期间内，采用年限平均</w:t>
      </w:r>
      <w:r>
        <w:rPr>
          <w:w w:val="101"/>
        </w:rPr>
        <w:t> </w:t>
      </w:r>
      <w:r>
        <w:rPr/>
        <w:t>法单独计提折旧。</w:t>
      </w:r>
    </w:p>
    <w:p>
      <w:pPr>
        <w:pStyle w:val="BodyText"/>
        <w:spacing w:line="240" w:lineRule="auto" w:before="58"/>
        <w:ind w:left="513" w:right="0"/>
        <w:jc w:val="left"/>
      </w:pPr>
      <w:r>
        <w:rPr>
          <w:spacing w:val="-3"/>
        </w:rPr>
        <w:t>②已计提减值准备的固定资产，还应扣除已计提的固定资产减值准备累计金额计算折旧率。</w:t>
      </w:r>
    </w:p>
    <w:p>
      <w:pPr>
        <w:spacing w:line="240" w:lineRule="auto" w:before="8"/>
        <w:rPr>
          <w:rFonts w:ascii="宋体" w:hAnsi="宋体" w:cs="宋体" w:eastAsia="宋体" w:hint="default"/>
          <w:sz w:val="17"/>
          <w:szCs w:val="17"/>
        </w:rPr>
      </w:pPr>
    </w:p>
    <w:p>
      <w:pPr>
        <w:pStyle w:val="BodyText"/>
        <w:spacing w:line="240" w:lineRule="auto"/>
        <w:ind w:left="513" w:right="0"/>
        <w:jc w:val="left"/>
      </w:pPr>
      <w:r>
        <w:rPr>
          <w:spacing w:val="-3"/>
        </w:rPr>
        <w:t>③公司至少年度终了对固定资产的使用寿命、预计净残值和折旧方法进行复核，如发生改变则作为会计估计变更处理。</w:t>
      </w: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14"/>
          <w:szCs w:val="14"/>
        </w:rPr>
      </w:pPr>
    </w:p>
    <w:p>
      <w:pPr>
        <w:pStyle w:val="Heading3"/>
        <w:spacing w:line="240" w:lineRule="auto"/>
        <w:ind w:right="0"/>
        <w:jc w:val="left"/>
        <w:rPr>
          <w:b w:val="0"/>
          <w:bCs w:val="0"/>
        </w:rPr>
      </w:pPr>
      <w:bookmarkStart w:name="（3）融资租入固定资产的认定依据、计价和折旧方法" w:id="195"/>
      <w:bookmarkEnd w:id="195"/>
      <w:r>
        <w:rPr>
          <w:b w:val="0"/>
          <w:bCs w:val="0"/>
        </w:rPr>
      </w:r>
      <w:r>
        <w:rPr/>
        <w:t>（</w:t>
      </w:r>
      <w:r>
        <w:rPr>
          <w:rFonts w:ascii="Times New Roman" w:hAnsi="Times New Roman" w:cs="Times New Roman" w:eastAsia="Times New Roman" w:hint="default"/>
        </w:rPr>
        <w:t>3</w:t>
      </w:r>
      <w:r>
        <w:rPr/>
        <w:t>）融资租入固定资产的认定依据、计价和折旧方法</w:t>
      </w:r>
      <w:r>
        <w:rPr>
          <w:b w:val="0"/>
          <w:bCs w:val="0"/>
        </w:rPr>
      </w:r>
    </w:p>
    <w:p>
      <w:pPr>
        <w:spacing w:line="240" w:lineRule="auto" w:before="7"/>
        <w:rPr>
          <w:rFonts w:ascii="宋体" w:hAnsi="宋体" w:cs="宋体" w:eastAsia="宋体" w:hint="default"/>
          <w:b/>
          <w:bCs/>
          <w:sz w:val="32"/>
          <w:szCs w:val="32"/>
        </w:rPr>
      </w:pPr>
    </w:p>
    <w:p>
      <w:pPr>
        <w:pStyle w:val="BodyText"/>
        <w:spacing w:line="477" w:lineRule="auto"/>
        <w:ind w:right="1124" w:firstLine="360"/>
        <w:jc w:val="both"/>
      </w:pPr>
      <w:r>
        <w:rPr>
          <w:spacing w:val="-5"/>
        </w:rPr>
        <w:t>融资租赁为实质上转移了与资产所有权有关的全部风险和报酬的租赁，其所有权最终可能转移，也可能不转移。以融资</w:t>
      </w:r>
      <w:r>
        <w:rPr>
          <w:w w:val="101"/>
        </w:rPr>
        <w:t> </w:t>
      </w:r>
      <w:r>
        <w:rPr>
          <w:spacing w:val="-4"/>
          <w:w w:val="101"/>
        </w:rPr>
        <w:t>租赁方式租入的固定资产采用与自有固定资产一致的政策计提租赁资产折旧。能够合理确定租赁期届满时取得租赁资产所有</w:t>
      </w:r>
      <w:r>
        <w:rPr>
          <w:w w:val="101"/>
        </w:rPr>
        <w:t> </w:t>
      </w:r>
      <w:r>
        <w:rPr>
          <w:spacing w:val="-4"/>
        </w:rPr>
        <w:t>权的，在租赁资产使用寿命内计提折旧；无法合理确定租赁期届满能够取得租赁资产所有权的，在租赁期与租赁资产使用寿</w:t>
      </w:r>
      <w:r>
        <w:rPr>
          <w:spacing w:val="43"/>
        </w:rPr>
        <w:t> </w:t>
      </w:r>
      <w:r>
        <w:rPr>
          <w:spacing w:val="43"/>
        </w:rPr>
      </w:r>
      <w:r>
        <w:rPr>
          <w:spacing w:val="-3"/>
        </w:rPr>
        <w:t>命两者中较短的期间内计提折旧。</w:t>
      </w:r>
    </w:p>
    <w:p>
      <w:pPr>
        <w:spacing w:line="240" w:lineRule="auto" w:before="12"/>
        <w:rPr>
          <w:rFonts w:ascii="宋体" w:hAnsi="宋体" w:cs="宋体" w:eastAsia="宋体" w:hint="default"/>
          <w:sz w:val="18"/>
          <w:szCs w:val="18"/>
        </w:rPr>
      </w:pPr>
    </w:p>
    <w:p>
      <w:pPr>
        <w:pStyle w:val="Heading3"/>
        <w:spacing w:line="240" w:lineRule="auto"/>
        <w:ind w:right="0"/>
        <w:jc w:val="left"/>
        <w:rPr>
          <w:b w:val="0"/>
          <w:bCs w:val="0"/>
        </w:rPr>
      </w:pPr>
      <w:bookmarkStart w:name="23、在建工程" w:id="196"/>
      <w:bookmarkEnd w:id="196"/>
      <w:r>
        <w:rPr>
          <w:b w:val="0"/>
          <w:bCs w:val="0"/>
        </w:rPr>
      </w:r>
      <w:r>
        <w:rPr>
          <w:rFonts w:ascii="Times New Roman" w:hAnsi="Times New Roman" w:cs="Times New Roman" w:eastAsia="Times New Roman" w:hint="default"/>
        </w:rPr>
        <w:t>23</w:t>
      </w:r>
      <w:r>
        <w:rPr/>
        <w:t>、在建工程</w:t>
      </w:r>
      <w:r>
        <w:rPr>
          <w:b w:val="0"/>
          <w:bCs w:val="0"/>
        </w:rPr>
      </w:r>
    </w:p>
    <w:p>
      <w:pPr>
        <w:spacing w:line="240" w:lineRule="auto" w:before="8"/>
        <w:rPr>
          <w:rFonts w:ascii="宋体" w:hAnsi="宋体" w:cs="宋体" w:eastAsia="宋体" w:hint="default"/>
          <w:b/>
          <w:bCs/>
          <w:sz w:val="32"/>
          <w:szCs w:val="32"/>
        </w:rPr>
      </w:pPr>
    </w:p>
    <w:p>
      <w:pPr>
        <w:pStyle w:val="BodyText"/>
        <w:spacing w:line="453" w:lineRule="auto"/>
        <w:ind w:right="1133" w:firstLine="360"/>
        <w:jc w:val="both"/>
      </w:pPr>
      <w:r>
        <w:rPr>
          <w:spacing w:val="-3"/>
        </w:rPr>
        <w:t>（</w:t>
      </w:r>
      <w:r>
        <w:rPr>
          <w:rFonts w:ascii="Times New Roman" w:hAnsi="Times New Roman" w:cs="Times New Roman" w:eastAsia="Times New Roman" w:hint="default"/>
          <w:spacing w:val="-3"/>
        </w:rPr>
        <w:t>1</w:t>
      </w:r>
      <w:r>
        <w:rPr>
          <w:spacing w:val="-3"/>
        </w:rPr>
        <w:t>）在建工程同时满足经济利益很可能流入、成本能够可靠地计量则予以确认。在建工程按建造该项资产达到预定可</w:t>
      </w:r>
      <w:r>
        <w:rPr>
          <w:w w:val="101"/>
        </w:rPr>
        <w:t> </w:t>
      </w:r>
      <w:r>
        <w:rPr>
          <w:spacing w:val="-3"/>
        </w:rPr>
        <w:t>使用状态前所发生的实际成本计量。</w:t>
      </w:r>
    </w:p>
    <w:p>
      <w:pPr>
        <w:pStyle w:val="BodyText"/>
        <w:spacing w:line="453" w:lineRule="auto" w:before="70"/>
        <w:ind w:right="1128" w:firstLine="360"/>
        <w:jc w:val="both"/>
      </w:pPr>
      <w:r>
        <w:rPr>
          <w:spacing w:val="-6"/>
        </w:rPr>
        <w:t>（</w:t>
      </w:r>
      <w:r>
        <w:rPr>
          <w:rFonts w:ascii="Times New Roman" w:hAnsi="Times New Roman" w:cs="Times New Roman" w:eastAsia="Times New Roman" w:hint="default"/>
          <w:spacing w:val="-6"/>
        </w:rPr>
        <w:t>2</w:t>
      </w:r>
      <w:r>
        <w:rPr>
          <w:spacing w:val="-6"/>
        </w:rPr>
        <w:t>）在建工程达到预定可使用状态时，按工程实际成本转入固定资产。已达到预定可使用状态但尚未办理竣工结算的，</w:t>
      </w:r>
      <w:r>
        <w:rPr>
          <w:w w:val="101"/>
        </w:rPr>
        <w:t> </w:t>
      </w:r>
      <w:r>
        <w:rPr>
          <w:spacing w:val="-3"/>
        </w:rPr>
        <w:t>先按估计价值转入固定资产，待办理竣工决算后再按实际成本调整原暂估价值，但不再调整原已计提的折旧。</w:t>
      </w:r>
    </w:p>
    <w:p>
      <w:pPr>
        <w:spacing w:line="240" w:lineRule="auto" w:before="4"/>
        <w:rPr>
          <w:rFonts w:ascii="宋体" w:hAnsi="宋体" w:cs="宋体" w:eastAsia="宋体" w:hint="default"/>
          <w:sz w:val="20"/>
          <w:szCs w:val="20"/>
        </w:rPr>
      </w:pPr>
    </w:p>
    <w:p>
      <w:pPr>
        <w:pStyle w:val="Heading3"/>
        <w:spacing w:line="240" w:lineRule="auto"/>
        <w:ind w:right="0"/>
        <w:jc w:val="left"/>
        <w:rPr>
          <w:b w:val="0"/>
          <w:bCs w:val="0"/>
        </w:rPr>
      </w:pPr>
      <w:bookmarkStart w:name="24、借款费用" w:id="197"/>
      <w:bookmarkEnd w:id="197"/>
      <w:r>
        <w:rPr>
          <w:b w:val="0"/>
          <w:bCs w:val="0"/>
        </w:rPr>
      </w:r>
      <w:r>
        <w:rPr>
          <w:rFonts w:ascii="Times New Roman" w:hAnsi="Times New Roman" w:cs="Times New Roman" w:eastAsia="Times New Roman" w:hint="default"/>
        </w:rPr>
        <w:t>24</w:t>
      </w:r>
      <w:r>
        <w:rPr/>
        <w:t>、借款费用</w:t>
      </w:r>
      <w:r>
        <w:rPr>
          <w:b w:val="0"/>
          <w:bCs w:val="0"/>
        </w:rPr>
      </w:r>
    </w:p>
    <w:p>
      <w:pPr>
        <w:spacing w:line="240" w:lineRule="auto" w:before="12"/>
        <w:rPr>
          <w:rFonts w:ascii="宋体" w:hAnsi="宋体" w:cs="宋体" w:eastAsia="宋体" w:hint="default"/>
          <w:b/>
          <w:bCs/>
          <w:sz w:val="32"/>
          <w:szCs w:val="32"/>
        </w:rPr>
      </w:pPr>
    </w:p>
    <w:p>
      <w:pPr>
        <w:pStyle w:val="BodyText"/>
        <w:spacing w:line="240" w:lineRule="auto"/>
        <w:ind w:left="513" w:right="0"/>
        <w:jc w:val="left"/>
      </w:pPr>
      <w:r>
        <w:rPr>
          <w:spacing w:val="-3"/>
        </w:rPr>
        <w:t>借款费用，包括借款利息、折价或者溢价的摊销、辅助费用以及因外币借款而发生的汇兑差额等。</w:t>
      </w:r>
    </w:p>
    <w:p>
      <w:pPr>
        <w:spacing w:line="240" w:lineRule="auto" w:before="8"/>
        <w:rPr>
          <w:rFonts w:ascii="宋体" w:hAnsi="宋体" w:cs="宋体" w:eastAsia="宋体" w:hint="default"/>
          <w:sz w:val="17"/>
          <w:szCs w:val="17"/>
        </w:rPr>
      </w:pPr>
    </w:p>
    <w:p>
      <w:pPr>
        <w:pStyle w:val="BodyText"/>
        <w:spacing w:line="453" w:lineRule="auto"/>
        <w:ind w:left="513" w:right="0"/>
        <w:jc w:val="left"/>
      </w:pPr>
      <w:r>
        <w:rPr/>
        <w:t>（</w:t>
      </w:r>
      <w:r>
        <w:rPr>
          <w:rFonts w:ascii="Times New Roman" w:hAnsi="Times New Roman" w:cs="Times New Roman" w:eastAsia="Times New Roman" w:hint="default"/>
        </w:rPr>
        <w:t>1</w:t>
      </w:r>
      <w:r>
        <w:rPr/>
        <w:t>）借款费用资本化的确认原则</w:t>
      </w:r>
      <w:r>
        <w:rPr>
          <w:spacing w:val="-86"/>
        </w:rPr>
        <w:t> </w:t>
      </w:r>
      <w:r>
        <w:rPr>
          <w:spacing w:val="-86"/>
        </w:rPr>
      </w:r>
      <w:r>
        <w:rPr>
          <w:spacing w:val="-5"/>
        </w:rPr>
        <w:t>公司发生的借款费用，可直接归属于符合资本化条件的资产的购建或者生产的，予以资本化，计入相关资产成本；其他</w:t>
      </w:r>
    </w:p>
    <w:p>
      <w:pPr>
        <w:pStyle w:val="BodyText"/>
        <w:spacing w:line="240" w:lineRule="auto" w:before="70"/>
        <w:ind w:right="0"/>
        <w:jc w:val="left"/>
      </w:pPr>
      <w:r>
        <w:rPr>
          <w:spacing w:val="-3"/>
        </w:rPr>
        <w:t>借款费用，在发生时根据其发生额确认为费用，计入当期损益。</w:t>
      </w:r>
    </w:p>
    <w:p>
      <w:pPr>
        <w:spacing w:line="240" w:lineRule="auto" w:before="12"/>
        <w:rPr>
          <w:rFonts w:ascii="宋体" w:hAnsi="宋体" w:cs="宋体" w:eastAsia="宋体" w:hint="default"/>
          <w:sz w:val="17"/>
          <w:szCs w:val="17"/>
        </w:rPr>
      </w:pPr>
    </w:p>
    <w:p>
      <w:pPr>
        <w:pStyle w:val="BodyText"/>
        <w:spacing w:line="240" w:lineRule="auto"/>
        <w:ind w:left="513" w:right="0"/>
        <w:jc w:val="left"/>
      </w:pPr>
      <w:r>
        <w:rPr>
          <w:spacing w:val="-3"/>
        </w:rPr>
        <w:t>（</w:t>
      </w:r>
      <w:r>
        <w:rPr>
          <w:rFonts w:ascii="Times New Roman" w:hAnsi="Times New Roman" w:cs="Times New Roman" w:eastAsia="Times New Roman" w:hint="default"/>
          <w:spacing w:val="-3"/>
        </w:rPr>
        <w:t>2</w:t>
      </w:r>
      <w:r>
        <w:rPr>
          <w:spacing w:val="-3"/>
        </w:rPr>
        <w:t>）借款费用资本化期间</w:t>
      </w:r>
    </w:p>
    <w:p>
      <w:pPr>
        <w:spacing w:line="240" w:lineRule="auto" w:before="7"/>
        <w:rPr>
          <w:rFonts w:ascii="宋体" w:hAnsi="宋体" w:cs="宋体" w:eastAsia="宋体" w:hint="default"/>
          <w:sz w:val="16"/>
          <w:szCs w:val="16"/>
        </w:rPr>
      </w:pPr>
    </w:p>
    <w:p>
      <w:pPr>
        <w:pStyle w:val="BodyText"/>
        <w:spacing w:line="453" w:lineRule="auto"/>
        <w:ind w:right="1131" w:firstLine="360"/>
        <w:jc w:val="both"/>
      </w:pPr>
      <w:r>
        <w:rPr>
          <w:spacing w:val="-3"/>
        </w:rPr>
        <w:t>①当同时满足下列条件时，开始资本化：</w:t>
      </w:r>
      <w:r>
        <w:rPr>
          <w:rFonts w:ascii="Times New Roman" w:hAnsi="Times New Roman" w:cs="Times New Roman" w:eastAsia="Times New Roman" w:hint="default"/>
          <w:spacing w:val="-3"/>
        </w:rPr>
        <w:t>1)</w:t>
      </w:r>
      <w:r>
        <w:rPr>
          <w:spacing w:val="-3"/>
        </w:rPr>
        <w:t>资产支出已经发生；</w:t>
      </w:r>
      <w:r>
        <w:rPr>
          <w:rFonts w:ascii="Times New Roman" w:hAnsi="Times New Roman" w:cs="Times New Roman" w:eastAsia="Times New Roman" w:hint="default"/>
          <w:spacing w:val="-3"/>
        </w:rPr>
        <w:t>2)</w:t>
      </w:r>
      <w:r>
        <w:rPr>
          <w:spacing w:val="-3"/>
        </w:rPr>
        <w:t>借款费用已经发生；</w:t>
      </w:r>
      <w:r>
        <w:rPr>
          <w:rFonts w:ascii="Times New Roman" w:hAnsi="Times New Roman" w:cs="Times New Roman" w:eastAsia="Times New Roman" w:hint="default"/>
          <w:spacing w:val="-3"/>
        </w:rPr>
        <w:t>3)</w:t>
      </w:r>
      <w:r>
        <w:rPr>
          <w:spacing w:val="-3"/>
        </w:rPr>
        <w:t>为使资产达到预定可使用或可</w:t>
      </w:r>
      <w:r>
        <w:rPr>
          <w:w w:val="101"/>
        </w:rPr>
        <w:t> </w:t>
      </w:r>
      <w:r>
        <w:rPr>
          <w:spacing w:val="-3"/>
        </w:rPr>
        <w:t>销售状态所必要的购建或者生产活动已经开始。</w:t>
      </w:r>
    </w:p>
    <w:p>
      <w:pPr>
        <w:pStyle w:val="BodyText"/>
        <w:spacing w:line="463" w:lineRule="auto" w:before="70"/>
        <w:ind w:right="1122" w:firstLine="360"/>
        <w:jc w:val="both"/>
      </w:pPr>
      <w:r>
        <w:rPr>
          <w:spacing w:val="-4"/>
        </w:rPr>
        <w:t>②暂停资本化：若符合资本化条件的资产在购建或者生产过程中发生非正常中断，并且中断时间连续超过 </w:t>
      </w:r>
      <w:r>
        <w:rPr>
          <w:rFonts w:ascii="Times New Roman" w:hAnsi="Times New Roman" w:cs="Times New Roman" w:eastAsia="Times New Roman" w:hint="default"/>
        </w:rPr>
        <w:t>3</w:t>
      </w:r>
      <w:r>
        <w:rPr>
          <w:rFonts w:ascii="Times New Roman" w:hAnsi="Times New Roman" w:cs="Times New Roman" w:eastAsia="Times New Roman" w:hint="default"/>
          <w:spacing w:val="8"/>
        </w:rPr>
        <w:t> </w:t>
      </w:r>
      <w:r>
        <w:rPr>
          <w:spacing w:val="-7"/>
        </w:rPr>
        <w:t>个月，暂停</w:t>
      </w:r>
      <w:r>
        <w:rPr>
          <w:w w:val="101"/>
        </w:rPr>
        <w:t> </w:t>
      </w:r>
      <w:r>
        <w:rPr>
          <w:spacing w:val="-4"/>
        </w:rPr>
        <w:t>借款费用的资本化；中断期间发生的借款费用确认为当期费用，直至资产的购建或者生产活动重新开始。该项中断如是所购</w:t>
      </w:r>
      <w:r>
        <w:rPr>
          <w:spacing w:val="44"/>
        </w:rPr>
        <w:t> </w:t>
      </w:r>
      <w:r>
        <w:rPr>
          <w:spacing w:val="44"/>
        </w:rPr>
      </w:r>
      <w:r>
        <w:rPr>
          <w:spacing w:val="-3"/>
        </w:rPr>
        <w:t>建或生产的符合资本化条件的资产达到预定可使用状态或者可销售状态必要的程序，则借款费用继续资本化。</w:t>
      </w:r>
    </w:p>
    <w:p>
      <w:pPr>
        <w:pStyle w:val="BodyText"/>
        <w:spacing w:line="240" w:lineRule="auto" w:before="67"/>
        <w:ind w:left="513" w:right="0"/>
        <w:jc w:val="left"/>
      </w:pPr>
      <w:r>
        <w:rPr>
          <w:spacing w:val="-4"/>
        </w:rPr>
        <w:t>③停止资本化：当所购建或者生产符合资本化条件的资产达到预定可使用或者可销售状态时，借款费用停止资本化。当</w:t>
      </w:r>
    </w:p>
    <w:p>
      <w:pPr>
        <w:spacing w:after="0" w:line="240" w:lineRule="auto"/>
        <w:jc w:val="left"/>
        <w:sectPr>
          <w:pgSz w:w="11910" w:h="16840"/>
          <w:pgMar w:header="871" w:footer="1186" w:top="1100" w:bottom="1380" w:left="980" w:right="0"/>
        </w:sectPr>
      </w:pPr>
    </w:p>
    <w:p>
      <w:pPr>
        <w:spacing w:line="240" w:lineRule="auto" w:before="1"/>
        <w:rPr>
          <w:rFonts w:ascii="宋体" w:hAnsi="宋体" w:cs="宋体" w:eastAsia="宋体" w:hint="default"/>
          <w:sz w:val="28"/>
          <w:szCs w:val="28"/>
        </w:rPr>
      </w:pPr>
    </w:p>
    <w:p>
      <w:pPr>
        <w:pStyle w:val="BodyText"/>
        <w:spacing w:line="475" w:lineRule="auto" w:before="46"/>
        <w:ind w:right="0"/>
        <w:jc w:val="left"/>
      </w:pPr>
      <w:r>
        <w:rPr>
          <w:spacing w:val="-5"/>
        </w:rPr>
        <w:t>购建或者生产符合资本化的资产中部分项目分别完工且可单独使用时，该部分资产借款费用停止资本化。购建或者生产的资</w:t>
      </w:r>
      <w:r>
        <w:rPr>
          <w:spacing w:val="6"/>
        </w:rPr>
        <w:t> </w:t>
      </w:r>
      <w:r>
        <w:rPr>
          <w:spacing w:val="6"/>
        </w:rPr>
      </w:r>
      <w:r>
        <w:rPr>
          <w:spacing w:val="-3"/>
        </w:rPr>
        <w:t>产的各部分分别完工，但必须等到整体完工后才可使用或者对外销售的，在该资产整体完工时停止借款费用资本化。</w:t>
      </w:r>
    </w:p>
    <w:p>
      <w:pPr>
        <w:pStyle w:val="BodyText"/>
        <w:spacing w:line="448" w:lineRule="auto" w:before="59"/>
        <w:ind w:left="513" w:right="0"/>
        <w:jc w:val="left"/>
      </w:pPr>
      <w:r>
        <w:rPr>
          <w:spacing w:val="-3"/>
        </w:rPr>
        <w:t>（</w:t>
      </w:r>
      <w:r>
        <w:rPr>
          <w:rFonts w:ascii="Times New Roman" w:hAnsi="Times New Roman" w:cs="Times New Roman" w:eastAsia="Times New Roman" w:hint="default"/>
          <w:spacing w:val="-3"/>
        </w:rPr>
        <w:t>3</w:t>
      </w:r>
      <w:r>
        <w:rPr>
          <w:spacing w:val="-3"/>
        </w:rPr>
        <w:t>）借款费用资本化率及资本化金额的计算方法</w:t>
      </w:r>
      <w:r>
        <w:rPr>
          <w:spacing w:val="-23"/>
        </w:rPr>
        <w:t> </w:t>
      </w:r>
      <w:r>
        <w:rPr>
          <w:spacing w:val="-23"/>
        </w:rPr>
      </w:r>
      <w:r>
        <w:rPr>
          <w:spacing w:val="-3"/>
        </w:rPr>
        <w:t>为购建或者生产符合资本化条件的资产而借入专门借款的，以专门借款当期实际发生的利息费用</w:t>
      </w:r>
      <w:r>
        <w:rPr>
          <w:rFonts w:ascii="Times New Roman" w:hAnsi="Times New Roman" w:cs="Times New Roman" w:eastAsia="Times New Roman" w:hint="default"/>
          <w:spacing w:val="-3"/>
        </w:rPr>
        <w:t>(</w:t>
      </w:r>
      <w:r>
        <w:rPr>
          <w:spacing w:val="-3"/>
        </w:rPr>
        <w:t>包括按照实际利率法</w:t>
      </w:r>
    </w:p>
    <w:p>
      <w:pPr>
        <w:pStyle w:val="BodyText"/>
        <w:spacing w:line="470" w:lineRule="auto" w:before="48"/>
        <w:ind w:right="1029"/>
        <w:jc w:val="left"/>
      </w:pPr>
      <w:r>
        <w:rPr>
          <w:spacing w:val="-3"/>
        </w:rPr>
        <w:t>确定的折价或溢价的摊销</w:t>
      </w:r>
      <w:r>
        <w:rPr>
          <w:rFonts w:ascii="Times New Roman" w:hAnsi="Times New Roman" w:cs="Times New Roman" w:eastAsia="Times New Roman" w:hint="default"/>
          <w:spacing w:val="-3"/>
        </w:rPr>
        <w:t>)</w:t>
      </w:r>
      <w:r>
        <w:rPr>
          <w:spacing w:val="-3"/>
        </w:rPr>
        <w:t>，减去将尚未动用的借款资金存入银行取得的利息收入或进行暂时性投资取得的投资收益后的金</w:t>
      </w:r>
      <w:r>
        <w:rPr>
          <w:spacing w:val="66"/>
        </w:rPr>
        <w:t> </w:t>
      </w:r>
      <w:r>
        <w:rPr>
          <w:spacing w:val="66"/>
        </w:rPr>
      </w:r>
      <w:r>
        <w:rPr>
          <w:spacing w:val="-4"/>
        </w:rPr>
        <w:t>额，确定应予资本化的利息金额；为购建或者生产符合资本化条件的资产占用了一般借款的，根据累计资产支出超过专门借</w:t>
      </w:r>
      <w:r>
        <w:rPr>
          <w:spacing w:val="43"/>
        </w:rPr>
        <w:t> </w:t>
      </w:r>
      <w:r>
        <w:rPr>
          <w:spacing w:val="43"/>
        </w:rPr>
      </w:r>
      <w:r>
        <w:rPr>
          <w:spacing w:val="-3"/>
        </w:rPr>
        <w:t>款的资产支出加权平均数乘以占用一般借款的资本化率</w:t>
      </w:r>
      <w:r>
        <w:rPr>
          <w:rFonts w:ascii="Times New Roman" w:hAnsi="Times New Roman" w:cs="Times New Roman" w:eastAsia="Times New Roman" w:hint="default"/>
          <w:spacing w:val="-3"/>
        </w:rPr>
        <w:t>(</w:t>
      </w:r>
      <w:r>
        <w:rPr>
          <w:spacing w:val="-3"/>
        </w:rPr>
        <w:t>加权平均利率</w:t>
      </w:r>
      <w:r>
        <w:rPr>
          <w:rFonts w:ascii="Times New Roman" w:hAnsi="Times New Roman" w:cs="Times New Roman" w:eastAsia="Times New Roman" w:hint="default"/>
          <w:spacing w:val="-3"/>
        </w:rPr>
        <w:t>)</w:t>
      </w:r>
      <w:r>
        <w:rPr>
          <w:spacing w:val="-3"/>
        </w:rPr>
        <w:t>，计算确定一般借款应予资本化的利息金额。在资本</w:t>
      </w:r>
      <w:r>
        <w:rPr>
          <w:spacing w:val="46"/>
        </w:rPr>
        <w:t> </w:t>
      </w:r>
      <w:r>
        <w:rPr>
          <w:spacing w:val="46"/>
        </w:rPr>
      </w:r>
      <w:r>
        <w:rPr>
          <w:spacing w:val="-6"/>
          <w:w w:val="101"/>
        </w:rPr>
        <w:t>化期间内，每一会计期间的利息资本化金额不超过当期相关借款实际发生的利息金额。外币专门借款本金及利息的汇兑差额，</w:t>
      </w:r>
      <w:r>
        <w:rPr>
          <w:spacing w:val="-70"/>
          <w:w w:val="101"/>
        </w:rPr>
        <w:t> </w:t>
      </w:r>
      <w:r>
        <w:rPr>
          <w:spacing w:val="-70"/>
          <w:w w:val="101"/>
        </w:rPr>
      </w:r>
      <w:r>
        <w:rPr>
          <w:spacing w:val="-4"/>
        </w:rPr>
        <w:t>在资本化期间内予以资本化。专门借款发生的辅助费用，在所购建或生产的符合资本化条件的资产达到预定可使用或者可销</w:t>
      </w:r>
      <w:r>
        <w:rPr>
          <w:spacing w:val="38"/>
        </w:rPr>
        <w:t> </w:t>
      </w:r>
      <w:r>
        <w:rPr>
          <w:spacing w:val="38"/>
        </w:rPr>
      </w:r>
      <w:r>
        <w:rPr>
          <w:spacing w:val="-8"/>
          <w:w w:val="101"/>
        </w:rPr>
        <w:t>售状态之前发生的，予以资本化；在达到预定可使用或者可销售状态之后发生的，计入当期损益。一般借款发生的辅助费用，</w:t>
      </w:r>
      <w:r>
        <w:rPr>
          <w:spacing w:val="-49"/>
          <w:w w:val="101"/>
        </w:rPr>
        <w:t> </w:t>
      </w:r>
      <w:r>
        <w:rPr>
          <w:spacing w:val="-49"/>
          <w:w w:val="101"/>
        </w:rPr>
      </w:r>
      <w:r>
        <w:rPr>
          <w:spacing w:val="-4"/>
        </w:rPr>
        <w:t>在发生时计入当期损益。借款存在折价或者溢价的，按照实际利率法确定每一会计期间应摊销的折价或者溢价金额，调整每</w:t>
      </w:r>
      <w:r>
        <w:rPr>
          <w:spacing w:val="43"/>
        </w:rPr>
        <w:t> </w:t>
      </w:r>
      <w:r>
        <w:rPr>
          <w:spacing w:val="43"/>
        </w:rPr>
      </w:r>
      <w:r>
        <w:rPr/>
        <w:t>期利息金额。</w:t>
      </w:r>
    </w:p>
    <w:p>
      <w:pPr>
        <w:spacing w:line="240" w:lineRule="auto" w:before="9"/>
        <w:rPr>
          <w:rFonts w:ascii="宋体" w:hAnsi="宋体" w:cs="宋体" w:eastAsia="宋体" w:hint="default"/>
          <w:sz w:val="19"/>
          <w:szCs w:val="19"/>
        </w:rPr>
      </w:pPr>
    </w:p>
    <w:p>
      <w:pPr>
        <w:pStyle w:val="Heading3"/>
        <w:spacing w:line="240" w:lineRule="auto"/>
        <w:ind w:right="0"/>
        <w:jc w:val="left"/>
        <w:rPr>
          <w:b w:val="0"/>
          <w:bCs w:val="0"/>
        </w:rPr>
      </w:pPr>
      <w:bookmarkStart w:name="25、无形资产" w:id="198"/>
      <w:bookmarkEnd w:id="198"/>
      <w:r>
        <w:rPr>
          <w:b w:val="0"/>
          <w:bCs w:val="0"/>
        </w:rPr>
      </w:r>
      <w:r>
        <w:rPr>
          <w:rFonts w:ascii="Times New Roman" w:hAnsi="Times New Roman" w:cs="Times New Roman" w:eastAsia="Times New Roman" w:hint="default"/>
        </w:rPr>
        <w:t>25</w:t>
      </w:r>
      <w:r>
        <w:rPr/>
        <w:t>、无形资产</w:t>
      </w:r>
      <w:r>
        <w:rPr>
          <w:b w:val="0"/>
          <w:bCs w:val="0"/>
        </w:rPr>
      </w:r>
    </w:p>
    <w:p>
      <w:pPr>
        <w:spacing w:line="240" w:lineRule="auto" w:before="5"/>
        <w:rPr>
          <w:rFonts w:ascii="宋体" w:hAnsi="宋体" w:cs="宋体" w:eastAsia="宋体" w:hint="default"/>
          <w:b/>
          <w:bCs/>
          <w:sz w:val="24"/>
          <w:szCs w:val="24"/>
        </w:rPr>
      </w:pPr>
    </w:p>
    <w:p>
      <w:pPr>
        <w:pStyle w:val="Heading3"/>
        <w:spacing w:line="240" w:lineRule="auto"/>
        <w:ind w:right="0"/>
        <w:jc w:val="left"/>
        <w:rPr>
          <w:b w:val="0"/>
          <w:bCs w:val="0"/>
        </w:rPr>
      </w:pPr>
      <w:bookmarkStart w:name="（1）计价方法、使用寿命、减值测试" w:id="199"/>
      <w:bookmarkEnd w:id="199"/>
      <w:r>
        <w:rPr>
          <w:b w:val="0"/>
          <w:bCs w:val="0"/>
        </w:rPr>
      </w:r>
      <w:r>
        <w:rPr/>
        <w:t>（</w:t>
      </w:r>
      <w:r>
        <w:rPr>
          <w:rFonts w:ascii="Times New Roman" w:hAnsi="Times New Roman" w:cs="Times New Roman" w:eastAsia="Times New Roman" w:hint="default"/>
        </w:rPr>
        <w:t>1</w:t>
      </w:r>
      <w:r>
        <w:rPr/>
        <w:t>）计价方法、使用寿命、减值测试</w:t>
      </w:r>
      <w:r>
        <w:rPr>
          <w:b w:val="0"/>
          <w:bCs w:val="0"/>
        </w:rPr>
      </w:r>
    </w:p>
    <w:p>
      <w:pPr>
        <w:spacing w:line="240" w:lineRule="auto" w:before="12"/>
        <w:rPr>
          <w:rFonts w:ascii="宋体" w:hAnsi="宋体" w:cs="宋体" w:eastAsia="宋体" w:hint="default"/>
          <w:b/>
          <w:bCs/>
          <w:sz w:val="32"/>
          <w:szCs w:val="32"/>
        </w:rPr>
      </w:pPr>
    </w:p>
    <w:p>
      <w:pPr>
        <w:pStyle w:val="BodyText"/>
        <w:spacing w:line="453" w:lineRule="auto"/>
        <w:ind w:left="513" w:right="0"/>
        <w:jc w:val="left"/>
      </w:pPr>
      <w:r>
        <w:rPr>
          <w:spacing w:val="-3"/>
        </w:rPr>
        <w:t>（</w:t>
      </w:r>
      <w:r>
        <w:rPr>
          <w:rFonts w:ascii="Times New Roman" w:hAnsi="Times New Roman" w:cs="Times New Roman" w:eastAsia="Times New Roman" w:hint="default"/>
          <w:spacing w:val="-3"/>
        </w:rPr>
        <w:t>1</w:t>
      </w:r>
      <w:r>
        <w:rPr>
          <w:spacing w:val="-3"/>
        </w:rPr>
        <w:t>）无形资产的初始计量</w:t>
      </w:r>
      <w:r>
        <w:rPr>
          <w:spacing w:val="-52"/>
        </w:rPr>
        <w:t> </w:t>
      </w:r>
      <w:r>
        <w:rPr>
          <w:spacing w:val="-52"/>
        </w:rPr>
      </w:r>
      <w:r>
        <w:rPr>
          <w:spacing w:val="-4"/>
        </w:rPr>
        <w:t>无形资产按成本进行初始计量。外购无形资产的成本，包括购买价、相关税费以及直接归属于该项资产达到预定用途所</w:t>
      </w:r>
    </w:p>
    <w:p>
      <w:pPr>
        <w:pStyle w:val="BodyText"/>
        <w:spacing w:line="477" w:lineRule="auto" w:before="70"/>
        <w:ind w:right="1122"/>
        <w:jc w:val="both"/>
      </w:pPr>
      <w:r>
        <w:rPr>
          <w:spacing w:val="-4"/>
        </w:rPr>
        <w:t>发生的其他支出。购买无形资产的价款超过正常信用条件延期支付，实质上具有融资性质的，无形资产的成本以购买价款的</w:t>
      </w:r>
      <w:r>
        <w:rPr>
          <w:spacing w:val="43"/>
        </w:rPr>
        <w:t> </w:t>
      </w:r>
      <w:r>
        <w:rPr>
          <w:spacing w:val="43"/>
        </w:rPr>
      </w:r>
      <w:r>
        <w:rPr>
          <w:spacing w:val="-4"/>
        </w:rPr>
        <w:t>现值为基础确定。债务重组取得债务人用以抵债的无形资产，以放弃债权的公允价值和可直接归属于使该资产达到预定用途</w:t>
      </w:r>
      <w:r>
        <w:rPr>
          <w:spacing w:val="38"/>
        </w:rPr>
        <w:t> </w:t>
      </w:r>
      <w:r>
        <w:rPr>
          <w:spacing w:val="38"/>
        </w:rPr>
      </w:r>
      <w:r>
        <w:rPr>
          <w:spacing w:val="-4"/>
          <w:w w:val="101"/>
        </w:rPr>
        <w:t>所发生的税金等其他成本为基础确定其入账价值。在非货币性资产交换具备商业实质且换入或换出资产的公允价值能够可靠</w:t>
      </w:r>
      <w:r>
        <w:rPr>
          <w:w w:val="101"/>
        </w:rPr>
        <w:t> </w:t>
      </w:r>
      <w:r>
        <w:rPr>
          <w:spacing w:val="-4"/>
        </w:rPr>
        <w:t>计量的前提下，非货币性资产交换换入的无形资产以换出资产的公允价值和应支付的相关税费作为换入无形资产的成本，除</w:t>
      </w:r>
      <w:r>
        <w:rPr>
          <w:spacing w:val="43"/>
        </w:rPr>
        <w:t> </w:t>
      </w:r>
      <w:r>
        <w:rPr>
          <w:spacing w:val="43"/>
        </w:rPr>
      </w:r>
      <w:r>
        <w:rPr>
          <w:spacing w:val="-4"/>
        </w:rPr>
        <w:t>非有确凿证据表明换入资产的公允价值更可靠；不满足上述前提的非货币性资产交换，以换出资产的账面价值和应支付的相</w:t>
      </w:r>
      <w:r>
        <w:rPr>
          <w:spacing w:val="45"/>
        </w:rPr>
        <w:t> </w:t>
      </w:r>
      <w:r>
        <w:rPr>
          <w:spacing w:val="45"/>
        </w:rPr>
      </w:r>
      <w:r>
        <w:rPr>
          <w:spacing w:val="-3"/>
        </w:rPr>
        <w:t>关税费作为换入无形资产的成本，不确认损益。</w:t>
      </w:r>
    </w:p>
    <w:p>
      <w:pPr>
        <w:pStyle w:val="BodyText"/>
        <w:spacing w:line="480" w:lineRule="auto" w:before="52"/>
        <w:ind w:right="1124" w:firstLine="360"/>
        <w:jc w:val="both"/>
      </w:pPr>
      <w:r>
        <w:rPr>
          <w:spacing w:val="-4"/>
        </w:rPr>
        <w:t>与无形资产有关的支出，如果相关的经济利益很可能流入本公司且成本能可靠地计量，则计入无形资产成本。除此之外</w:t>
      </w:r>
      <w:r>
        <w:rPr>
          <w:w w:val="101"/>
        </w:rPr>
        <w:t> </w:t>
      </w:r>
      <w:r>
        <w:rPr>
          <w:spacing w:val="-3"/>
        </w:rPr>
        <w:t>的其他项目的支出，在发生时计入当期损益。</w:t>
      </w:r>
    </w:p>
    <w:p>
      <w:pPr>
        <w:pStyle w:val="BodyText"/>
        <w:spacing w:line="477" w:lineRule="auto" w:before="50"/>
        <w:ind w:right="1124" w:firstLine="360"/>
        <w:jc w:val="both"/>
      </w:pPr>
      <w:r>
        <w:rPr>
          <w:spacing w:val="-4"/>
        </w:rPr>
        <w:t>取得的土地使用权通常作为无形资产核算。自行开发构建厂房等建筑物，相关的土地使用权支出和建筑物建造成本分别</w:t>
      </w:r>
      <w:r>
        <w:rPr>
          <w:w w:val="101"/>
        </w:rPr>
        <w:t> </w:t>
      </w:r>
      <w:r>
        <w:rPr>
          <w:spacing w:val="-8"/>
          <w:w w:val="101"/>
        </w:rPr>
        <w:t>作为无形资产和固定资产核算。如为外购的房屋及建筑物，则将有关价款在土地使用权和建筑物之间分配，难以合理分配的，</w:t>
      </w:r>
      <w:r>
        <w:rPr>
          <w:spacing w:val="-53"/>
          <w:w w:val="101"/>
        </w:rPr>
        <w:t> </w:t>
      </w:r>
      <w:r>
        <w:rPr>
          <w:spacing w:val="-53"/>
          <w:w w:val="101"/>
        </w:rPr>
      </w:r>
      <w:r>
        <w:rPr>
          <w:spacing w:val="-3"/>
        </w:rPr>
        <w:t>全部作为固定资产处理。</w:t>
      </w:r>
    </w:p>
    <w:p>
      <w:pPr>
        <w:pStyle w:val="BodyText"/>
        <w:spacing w:line="240" w:lineRule="auto" w:before="56"/>
        <w:ind w:left="513" w:right="0"/>
        <w:jc w:val="left"/>
      </w:pPr>
      <w:r>
        <w:rPr>
          <w:spacing w:val="-3"/>
        </w:rPr>
        <w:t>（</w:t>
      </w:r>
      <w:r>
        <w:rPr>
          <w:rFonts w:ascii="Times New Roman" w:hAnsi="Times New Roman" w:cs="Times New Roman" w:eastAsia="Times New Roman" w:hint="default"/>
          <w:spacing w:val="-3"/>
        </w:rPr>
        <w:t>2</w:t>
      </w:r>
      <w:r>
        <w:rPr>
          <w:spacing w:val="-3"/>
        </w:rPr>
        <w:t>）无形资产使用寿命及摊销</w:t>
      </w:r>
    </w:p>
    <w:p>
      <w:pPr>
        <w:spacing w:after="0" w:line="240" w:lineRule="auto"/>
        <w:jc w:val="left"/>
        <w:sectPr>
          <w:pgSz w:w="11910" w:h="16840"/>
          <w:pgMar w:header="871" w:footer="1186" w:top="1100" w:bottom="1380" w:left="980" w:right="0"/>
        </w:sectPr>
      </w:pPr>
    </w:p>
    <w:p>
      <w:pPr>
        <w:spacing w:line="240" w:lineRule="auto" w:before="1"/>
        <w:rPr>
          <w:rFonts w:ascii="宋体" w:hAnsi="宋体" w:cs="宋体" w:eastAsia="宋体" w:hint="default"/>
          <w:sz w:val="28"/>
          <w:szCs w:val="28"/>
        </w:rPr>
      </w:pPr>
    </w:p>
    <w:p>
      <w:pPr>
        <w:pStyle w:val="BodyText"/>
        <w:spacing w:line="477" w:lineRule="auto" w:before="46"/>
        <w:ind w:right="1124" w:firstLine="360"/>
        <w:jc w:val="both"/>
      </w:pPr>
      <w:r>
        <w:rPr>
          <w:spacing w:val="-5"/>
        </w:rPr>
        <w:t>根据无形资产的合同性权利或其他法定权利、同行业情况、历史经验、相关专家论证等综合因素判断，能合理确定无形</w:t>
      </w:r>
      <w:r>
        <w:rPr>
          <w:w w:val="101"/>
        </w:rPr>
        <w:t> </w:t>
      </w:r>
      <w:r>
        <w:rPr>
          <w:spacing w:val="-4"/>
        </w:rPr>
        <w:t>资产为公司带来经济利益期限的，作为使用寿命有限的无形资产；无法合理确定无形资产为公司带来经济利益期限的，视为</w:t>
      </w:r>
      <w:r>
        <w:rPr>
          <w:spacing w:val="43"/>
        </w:rPr>
        <w:t> </w:t>
      </w:r>
      <w:r>
        <w:rPr>
          <w:spacing w:val="43"/>
        </w:rPr>
      </w:r>
      <w:r>
        <w:rPr>
          <w:spacing w:val="-3"/>
        </w:rPr>
        <w:t>使用寿命不确定的无形资产。</w:t>
      </w:r>
    </w:p>
    <w:p>
      <w:pPr>
        <w:pStyle w:val="BodyText"/>
        <w:spacing w:line="240" w:lineRule="auto" w:before="52"/>
        <w:ind w:left="513" w:right="0"/>
        <w:jc w:val="left"/>
      </w:pPr>
      <w:r>
        <w:rPr>
          <w:spacing w:val="-3"/>
        </w:rPr>
        <w:t>对使用寿命有限的无形资产，估计其使用寿命时通常考虑以下因素：</w:t>
      </w:r>
    </w:p>
    <w:p>
      <w:pPr>
        <w:spacing w:line="240" w:lineRule="auto" w:before="12"/>
        <w:rPr>
          <w:rFonts w:ascii="宋体" w:hAnsi="宋体" w:cs="宋体" w:eastAsia="宋体" w:hint="default"/>
          <w:sz w:val="17"/>
          <w:szCs w:val="17"/>
        </w:rPr>
      </w:pPr>
    </w:p>
    <w:p>
      <w:pPr>
        <w:pStyle w:val="BodyText"/>
        <w:spacing w:line="240" w:lineRule="auto"/>
        <w:ind w:left="513" w:right="0"/>
        <w:jc w:val="left"/>
      </w:pPr>
      <w:r>
        <w:rPr>
          <w:spacing w:val="-3"/>
        </w:rPr>
        <w:t>①运用该资产生产的产品通常的寿命周期、可获得的类似资产使用寿命的信息；</w:t>
      </w:r>
    </w:p>
    <w:p>
      <w:pPr>
        <w:spacing w:line="240" w:lineRule="auto" w:before="8"/>
        <w:rPr>
          <w:rFonts w:ascii="宋体" w:hAnsi="宋体" w:cs="宋体" w:eastAsia="宋体" w:hint="default"/>
          <w:sz w:val="17"/>
          <w:szCs w:val="17"/>
        </w:rPr>
      </w:pPr>
    </w:p>
    <w:p>
      <w:pPr>
        <w:pStyle w:val="BodyText"/>
        <w:spacing w:line="240" w:lineRule="auto"/>
        <w:ind w:left="513" w:right="0"/>
        <w:jc w:val="left"/>
      </w:pPr>
      <w:r>
        <w:rPr>
          <w:spacing w:val="-3"/>
        </w:rPr>
        <w:t>②技术、工艺等方面的现阶段情况及对未来发展趋势的估计；</w:t>
      </w:r>
    </w:p>
    <w:p>
      <w:pPr>
        <w:spacing w:line="240" w:lineRule="auto" w:before="13"/>
        <w:rPr>
          <w:rFonts w:ascii="宋体" w:hAnsi="宋体" w:cs="宋体" w:eastAsia="宋体" w:hint="default"/>
          <w:sz w:val="17"/>
          <w:szCs w:val="17"/>
        </w:rPr>
      </w:pPr>
    </w:p>
    <w:p>
      <w:pPr>
        <w:pStyle w:val="BodyText"/>
        <w:spacing w:line="240" w:lineRule="auto"/>
        <w:ind w:left="513" w:right="0"/>
        <w:jc w:val="left"/>
      </w:pPr>
      <w:r>
        <w:rPr>
          <w:spacing w:val="-3"/>
        </w:rPr>
        <w:t>③以该资产生产的产品或提供劳务的市场需求情况；</w:t>
      </w:r>
    </w:p>
    <w:p>
      <w:pPr>
        <w:spacing w:line="240" w:lineRule="auto" w:before="8"/>
        <w:rPr>
          <w:rFonts w:ascii="宋体" w:hAnsi="宋体" w:cs="宋体" w:eastAsia="宋体" w:hint="default"/>
          <w:sz w:val="17"/>
          <w:szCs w:val="17"/>
        </w:rPr>
      </w:pPr>
    </w:p>
    <w:p>
      <w:pPr>
        <w:pStyle w:val="BodyText"/>
        <w:spacing w:line="240" w:lineRule="auto"/>
        <w:ind w:left="513" w:right="0"/>
        <w:jc w:val="left"/>
      </w:pPr>
      <w:r>
        <w:rPr>
          <w:spacing w:val="-3"/>
        </w:rPr>
        <w:t>④现在或潜在的竞争者预期采取的行动；</w:t>
      </w:r>
    </w:p>
    <w:p>
      <w:pPr>
        <w:spacing w:line="240" w:lineRule="auto" w:before="12"/>
        <w:rPr>
          <w:rFonts w:ascii="宋体" w:hAnsi="宋体" w:cs="宋体" w:eastAsia="宋体" w:hint="default"/>
          <w:sz w:val="17"/>
          <w:szCs w:val="17"/>
        </w:rPr>
      </w:pPr>
    </w:p>
    <w:p>
      <w:pPr>
        <w:pStyle w:val="BodyText"/>
        <w:spacing w:line="240" w:lineRule="auto"/>
        <w:ind w:left="513" w:right="0"/>
        <w:jc w:val="left"/>
      </w:pPr>
      <w:r>
        <w:rPr>
          <w:spacing w:val="-3"/>
        </w:rPr>
        <w:t>⑤为维持该资产带来经济利益能力的预期维护支出，以及公司预计支付有关支出的能力；</w:t>
      </w:r>
    </w:p>
    <w:p>
      <w:pPr>
        <w:spacing w:line="240" w:lineRule="auto" w:before="8"/>
        <w:rPr>
          <w:rFonts w:ascii="宋体" w:hAnsi="宋体" w:cs="宋体" w:eastAsia="宋体" w:hint="default"/>
          <w:sz w:val="17"/>
          <w:szCs w:val="17"/>
        </w:rPr>
      </w:pPr>
    </w:p>
    <w:p>
      <w:pPr>
        <w:pStyle w:val="BodyText"/>
        <w:spacing w:line="240" w:lineRule="auto"/>
        <w:ind w:left="513" w:right="0"/>
        <w:jc w:val="left"/>
      </w:pPr>
      <w:r>
        <w:rPr>
          <w:spacing w:val="-3"/>
        </w:rPr>
        <w:t>⑥对该资产控制期限的相关法律规定或类似限制，如特许使用期、租赁期等；</w:t>
      </w:r>
    </w:p>
    <w:p>
      <w:pPr>
        <w:spacing w:line="240" w:lineRule="auto" w:before="12"/>
        <w:rPr>
          <w:rFonts w:ascii="宋体" w:hAnsi="宋体" w:cs="宋体" w:eastAsia="宋体" w:hint="default"/>
          <w:sz w:val="17"/>
          <w:szCs w:val="17"/>
        </w:rPr>
      </w:pPr>
    </w:p>
    <w:p>
      <w:pPr>
        <w:pStyle w:val="BodyText"/>
        <w:spacing w:line="240" w:lineRule="auto"/>
        <w:ind w:left="513" w:right="0"/>
        <w:jc w:val="left"/>
        <w:rPr>
          <w:rFonts w:ascii="Times New Roman" w:hAnsi="Times New Roman" w:cs="Times New Roman" w:eastAsia="Times New Roman" w:hint="default"/>
        </w:rPr>
      </w:pPr>
      <w:r>
        <w:rPr>
          <w:spacing w:val="-3"/>
        </w:rPr>
        <w:t>⑦与公司持有其他资产使用寿命的关联性等。使用寿命有限的无形资产的使用寿命估计情况</w:t>
      </w:r>
      <w:r>
        <w:rPr>
          <w:rFonts w:ascii="Times New Roman" w:hAnsi="Times New Roman" w:cs="Times New Roman" w:eastAsia="Times New Roman" w:hint="default"/>
          <w:spacing w:val="-3"/>
        </w:rPr>
        <w:t>:</w:t>
      </w:r>
    </w:p>
    <w:p>
      <w:pPr>
        <w:spacing w:line="240" w:lineRule="auto" w:before="9"/>
        <w:rPr>
          <w:rFonts w:ascii="Times New Roman" w:hAnsi="Times New Roman" w:cs="Times New Roman" w:eastAsia="Times New Roman" w:hint="default"/>
          <w:sz w:val="10"/>
          <w:szCs w:val="10"/>
        </w:rPr>
      </w:pPr>
    </w:p>
    <w:tbl>
      <w:tblPr>
        <w:tblW w:w="0" w:type="auto"/>
        <w:jc w:val="left"/>
        <w:tblInd w:w="143" w:type="dxa"/>
        <w:tblLayout w:type="fixed"/>
        <w:tblCellMar>
          <w:top w:w="0" w:type="dxa"/>
          <w:left w:w="0" w:type="dxa"/>
          <w:bottom w:w="0" w:type="dxa"/>
          <w:right w:w="0" w:type="dxa"/>
        </w:tblCellMar>
        <w:tblLook w:val="01E0"/>
      </w:tblPr>
      <w:tblGrid>
        <w:gridCol w:w="3073"/>
        <w:gridCol w:w="3601"/>
        <w:gridCol w:w="2987"/>
      </w:tblGrid>
      <w:tr>
        <w:trPr>
          <w:trHeight w:val="338" w:hRule="exact"/>
        </w:trPr>
        <w:tc>
          <w:tcPr>
            <w:tcW w:w="307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5"/>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60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5"/>
              <w:ind w:left="4" w:right="0"/>
              <w:jc w:val="center"/>
              <w:rPr>
                <w:rFonts w:ascii="宋体" w:hAnsi="宋体" w:cs="宋体" w:eastAsia="宋体" w:hint="default"/>
                <w:sz w:val="18"/>
                <w:szCs w:val="18"/>
              </w:rPr>
            </w:pPr>
            <w:r>
              <w:rPr>
                <w:rFonts w:ascii="宋体" w:hAnsi="宋体" w:cs="宋体" w:eastAsia="宋体" w:hint="default"/>
                <w:sz w:val="18"/>
                <w:szCs w:val="18"/>
              </w:rPr>
              <w:t>预计使用寿命</w:t>
            </w:r>
          </w:p>
        </w:tc>
        <w:tc>
          <w:tcPr>
            <w:tcW w:w="298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5"/>
              <w:ind w:left="14" w:right="0"/>
              <w:jc w:val="center"/>
              <w:rPr>
                <w:rFonts w:ascii="宋体" w:hAnsi="宋体" w:cs="宋体" w:eastAsia="宋体" w:hint="default"/>
                <w:sz w:val="18"/>
                <w:szCs w:val="18"/>
              </w:rPr>
            </w:pPr>
            <w:r>
              <w:rPr>
                <w:rFonts w:ascii="宋体" w:hAnsi="宋体" w:cs="宋体" w:eastAsia="宋体" w:hint="default"/>
                <w:sz w:val="18"/>
                <w:szCs w:val="18"/>
              </w:rPr>
              <w:t>依据</w:t>
            </w:r>
          </w:p>
        </w:tc>
      </w:tr>
      <w:tr>
        <w:trPr>
          <w:trHeight w:val="358" w:hRule="exact"/>
        </w:trPr>
        <w:tc>
          <w:tcPr>
            <w:tcW w:w="30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2"/>
              <w:ind w:left="5" w:right="0"/>
              <w:jc w:val="center"/>
              <w:rPr>
                <w:rFonts w:ascii="宋体" w:hAnsi="宋体" w:cs="宋体" w:eastAsia="宋体" w:hint="default"/>
                <w:sz w:val="18"/>
                <w:szCs w:val="18"/>
              </w:rPr>
            </w:pPr>
            <w:r>
              <w:rPr>
                <w:rFonts w:ascii="宋体" w:hAnsi="宋体" w:cs="宋体" w:eastAsia="宋体" w:hint="default"/>
                <w:sz w:val="18"/>
                <w:szCs w:val="18"/>
              </w:rPr>
              <w:t>自主软件产品</w:t>
            </w:r>
          </w:p>
        </w:tc>
        <w:tc>
          <w:tcPr>
            <w:tcW w:w="36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2"/>
              <w:ind w:left="10"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年</w:t>
            </w:r>
          </w:p>
        </w:tc>
        <w:tc>
          <w:tcPr>
            <w:tcW w:w="29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2"/>
              <w:ind w:left="14" w:right="0"/>
              <w:jc w:val="center"/>
              <w:rPr>
                <w:rFonts w:ascii="宋体" w:hAnsi="宋体" w:cs="宋体" w:eastAsia="宋体" w:hint="default"/>
                <w:sz w:val="18"/>
                <w:szCs w:val="18"/>
              </w:rPr>
            </w:pPr>
            <w:r>
              <w:rPr>
                <w:rFonts w:ascii="宋体" w:hAnsi="宋体" w:cs="宋体" w:eastAsia="宋体" w:hint="default"/>
                <w:sz w:val="18"/>
                <w:szCs w:val="18"/>
              </w:rPr>
              <w:t>预计使用寿命</w:t>
            </w:r>
          </w:p>
        </w:tc>
      </w:tr>
      <w:tr>
        <w:trPr>
          <w:trHeight w:val="346" w:hRule="exact"/>
        </w:trPr>
        <w:tc>
          <w:tcPr>
            <w:tcW w:w="30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9" w:right="0"/>
              <w:jc w:val="center"/>
              <w:rPr>
                <w:rFonts w:ascii="宋体" w:hAnsi="宋体" w:cs="宋体" w:eastAsia="宋体" w:hint="default"/>
                <w:sz w:val="18"/>
                <w:szCs w:val="18"/>
              </w:rPr>
            </w:pPr>
            <w:r>
              <w:rPr>
                <w:rFonts w:ascii="宋体" w:hAnsi="宋体" w:cs="宋体" w:eastAsia="宋体" w:hint="default"/>
                <w:sz w:val="18"/>
                <w:szCs w:val="18"/>
              </w:rPr>
              <w:t>专利及软件著作权</w:t>
            </w:r>
          </w:p>
        </w:tc>
        <w:tc>
          <w:tcPr>
            <w:tcW w:w="36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0"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5-10</w:t>
            </w:r>
            <w:r>
              <w:rPr>
                <w:rFonts w:ascii="宋体" w:hAnsi="宋体" w:cs="宋体" w:eastAsia="宋体" w:hint="default"/>
                <w:sz w:val="18"/>
                <w:szCs w:val="18"/>
              </w:rPr>
              <w:t>年</w:t>
            </w:r>
          </w:p>
        </w:tc>
        <w:tc>
          <w:tcPr>
            <w:tcW w:w="29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4" w:right="0"/>
              <w:jc w:val="center"/>
              <w:rPr>
                <w:rFonts w:ascii="宋体" w:hAnsi="宋体" w:cs="宋体" w:eastAsia="宋体" w:hint="default"/>
                <w:sz w:val="18"/>
                <w:szCs w:val="18"/>
              </w:rPr>
            </w:pPr>
            <w:r>
              <w:rPr>
                <w:rFonts w:ascii="宋体" w:hAnsi="宋体" w:cs="宋体" w:eastAsia="宋体" w:hint="default"/>
                <w:sz w:val="18"/>
                <w:szCs w:val="18"/>
              </w:rPr>
              <w:t>预计使用寿命</w:t>
            </w:r>
          </w:p>
        </w:tc>
      </w:tr>
      <w:tr>
        <w:trPr>
          <w:trHeight w:val="350" w:hRule="exact"/>
        </w:trPr>
        <w:tc>
          <w:tcPr>
            <w:tcW w:w="30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9" w:right="0"/>
              <w:jc w:val="center"/>
              <w:rPr>
                <w:rFonts w:ascii="宋体" w:hAnsi="宋体" w:cs="宋体" w:eastAsia="宋体" w:hint="default"/>
                <w:sz w:val="18"/>
                <w:szCs w:val="18"/>
              </w:rPr>
            </w:pPr>
            <w:r>
              <w:rPr>
                <w:rFonts w:ascii="宋体" w:hAnsi="宋体" w:cs="宋体" w:eastAsia="宋体" w:hint="default"/>
                <w:sz w:val="18"/>
                <w:szCs w:val="18"/>
              </w:rPr>
              <w:t>办公软件</w:t>
            </w:r>
          </w:p>
        </w:tc>
        <w:tc>
          <w:tcPr>
            <w:tcW w:w="36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10"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年</w:t>
            </w:r>
          </w:p>
        </w:tc>
        <w:tc>
          <w:tcPr>
            <w:tcW w:w="29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14" w:right="0"/>
              <w:jc w:val="center"/>
              <w:rPr>
                <w:rFonts w:ascii="宋体" w:hAnsi="宋体" w:cs="宋体" w:eastAsia="宋体" w:hint="default"/>
                <w:sz w:val="18"/>
                <w:szCs w:val="18"/>
              </w:rPr>
            </w:pPr>
            <w:r>
              <w:rPr>
                <w:rFonts w:ascii="宋体" w:hAnsi="宋体" w:cs="宋体" w:eastAsia="宋体" w:hint="default"/>
                <w:sz w:val="18"/>
                <w:szCs w:val="18"/>
              </w:rPr>
              <w:t>预计使用寿命</w:t>
            </w:r>
          </w:p>
        </w:tc>
      </w:tr>
      <w:tr>
        <w:trPr>
          <w:trHeight w:val="346" w:hRule="exact"/>
        </w:trPr>
        <w:tc>
          <w:tcPr>
            <w:tcW w:w="30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5" w:right="0"/>
              <w:jc w:val="center"/>
              <w:rPr>
                <w:rFonts w:ascii="宋体" w:hAnsi="宋体" w:cs="宋体" w:eastAsia="宋体" w:hint="default"/>
                <w:sz w:val="18"/>
                <w:szCs w:val="18"/>
              </w:rPr>
            </w:pPr>
            <w:r>
              <w:rPr>
                <w:rFonts w:ascii="宋体" w:hAnsi="宋体" w:cs="宋体" w:eastAsia="宋体" w:hint="default"/>
                <w:sz w:val="18"/>
                <w:szCs w:val="18"/>
              </w:rPr>
              <w:t>商标及其他</w:t>
            </w:r>
          </w:p>
        </w:tc>
        <w:tc>
          <w:tcPr>
            <w:tcW w:w="36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0"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5-10</w:t>
            </w:r>
            <w:r>
              <w:rPr>
                <w:rFonts w:ascii="宋体" w:hAnsi="宋体" w:cs="宋体" w:eastAsia="宋体" w:hint="default"/>
                <w:sz w:val="18"/>
                <w:szCs w:val="18"/>
              </w:rPr>
              <w:t>年</w:t>
            </w:r>
          </w:p>
        </w:tc>
        <w:tc>
          <w:tcPr>
            <w:tcW w:w="29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4" w:right="0"/>
              <w:jc w:val="center"/>
              <w:rPr>
                <w:rFonts w:ascii="宋体" w:hAnsi="宋体" w:cs="宋体" w:eastAsia="宋体" w:hint="default"/>
                <w:sz w:val="18"/>
                <w:szCs w:val="18"/>
              </w:rPr>
            </w:pPr>
            <w:r>
              <w:rPr>
                <w:rFonts w:ascii="宋体" w:hAnsi="宋体" w:cs="宋体" w:eastAsia="宋体" w:hint="default"/>
                <w:sz w:val="18"/>
                <w:szCs w:val="18"/>
              </w:rPr>
              <w:t>预计使用寿命</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right="0"/>
        <w:jc w:val="left"/>
        <w:rPr>
          <w:b w:val="0"/>
          <w:bCs w:val="0"/>
        </w:rPr>
      </w:pPr>
      <w:bookmarkStart w:name="（2）内部研究开发支出会计政策" w:id="200"/>
      <w:bookmarkEnd w:id="200"/>
      <w:r>
        <w:rPr>
          <w:b w:val="0"/>
          <w:bCs w:val="0"/>
        </w:rPr>
      </w:r>
      <w:r>
        <w:rPr/>
        <w:t>（</w:t>
      </w:r>
      <w:r>
        <w:rPr>
          <w:rFonts w:ascii="Times New Roman" w:hAnsi="Times New Roman" w:cs="Times New Roman" w:eastAsia="Times New Roman" w:hint="default"/>
        </w:rPr>
        <w:t>2</w:t>
      </w:r>
      <w:r>
        <w:rPr/>
        <w:t>）内部研究开发支出会计政策</w:t>
      </w:r>
      <w:r>
        <w:rPr>
          <w:b w:val="0"/>
          <w:bCs w:val="0"/>
        </w:rPr>
      </w:r>
    </w:p>
    <w:p>
      <w:pPr>
        <w:spacing w:line="240" w:lineRule="auto" w:before="8"/>
        <w:rPr>
          <w:rFonts w:ascii="宋体" w:hAnsi="宋体" w:cs="宋体" w:eastAsia="宋体" w:hint="default"/>
          <w:b/>
          <w:bCs/>
          <w:sz w:val="32"/>
          <w:szCs w:val="32"/>
        </w:rPr>
      </w:pPr>
    </w:p>
    <w:p>
      <w:pPr>
        <w:pStyle w:val="BodyText"/>
        <w:spacing w:line="477" w:lineRule="auto"/>
        <w:ind w:right="1123" w:firstLine="360"/>
        <w:jc w:val="both"/>
      </w:pPr>
      <w:r>
        <w:rPr>
          <w:spacing w:val="-4"/>
        </w:rPr>
        <w:t>内部研究开发项目的支出，区分为研究阶段支出和开发阶段支出。划分研究阶段和开发阶段的标准：为获取新的技术和</w:t>
      </w:r>
      <w:r>
        <w:rPr>
          <w:w w:val="101"/>
        </w:rPr>
        <w:t> </w:t>
      </w:r>
      <w:r>
        <w:rPr>
          <w:spacing w:val="-4"/>
        </w:rPr>
        <w:t>知识等进行的有计划的调查阶段，应确定为研究阶段，该阶段具有计划性和探索性等特点；在进行商业性生产或使用前，将</w:t>
      </w:r>
      <w:r>
        <w:rPr>
          <w:spacing w:val="40"/>
        </w:rPr>
        <w:t> </w:t>
      </w:r>
      <w:r>
        <w:rPr>
          <w:spacing w:val="40"/>
        </w:rPr>
      </w:r>
      <w:r>
        <w:rPr>
          <w:spacing w:val="-4"/>
        </w:rPr>
        <w:t>研究成果或其他知识应用于某项计划或设计，以生产出新的或具有实质性改进的材料、装置、产品等阶段，应确定为开发阶</w:t>
      </w:r>
      <w:r>
        <w:rPr>
          <w:spacing w:val="40"/>
        </w:rPr>
        <w:t> </w:t>
      </w:r>
      <w:r>
        <w:rPr>
          <w:spacing w:val="40"/>
        </w:rPr>
      </w:r>
      <w:r>
        <w:rPr>
          <w:spacing w:val="-3"/>
        </w:rPr>
        <w:t>段，该阶段具有针对性和形成成果的可能性较大等特点。</w:t>
      </w:r>
    </w:p>
    <w:p>
      <w:pPr>
        <w:pStyle w:val="BodyText"/>
        <w:spacing w:line="480" w:lineRule="auto" w:before="52"/>
        <w:ind w:right="1128" w:firstLine="360"/>
        <w:jc w:val="both"/>
      </w:pPr>
      <w:r>
        <w:rPr>
          <w:spacing w:val="-8"/>
          <w:w w:val="101"/>
        </w:rPr>
        <w:t>内部研究开发项目研究阶段的支出，于发生时计入当期损益。内部研究开发项目开发阶段的支出，同时满足下列条件的，</w:t>
      </w:r>
      <w:r>
        <w:rPr>
          <w:w w:val="101"/>
        </w:rPr>
        <w:t> </w:t>
      </w:r>
      <w:r>
        <w:rPr/>
        <w:t>确认为无形资产：</w:t>
      </w:r>
    </w:p>
    <w:p>
      <w:pPr>
        <w:pStyle w:val="BodyText"/>
        <w:spacing w:line="240" w:lineRule="auto" w:before="50"/>
        <w:ind w:left="513" w:right="0"/>
        <w:jc w:val="left"/>
      </w:pPr>
      <w:r>
        <w:rPr>
          <w:spacing w:val="-3"/>
        </w:rPr>
        <w:t>①完成该无形资产以使其能够使用或出售在技术上具有可行性；</w:t>
      </w:r>
    </w:p>
    <w:p>
      <w:pPr>
        <w:spacing w:line="240" w:lineRule="auto" w:before="13"/>
        <w:rPr>
          <w:rFonts w:ascii="宋体" w:hAnsi="宋体" w:cs="宋体" w:eastAsia="宋体" w:hint="default"/>
          <w:sz w:val="17"/>
          <w:szCs w:val="17"/>
        </w:rPr>
      </w:pPr>
    </w:p>
    <w:p>
      <w:pPr>
        <w:pStyle w:val="BodyText"/>
        <w:spacing w:line="240" w:lineRule="auto"/>
        <w:ind w:left="513" w:right="0"/>
        <w:jc w:val="left"/>
      </w:pPr>
      <w:r>
        <w:rPr>
          <w:spacing w:val="-3"/>
        </w:rPr>
        <w:t>②具有完成该无形资产并使用或出售的意图；</w:t>
      </w:r>
    </w:p>
    <w:p>
      <w:pPr>
        <w:spacing w:line="240" w:lineRule="auto" w:before="8"/>
        <w:rPr>
          <w:rFonts w:ascii="宋体" w:hAnsi="宋体" w:cs="宋体" w:eastAsia="宋体" w:hint="default"/>
          <w:sz w:val="17"/>
          <w:szCs w:val="17"/>
        </w:rPr>
      </w:pPr>
    </w:p>
    <w:p>
      <w:pPr>
        <w:pStyle w:val="BodyText"/>
        <w:spacing w:line="480" w:lineRule="auto"/>
        <w:ind w:right="1124" w:firstLine="360"/>
        <w:jc w:val="both"/>
      </w:pPr>
      <w:r>
        <w:rPr>
          <w:spacing w:val="-4"/>
        </w:rPr>
        <w:t>③无形资产产生经济利益的方式，包括能够证明运用该无形资产生产的产品存在市场或无形资产自身存在市场，无形资</w:t>
      </w:r>
      <w:r>
        <w:rPr>
          <w:w w:val="101"/>
        </w:rPr>
        <w:t> </w:t>
      </w:r>
      <w:r>
        <w:rPr>
          <w:spacing w:val="-3"/>
        </w:rPr>
        <w:t>产将在内部使用的，可证明其有用性；</w:t>
      </w:r>
    </w:p>
    <w:p>
      <w:pPr>
        <w:pStyle w:val="BodyText"/>
        <w:spacing w:line="240" w:lineRule="auto" w:before="50"/>
        <w:ind w:left="513" w:right="0"/>
        <w:jc w:val="left"/>
      </w:pPr>
      <w:r>
        <w:rPr>
          <w:spacing w:val="-3"/>
        </w:rPr>
        <w:t>④有足够的技术、财务资源和其他资源支持，以完成该无形资产的开发，并有能力使用或出售该无形资产；</w:t>
      </w:r>
    </w:p>
    <w:p>
      <w:pPr>
        <w:spacing w:line="240" w:lineRule="auto" w:before="13"/>
        <w:rPr>
          <w:rFonts w:ascii="宋体" w:hAnsi="宋体" w:cs="宋体" w:eastAsia="宋体" w:hint="default"/>
          <w:sz w:val="17"/>
          <w:szCs w:val="17"/>
        </w:rPr>
      </w:pPr>
    </w:p>
    <w:p>
      <w:pPr>
        <w:pStyle w:val="BodyText"/>
        <w:spacing w:line="475" w:lineRule="auto"/>
        <w:ind w:left="513" w:right="0"/>
        <w:jc w:val="left"/>
      </w:pPr>
      <w:r>
        <w:rPr>
          <w:spacing w:val="-3"/>
        </w:rPr>
        <w:t>⑤归属于该无形资产开发阶段的支出能够可靠地计量。如不满足上述条件的，于发生时计入当期损益；</w:t>
      </w:r>
      <w:r>
        <w:rPr>
          <w:spacing w:val="42"/>
        </w:rPr>
        <w:t> </w:t>
      </w:r>
      <w:r>
        <w:rPr>
          <w:spacing w:val="42"/>
        </w:rPr>
      </w:r>
      <w:r>
        <w:rPr>
          <w:spacing w:val="-3"/>
        </w:rPr>
        <w:t>无法区分研究阶段支出和开发阶段支出的，将发生的研发支出全部计入当期损益。</w:t>
      </w:r>
    </w:p>
    <w:p>
      <w:pPr>
        <w:spacing w:after="0" w:line="475" w:lineRule="auto"/>
        <w:jc w:val="left"/>
        <w:sectPr>
          <w:pgSz w:w="11910" w:h="16840"/>
          <w:pgMar w:header="871" w:footer="1186" w:top="1100" w:bottom="1380" w:left="980" w:right="0"/>
        </w:sectPr>
      </w:pPr>
    </w:p>
    <w:p>
      <w:pPr>
        <w:spacing w:line="240" w:lineRule="auto" w:before="0"/>
        <w:rPr>
          <w:rFonts w:ascii="宋体" w:hAnsi="宋体" w:cs="宋体" w:eastAsia="宋体" w:hint="default"/>
          <w:sz w:val="21"/>
          <w:szCs w:val="21"/>
        </w:rPr>
      </w:pPr>
    </w:p>
    <w:p>
      <w:pPr>
        <w:pStyle w:val="Heading3"/>
        <w:spacing w:line="240" w:lineRule="auto" w:before="36"/>
        <w:ind w:right="0"/>
        <w:jc w:val="left"/>
        <w:rPr>
          <w:b w:val="0"/>
          <w:bCs w:val="0"/>
        </w:rPr>
      </w:pPr>
      <w:bookmarkStart w:name="26、长期资产减值" w:id="201"/>
      <w:bookmarkEnd w:id="201"/>
      <w:r>
        <w:rPr>
          <w:b w:val="0"/>
          <w:bCs w:val="0"/>
        </w:rPr>
      </w:r>
      <w:r>
        <w:rPr>
          <w:rFonts w:ascii="Times New Roman" w:hAnsi="Times New Roman" w:cs="Times New Roman" w:eastAsia="Times New Roman" w:hint="default"/>
        </w:rPr>
        <w:t>26</w:t>
      </w:r>
      <w:r>
        <w:rPr/>
        <w:t>、长期资产减值</w:t>
      </w:r>
      <w:r>
        <w:rPr>
          <w:b w:val="0"/>
          <w:bCs w:val="0"/>
        </w:rPr>
      </w:r>
    </w:p>
    <w:p>
      <w:pPr>
        <w:spacing w:line="240" w:lineRule="auto" w:before="7"/>
        <w:rPr>
          <w:rFonts w:ascii="宋体" w:hAnsi="宋体" w:cs="宋体" w:eastAsia="宋体" w:hint="default"/>
          <w:b/>
          <w:bCs/>
          <w:sz w:val="32"/>
          <w:szCs w:val="32"/>
        </w:rPr>
      </w:pPr>
    </w:p>
    <w:p>
      <w:pPr>
        <w:pStyle w:val="BodyText"/>
        <w:spacing w:line="475" w:lineRule="auto"/>
        <w:ind w:right="1128" w:firstLine="360"/>
        <w:jc w:val="both"/>
      </w:pPr>
      <w:r>
        <w:rPr>
          <w:spacing w:val="-5"/>
        </w:rPr>
        <w:t>长期股权投资、采用成本模式计量的投资性房地产和生产性生物资产、固定资产、在建工程、油气资产、无形资产、商</w:t>
      </w:r>
      <w:r>
        <w:rPr>
          <w:w w:val="101"/>
        </w:rPr>
        <w:t> </w:t>
      </w:r>
      <w:r>
        <w:rPr>
          <w:spacing w:val="-3"/>
        </w:rPr>
        <w:t>誉等长期资产，存在下列迹象的，表明资产可能发生了减值：</w:t>
      </w:r>
    </w:p>
    <w:p>
      <w:pPr>
        <w:pStyle w:val="BodyText"/>
        <w:spacing w:line="448" w:lineRule="auto" w:before="58"/>
        <w:ind w:left="513" w:right="0"/>
        <w:jc w:val="left"/>
      </w:pPr>
      <w:r>
        <w:rPr>
          <w:rFonts w:ascii="Times New Roman" w:hAnsi="Times New Roman" w:cs="Times New Roman" w:eastAsia="Times New Roman" w:hint="default"/>
          <w:spacing w:val="-3"/>
        </w:rPr>
        <w:t>(1)</w:t>
      </w:r>
      <w:r>
        <w:rPr>
          <w:spacing w:val="-3"/>
        </w:rPr>
        <w:t>资产的市价当期大幅度下跌，其跌幅明显高于因时间的推移或者正常使用而预计的下跌；</w:t>
      </w:r>
      <w:r>
        <w:rPr>
          <w:spacing w:val="35"/>
        </w:rPr>
        <w:t> </w:t>
      </w:r>
      <w:r>
        <w:rPr>
          <w:spacing w:val="35"/>
        </w:rPr>
      </w:r>
      <w:r>
        <w:rPr>
          <w:rFonts w:ascii="Times New Roman" w:hAnsi="Times New Roman" w:cs="Times New Roman" w:eastAsia="Times New Roman" w:hint="default"/>
          <w:spacing w:val="-3"/>
        </w:rPr>
        <w:t>(2)</w:t>
      </w:r>
      <w:r>
        <w:rPr>
          <w:spacing w:val="-3"/>
        </w:rPr>
        <w:t>企业经营所处的经济、技术或者法律等环境以及资产所处的市场在当期或者将在近期发生重大变化，从而对企业产</w:t>
      </w:r>
    </w:p>
    <w:p>
      <w:pPr>
        <w:pStyle w:val="BodyText"/>
        <w:spacing w:line="240" w:lineRule="auto" w:before="48"/>
        <w:ind w:right="0"/>
        <w:jc w:val="left"/>
      </w:pPr>
      <w:r>
        <w:rPr/>
        <w:t>生不利影响；</w:t>
      </w:r>
    </w:p>
    <w:p>
      <w:pPr>
        <w:spacing w:line="240" w:lineRule="auto" w:before="8"/>
        <w:rPr>
          <w:rFonts w:ascii="宋体" w:hAnsi="宋体" w:cs="宋体" w:eastAsia="宋体" w:hint="default"/>
          <w:sz w:val="17"/>
          <w:szCs w:val="17"/>
        </w:rPr>
      </w:pPr>
    </w:p>
    <w:p>
      <w:pPr>
        <w:pStyle w:val="BodyText"/>
        <w:spacing w:line="453" w:lineRule="auto"/>
        <w:ind w:right="1191" w:firstLine="360"/>
        <w:jc w:val="both"/>
      </w:pPr>
      <w:r>
        <w:rPr>
          <w:rFonts w:ascii="Times New Roman" w:hAnsi="Times New Roman" w:cs="Times New Roman" w:eastAsia="Times New Roman" w:hint="default"/>
          <w:spacing w:val="-3"/>
        </w:rPr>
        <w:t>(3)</w:t>
      </w:r>
      <w:r>
        <w:rPr>
          <w:spacing w:val="-3"/>
        </w:rPr>
        <w:t>市场利率或者其他市场投资报酬率在当期已经提高，从而影响企业计算资产预计未来现金流量现值的折现率，导致</w:t>
      </w:r>
      <w:r>
        <w:rPr>
          <w:w w:val="101"/>
        </w:rPr>
        <w:t> </w:t>
      </w:r>
      <w:r>
        <w:rPr>
          <w:spacing w:val="-3"/>
        </w:rPr>
        <w:t>资产可收回金额大幅度降低；</w:t>
      </w:r>
    </w:p>
    <w:p>
      <w:pPr>
        <w:pStyle w:val="BodyText"/>
        <w:spacing w:line="453" w:lineRule="auto" w:before="70"/>
        <w:ind w:left="513" w:right="2115"/>
        <w:jc w:val="left"/>
      </w:pPr>
      <w:r>
        <w:rPr>
          <w:rFonts w:ascii="Times New Roman" w:hAnsi="Times New Roman" w:cs="Times New Roman" w:eastAsia="Times New Roman" w:hint="default"/>
          <w:spacing w:val="-3"/>
        </w:rPr>
        <w:t>(4)</w:t>
      </w:r>
      <w:r>
        <w:rPr>
          <w:spacing w:val="-3"/>
        </w:rPr>
        <w:t>有证据表明资产已经陈旧过时或者其实体已经损坏；</w:t>
      </w:r>
      <w:r>
        <w:rPr>
          <w:spacing w:val="-12"/>
        </w:rPr>
        <w:t> </w:t>
      </w:r>
      <w:r>
        <w:rPr>
          <w:spacing w:val="-12"/>
        </w:rPr>
      </w:r>
      <w:r>
        <w:rPr>
          <w:rFonts w:ascii="Times New Roman" w:hAnsi="Times New Roman" w:cs="Times New Roman" w:eastAsia="Times New Roman" w:hint="default"/>
          <w:spacing w:val="-3"/>
        </w:rPr>
        <w:t>(5)</w:t>
      </w:r>
      <w:r>
        <w:rPr>
          <w:spacing w:val="-3"/>
        </w:rPr>
        <w:t>资产已经或者将被闲置、终止使用或者计划提前处置；</w:t>
      </w:r>
    </w:p>
    <w:p>
      <w:pPr>
        <w:pStyle w:val="BodyText"/>
        <w:spacing w:line="453" w:lineRule="auto" w:before="39"/>
        <w:ind w:right="1191" w:firstLine="360"/>
        <w:jc w:val="both"/>
      </w:pPr>
      <w:r>
        <w:rPr>
          <w:rFonts w:ascii="Times New Roman" w:hAnsi="Times New Roman" w:cs="Times New Roman" w:eastAsia="Times New Roman" w:hint="default"/>
          <w:spacing w:val="-3"/>
        </w:rPr>
        <w:t>(6)</w:t>
      </w:r>
      <w:r>
        <w:rPr>
          <w:spacing w:val="-3"/>
        </w:rPr>
        <w:t>企业内部报告的证据表明资产的经济绩效已经低于或者将低于预期，如资产所创造的净现金流量或者实现的营业利</w:t>
      </w:r>
      <w:r>
        <w:rPr>
          <w:w w:val="101"/>
        </w:rPr>
        <w:t> </w:t>
      </w:r>
      <w:r>
        <w:rPr>
          <w:spacing w:val="-3"/>
        </w:rPr>
        <w:t>润</w:t>
      </w:r>
      <w:r>
        <w:rPr>
          <w:rFonts w:ascii="Times New Roman" w:hAnsi="Times New Roman" w:cs="Times New Roman" w:eastAsia="Times New Roman" w:hint="default"/>
          <w:spacing w:val="-3"/>
        </w:rPr>
        <w:t>(</w:t>
      </w:r>
      <w:r>
        <w:rPr>
          <w:spacing w:val="-3"/>
        </w:rPr>
        <w:t>或者亏损</w:t>
      </w:r>
      <w:r>
        <w:rPr>
          <w:rFonts w:ascii="Times New Roman" w:hAnsi="Times New Roman" w:cs="Times New Roman" w:eastAsia="Times New Roman" w:hint="default"/>
          <w:spacing w:val="-3"/>
        </w:rPr>
        <w:t>)</w:t>
      </w:r>
      <w:r>
        <w:rPr>
          <w:spacing w:val="-3"/>
        </w:rPr>
        <w:t>远远低于</w:t>
      </w:r>
      <w:r>
        <w:rPr>
          <w:rFonts w:ascii="Times New Roman" w:hAnsi="Times New Roman" w:cs="Times New Roman" w:eastAsia="Times New Roman" w:hint="default"/>
          <w:spacing w:val="-3"/>
        </w:rPr>
        <w:t>(</w:t>
      </w:r>
      <w:r>
        <w:rPr>
          <w:spacing w:val="-3"/>
        </w:rPr>
        <w:t>或者高于</w:t>
      </w:r>
      <w:r>
        <w:rPr>
          <w:rFonts w:ascii="Times New Roman" w:hAnsi="Times New Roman" w:cs="Times New Roman" w:eastAsia="Times New Roman" w:hint="default"/>
          <w:spacing w:val="-3"/>
        </w:rPr>
        <w:t>)</w:t>
      </w:r>
      <w:r>
        <w:rPr>
          <w:spacing w:val="-3"/>
        </w:rPr>
        <w:t>预计金额等；</w:t>
      </w:r>
    </w:p>
    <w:p>
      <w:pPr>
        <w:pStyle w:val="BodyText"/>
        <w:spacing w:line="453" w:lineRule="auto" w:before="39"/>
        <w:ind w:left="513" w:right="0"/>
        <w:jc w:val="left"/>
      </w:pPr>
      <w:r>
        <w:rPr>
          <w:rFonts w:ascii="Times New Roman" w:hAnsi="Times New Roman" w:cs="Times New Roman" w:eastAsia="Times New Roman" w:hint="default"/>
        </w:rPr>
        <w:t>(7)</w:t>
      </w:r>
      <w:r>
        <w:rPr/>
        <w:t>其他表明资产可能已经发生减值的迹象。</w:t>
      </w:r>
      <w:r>
        <w:rPr>
          <w:spacing w:val="-87"/>
        </w:rPr>
        <w:t> </w:t>
      </w:r>
      <w:r>
        <w:rPr>
          <w:spacing w:val="-87"/>
        </w:rPr>
      </w:r>
      <w:r>
        <w:rPr>
          <w:spacing w:val="-4"/>
        </w:rPr>
        <w:t>上述长期资产于资产负债日存在减值迹象的，应当进行减值测试。减值测试结果表明资产的可收回金额低于其账面价值</w:t>
      </w:r>
    </w:p>
    <w:p>
      <w:pPr>
        <w:pStyle w:val="BodyText"/>
        <w:spacing w:line="468" w:lineRule="auto" w:before="70"/>
        <w:ind w:right="0"/>
        <w:jc w:val="left"/>
      </w:pPr>
      <w:r>
        <w:rPr>
          <w:spacing w:val="-4"/>
        </w:rPr>
        <w:t>的，按其差额计提减值准备并计入减值损失。可收回金额为资产的公允价值减去处置费用后的净额与资产预计未来现金流量</w:t>
      </w:r>
      <w:r>
        <w:rPr>
          <w:spacing w:val="40"/>
        </w:rPr>
        <w:t> </w:t>
      </w:r>
      <w:r>
        <w:rPr>
          <w:spacing w:val="40"/>
        </w:rPr>
      </w:r>
      <w:r>
        <w:rPr>
          <w:spacing w:val="-3"/>
        </w:rPr>
        <w:t>的现值两者之间的较高者。公允价值的确定方法详见本附注五、</w:t>
      </w:r>
      <w:r>
        <w:rPr>
          <w:rFonts w:ascii="Times New Roman" w:hAnsi="Times New Roman" w:cs="Times New Roman" w:eastAsia="Times New Roman" w:hint="default"/>
          <w:spacing w:val="-3"/>
        </w:rPr>
        <w:t>11</w:t>
      </w:r>
      <w:r>
        <w:rPr>
          <w:spacing w:val="-3"/>
        </w:rPr>
        <w:t>；处置费用包括与资产处置有关的法律费用、相关税费、</w:t>
      </w:r>
      <w:r>
        <w:rPr>
          <w:spacing w:val="78"/>
        </w:rPr>
        <w:t> </w:t>
      </w:r>
      <w:r>
        <w:rPr>
          <w:spacing w:val="78"/>
        </w:rPr>
      </w:r>
      <w:r>
        <w:rPr>
          <w:spacing w:val="-4"/>
        </w:rPr>
        <w:t>搬运费以及为使资产达到可销售状态所发生的直接费用；资产预计未来现金流量的现值，按照资产在持续使用过程中和最终</w:t>
      </w:r>
      <w:r>
        <w:rPr>
          <w:spacing w:val="43"/>
        </w:rPr>
        <w:t> </w:t>
      </w:r>
      <w:r>
        <w:rPr>
          <w:spacing w:val="43"/>
        </w:rPr>
      </w:r>
      <w:r>
        <w:rPr>
          <w:spacing w:val="-3"/>
        </w:rPr>
        <w:t>处置时所产生的预计未来现金流量，选择恰当的折现率对其进行折现后的金额加以确定。</w:t>
      </w:r>
    </w:p>
    <w:p>
      <w:pPr>
        <w:pStyle w:val="BodyText"/>
        <w:spacing w:line="480" w:lineRule="auto" w:before="59"/>
        <w:ind w:right="1124" w:firstLine="360"/>
        <w:jc w:val="both"/>
      </w:pPr>
      <w:r>
        <w:rPr>
          <w:spacing w:val="-4"/>
        </w:rPr>
        <w:t>资产减值准备按单项资产为基础计算并确认，如果难以对单项资产的可收回金额进行估计的，以资产组所属的资产组确</w:t>
      </w:r>
      <w:r>
        <w:rPr>
          <w:w w:val="101"/>
        </w:rPr>
        <w:t> </w:t>
      </w:r>
      <w:r>
        <w:rPr>
          <w:spacing w:val="-3"/>
        </w:rPr>
        <w:t>定资产组的可收回金额。资产组是能够独立产生现金流入的最小资产组合。</w:t>
      </w:r>
    </w:p>
    <w:p>
      <w:pPr>
        <w:pStyle w:val="BodyText"/>
        <w:spacing w:line="477" w:lineRule="auto" w:before="50"/>
        <w:ind w:right="1124" w:firstLine="360"/>
        <w:jc w:val="both"/>
      </w:pPr>
      <w:r>
        <w:rPr>
          <w:spacing w:val="-5"/>
        </w:rPr>
        <w:t>在财务报表中单独列示的商誉，在进行减值测试时，将商誉的账面价值分摊至预期从企业合并的协同效应收益中收益的</w:t>
      </w:r>
      <w:r>
        <w:rPr>
          <w:w w:val="101"/>
        </w:rPr>
        <w:t> </w:t>
      </w:r>
      <w:r>
        <w:rPr>
          <w:spacing w:val="-4"/>
        </w:rPr>
        <w:t>资产组或资产组组合。测试结果表明包含分摊的商誉的资产组或者资产组组合的可收回金额低于其账面价值的，确认相应的</w:t>
      </w:r>
      <w:r>
        <w:rPr>
          <w:spacing w:val="42"/>
        </w:rPr>
        <w:t> </w:t>
      </w:r>
      <w:r>
        <w:rPr>
          <w:spacing w:val="42"/>
        </w:rPr>
      </w:r>
      <w:r>
        <w:rPr>
          <w:spacing w:val="-4"/>
        </w:rPr>
        <w:t>减值损失。减值损失金额先抵减分摊至该资产组或者资产组组合的商誉的账面价值，再根据资产组或者资产组组合中除商誉</w:t>
      </w:r>
      <w:r>
        <w:rPr>
          <w:spacing w:val="43"/>
        </w:rPr>
        <w:t> </w:t>
      </w:r>
      <w:r>
        <w:rPr>
          <w:spacing w:val="43"/>
        </w:rPr>
      </w:r>
      <w:r>
        <w:rPr>
          <w:spacing w:val="-3"/>
        </w:rPr>
        <w:t>以外的其他各项资产的账面价值所占比重，按比例抵减其他各项资产的账面价值。</w:t>
      </w:r>
    </w:p>
    <w:p>
      <w:pPr>
        <w:pStyle w:val="BodyText"/>
        <w:spacing w:line="480" w:lineRule="auto" w:before="52"/>
        <w:ind w:left="513" w:right="2115"/>
        <w:jc w:val="left"/>
      </w:pPr>
      <w:r>
        <w:rPr>
          <w:spacing w:val="-3"/>
        </w:rPr>
        <w:t>商誉和使用寿命不确定的无形资产至少在每年年终终了进行减值测试。</w:t>
      </w:r>
      <w:r>
        <w:rPr>
          <w:spacing w:val="2"/>
        </w:rPr>
        <w:t> </w:t>
      </w:r>
      <w:r>
        <w:rPr>
          <w:spacing w:val="2"/>
        </w:rPr>
      </w:r>
      <w:r>
        <w:rPr>
          <w:spacing w:val="-3"/>
        </w:rPr>
        <w:t>上述资产减值损失一经确认，在以后期间不予转回。</w:t>
      </w:r>
    </w:p>
    <w:p>
      <w:pPr>
        <w:spacing w:line="240" w:lineRule="auto" w:before="10"/>
        <w:rPr>
          <w:rFonts w:ascii="宋体" w:hAnsi="宋体" w:cs="宋体" w:eastAsia="宋体" w:hint="default"/>
          <w:sz w:val="18"/>
          <w:szCs w:val="18"/>
        </w:rPr>
      </w:pPr>
    </w:p>
    <w:p>
      <w:pPr>
        <w:pStyle w:val="Heading3"/>
        <w:spacing w:line="240" w:lineRule="auto"/>
        <w:ind w:right="0"/>
        <w:jc w:val="left"/>
        <w:rPr>
          <w:b w:val="0"/>
          <w:bCs w:val="0"/>
        </w:rPr>
      </w:pPr>
      <w:bookmarkStart w:name="27、长期待摊费用" w:id="202"/>
      <w:bookmarkEnd w:id="202"/>
      <w:r>
        <w:rPr>
          <w:b w:val="0"/>
          <w:bCs w:val="0"/>
        </w:rPr>
      </w:r>
      <w:r>
        <w:rPr>
          <w:rFonts w:ascii="Times New Roman" w:hAnsi="Times New Roman" w:cs="Times New Roman" w:eastAsia="Times New Roman" w:hint="default"/>
        </w:rPr>
        <w:t>27</w:t>
      </w:r>
      <w:r>
        <w:rPr/>
        <w:t>、长期待摊费用</w:t>
      </w:r>
      <w:r>
        <w:rPr>
          <w:b w:val="0"/>
          <w:bCs w:val="0"/>
        </w:rPr>
      </w:r>
    </w:p>
    <w:p>
      <w:pPr>
        <w:spacing w:line="240" w:lineRule="auto" w:before="13"/>
        <w:rPr>
          <w:rFonts w:ascii="宋体" w:hAnsi="宋体" w:cs="宋体" w:eastAsia="宋体" w:hint="default"/>
          <w:b/>
          <w:bCs/>
          <w:sz w:val="32"/>
          <w:szCs w:val="32"/>
        </w:rPr>
      </w:pPr>
    </w:p>
    <w:p>
      <w:pPr>
        <w:pStyle w:val="BodyText"/>
        <w:spacing w:line="240" w:lineRule="auto"/>
        <w:ind w:left="513" w:right="0"/>
        <w:jc w:val="left"/>
      </w:pPr>
      <w:r>
        <w:rPr>
          <w:w w:val="101"/>
        </w:rPr>
        <w:t>长</w:t>
      </w:r>
      <w:r>
        <w:rPr>
          <w:spacing w:val="-5"/>
          <w:w w:val="101"/>
        </w:rPr>
        <w:t>期</w:t>
      </w:r>
      <w:r>
        <w:rPr>
          <w:w w:val="101"/>
        </w:rPr>
        <w:t>待</w:t>
      </w:r>
      <w:r>
        <w:rPr>
          <w:spacing w:val="-5"/>
          <w:w w:val="101"/>
        </w:rPr>
        <w:t>摊</w:t>
      </w:r>
      <w:r>
        <w:rPr>
          <w:w w:val="101"/>
        </w:rPr>
        <w:t>费</w:t>
      </w:r>
      <w:r>
        <w:rPr>
          <w:spacing w:val="-5"/>
          <w:w w:val="101"/>
        </w:rPr>
        <w:t>用</w:t>
      </w:r>
      <w:r>
        <w:rPr>
          <w:w w:val="101"/>
        </w:rPr>
        <w:t>按</w:t>
      </w:r>
      <w:r>
        <w:rPr>
          <w:spacing w:val="-5"/>
          <w:w w:val="101"/>
        </w:rPr>
        <w:t>实</w:t>
      </w:r>
      <w:r>
        <w:rPr>
          <w:w w:val="101"/>
        </w:rPr>
        <w:t>际</w:t>
      </w:r>
      <w:r>
        <w:rPr>
          <w:spacing w:val="-5"/>
          <w:w w:val="101"/>
        </w:rPr>
        <w:t>支</w:t>
      </w:r>
      <w:r>
        <w:rPr>
          <w:w w:val="101"/>
        </w:rPr>
        <w:t>出</w:t>
      </w:r>
      <w:r>
        <w:rPr>
          <w:spacing w:val="-5"/>
          <w:w w:val="101"/>
        </w:rPr>
        <w:t>入</w:t>
      </w:r>
      <w:r>
        <w:rPr>
          <w:w w:val="101"/>
        </w:rPr>
        <w:t>账</w:t>
      </w:r>
      <w:r>
        <w:rPr>
          <w:spacing w:val="-92"/>
          <w:w w:val="101"/>
        </w:rPr>
        <w:t>，</w:t>
      </w:r>
      <w:r>
        <w:rPr>
          <w:w w:val="101"/>
        </w:rPr>
        <w:t>在</w:t>
      </w:r>
      <w:r>
        <w:rPr>
          <w:spacing w:val="-5"/>
          <w:w w:val="101"/>
        </w:rPr>
        <w:t>受</w:t>
      </w:r>
      <w:r>
        <w:rPr>
          <w:w w:val="101"/>
        </w:rPr>
        <w:t>益</w:t>
      </w:r>
      <w:r>
        <w:rPr>
          <w:spacing w:val="-5"/>
          <w:w w:val="101"/>
        </w:rPr>
        <w:t>期</w:t>
      </w:r>
      <w:r>
        <w:rPr>
          <w:w w:val="101"/>
        </w:rPr>
        <w:t>或</w:t>
      </w:r>
      <w:r>
        <w:rPr>
          <w:spacing w:val="-5"/>
          <w:w w:val="101"/>
        </w:rPr>
        <w:t>规</w:t>
      </w:r>
      <w:r>
        <w:rPr>
          <w:w w:val="101"/>
        </w:rPr>
        <w:t>定</w:t>
      </w:r>
      <w:r>
        <w:rPr>
          <w:spacing w:val="-5"/>
          <w:w w:val="101"/>
        </w:rPr>
        <w:t>的</w:t>
      </w:r>
      <w:r>
        <w:rPr>
          <w:w w:val="101"/>
        </w:rPr>
        <w:t>期</w:t>
      </w:r>
      <w:r>
        <w:rPr>
          <w:spacing w:val="-5"/>
          <w:w w:val="101"/>
        </w:rPr>
        <w:t>限</w:t>
      </w:r>
      <w:r>
        <w:rPr>
          <w:w w:val="101"/>
        </w:rPr>
        <w:t>内</w:t>
      </w:r>
      <w:r>
        <w:rPr>
          <w:spacing w:val="-5"/>
          <w:w w:val="101"/>
        </w:rPr>
        <w:t>平均</w:t>
      </w:r>
      <w:r>
        <w:rPr>
          <w:w w:val="101"/>
        </w:rPr>
        <w:t>摊销</w:t>
      </w:r>
      <w:r>
        <w:rPr>
          <w:spacing w:val="-92"/>
          <w:w w:val="101"/>
        </w:rPr>
        <w:t>。</w:t>
      </w:r>
      <w:r>
        <w:rPr>
          <w:w w:val="101"/>
        </w:rPr>
        <w:t>如</w:t>
      </w:r>
      <w:r>
        <w:rPr>
          <w:spacing w:val="-5"/>
          <w:w w:val="101"/>
        </w:rPr>
        <w:t>果</w:t>
      </w:r>
      <w:r>
        <w:rPr>
          <w:w w:val="101"/>
        </w:rPr>
        <w:t>长</w:t>
      </w:r>
      <w:r>
        <w:rPr>
          <w:spacing w:val="-5"/>
          <w:w w:val="101"/>
        </w:rPr>
        <w:t>期</w:t>
      </w:r>
      <w:r>
        <w:rPr>
          <w:w w:val="101"/>
        </w:rPr>
        <w:t>待</w:t>
      </w:r>
      <w:r>
        <w:rPr>
          <w:spacing w:val="-5"/>
          <w:w w:val="101"/>
        </w:rPr>
        <w:t>摊</w:t>
      </w:r>
      <w:r>
        <w:rPr>
          <w:w w:val="101"/>
        </w:rPr>
        <w:t>的</w:t>
      </w:r>
      <w:r>
        <w:rPr>
          <w:spacing w:val="-5"/>
          <w:w w:val="101"/>
        </w:rPr>
        <w:t>费</w:t>
      </w:r>
      <w:r>
        <w:rPr>
          <w:w w:val="101"/>
        </w:rPr>
        <w:t>用</w:t>
      </w:r>
      <w:r>
        <w:rPr>
          <w:spacing w:val="-5"/>
          <w:w w:val="101"/>
        </w:rPr>
        <w:t>项目</w:t>
      </w:r>
      <w:r>
        <w:rPr>
          <w:w w:val="101"/>
        </w:rPr>
        <w:t>不</w:t>
      </w:r>
      <w:r>
        <w:rPr>
          <w:spacing w:val="-5"/>
          <w:w w:val="101"/>
        </w:rPr>
        <w:t>能</w:t>
      </w:r>
      <w:r>
        <w:rPr>
          <w:w w:val="101"/>
        </w:rPr>
        <w:t>使</w:t>
      </w:r>
      <w:r>
        <w:rPr>
          <w:spacing w:val="-5"/>
          <w:w w:val="101"/>
        </w:rPr>
        <w:t>以</w:t>
      </w:r>
      <w:r>
        <w:rPr>
          <w:w w:val="101"/>
        </w:rPr>
        <w:t>后</w:t>
      </w:r>
      <w:r>
        <w:rPr>
          <w:spacing w:val="-5"/>
          <w:w w:val="101"/>
        </w:rPr>
        <w:t>会</w:t>
      </w:r>
      <w:r>
        <w:rPr>
          <w:w w:val="101"/>
        </w:rPr>
        <w:t>计</w:t>
      </w:r>
      <w:r>
        <w:rPr>
          <w:spacing w:val="-5"/>
          <w:w w:val="101"/>
        </w:rPr>
        <w:t>期</w:t>
      </w:r>
      <w:r>
        <w:rPr>
          <w:w w:val="101"/>
        </w:rPr>
        <w:t>间</w:t>
      </w:r>
      <w:r>
        <w:rPr>
          <w:spacing w:val="-5"/>
          <w:w w:val="101"/>
        </w:rPr>
        <w:t>受</w:t>
      </w:r>
      <w:r>
        <w:rPr>
          <w:w w:val="101"/>
        </w:rPr>
        <w:t>益，</w:t>
      </w:r>
      <w:r>
        <w:rPr/>
      </w:r>
    </w:p>
    <w:p>
      <w:pPr>
        <w:spacing w:after="0" w:line="240" w:lineRule="auto"/>
        <w:jc w:val="left"/>
        <w:sectPr>
          <w:pgSz w:w="11910" w:h="16840"/>
          <w:pgMar w:header="871" w:footer="1186" w:top="1100" w:bottom="1380" w:left="980" w:right="0"/>
        </w:sectPr>
      </w:pPr>
    </w:p>
    <w:p>
      <w:pPr>
        <w:spacing w:line="240" w:lineRule="auto" w:before="1"/>
        <w:rPr>
          <w:rFonts w:ascii="宋体" w:hAnsi="宋体" w:cs="宋体" w:eastAsia="宋体" w:hint="default"/>
          <w:sz w:val="28"/>
          <w:szCs w:val="28"/>
        </w:rPr>
      </w:pPr>
    </w:p>
    <w:p>
      <w:pPr>
        <w:pStyle w:val="BodyText"/>
        <w:spacing w:line="475" w:lineRule="auto" w:before="46"/>
        <w:ind w:left="513" w:right="1029" w:hanging="360"/>
        <w:jc w:val="left"/>
      </w:pPr>
      <w:r>
        <w:rPr>
          <w:spacing w:val="-3"/>
        </w:rPr>
        <w:t>则将尚未摊销的该项目的摊余价值全部转入当期损益。其中：</w:t>
      </w:r>
      <w:r>
        <w:rPr>
          <w:spacing w:val="-10"/>
        </w:rPr>
        <w:t> </w:t>
      </w:r>
      <w:r>
        <w:rPr>
          <w:spacing w:val="-10"/>
        </w:rPr>
      </w:r>
      <w:r>
        <w:rPr>
          <w:spacing w:val="-3"/>
        </w:rPr>
        <w:t>预付经营租入固定资产的租金，按租赁合同规定的期限平均摊销。</w:t>
      </w:r>
      <w:r>
        <w:rPr>
          <w:w w:val="101"/>
        </w:rPr>
        <w:t> </w:t>
      </w:r>
      <w:r>
        <w:rPr>
          <w:spacing w:val="-3"/>
        </w:rPr>
        <w:t>经营租赁方式租入的固定资产改良支出，按剩余租赁期与租赁资产尚可使用年限两者中较短的期限平均摊销。</w:t>
      </w:r>
      <w:r>
        <w:rPr>
          <w:w w:val="101"/>
        </w:rPr>
        <w:t> </w:t>
      </w:r>
      <w:r>
        <w:rPr>
          <w:spacing w:val="-4"/>
        </w:rPr>
        <w:t>融资租赁方式租入的固定资产符合资本化条件的装修费用，按两次装修间隔期间、剩余租赁期与固定资产尚可使用年限</w:t>
      </w:r>
    </w:p>
    <w:p>
      <w:pPr>
        <w:pStyle w:val="BodyText"/>
        <w:spacing w:line="240" w:lineRule="auto" w:before="58"/>
        <w:ind w:right="0"/>
        <w:jc w:val="left"/>
      </w:pPr>
      <w:r>
        <w:rPr>
          <w:spacing w:val="-3"/>
        </w:rPr>
        <w:t>三者中较短的期限平均摊销。</w:t>
      </w: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14"/>
          <w:szCs w:val="14"/>
        </w:rPr>
      </w:pPr>
    </w:p>
    <w:p>
      <w:pPr>
        <w:pStyle w:val="Heading3"/>
        <w:spacing w:line="240" w:lineRule="auto"/>
        <w:ind w:right="0"/>
        <w:jc w:val="left"/>
        <w:rPr>
          <w:b w:val="0"/>
          <w:bCs w:val="0"/>
        </w:rPr>
      </w:pPr>
      <w:bookmarkStart w:name="28、职工薪酬" w:id="203"/>
      <w:bookmarkEnd w:id="203"/>
      <w:r>
        <w:rPr>
          <w:b w:val="0"/>
          <w:bCs w:val="0"/>
        </w:rPr>
      </w:r>
      <w:r>
        <w:rPr>
          <w:rFonts w:ascii="Times New Roman" w:hAnsi="Times New Roman" w:cs="Times New Roman" w:eastAsia="Times New Roman" w:hint="default"/>
        </w:rPr>
        <w:t>28</w:t>
      </w:r>
      <w:r>
        <w:rPr/>
        <w:t>、职工薪酬</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短期薪酬的会计处理方法" w:id="204"/>
      <w:bookmarkEnd w:id="204"/>
      <w:r>
        <w:rPr>
          <w:b w:val="0"/>
          <w:bCs w:val="0"/>
        </w:rPr>
      </w:r>
      <w:r>
        <w:rPr/>
        <w:t>（</w:t>
      </w:r>
      <w:r>
        <w:rPr>
          <w:rFonts w:ascii="Times New Roman" w:hAnsi="Times New Roman" w:cs="Times New Roman" w:eastAsia="Times New Roman" w:hint="default"/>
        </w:rPr>
        <w:t>1</w:t>
      </w:r>
      <w:r>
        <w:rPr/>
        <w:t>）短期薪酬的会计处理方法</w:t>
      </w:r>
      <w:r>
        <w:rPr>
          <w:b w:val="0"/>
          <w:bCs w:val="0"/>
        </w:rPr>
      </w:r>
    </w:p>
    <w:p>
      <w:pPr>
        <w:spacing w:line="240" w:lineRule="auto" w:before="12"/>
        <w:rPr>
          <w:rFonts w:ascii="宋体" w:hAnsi="宋体" w:cs="宋体" w:eastAsia="宋体" w:hint="default"/>
          <w:b/>
          <w:bCs/>
          <w:sz w:val="32"/>
          <w:szCs w:val="32"/>
        </w:rPr>
      </w:pPr>
    </w:p>
    <w:p>
      <w:pPr>
        <w:pStyle w:val="BodyText"/>
        <w:spacing w:line="475" w:lineRule="auto"/>
        <w:ind w:right="1124" w:firstLine="360"/>
        <w:jc w:val="both"/>
      </w:pPr>
      <w:r>
        <w:rPr>
          <w:spacing w:val="-5"/>
        </w:rPr>
        <w:t>本公司在职工提供服务的会计期间，将实际发生的职工工资、奖金、按规定的基准和比例为职工缴纳的医疗保险费、工</w:t>
      </w:r>
      <w:r>
        <w:rPr>
          <w:w w:val="101"/>
        </w:rPr>
        <w:t> </w:t>
      </w:r>
      <w:r>
        <w:rPr>
          <w:spacing w:val="-4"/>
        </w:rPr>
        <w:t>伤保险费和生育保险费等社会保险费和住房公积金，确认为负债，并计入当期损益或相关资产成本。职工福利费为非货币性</w:t>
      </w:r>
      <w:r>
        <w:rPr>
          <w:spacing w:val="43"/>
        </w:rPr>
        <w:t> </w:t>
      </w:r>
      <w:r>
        <w:rPr>
          <w:spacing w:val="43"/>
        </w:rPr>
      </w:r>
      <w:r>
        <w:rPr>
          <w:spacing w:val="-4"/>
        </w:rPr>
        <w:t>福利的，如能够可靠计量的，按照公允价值计量。如果该负债预期在职工提供相关服务的年度报告期结束后十二个月内不能</w:t>
      </w:r>
      <w:r>
        <w:rPr>
          <w:spacing w:val="38"/>
        </w:rPr>
        <w:t> </w:t>
      </w:r>
      <w:r>
        <w:rPr>
          <w:spacing w:val="38"/>
        </w:rPr>
      </w:r>
      <w:r>
        <w:rPr>
          <w:spacing w:val="-3"/>
        </w:rPr>
        <w:t>完全支付，且财务影响重大的，则该负债将以折现后的金额计量。</w:t>
      </w:r>
    </w:p>
    <w:p>
      <w:pPr>
        <w:spacing w:line="240" w:lineRule="auto" w:before="6"/>
        <w:rPr>
          <w:rFonts w:ascii="宋体" w:hAnsi="宋体" w:cs="宋体" w:eastAsia="宋体" w:hint="default"/>
          <w:sz w:val="19"/>
          <w:szCs w:val="19"/>
        </w:rPr>
      </w:pPr>
    </w:p>
    <w:p>
      <w:pPr>
        <w:pStyle w:val="Heading3"/>
        <w:spacing w:line="240" w:lineRule="auto"/>
        <w:ind w:right="0"/>
        <w:jc w:val="left"/>
        <w:rPr>
          <w:b w:val="0"/>
          <w:bCs w:val="0"/>
        </w:rPr>
      </w:pPr>
      <w:bookmarkStart w:name="（2）离职后福利的会计处理方法" w:id="205"/>
      <w:bookmarkEnd w:id="205"/>
      <w:r>
        <w:rPr>
          <w:b w:val="0"/>
          <w:bCs w:val="0"/>
        </w:rPr>
      </w:r>
      <w:r>
        <w:rPr/>
        <w:t>（</w:t>
      </w:r>
      <w:r>
        <w:rPr>
          <w:rFonts w:ascii="Times New Roman" w:hAnsi="Times New Roman" w:cs="Times New Roman" w:eastAsia="Times New Roman" w:hint="default"/>
        </w:rPr>
        <w:t>2</w:t>
      </w:r>
      <w:r>
        <w:rPr/>
        <w:t>）离职后福利的会计处理方法</w:t>
      </w:r>
      <w:r>
        <w:rPr>
          <w:b w:val="0"/>
          <w:bCs w:val="0"/>
        </w:rPr>
      </w:r>
    </w:p>
    <w:p>
      <w:pPr>
        <w:spacing w:line="240" w:lineRule="auto" w:before="7"/>
        <w:rPr>
          <w:rFonts w:ascii="宋体" w:hAnsi="宋体" w:cs="宋体" w:eastAsia="宋体" w:hint="default"/>
          <w:b/>
          <w:bCs/>
          <w:sz w:val="32"/>
          <w:szCs w:val="32"/>
        </w:rPr>
      </w:pPr>
    </w:p>
    <w:p>
      <w:pPr>
        <w:pStyle w:val="BodyText"/>
        <w:spacing w:line="475" w:lineRule="auto"/>
        <w:ind w:right="1122" w:firstLine="360"/>
        <w:jc w:val="both"/>
      </w:pPr>
      <w:r>
        <w:rPr>
          <w:spacing w:val="-4"/>
        </w:rPr>
        <w:t>离职后福利计划包括设定提存计划。设定提存计划，是指向独立的基金缴存固定费用后，企业不再承担进一步支付义务</w:t>
      </w:r>
      <w:r>
        <w:rPr>
          <w:w w:val="101"/>
        </w:rPr>
        <w:t> </w:t>
      </w:r>
      <w:r>
        <w:rPr>
          <w:spacing w:val="-3"/>
        </w:rPr>
        <w:t>的离职后福利计划。</w:t>
      </w:r>
    </w:p>
    <w:p>
      <w:pPr>
        <w:pStyle w:val="BodyText"/>
        <w:spacing w:line="475" w:lineRule="auto" w:before="59"/>
        <w:ind w:right="1128" w:firstLine="360"/>
        <w:jc w:val="both"/>
      </w:pPr>
      <w:r>
        <w:rPr>
          <w:spacing w:val="-5"/>
        </w:rPr>
        <w:t>本公司按当期政府的相关规定为职工缴纳基本养老保险和失业保险，在职工为本公司提供服务的会计期间，根据设定提</w:t>
      </w:r>
      <w:r>
        <w:rPr>
          <w:w w:val="101"/>
        </w:rPr>
        <w:t> </w:t>
      </w:r>
      <w:r>
        <w:rPr>
          <w:spacing w:val="-3"/>
        </w:rPr>
        <w:t>存计划计算的应缴存金额确认为负债，并计入当期损益或相关资产成本。</w:t>
      </w:r>
    </w:p>
    <w:p>
      <w:pPr>
        <w:spacing w:line="240" w:lineRule="auto" w:before="5"/>
        <w:rPr>
          <w:rFonts w:ascii="宋体" w:hAnsi="宋体" w:cs="宋体" w:eastAsia="宋体" w:hint="default"/>
          <w:sz w:val="19"/>
          <w:szCs w:val="19"/>
        </w:rPr>
      </w:pPr>
    </w:p>
    <w:p>
      <w:pPr>
        <w:pStyle w:val="Heading3"/>
        <w:spacing w:line="240" w:lineRule="auto"/>
        <w:ind w:right="0"/>
        <w:jc w:val="left"/>
        <w:rPr>
          <w:b w:val="0"/>
          <w:bCs w:val="0"/>
        </w:rPr>
      </w:pPr>
      <w:bookmarkStart w:name="（3）辞退福利的会计处理方法" w:id="206"/>
      <w:bookmarkEnd w:id="206"/>
      <w:r>
        <w:rPr>
          <w:b w:val="0"/>
          <w:bCs w:val="0"/>
        </w:rPr>
      </w:r>
      <w:r>
        <w:rPr/>
        <w:t>（</w:t>
      </w:r>
      <w:r>
        <w:rPr>
          <w:rFonts w:ascii="Times New Roman" w:hAnsi="Times New Roman" w:cs="Times New Roman" w:eastAsia="Times New Roman" w:hint="default"/>
        </w:rPr>
        <w:t>3</w:t>
      </w:r>
      <w:r>
        <w:rPr/>
        <w:t>）辞退福利的会计处理方法</w:t>
      </w:r>
      <w:r>
        <w:rPr>
          <w:b w:val="0"/>
          <w:bCs w:val="0"/>
        </w:rPr>
      </w:r>
    </w:p>
    <w:p>
      <w:pPr>
        <w:spacing w:line="240" w:lineRule="auto" w:before="8"/>
        <w:rPr>
          <w:rFonts w:ascii="宋体" w:hAnsi="宋体" w:cs="宋体" w:eastAsia="宋体" w:hint="default"/>
          <w:b/>
          <w:bCs/>
          <w:sz w:val="32"/>
          <w:szCs w:val="32"/>
        </w:rPr>
      </w:pPr>
    </w:p>
    <w:p>
      <w:pPr>
        <w:pStyle w:val="BodyText"/>
        <w:spacing w:line="477" w:lineRule="auto"/>
        <w:ind w:right="1124" w:firstLine="360"/>
        <w:jc w:val="both"/>
      </w:pPr>
      <w:r>
        <w:rPr>
          <w:spacing w:val="-5"/>
          <w:w w:val="101"/>
        </w:rPr>
        <w:t>在本公司不能单方面撤回因解除劳动关系计划或者裁减建议所提供的辞退福利时，和本公司确认与涉及支付辞退福利的</w:t>
      </w:r>
      <w:r>
        <w:rPr>
          <w:w w:val="101"/>
        </w:rPr>
        <w:t> </w:t>
      </w:r>
      <w:r>
        <w:rPr>
          <w:spacing w:val="-4"/>
        </w:rPr>
        <w:t>重组相关的成本或费用时两者孰早日，确认辞退福利产生的职工薪酬负债，并计入当期损益。但辞退福利预期在年度报告期</w:t>
      </w:r>
      <w:r>
        <w:rPr>
          <w:spacing w:val="43"/>
        </w:rPr>
        <w:t> </w:t>
      </w:r>
      <w:r>
        <w:rPr>
          <w:spacing w:val="43"/>
        </w:rPr>
      </w:r>
      <w:r>
        <w:rPr>
          <w:spacing w:val="-3"/>
        </w:rPr>
        <w:t>结束后十二个月不能完全支付的，按照其他长期职工薪酬处理。</w:t>
      </w:r>
    </w:p>
    <w:p>
      <w:pPr>
        <w:pStyle w:val="BodyText"/>
        <w:spacing w:line="463" w:lineRule="auto" w:before="56"/>
        <w:ind w:right="1122" w:firstLine="360"/>
        <w:jc w:val="both"/>
      </w:pPr>
      <w:r>
        <w:rPr>
          <w:spacing w:val="-5"/>
          <w:w w:val="101"/>
        </w:rPr>
        <w:t>职工内部退休计划采用与上述辞退福利相同的原则处理。本公司将自职工停止提供服务日至正常退休日的期间拟支付的</w:t>
      </w:r>
      <w:r>
        <w:rPr>
          <w:w w:val="101"/>
        </w:rPr>
        <w:t> </w:t>
      </w:r>
      <w:r>
        <w:rPr>
          <w:spacing w:val="-3"/>
        </w:rPr>
        <w:t>内退人员工资和缴纳的社会保险费等，在符合预计负债确认条件时，计入当期损益</w:t>
      </w:r>
      <w:r>
        <w:rPr>
          <w:rFonts w:ascii="Times New Roman" w:hAnsi="Times New Roman" w:cs="Times New Roman" w:eastAsia="Times New Roman" w:hint="default"/>
          <w:spacing w:val="-3"/>
        </w:rPr>
        <w:t>(</w:t>
      </w:r>
      <w:r>
        <w:rPr>
          <w:spacing w:val="-3"/>
        </w:rPr>
        <w:t>辞退福利</w:t>
      </w:r>
      <w:r>
        <w:rPr>
          <w:rFonts w:ascii="Times New Roman" w:hAnsi="Times New Roman" w:cs="Times New Roman" w:eastAsia="Times New Roman" w:hint="default"/>
          <w:spacing w:val="-3"/>
        </w:rPr>
        <w:t>)</w:t>
      </w:r>
      <w:r>
        <w:rPr>
          <w:spacing w:val="-3"/>
        </w:rPr>
        <w:t>。正式退休日期之后的经济补</w:t>
      </w:r>
      <w:r>
        <w:rPr>
          <w:spacing w:val="51"/>
        </w:rPr>
        <w:t> </w:t>
      </w:r>
      <w:r>
        <w:rPr>
          <w:spacing w:val="51"/>
        </w:rPr>
      </w:r>
      <w:r>
        <w:rPr>
          <w:spacing w:val="-3"/>
        </w:rPr>
        <w:t>偿</w:t>
      </w:r>
      <w:r>
        <w:rPr>
          <w:rFonts w:ascii="Times New Roman" w:hAnsi="Times New Roman" w:cs="Times New Roman" w:eastAsia="Times New Roman" w:hint="default"/>
          <w:spacing w:val="-3"/>
        </w:rPr>
        <w:t>(</w:t>
      </w:r>
      <w:r>
        <w:rPr>
          <w:spacing w:val="-3"/>
        </w:rPr>
        <w:t>如正常养老退休金</w:t>
      </w:r>
      <w:r>
        <w:rPr>
          <w:rFonts w:ascii="Times New Roman" w:hAnsi="Times New Roman" w:cs="Times New Roman" w:eastAsia="Times New Roman" w:hint="default"/>
          <w:spacing w:val="-3"/>
        </w:rPr>
        <w:t>)</w:t>
      </w:r>
      <w:r>
        <w:rPr>
          <w:spacing w:val="-3"/>
        </w:rPr>
        <w:t>，按照离职后福利处理。</w:t>
      </w:r>
    </w:p>
    <w:p>
      <w:pPr>
        <w:spacing w:line="240" w:lineRule="auto" w:before="4"/>
        <w:rPr>
          <w:rFonts w:ascii="宋体" w:hAnsi="宋体" w:cs="宋体" w:eastAsia="宋体" w:hint="default"/>
          <w:sz w:val="17"/>
          <w:szCs w:val="17"/>
        </w:rPr>
      </w:pPr>
    </w:p>
    <w:p>
      <w:pPr>
        <w:pStyle w:val="Heading3"/>
        <w:spacing w:line="240" w:lineRule="auto"/>
        <w:ind w:right="0"/>
        <w:jc w:val="left"/>
        <w:rPr>
          <w:b w:val="0"/>
          <w:bCs w:val="0"/>
        </w:rPr>
      </w:pPr>
      <w:bookmarkStart w:name="（4）其他长期职工福利的会计处理方法" w:id="207"/>
      <w:bookmarkEnd w:id="207"/>
      <w:r>
        <w:rPr>
          <w:b w:val="0"/>
          <w:bCs w:val="0"/>
        </w:rPr>
      </w:r>
      <w:r>
        <w:rPr/>
        <w:t>（</w:t>
      </w:r>
      <w:r>
        <w:rPr>
          <w:rFonts w:ascii="Times New Roman" w:hAnsi="Times New Roman" w:cs="Times New Roman" w:eastAsia="Times New Roman" w:hint="default"/>
        </w:rPr>
        <w:t>4</w:t>
      </w:r>
      <w:r>
        <w:rPr/>
        <w:t>）其他长期职工福利的会计处理方法</w:t>
      </w:r>
      <w:r>
        <w:rPr>
          <w:b w:val="0"/>
          <w:bCs w:val="0"/>
        </w:rPr>
      </w:r>
    </w:p>
    <w:p>
      <w:pPr>
        <w:spacing w:line="240" w:lineRule="auto" w:before="8"/>
        <w:rPr>
          <w:rFonts w:ascii="宋体" w:hAnsi="宋体" w:cs="宋体" w:eastAsia="宋体" w:hint="default"/>
          <w:b/>
          <w:bCs/>
          <w:sz w:val="32"/>
          <w:szCs w:val="32"/>
        </w:rPr>
      </w:pPr>
    </w:p>
    <w:p>
      <w:pPr>
        <w:pStyle w:val="BodyText"/>
        <w:spacing w:line="240" w:lineRule="auto"/>
        <w:ind w:left="513" w:right="0"/>
        <w:jc w:val="left"/>
      </w:pPr>
      <w:r>
        <w:rPr>
          <w:spacing w:val="-4"/>
        </w:rPr>
        <w:t>本公司向职工提供的其他长期职工福利，符合设定提存计划的，按照设定提存计划进行会计处理，除此之外按照设定受</w:t>
      </w:r>
    </w:p>
    <w:p>
      <w:pPr>
        <w:spacing w:after="0" w:line="240" w:lineRule="auto"/>
        <w:jc w:val="left"/>
        <w:sectPr>
          <w:pgSz w:w="11910" w:h="16840"/>
          <w:pgMar w:header="871" w:footer="1186" w:top="1100" w:bottom="1380" w:left="980" w:right="0"/>
        </w:sectPr>
      </w:pPr>
    </w:p>
    <w:p>
      <w:pPr>
        <w:spacing w:line="240" w:lineRule="auto" w:before="1"/>
        <w:rPr>
          <w:rFonts w:ascii="宋体" w:hAnsi="宋体" w:cs="宋体" w:eastAsia="宋体" w:hint="default"/>
          <w:sz w:val="28"/>
          <w:szCs w:val="28"/>
        </w:rPr>
      </w:pPr>
    </w:p>
    <w:p>
      <w:pPr>
        <w:pStyle w:val="BodyText"/>
        <w:spacing w:line="448" w:lineRule="auto" w:before="46"/>
        <w:ind w:right="1029"/>
        <w:jc w:val="left"/>
      </w:pPr>
      <w:r>
        <w:rPr>
          <w:spacing w:val="-4"/>
        </w:rPr>
        <w:t>益计划进行会计处理。但相关职工薪酬成本中</w:t>
      </w:r>
      <w:r>
        <w:rPr>
          <w:rFonts w:ascii="Times New Roman" w:hAnsi="Times New Roman" w:cs="Times New Roman" w:eastAsia="Times New Roman" w:hint="default"/>
          <w:spacing w:val="-4"/>
        </w:rPr>
        <w:t>“</w:t>
      </w:r>
      <w:r>
        <w:rPr>
          <w:spacing w:val="-4"/>
        </w:rPr>
        <w:t>重新计量设定受益计划净负债或净资产所产生的变动</w:t>
      </w:r>
      <w:r>
        <w:rPr>
          <w:rFonts w:ascii="Times New Roman" w:hAnsi="Times New Roman" w:cs="Times New Roman" w:eastAsia="Times New Roman" w:hint="default"/>
          <w:spacing w:val="-4"/>
        </w:rPr>
        <w:t>”</w:t>
      </w:r>
      <w:r>
        <w:rPr>
          <w:spacing w:val="-4"/>
        </w:rPr>
        <w:t>部分计入当期损益或相</w:t>
      </w:r>
      <w:r>
        <w:rPr>
          <w:spacing w:val="62"/>
        </w:rPr>
        <w:t> </w:t>
      </w:r>
      <w:r>
        <w:rPr>
          <w:spacing w:val="62"/>
        </w:rPr>
      </w:r>
      <w:r>
        <w:rPr/>
        <w:t>关资产成本。</w:t>
      </w:r>
    </w:p>
    <w:p>
      <w:pPr>
        <w:spacing w:line="240" w:lineRule="auto" w:before="12"/>
        <w:rPr>
          <w:rFonts w:ascii="宋体" w:hAnsi="宋体" w:cs="宋体" w:eastAsia="宋体" w:hint="default"/>
          <w:sz w:val="20"/>
          <w:szCs w:val="20"/>
        </w:rPr>
      </w:pPr>
    </w:p>
    <w:p>
      <w:pPr>
        <w:pStyle w:val="Heading3"/>
        <w:spacing w:line="240" w:lineRule="auto"/>
        <w:ind w:right="0"/>
        <w:jc w:val="left"/>
        <w:rPr>
          <w:b w:val="0"/>
          <w:bCs w:val="0"/>
        </w:rPr>
      </w:pPr>
      <w:bookmarkStart w:name="29、预计负债" w:id="208"/>
      <w:bookmarkEnd w:id="208"/>
      <w:r>
        <w:rPr>
          <w:b w:val="0"/>
          <w:bCs w:val="0"/>
        </w:rPr>
      </w:r>
      <w:r>
        <w:rPr>
          <w:rFonts w:ascii="Times New Roman" w:hAnsi="Times New Roman" w:cs="Times New Roman" w:eastAsia="Times New Roman" w:hint="default"/>
        </w:rPr>
        <w:t>29</w:t>
      </w:r>
      <w:r>
        <w:rPr/>
        <w:t>、预计负债</w:t>
      </w:r>
      <w:r>
        <w:rPr>
          <w:b w:val="0"/>
          <w:bCs w:val="0"/>
        </w:rPr>
      </w:r>
    </w:p>
    <w:p>
      <w:pPr>
        <w:spacing w:line="240" w:lineRule="auto" w:before="7"/>
        <w:rPr>
          <w:rFonts w:ascii="宋体" w:hAnsi="宋体" w:cs="宋体" w:eastAsia="宋体" w:hint="default"/>
          <w:b/>
          <w:bCs/>
          <w:sz w:val="32"/>
          <w:szCs w:val="32"/>
        </w:rPr>
      </w:pPr>
    </w:p>
    <w:p>
      <w:pPr>
        <w:pStyle w:val="BodyText"/>
        <w:spacing w:line="453" w:lineRule="auto"/>
        <w:ind w:right="1114" w:firstLine="360"/>
        <w:jc w:val="left"/>
      </w:pPr>
      <w:r>
        <w:rPr>
          <w:w w:val="101"/>
        </w:rPr>
        <w:t>当</w:t>
      </w:r>
      <w:r>
        <w:rPr>
          <w:spacing w:val="-5"/>
          <w:w w:val="101"/>
        </w:rPr>
        <w:t>与</w:t>
      </w:r>
      <w:r>
        <w:rPr>
          <w:w w:val="101"/>
        </w:rPr>
        <w:t>或</w:t>
      </w:r>
      <w:r>
        <w:rPr>
          <w:spacing w:val="-5"/>
          <w:w w:val="101"/>
        </w:rPr>
        <w:t>有</w:t>
      </w:r>
      <w:r>
        <w:rPr>
          <w:w w:val="101"/>
        </w:rPr>
        <w:t>事</w:t>
      </w:r>
      <w:r>
        <w:rPr>
          <w:spacing w:val="-5"/>
          <w:w w:val="101"/>
        </w:rPr>
        <w:t>项</w:t>
      </w:r>
      <w:r>
        <w:rPr>
          <w:w w:val="101"/>
        </w:rPr>
        <w:t>相</w:t>
      </w:r>
      <w:r>
        <w:rPr>
          <w:spacing w:val="-5"/>
          <w:w w:val="101"/>
        </w:rPr>
        <w:t>关</w:t>
      </w:r>
      <w:r>
        <w:rPr>
          <w:w w:val="101"/>
        </w:rPr>
        <w:t>的</w:t>
      </w:r>
      <w:r>
        <w:rPr>
          <w:spacing w:val="-5"/>
          <w:w w:val="101"/>
        </w:rPr>
        <w:t>义</w:t>
      </w:r>
      <w:r>
        <w:rPr>
          <w:w w:val="101"/>
        </w:rPr>
        <w:t>务</w:t>
      </w:r>
      <w:r>
        <w:rPr>
          <w:spacing w:val="-5"/>
          <w:w w:val="101"/>
        </w:rPr>
        <w:t>同</w:t>
      </w:r>
      <w:r>
        <w:rPr>
          <w:w w:val="101"/>
        </w:rPr>
        <w:t>时</w:t>
      </w:r>
      <w:r>
        <w:rPr>
          <w:spacing w:val="-5"/>
          <w:w w:val="101"/>
        </w:rPr>
        <w:t>符</w:t>
      </w:r>
      <w:r>
        <w:rPr>
          <w:w w:val="101"/>
        </w:rPr>
        <w:t>合</w:t>
      </w:r>
      <w:r>
        <w:rPr>
          <w:spacing w:val="-5"/>
          <w:w w:val="101"/>
        </w:rPr>
        <w:t>以</w:t>
      </w:r>
      <w:r>
        <w:rPr>
          <w:w w:val="101"/>
        </w:rPr>
        <w:t>下</w:t>
      </w:r>
      <w:r>
        <w:rPr>
          <w:spacing w:val="-5"/>
          <w:w w:val="101"/>
        </w:rPr>
        <w:t>条件</w:t>
      </w:r>
      <w:r>
        <w:rPr>
          <w:spacing w:val="-15"/>
          <w:w w:val="101"/>
        </w:rPr>
        <w:t>，</w:t>
      </w:r>
      <w:r>
        <w:rPr>
          <w:spacing w:val="-5"/>
          <w:w w:val="101"/>
        </w:rPr>
        <w:t>确</w:t>
      </w:r>
      <w:r>
        <w:rPr>
          <w:w w:val="101"/>
        </w:rPr>
        <w:t>认</w:t>
      </w:r>
      <w:r>
        <w:rPr>
          <w:spacing w:val="-5"/>
          <w:w w:val="101"/>
        </w:rPr>
        <w:t>为</w:t>
      </w:r>
      <w:r>
        <w:rPr>
          <w:w w:val="101"/>
        </w:rPr>
        <w:t>预</w:t>
      </w:r>
      <w:r>
        <w:rPr>
          <w:spacing w:val="-5"/>
          <w:w w:val="101"/>
        </w:rPr>
        <w:t>计</w:t>
      </w:r>
      <w:r>
        <w:rPr>
          <w:w w:val="101"/>
        </w:rPr>
        <w:t>负</w:t>
      </w:r>
      <w:r>
        <w:rPr>
          <w:spacing w:val="-5"/>
          <w:w w:val="101"/>
        </w:rPr>
        <w:t>债</w:t>
      </w:r>
      <w:r>
        <w:rPr>
          <w:spacing w:val="-106"/>
          <w:w w:val="101"/>
        </w:rPr>
        <w:t>：</w:t>
      </w:r>
      <w:r>
        <w:rPr>
          <w:spacing w:val="1"/>
          <w:w w:val="101"/>
        </w:rPr>
        <w:t>（</w:t>
      </w:r>
      <w:r>
        <w:rPr>
          <w:rFonts w:ascii="Times New Roman" w:hAnsi="Times New Roman" w:cs="Times New Roman" w:eastAsia="Times New Roman" w:hint="default"/>
          <w:spacing w:val="-5"/>
          <w:w w:val="101"/>
        </w:rPr>
        <w:t>1</w:t>
      </w:r>
      <w:r>
        <w:rPr>
          <w:spacing w:val="-20"/>
          <w:w w:val="101"/>
        </w:rPr>
        <w:t>）</w:t>
      </w:r>
      <w:r>
        <w:rPr>
          <w:w w:val="101"/>
        </w:rPr>
        <w:t>该</w:t>
      </w:r>
      <w:r>
        <w:rPr>
          <w:spacing w:val="-5"/>
          <w:w w:val="101"/>
        </w:rPr>
        <w:t>义</w:t>
      </w:r>
      <w:r>
        <w:rPr>
          <w:w w:val="101"/>
        </w:rPr>
        <w:t>务</w:t>
      </w:r>
      <w:r>
        <w:rPr>
          <w:spacing w:val="-5"/>
          <w:w w:val="101"/>
        </w:rPr>
        <w:t>是</w:t>
      </w:r>
      <w:r>
        <w:rPr>
          <w:w w:val="101"/>
        </w:rPr>
        <w:t>本</w:t>
      </w:r>
      <w:r>
        <w:rPr>
          <w:spacing w:val="-5"/>
          <w:w w:val="101"/>
        </w:rPr>
        <w:t>公</w:t>
      </w:r>
      <w:r>
        <w:rPr>
          <w:w w:val="101"/>
        </w:rPr>
        <w:t>司</w:t>
      </w:r>
      <w:r>
        <w:rPr>
          <w:spacing w:val="-5"/>
          <w:w w:val="101"/>
        </w:rPr>
        <w:t>承</w:t>
      </w:r>
      <w:r>
        <w:rPr>
          <w:w w:val="101"/>
        </w:rPr>
        <w:t>担</w:t>
      </w:r>
      <w:r>
        <w:rPr>
          <w:spacing w:val="-5"/>
          <w:w w:val="101"/>
        </w:rPr>
        <w:t>的</w:t>
      </w:r>
      <w:r>
        <w:rPr>
          <w:w w:val="101"/>
        </w:rPr>
        <w:t>现</w:t>
      </w:r>
      <w:r>
        <w:rPr>
          <w:spacing w:val="-5"/>
          <w:w w:val="101"/>
        </w:rPr>
        <w:t>时</w:t>
      </w:r>
      <w:r>
        <w:rPr>
          <w:w w:val="101"/>
        </w:rPr>
        <w:t>义</w:t>
      </w:r>
      <w:r>
        <w:rPr>
          <w:spacing w:val="-5"/>
          <w:w w:val="101"/>
        </w:rPr>
        <w:t>务</w:t>
      </w:r>
      <w:r>
        <w:rPr>
          <w:spacing w:val="-111"/>
          <w:w w:val="101"/>
        </w:rPr>
        <w:t>；</w:t>
      </w:r>
      <w:r>
        <w:rPr>
          <w:w w:val="101"/>
        </w:rPr>
        <w:t>（</w:t>
      </w:r>
      <w:r>
        <w:rPr>
          <w:rFonts w:ascii="Times New Roman" w:hAnsi="Times New Roman" w:cs="Times New Roman" w:eastAsia="Times New Roman" w:hint="default"/>
          <w:spacing w:val="-5"/>
          <w:w w:val="101"/>
        </w:rPr>
        <w:t>2</w:t>
      </w:r>
      <w:r>
        <w:rPr>
          <w:spacing w:val="-15"/>
          <w:w w:val="101"/>
        </w:rPr>
        <w:t>）</w:t>
      </w:r>
      <w:r>
        <w:rPr>
          <w:spacing w:val="-5"/>
          <w:w w:val="101"/>
        </w:rPr>
        <w:t>履</w:t>
      </w:r>
      <w:r>
        <w:rPr>
          <w:w w:val="101"/>
        </w:rPr>
        <w:t>行</w:t>
      </w:r>
      <w:r>
        <w:rPr>
          <w:spacing w:val="-5"/>
          <w:w w:val="101"/>
        </w:rPr>
        <w:t>该</w:t>
      </w:r>
      <w:r>
        <w:rPr>
          <w:w w:val="101"/>
        </w:rPr>
        <w:t>义务</w:t>
      </w:r>
      <w:r>
        <w:rPr>
          <w:w w:val="101"/>
        </w:rPr>
        <w:t> 很</w:t>
      </w:r>
      <w:r>
        <w:rPr>
          <w:spacing w:val="-5"/>
          <w:w w:val="101"/>
        </w:rPr>
        <w:t>可</w:t>
      </w:r>
      <w:r>
        <w:rPr>
          <w:w w:val="101"/>
        </w:rPr>
        <w:t>能</w:t>
      </w:r>
      <w:r>
        <w:rPr>
          <w:spacing w:val="-5"/>
          <w:w w:val="101"/>
        </w:rPr>
        <w:t>导</w:t>
      </w:r>
      <w:r>
        <w:rPr>
          <w:w w:val="101"/>
        </w:rPr>
        <w:t>致</w:t>
      </w:r>
      <w:r>
        <w:rPr>
          <w:spacing w:val="-5"/>
          <w:w w:val="101"/>
        </w:rPr>
        <w:t>经</w:t>
      </w:r>
      <w:r>
        <w:rPr>
          <w:w w:val="101"/>
        </w:rPr>
        <w:t>济</w:t>
      </w:r>
      <w:r>
        <w:rPr>
          <w:spacing w:val="-5"/>
          <w:w w:val="101"/>
        </w:rPr>
        <w:t>利</w:t>
      </w:r>
      <w:r>
        <w:rPr>
          <w:w w:val="101"/>
        </w:rPr>
        <w:t>益</w:t>
      </w:r>
      <w:r>
        <w:rPr>
          <w:spacing w:val="-5"/>
          <w:w w:val="101"/>
        </w:rPr>
        <w:t>流</w:t>
      </w:r>
      <w:r>
        <w:rPr>
          <w:w w:val="101"/>
        </w:rPr>
        <w:t>出</w:t>
      </w:r>
      <w:r>
        <w:rPr>
          <w:spacing w:val="-92"/>
          <w:w w:val="101"/>
        </w:rPr>
        <w:t>；</w:t>
      </w:r>
      <w:r>
        <w:rPr>
          <w:spacing w:val="-5"/>
          <w:w w:val="101"/>
        </w:rPr>
        <w:t>（</w:t>
      </w:r>
      <w:r>
        <w:rPr>
          <w:rFonts w:ascii="Times New Roman" w:hAnsi="Times New Roman" w:cs="Times New Roman" w:eastAsia="Times New Roman" w:hint="default"/>
          <w:w w:val="101"/>
        </w:rPr>
        <w:t>3</w:t>
      </w:r>
      <w:r>
        <w:rPr>
          <w:spacing w:val="-5"/>
          <w:w w:val="101"/>
        </w:rPr>
        <w:t>）</w:t>
      </w:r>
      <w:r>
        <w:rPr>
          <w:w w:val="101"/>
        </w:rPr>
        <w:t>该</w:t>
      </w:r>
      <w:r>
        <w:rPr>
          <w:spacing w:val="-5"/>
          <w:w w:val="101"/>
        </w:rPr>
        <w:t>义</w:t>
      </w:r>
      <w:r>
        <w:rPr>
          <w:w w:val="101"/>
        </w:rPr>
        <w:t>务</w:t>
      </w:r>
      <w:r>
        <w:rPr>
          <w:spacing w:val="-5"/>
          <w:w w:val="101"/>
        </w:rPr>
        <w:t>的</w:t>
      </w:r>
      <w:r>
        <w:rPr>
          <w:w w:val="101"/>
        </w:rPr>
        <w:t>金</w:t>
      </w:r>
      <w:r>
        <w:rPr>
          <w:spacing w:val="-5"/>
          <w:w w:val="101"/>
        </w:rPr>
        <w:t>额</w:t>
      </w:r>
      <w:r>
        <w:rPr>
          <w:w w:val="101"/>
        </w:rPr>
        <w:t>能</w:t>
      </w:r>
      <w:r>
        <w:rPr>
          <w:spacing w:val="-5"/>
          <w:w w:val="101"/>
        </w:rPr>
        <w:t>够</w:t>
      </w:r>
      <w:r>
        <w:rPr>
          <w:w w:val="101"/>
        </w:rPr>
        <w:t>可</w:t>
      </w:r>
      <w:r>
        <w:rPr>
          <w:spacing w:val="-5"/>
          <w:w w:val="101"/>
        </w:rPr>
        <w:t>靠</w:t>
      </w:r>
      <w:r>
        <w:rPr>
          <w:w w:val="101"/>
        </w:rPr>
        <w:t>地</w:t>
      </w:r>
      <w:r>
        <w:rPr>
          <w:spacing w:val="-5"/>
          <w:w w:val="101"/>
        </w:rPr>
        <w:t>计量</w:t>
      </w:r>
      <w:r>
        <w:rPr>
          <w:w w:val="101"/>
        </w:rPr>
        <w:t>。</w:t>
      </w:r>
      <w:r>
        <w:rPr/>
      </w:r>
    </w:p>
    <w:p>
      <w:pPr>
        <w:pStyle w:val="BodyText"/>
        <w:spacing w:line="480" w:lineRule="auto" w:before="39"/>
        <w:ind w:right="0" w:firstLine="360"/>
        <w:jc w:val="left"/>
      </w:pPr>
      <w:r>
        <w:rPr>
          <w:spacing w:val="-5"/>
        </w:rPr>
        <w:t>预计负债按照履行相关现时义务所需支出的最佳估计数进行初始计量，并综合考虑与或有事项有关的风险、不确定性和</w:t>
      </w:r>
      <w:r>
        <w:rPr>
          <w:w w:val="101"/>
        </w:rPr>
        <w:t> </w:t>
      </w:r>
      <w:r>
        <w:rPr>
          <w:spacing w:val="-3"/>
        </w:rPr>
        <w:t>货币时间价值等因素。货币时间价值影响重大的，通过对相关未来现金流出进行折现后确定最佳估计数。</w:t>
      </w:r>
    </w:p>
    <w:p>
      <w:pPr>
        <w:pStyle w:val="BodyText"/>
        <w:spacing w:line="460" w:lineRule="auto" w:before="50"/>
        <w:ind w:right="0" w:firstLine="360"/>
        <w:jc w:val="left"/>
      </w:pPr>
      <w:r>
        <w:rPr>
          <w:spacing w:val="-3"/>
        </w:rPr>
        <w:t>最佳估计数分别分以下情况处理：所需支出存在一个连续范围</w:t>
      </w:r>
      <w:r>
        <w:rPr>
          <w:rFonts w:ascii="Times New Roman" w:hAnsi="Times New Roman" w:cs="Times New Roman" w:eastAsia="Times New Roman" w:hint="default"/>
          <w:spacing w:val="-3"/>
        </w:rPr>
        <w:t>(</w:t>
      </w:r>
      <w:r>
        <w:rPr>
          <w:spacing w:val="-3"/>
        </w:rPr>
        <w:t>或区间</w:t>
      </w:r>
      <w:r>
        <w:rPr>
          <w:rFonts w:ascii="Times New Roman" w:hAnsi="Times New Roman" w:cs="Times New Roman" w:eastAsia="Times New Roman" w:hint="default"/>
          <w:spacing w:val="-3"/>
        </w:rPr>
        <w:t>)</w:t>
      </w:r>
      <w:r>
        <w:rPr>
          <w:spacing w:val="-3"/>
        </w:rPr>
        <w:t>，且该范围内各种结果发生的可能性相同的，则</w:t>
      </w:r>
      <w:r>
        <w:rPr>
          <w:w w:val="101"/>
        </w:rPr>
        <w:t> </w:t>
      </w:r>
      <w:r>
        <w:rPr>
          <w:spacing w:val="-3"/>
        </w:rPr>
        <w:t>最佳估计数按照该范围的中间值：即上下限金额的平均数确定。所需支出不存在一个连续范围</w:t>
      </w:r>
      <w:r>
        <w:rPr>
          <w:rFonts w:ascii="Times New Roman" w:hAnsi="Times New Roman" w:cs="Times New Roman" w:eastAsia="Times New Roman" w:hint="default"/>
          <w:spacing w:val="-3"/>
        </w:rPr>
        <w:t>(</w:t>
      </w:r>
      <w:r>
        <w:rPr>
          <w:spacing w:val="-3"/>
        </w:rPr>
        <w:t>或区间</w:t>
      </w:r>
      <w:r>
        <w:rPr>
          <w:rFonts w:ascii="Times New Roman" w:hAnsi="Times New Roman" w:cs="Times New Roman" w:eastAsia="Times New Roman" w:hint="default"/>
          <w:spacing w:val="-3"/>
        </w:rPr>
        <w:t>)</w:t>
      </w:r>
      <w:r>
        <w:rPr>
          <w:spacing w:val="-3"/>
        </w:rPr>
        <w:t>，或虽然存在一个连</w:t>
      </w:r>
      <w:r>
        <w:rPr>
          <w:spacing w:val="50"/>
        </w:rPr>
        <w:t> </w:t>
      </w:r>
      <w:r>
        <w:rPr>
          <w:spacing w:val="50"/>
        </w:rPr>
      </w:r>
      <w:r>
        <w:rPr>
          <w:spacing w:val="-3"/>
        </w:rPr>
        <w:t>续范围但该范围内各种结果发生的可能性不相同的，如或有事项涉及单个项目的，则最佳估计数按照最可能发生金额确定；</w:t>
      </w:r>
      <w:r>
        <w:rPr>
          <w:spacing w:val="75"/>
        </w:rPr>
        <w:t> </w:t>
      </w:r>
      <w:r>
        <w:rPr>
          <w:spacing w:val="75"/>
        </w:rPr>
      </w:r>
      <w:r>
        <w:rPr>
          <w:spacing w:val="-3"/>
        </w:rPr>
        <w:t>如或有事项涉及多个项目的，则最佳估计数按各种可能结果及相关概率计算确定。</w:t>
      </w:r>
    </w:p>
    <w:p>
      <w:pPr>
        <w:pStyle w:val="BodyText"/>
        <w:spacing w:line="480" w:lineRule="auto" w:before="64"/>
        <w:ind w:right="0" w:firstLine="360"/>
        <w:jc w:val="left"/>
      </w:pPr>
      <w:r>
        <w:rPr>
          <w:spacing w:val="-3"/>
        </w:rPr>
        <w:t>本公司清偿预计负债所需支出全部或部分预期由第三方补偿的，补偿金额在基本确定能够收到时，作为资产单独确认，</w:t>
      </w:r>
      <w:r>
        <w:rPr>
          <w:w w:val="101"/>
        </w:rPr>
        <w:t> </w:t>
      </w:r>
      <w:r>
        <w:rPr>
          <w:spacing w:val="-3"/>
        </w:rPr>
        <w:t>且确认的补偿金额不超过预计负债的账面价值。</w:t>
      </w:r>
    </w:p>
    <w:p>
      <w:pPr>
        <w:pStyle w:val="BodyText"/>
        <w:spacing w:line="480" w:lineRule="auto" w:before="50"/>
        <w:ind w:right="0" w:firstLine="360"/>
        <w:jc w:val="left"/>
      </w:pPr>
      <w:r>
        <w:rPr>
          <w:spacing w:val="-4"/>
        </w:rPr>
        <w:t>每个资产负债表日对预计负债的账面价值进行复核。有确凿证据表明该账面价值不能反映当前最佳估计数的，按照当前</w:t>
      </w:r>
      <w:r>
        <w:rPr>
          <w:w w:val="101"/>
        </w:rPr>
        <w:t> </w:t>
      </w:r>
      <w:r>
        <w:rPr>
          <w:spacing w:val="-3"/>
        </w:rPr>
        <w:t>最佳估计数对该账面价值进行调整。</w:t>
      </w:r>
    </w:p>
    <w:p>
      <w:pPr>
        <w:spacing w:line="240" w:lineRule="auto" w:before="10"/>
        <w:rPr>
          <w:rFonts w:ascii="宋体" w:hAnsi="宋体" w:cs="宋体" w:eastAsia="宋体" w:hint="default"/>
          <w:sz w:val="18"/>
          <w:szCs w:val="18"/>
        </w:rPr>
      </w:pPr>
    </w:p>
    <w:p>
      <w:pPr>
        <w:pStyle w:val="Heading3"/>
        <w:spacing w:line="240" w:lineRule="auto"/>
        <w:ind w:right="0"/>
        <w:jc w:val="left"/>
        <w:rPr>
          <w:b w:val="0"/>
          <w:bCs w:val="0"/>
        </w:rPr>
      </w:pPr>
      <w:bookmarkStart w:name="30、股份支付" w:id="209"/>
      <w:bookmarkEnd w:id="209"/>
      <w:r>
        <w:rPr>
          <w:b w:val="0"/>
          <w:bCs w:val="0"/>
        </w:rPr>
      </w:r>
      <w:r>
        <w:rPr>
          <w:rFonts w:ascii="Times New Roman" w:hAnsi="Times New Roman" w:cs="Times New Roman" w:eastAsia="Times New Roman" w:hint="default"/>
        </w:rPr>
        <w:t>30</w:t>
      </w:r>
      <w:r>
        <w:rPr/>
        <w:t>、股份支付</w:t>
      </w:r>
      <w:r>
        <w:rPr>
          <w:b w:val="0"/>
          <w:bCs w:val="0"/>
        </w:rPr>
      </w:r>
    </w:p>
    <w:p>
      <w:pPr>
        <w:spacing w:line="240" w:lineRule="auto" w:before="12"/>
        <w:rPr>
          <w:rFonts w:ascii="宋体" w:hAnsi="宋体" w:cs="宋体" w:eastAsia="宋体" w:hint="default"/>
          <w:b/>
          <w:bCs/>
          <w:sz w:val="32"/>
          <w:szCs w:val="32"/>
        </w:rPr>
      </w:pPr>
    </w:p>
    <w:p>
      <w:pPr>
        <w:pStyle w:val="BodyText"/>
        <w:spacing w:line="448" w:lineRule="auto"/>
        <w:ind w:left="513" w:right="0"/>
        <w:jc w:val="left"/>
      </w:pPr>
      <w:r>
        <w:rPr>
          <w:spacing w:val="-3"/>
        </w:rPr>
        <w:t>（</w:t>
      </w:r>
      <w:r>
        <w:rPr>
          <w:rFonts w:ascii="Times New Roman" w:hAnsi="Times New Roman" w:cs="Times New Roman" w:eastAsia="Times New Roman" w:hint="default"/>
          <w:spacing w:val="-3"/>
        </w:rPr>
        <w:t>1</w:t>
      </w:r>
      <w:r>
        <w:rPr>
          <w:spacing w:val="-3"/>
        </w:rPr>
        <w:t>）股份支付的会计处理方法</w:t>
      </w:r>
      <w:r>
        <w:rPr>
          <w:spacing w:val="-46"/>
        </w:rPr>
        <w:t> </w:t>
      </w:r>
      <w:r>
        <w:rPr>
          <w:spacing w:val="-46"/>
        </w:rPr>
      </w:r>
      <w:r>
        <w:rPr>
          <w:spacing w:val="-5"/>
          <w:w w:val="101"/>
        </w:rPr>
        <w:t>股份支付是为了获取职工或其他方提供服务而授予权益工具或者承担以权益工具为基础确定的负债的交易。股份支付分</w:t>
      </w:r>
      <w:r>
        <w:rPr>
          <w:spacing w:val="-5"/>
        </w:rPr>
      </w:r>
    </w:p>
    <w:p>
      <w:pPr>
        <w:pStyle w:val="BodyText"/>
        <w:spacing w:line="240" w:lineRule="auto" w:before="79"/>
        <w:ind w:right="0"/>
        <w:jc w:val="left"/>
      </w:pPr>
      <w:r>
        <w:rPr>
          <w:spacing w:val="-3"/>
        </w:rPr>
        <w:t>为以权益结算的股份支付和以现金结算的股份支付。</w:t>
      </w:r>
    </w:p>
    <w:p>
      <w:pPr>
        <w:spacing w:line="240" w:lineRule="auto" w:before="8"/>
        <w:rPr>
          <w:rFonts w:ascii="宋体" w:hAnsi="宋体" w:cs="宋体" w:eastAsia="宋体" w:hint="default"/>
          <w:sz w:val="17"/>
          <w:szCs w:val="17"/>
        </w:rPr>
      </w:pPr>
    </w:p>
    <w:p>
      <w:pPr>
        <w:pStyle w:val="BodyText"/>
        <w:spacing w:line="480" w:lineRule="auto"/>
        <w:ind w:left="513" w:right="0"/>
        <w:jc w:val="left"/>
      </w:pPr>
      <w:r>
        <w:rPr/>
        <w:t>① </w:t>
      </w:r>
      <w:r>
        <w:rPr>
          <w:spacing w:val="-3"/>
        </w:rPr>
        <w:t>以权益结算的股份支付</w:t>
      </w:r>
      <w:r>
        <w:rPr>
          <w:spacing w:val="-77"/>
        </w:rPr>
        <w:t> </w:t>
      </w:r>
      <w:r>
        <w:rPr>
          <w:spacing w:val="-77"/>
        </w:rPr>
      </w:r>
      <w:r>
        <w:rPr>
          <w:spacing w:val="-4"/>
        </w:rPr>
        <w:t>用以换取职工提供的服务的权益结算的股份支付，以授予职工权益工具在授予日的公允价值计量。该公允价值的金额在</w:t>
      </w:r>
    </w:p>
    <w:p>
      <w:pPr>
        <w:pStyle w:val="BodyText"/>
        <w:spacing w:line="480" w:lineRule="auto" w:before="50"/>
        <w:ind w:right="0"/>
        <w:jc w:val="left"/>
      </w:pPr>
      <w:r>
        <w:rPr>
          <w:spacing w:val="-4"/>
        </w:rPr>
        <w:t>完成等待期内的服务或达到规定业绩条件才可行权的情况下，在等待期内以对可行权权益工具数量的最佳估计为基础，按直</w:t>
      </w:r>
      <w:r>
        <w:rPr>
          <w:spacing w:val="44"/>
        </w:rPr>
        <w:t> </w:t>
      </w:r>
      <w:r>
        <w:rPr>
          <w:spacing w:val="44"/>
        </w:rPr>
      </w:r>
      <w:r>
        <w:rPr>
          <w:spacing w:val="-3"/>
        </w:rPr>
        <w:t>线法计算计入相关成本或费用</w:t>
      </w:r>
      <w:r>
        <w:rPr>
          <w:rFonts w:ascii="Times New Roman" w:hAnsi="Times New Roman" w:cs="Times New Roman" w:eastAsia="Times New Roman" w:hint="default"/>
          <w:spacing w:val="-3"/>
        </w:rPr>
        <w:t>/</w:t>
      </w:r>
      <w:r>
        <w:rPr>
          <w:spacing w:val="-3"/>
        </w:rPr>
        <w:t>在授予后立即可行权时，在授予日计入相关成本或费用，相应增加资本公积。</w:t>
      </w:r>
    </w:p>
    <w:p>
      <w:pPr>
        <w:pStyle w:val="BodyText"/>
        <w:spacing w:line="480" w:lineRule="auto" w:before="17"/>
        <w:ind w:right="0" w:firstLine="360"/>
        <w:jc w:val="left"/>
      </w:pPr>
      <w:r>
        <w:rPr>
          <w:spacing w:val="-4"/>
        </w:rPr>
        <w:t>在等待期内每个资产负债表日，本公司根据最新取得的可行权职工人数变动等后续信息做出最佳估计，修正预计可行权</w:t>
      </w:r>
      <w:r>
        <w:rPr>
          <w:w w:val="101"/>
        </w:rPr>
        <w:t> </w:t>
      </w:r>
      <w:r>
        <w:rPr>
          <w:spacing w:val="-3"/>
        </w:rPr>
        <w:t>的权益工具数量。上述估计的影响计入当期相关成本或费用，并相应调整资本公积。</w:t>
      </w:r>
    </w:p>
    <w:p>
      <w:pPr>
        <w:pStyle w:val="BodyText"/>
        <w:spacing w:line="240" w:lineRule="auto" w:before="50"/>
        <w:ind w:right="0" w:firstLine="360"/>
        <w:jc w:val="left"/>
      </w:pPr>
      <w:r>
        <w:rPr>
          <w:spacing w:val="-4"/>
        </w:rPr>
        <w:t>用以换取其他方服务的权益结算的股份支付，如果其他方服务的公允价值能够可靠计量，按照其他方服务在取得日的公</w:t>
      </w:r>
    </w:p>
    <w:p>
      <w:pPr>
        <w:spacing w:line="240" w:lineRule="auto" w:before="12"/>
        <w:rPr>
          <w:rFonts w:ascii="宋体" w:hAnsi="宋体" w:cs="宋体" w:eastAsia="宋体" w:hint="default"/>
          <w:sz w:val="17"/>
          <w:szCs w:val="17"/>
        </w:rPr>
      </w:pPr>
    </w:p>
    <w:p>
      <w:pPr>
        <w:pStyle w:val="BodyText"/>
        <w:spacing w:line="240" w:lineRule="auto"/>
        <w:ind w:right="0"/>
        <w:jc w:val="left"/>
      </w:pPr>
      <w:r>
        <w:rPr>
          <w:spacing w:val="-4"/>
        </w:rPr>
        <w:t>允价值计量，如果其他方服务的公允价值不能可靠计量，但权益工具的公允价值能够可靠计量的，按照权益工具在服务取得</w:t>
      </w:r>
    </w:p>
    <w:p>
      <w:pPr>
        <w:spacing w:after="0" w:line="240" w:lineRule="auto"/>
        <w:jc w:val="left"/>
        <w:sectPr>
          <w:footerReference w:type="default" r:id="rId30"/>
          <w:pgSz w:w="11910" w:h="16840"/>
          <w:pgMar w:footer="1690" w:header="871" w:top="1100" w:bottom="1880" w:left="980" w:right="0"/>
          <w:pgNumType w:start="130"/>
        </w:sectPr>
      </w:pPr>
    </w:p>
    <w:p>
      <w:pPr>
        <w:spacing w:line="240" w:lineRule="auto" w:before="1"/>
        <w:rPr>
          <w:rFonts w:ascii="宋体" w:hAnsi="宋体" w:cs="宋体" w:eastAsia="宋体" w:hint="default"/>
          <w:sz w:val="28"/>
          <w:szCs w:val="28"/>
        </w:rPr>
      </w:pPr>
    </w:p>
    <w:p>
      <w:pPr>
        <w:pStyle w:val="BodyText"/>
        <w:spacing w:line="475" w:lineRule="auto" w:before="46"/>
        <w:ind w:left="513" w:right="0"/>
        <w:jc w:val="left"/>
      </w:pPr>
      <w:r>
        <w:rPr/>
        <w:t>② </w:t>
      </w:r>
      <w:r>
        <w:rPr>
          <w:spacing w:val="-3"/>
        </w:rPr>
        <w:t>以现金结算的股份支付</w:t>
      </w:r>
      <w:r>
        <w:rPr>
          <w:spacing w:val="-77"/>
        </w:rPr>
        <w:t> </w:t>
      </w:r>
      <w:r>
        <w:rPr>
          <w:spacing w:val="-77"/>
        </w:rPr>
      </w:r>
      <w:r>
        <w:rPr>
          <w:spacing w:val="-4"/>
        </w:rPr>
        <w:t>以现金结算的股份支付，按照本公司承担的以股份或其他权益工具为基础确定的负债的公允价值计量。如授予后立即可</w:t>
      </w:r>
    </w:p>
    <w:p>
      <w:pPr>
        <w:pStyle w:val="BodyText"/>
        <w:spacing w:line="477" w:lineRule="auto" w:before="59"/>
        <w:ind w:right="1124"/>
        <w:jc w:val="both"/>
      </w:pPr>
      <w:r>
        <w:rPr>
          <w:spacing w:val="-4"/>
        </w:rPr>
        <w:t>行权，在授予日计入相关成本或费用，相应增加负债；如须完成等待期内的服务或达到规定业绩条件以后才可行权，在等待</w:t>
      </w:r>
      <w:r>
        <w:rPr>
          <w:spacing w:val="40"/>
        </w:rPr>
        <w:t> </w:t>
      </w:r>
      <w:r>
        <w:rPr>
          <w:spacing w:val="40"/>
        </w:rPr>
      </w:r>
      <w:r>
        <w:rPr>
          <w:spacing w:val="-4"/>
        </w:rPr>
        <w:t>期的每个资产负债表日，以对可行权情况的最佳估计为基础，按照本公司承担负债的公允价值金额，将当期取得的服务计入</w:t>
      </w:r>
      <w:r>
        <w:rPr>
          <w:spacing w:val="43"/>
        </w:rPr>
        <w:t> </w:t>
      </w:r>
      <w:r>
        <w:rPr>
          <w:spacing w:val="43"/>
        </w:rPr>
      </w:r>
      <w:r>
        <w:rPr>
          <w:spacing w:val="-3"/>
        </w:rPr>
        <w:t>成本或费用，相应增加负债。</w:t>
      </w:r>
    </w:p>
    <w:p>
      <w:pPr>
        <w:pStyle w:val="BodyText"/>
        <w:spacing w:line="240" w:lineRule="auto" w:before="52"/>
        <w:ind w:left="513" w:right="0"/>
        <w:jc w:val="left"/>
      </w:pPr>
      <w:r>
        <w:rPr>
          <w:spacing w:val="-3"/>
        </w:rPr>
        <w:t>在相关负债结算前的每个资产负债表日以及结算日，对负债的公允价值重新计量，其变动计入当期损益。</w:t>
      </w:r>
    </w:p>
    <w:p>
      <w:pPr>
        <w:spacing w:line="240" w:lineRule="auto" w:before="13"/>
        <w:rPr>
          <w:rFonts w:ascii="宋体" w:hAnsi="宋体" w:cs="宋体" w:eastAsia="宋体" w:hint="default"/>
          <w:sz w:val="17"/>
          <w:szCs w:val="17"/>
        </w:rPr>
      </w:pPr>
    </w:p>
    <w:p>
      <w:pPr>
        <w:pStyle w:val="BodyText"/>
        <w:spacing w:line="448" w:lineRule="auto"/>
        <w:ind w:left="513" w:right="0"/>
        <w:jc w:val="left"/>
      </w:pPr>
      <w:r>
        <w:rPr>
          <w:spacing w:val="-3"/>
        </w:rPr>
        <w:t>（</w:t>
      </w:r>
      <w:r>
        <w:rPr>
          <w:rFonts w:ascii="Times New Roman" w:hAnsi="Times New Roman" w:cs="Times New Roman" w:eastAsia="Times New Roman" w:hint="default"/>
          <w:spacing w:val="-3"/>
        </w:rPr>
        <w:t>2</w:t>
      </w:r>
      <w:r>
        <w:rPr>
          <w:spacing w:val="-3"/>
        </w:rPr>
        <w:t>）修改、终止股份支付计划的相关会计处理</w:t>
      </w:r>
      <w:r>
        <w:rPr>
          <w:spacing w:val="-23"/>
        </w:rPr>
        <w:t> </w:t>
      </w:r>
      <w:r>
        <w:rPr>
          <w:spacing w:val="-23"/>
        </w:rPr>
      </w:r>
      <w:r>
        <w:rPr>
          <w:spacing w:val="-4"/>
        </w:rPr>
        <w:t>本公司对股份支付计划进行修改时，若修改增加了所授予权益工具的公允价值，按照权益工具公允价值的增加相应确认</w:t>
      </w:r>
    </w:p>
    <w:p>
      <w:pPr>
        <w:pStyle w:val="BodyText"/>
        <w:spacing w:line="477" w:lineRule="auto" w:before="78"/>
        <w:ind w:right="1124"/>
        <w:jc w:val="both"/>
      </w:pPr>
      <w:r>
        <w:rPr>
          <w:spacing w:val="-4"/>
        </w:rPr>
        <w:t>取得服务的增加。权益工具公允价值的增加是指修改前后的权益工具在修改日的公允价值之间的差额。若修改减少了股份支</w:t>
      </w:r>
      <w:r>
        <w:rPr>
          <w:spacing w:val="42"/>
        </w:rPr>
        <w:t> </w:t>
      </w:r>
      <w:r>
        <w:rPr>
          <w:spacing w:val="42"/>
        </w:rPr>
      </w:r>
      <w:r>
        <w:rPr>
          <w:spacing w:val="-4"/>
        </w:rPr>
        <w:t>付公允价值总额或采用了其他不利于职工的方式，则仍继续对取得的服务进行会计处理，视同该变更从未发生，除非本公司</w:t>
      </w:r>
      <w:r>
        <w:rPr>
          <w:spacing w:val="43"/>
        </w:rPr>
        <w:t> </w:t>
      </w:r>
      <w:r>
        <w:rPr>
          <w:spacing w:val="43"/>
        </w:rPr>
      </w:r>
      <w:r>
        <w:rPr>
          <w:spacing w:val="-3"/>
        </w:rPr>
        <w:t>取消了部分或全部已授予的权益工具。</w:t>
      </w:r>
    </w:p>
    <w:p>
      <w:pPr>
        <w:pStyle w:val="BodyText"/>
        <w:spacing w:line="477" w:lineRule="auto" w:before="52"/>
        <w:ind w:right="1122" w:firstLine="360"/>
        <w:jc w:val="both"/>
      </w:pPr>
      <w:r>
        <w:rPr>
          <w:spacing w:val="-4"/>
        </w:rPr>
        <w:t>在等待期内，如果取消了授予的权益工具，本公司对取消所授予的权益性工具作为加速行权处理，将剩余等待期内应确</w:t>
      </w:r>
      <w:r>
        <w:rPr>
          <w:w w:val="101"/>
        </w:rPr>
        <w:t> </w:t>
      </w:r>
      <w:r>
        <w:rPr>
          <w:spacing w:val="-4"/>
        </w:rPr>
        <w:t>认的金额立即计入当期损益，同时确认资本公积。职工或其他方能够选择满足非可行权条件但在等待期内未满足的，本公司</w:t>
      </w:r>
      <w:r>
        <w:rPr>
          <w:spacing w:val="44"/>
        </w:rPr>
        <w:t> </w:t>
      </w:r>
      <w:r>
        <w:rPr>
          <w:spacing w:val="44"/>
        </w:rPr>
      </w:r>
      <w:r>
        <w:rPr>
          <w:spacing w:val="-3"/>
        </w:rPr>
        <w:t>将其作为授予权益工具的取消处理。</w:t>
      </w:r>
    </w:p>
    <w:p>
      <w:pPr>
        <w:pStyle w:val="BodyText"/>
        <w:spacing w:line="448" w:lineRule="auto" w:before="56"/>
        <w:ind w:left="513" w:right="0"/>
        <w:jc w:val="left"/>
      </w:pPr>
      <w:r>
        <w:rPr>
          <w:spacing w:val="-3"/>
        </w:rPr>
        <w:t>（</w:t>
      </w:r>
      <w:r>
        <w:rPr>
          <w:rFonts w:ascii="Times New Roman" w:hAnsi="Times New Roman" w:cs="Times New Roman" w:eastAsia="Times New Roman" w:hint="default"/>
          <w:spacing w:val="-3"/>
        </w:rPr>
        <w:t>3</w:t>
      </w:r>
      <w:r>
        <w:rPr>
          <w:spacing w:val="-3"/>
        </w:rPr>
        <w:t>）涉及本公司与本公司股东或实际控制人的股份支付交易的会计处理</w:t>
      </w:r>
      <w:r>
        <w:rPr>
          <w:spacing w:val="6"/>
        </w:rPr>
        <w:t> </w:t>
      </w:r>
      <w:r>
        <w:rPr>
          <w:spacing w:val="6"/>
        </w:rPr>
      </w:r>
      <w:r>
        <w:rPr>
          <w:spacing w:val="-4"/>
        </w:rPr>
        <w:t>涉及本公司与本公司股东或实际控制人的股份支付交易，结算企业与接受服务企业中其一在本公司内，另一在本公司外</w:t>
      </w:r>
    </w:p>
    <w:p>
      <w:pPr>
        <w:pStyle w:val="BodyText"/>
        <w:spacing w:line="240" w:lineRule="auto" w:before="78"/>
        <w:ind w:right="0"/>
        <w:jc w:val="both"/>
      </w:pPr>
      <w:r>
        <w:rPr>
          <w:spacing w:val="-3"/>
        </w:rPr>
        <w:t>的，在本公司合并财务报表中按照以下规定进行会计处理：</w:t>
      </w:r>
    </w:p>
    <w:p>
      <w:pPr>
        <w:spacing w:line="240" w:lineRule="auto" w:before="8"/>
        <w:rPr>
          <w:rFonts w:ascii="宋体" w:hAnsi="宋体" w:cs="宋体" w:eastAsia="宋体" w:hint="default"/>
          <w:sz w:val="17"/>
          <w:szCs w:val="17"/>
        </w:rPr>
      </w:pPr>
    </w:p>
    <w:p>
      <w:pPr>
        <w:pStyle w:val="BodyText"/>
        <w:spacing w:line="480" w:lineRule="auto"/>
        <w:ind w:right="1152" w:firstLine="360"/>
        <w:jc w:val="both"/>
      </w:pPr>
      <w:r>
        <w:rPr/>
        <w:t>①</w:t>
      </w:r>
      <w:r>
        <w:rPr>
          <w:spacing w:val="13"/>
        </w:rPr>
        <w:t> </w:t>
      </w:r>
      <w:r>
        <w:rPr>
          <w:spacing w:val="-3"/>
        </w:rPr>
        <w:t>结算企业以其本身权益工具结算的，将该股份支付交易作为权益结算的股份支付处理；除此之外，作为现金结算的</w:t>
      </w:r>
      <w:r>
        <w:rPr>
          <w:w w:val="101"/>
        </w:rPr>
        <w:t> </w:t>
      </w:r>
      <w:r>
        <w:rPr>
          <w:spacing w:val="-3"/>
        </w:rPr>
        <w:t>股份支付处理。</w:t>
      </w:r>
    </w:p>
    <w:p>
      <w:pPr>
        <w:pStyle w:val="BodyText"/>
        <w:spacing w:line="480" w:lineRule="auto" w:before="50"/>
        <w:ind w:right="1127" w:firstLine="360"/>
        <w:jc w:val="both"/>
      </w:pPr>
      <w:r>
        <w:rPr>
          <w:spacing w:val="-4"/>
          <w:w w:val="101"/>
        </w:rPr>
        <w:t>结算企业是接受服务企业的投资者的，按照授予日权益工具的公允价值或应承担负债的公允价值确认为对接受服务企业</w:t>
      </w:r>
      <w:r>
        <w:rPr>
          <w:w w:val="101"/>
        </w:rPr>
        <w:t> </w:t>
      </w:r>
      <w:r>
        <w:rPr>
          <w:spacing w:val="-3"/>
        </w:rPr>
        <w:t>的长期股权投资，同时确认资本公积（其他资本公积）或负债。</w:t>
      </w:r>
    </w:p>
    <w:p>
      <w:pPr>
        <w:pStyle w:val="BodyText"/>
        <w:spacing w:line="477" w:lineRule="auto" w:before="50"/>
        <w:ind w:right="1124" w:firstLine="360"/>
        <w:jc w:val="both"/>
      </w:pPr>
      <w:r>
        <w:rPr/>
        <w:t>②</w:t>
      </w:r>
      <w:r>
        <w:rPr>
          <w:spacing w:val="73"/>
        </w:rPr>
        <w:t> </w:t>
      </w:r>
      <w:r>
        <w:rPr>
          <w:spacing w:val="-3"/>
        </w:rPr>
        <w:t>接受服务企业没有结算义务或授予本企业职工的是其本身权益工具的，将该股份支付交易作为权益结算的股份支付</w:t>
      </w:r>
      <w:r>
        <w:rPr>
          <w:w w:val="101"/>
        </w:rPr>
        <w:t> </w:t>
      </w:r>
      <w:r>
        <w:rPr>
          <w:spacing w:val="-4"/>
        </w:rPr>
        <w:t>处理；接受服务企业具有结算义务且授予本企业职工的并非其本身权益工具的，将该股份支付交易作为现金结算的股份支付</w:t>
      </w:r>
      <w:r>
        <w:rPr>
          <w:spacing w:val="43"/>
        </w:rPr>
        <w:t> </w:t>
      </w:r>
      <w:r>
        <w:rPr>
          <w:spacing w:val="43"/>
        </w:rPr>
      </w:r>
      <w:r>
        <w:rPr/>
        <w:t>处理。</w:t>
      </w:r>
    </w:p>
    <w:p>
      <w:pPr>
        <w:pStyle w:val="BodyText"/>
        <w:spacing w:line="475" w:lineRule="auto" w:before="57"/>
        <w:ind w:right="1124" w:firstLine="360"/>
        <w:jc w:val="both"/>
      </w:pPr>
      <w:r>
        <w:rPr>
          <w:spacing w:val="-4"/>
        </w:rPr>
        <w:t>本公司内各企业之间发生的股份支付交易，接受服务企业和结算企业不是同一企业的，在接受服务企业和结算企业各自</w:t>
      </w:r>
      <w:r>
        <w:rPr>
          <w:w w:val="101"/>
        </w:rPr>
        <w:t> </w:t>
      </w:r>
      <w:r>
        <w:rPr>
          <w:spacing w:val="-3"/>
        </w:rPr>
        <w:t>的个别财务报表中对该股份支付交易的确认和计量，比照上述原则处理。</w:t>
      </w:r>
    </w:p>
    <w:p>
      <w:pPr>
        <w:spacing w:line="240" w:lineRule="auto" w:before="5"/>
        <w:rPr>
          <w:rFonts w:ascii="宋体" w:hAnsi="宋体" w:cs="宋体" w:eastAsia="宋体" w:hint="default"/>
          <w:sz w:val="19"/>
          <w:szCs w:val="19"/>
        </w:rPr>
      </w:pPr>
    </w:p>
    <w:p>
      <w:pPr>
        <w:pStyle w:val="Heading3"/>
        <w:spacing w:line="240" w:lineRule="auto"/>
        <w:ind w:right="0"/>
        <w:jc w:val="both"/>
        <w:rPr>
          <w:b w:val="0"/>
          <w:bCs w:val="0"/>
        </w:rPr>
      </w:pPr>
      <w:bookmarkStart w:name="31、收入" w:id="210"/>
      <w:bookmarkEnd w:id="210"/>
      <w:r>
        <w:rPr>
          <w:b w:val="0"/>
          <w:bCs w:val="0"/>
        </w:rPr>
      </w:r>
      <w:r>
        <w:rPr>
          <w:rFonts w:ascii="Times New Roman" w:hAnsi="Times New Roman" w:cs="Times New Roman" w:eastAsia="Times New Roman" w:hint="default"/>
        </w:rPr>
        <w:t>31</w:t>
      </w:r>
      <w:r>
        <w:rPr/>
        <w:t>、收入</w:t>
      </w:r>
      <w:r>
        <w:rPr>
          <w:b w:val="0"/>
          <w:bCs w:val="0"/>
        </w:rPr>
      </w:r>
    </w:p>
    <w:p>
      <w:pPr>
        <w:spacing w:line="240" w:lineRule="auto" w:before="10"/>
        <w:rPr>
          <w:rFonts w:ascii="宋体" w:hAnsi="宋体" w:cs="宋体" w:eastAsia="宋体" w:hint="default"/>
          <w:b/>
          <w:bCs/>
          <w:sz w:val="26"/>
          <w:szCs w:val="26"/>
        </w:rPr>
      </w:pPr>
    </w:p>
    <w:p>
      <w:pPr>
        <w:pStyle w:val="BodyText"/>
        <w:spacing w:line="240" w:lineRule="auto"/>
        <w:ind w:right="0"/>
        <w:jc w:val="both"/>
      </w:pPr>
      <w:r>
        <w:rPr/>
        <w:t>是否已执行新收入准则</w:t>
      </w:r>
    </w:p>
    <w:p>
      <w:pPr>
        <w:pStyle w:val="BodyText"/>
        <w:spacing w:line="240" w:lineRule="auto" w:before="119"/>
        <w:ind w:right="0"/>
        <w:jc w:val="both"/>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after="0" w:line="240" w:lineRule="auto"/>
        <w:jc w:val="both"/>
        <w:sectPr>
          <w:footerReference w:type="default" r:id="rId31"/>
          <w:pgSz w:w="11910" w:h="16840"/>
          <w:pgMar w:footer="1186" w:header="871" w:top="1100" w:bottom="1380" w:left="980" w:right="0"/>
          <w:pgNumType w:start="131"/>
        </w:sectPr>
      </w:pPr>
    </w:p>
    <w:p>
      <w:pPr>
        <w:spacing w:line="240" w:lineRule="auto" w:before="1"/>
        <w:rPr>
          <w:rFonts w:ascii="宋体" w:hAnsi="宋体" w:cs="宋体" w:eastAsia="宋体" w:hint="default"/>
          <w:sz w:val="28"/>
          <w:szCs w:val="28"/>
        </w:rPr>
      </w:pPr>
    </w:p>
    <w:p>
      <w:pPr>
        <w:pStyle w:val="BodyText"/>
        <w:spacing w:line="240" w:lineRule="auto" w:before="46"/>
        <w:ind w:left="513" w:right="0"/>
        <w:jc w:val="left"/>
      </w:pPr>
      <w:r>
        <w:rPr>
          <w:rFonts w:ascii="Times New Roman" w:hAnsi="Times New Roman" w:cs="Times New Roman" w:eastAsia="Times New Roman" w:hint="default"/>
        </w:rPr>
        <w:t>(1)</w:t>
      </w:r>
      <w:r>
        <w:rPr/>
        <w:t>收入的总确认原则</w:t>
      </w:r>
    </w:p>
    <w:p>
      <w:pPr>
        <w:spacing w:line="240" w:lineRule="auto" w:before="7"/>
        <w:rPr>
          <w:rFonts w:ascii="宋体" w:hAnsi="宋体" w:cs="宋体" w:eastAsia="宋体" w:hint="default"/>
          <w:sz w:val="16"/>
          <w:szCs w:val="16"/>
        </w:rPr>
      </w:pPr>
    </w:p>
    <w:p>
      <w:pPr>
        <w:pStyle w:val="BodyText"/>
        <w:spacing w:line="240" w:lineRule="auto"/>
        <w:ind w:left="513" w:right="0"/>
        <w:jc w:val="left"/>
      </w:pPr>
      <w:r>
        <w:rPr/>
        <w:t>①销售商品</w:t>
      </w:r>
    </w:p>
    <w:p>
      <w:pPr>
        <w:spacing w:line="240" w:lineRule="auto" w:before="13"/>
        <w:rPr>
          <w:rFonts w:ascii="宋体" w:hAnsi="宋体" w:cs="宋体" w:eastAsia="宋体" w:hint="default"/>
          <w:sz w:val="17"/>
          <w:szCs w:val="17"/>
        </w:rPr>
      </w:pPr>
    </w:p>
    <w:p>
      <w:pPr>
        <w:pStyle w:val="BodyText"/>
        <w:spacing w:line="451" w:lineRule="auto"/>
        <w:ind w:right="1122" w:firstLine="360"/>
        <w:jc w:val="both"/>
      </w:pPr>
      <w:r>
        <w:rPr>
          <w:spacing w:val="-4"/>
        </w:rPr>
        <w:t>商品销售收入同时满足下列条件时予以确认：</w:t>
      </w:r>
      <w:r>
        <w:rPr>
          <w:rFonts w:ascii="Times New Roman" w:hAnsi="Times New Roman" w:cs="Times New Roman" w:eastAsia="Times New Roman" w:hint="default"/>
          <w:spacing w:val="-4"/>
        </w:rPr>
        <w:t>A </w:t>
      </w:r>
      <w:r>
        <w:rPr>
          <w:spacing w:val="-4"/>
        </w:rPr>
        <w:t>公司已将商品所有权上的主要风险和报酬转移给购买方；</w:t>
      </w:r>
      <w:r>
        <w:rPr>
          <w:rFonts w:ascii="Times New Roman" w:hAnsi="Times New Roman" w:cs="Times New Roman" w:eastAsia="Times New Roman" w:hint="default"/>
          <w:spacing w:val="-4"/>
        </w:rPr>
        <w:t>B</w:t>
      </w:r>
      <w:r>
        <w:rPr>
          <w:rFonts w:ascii="Times New Roman" w:hAnsi="Times New Roman" w:cs="Times New Roman" w:eastAsia="Times New Roman" w:hint="default"/>
          <w:spacing w:val="20"/>
        </w:rPr>
        <w:t> </w:t>
      </w:r>
      <w:r>
        <w:rPr/>
        <w:t>公司既没有</w:t>
      </w:r>
      <w:r>
        <w:rPr>
          <w:w w:val="101"/>
        </w:rPr>
        <w:t> </w:t>
      </w:r>
      <w:r>
        <w:rPr>
          <w:spacing w:val="-4"/>
        </w:rPr>
        <w:t>保留与所有权相联系的继续管理权，也没有对已售出的商品实施有效控制；</w:t>
      </w:r>
      <w:r>
        <w:rPr>
          <w:rFonts w:ascii="Times New Roman" w:hAnsi="Times New Roman" w:cs="Times New Roman" w:eastAsia="Times New Roman" w:hint="default"/>
          <w:spacing w:val="-4"/>
        </w:rPr>
        <w:t>C </w:t>
      </w:r>
      <w:r>
        <w:rPr>
          <w:spacing w:val="-4"/>
        </w:rPr>
        <w:t>收入的金额能够可靠地计量；</w:t>
      </w:r>
      <w:r>
        <w:rPr>
          <w:rFonts w:ascii="Times New Roman" w:hAnsi="Times New Roman" w:cs="Times New Roman" w:eastAsia="Times New Roman" w:hint="default"/>
          <w:spacing w:val="-4"/>
        </w:rPr>
        <w:t>D </w:t>
      </w:r>
      <w:r>
        <w:rPr>
          <w:spacing w:val="-3"/>
        </w:rPr>
        <w:t>相关的经济利</w:t>
      </w:r>
      <w:r>
        <w:rPr>
          <w:spacing w:val="-21"/>
        </w:rPr>
        <w:t> </w:t>
      </w:r>
      <w:r>
        <w:rPr>
          <w:spacing w:val="-21"/>
        </w:rPr>
      </w:r>
      <w:r>
        <w:rPr/>
        <w:t>益很可能流入企业；</w:t>
      </w:r>
      <w:r>
        <w:rPr>
          <w:rFonts w:ascii="Times New Roman" w:hAnsi="Times New Roman" w:cs="Times New Roman" w:eastAsia="Times New Roman" w:hint="default"/>
        </w:rPr>
        <w:t>E </w:t>
      </w:r>
      <w:r>
        <w:rPr>
          <w:rFonts w:ascii="Times New Roman" w:hAnsi="Times New Roman" w:cs="Times New Roman" w:eastAsia="Times New Roman" w:hint="default"/>
          <w:spacing w:val="8"/>
        </w:rPr>
        <w:t> </w:t>
      </w:r>
      <w:r>
        <w:rPr>
          <w:spacing w:val="-3"/>
        </w:rPr>
        <w:t>相关的已发生或将发生的成本能够可靠地计量时。</w:t>
      </w:r>
    </w:p>
    <w:p>
      <w:pPr>
        <w:pStyle w:val="BodyText"/>
        <w:spacing w:line="480" w:lineRule="auto" w:before="41"/>
        <w:ind w:left="513" w:right="1029"/>
        <w:jc w:val="left"/>
      </w:pPr>
      <w:r>
        <w:rPr/>
        <w:t>②提供劳务</w:t>
      </w:r>
      <w:r>
        <w:rPr>
          <w:w w:val="101"/>
        </w:rPr>
        <w:t> </w:t>
      </w:r>
      <w:r>
        <w:rPr>
          <w:spacing w:val="-4"/>
        </w:rPr>
        <w:t>在资产负债表日提供劳务交易的结果能够可靠估计的</w:t>
      </w:r>
      <w:r>
        <w:rPr>
          <w:rFonts w:ascii="Times New Roman" w:hAnsi="Times New Roman" w:cs="Times New Roman" w:eastAsia="Times New Roman" w:hint="default"/>
          <w:spacing w:val="-4"/>
        </w:rPr>
        <w:t>(</w:t>
      </w:r>
      <w:r>
        <w:rPr>
          <w:spacing w:val="-4"/>
        </w:rPr>
        <w:t>同时满足收入的金额能够可靠地计量、相关经济利益很可能流入、</w:t>
      </w:r>
    </w:p>
    <w:p>
      <w:pPr>
        <w:pStyle w:val="BodyText"/>
        <w:spacing w:line="453" w:lineRule="auto" w:before="17"/>
        <w:ind w:right="0"/>
        <w:jc w:val="left"/>
      </w:pPr>
      <w:r>
        <w:rPr>
          <w:spacing w:val="-3"/>
        </w:rPr>
        <w:t>交易的完工进度能够可靠地确定、交易中已发生和将发生的成本能够可靠地计量</w:t>
      </w:r>
      <w:r>
        <w:rPr>
          <w:rFonts w:ascii="Times New Roman" w:hAnsi="Times New Roman" w:cs="Times New Roman" w:eastAsia="Times New Roman" w:hint="default"/>
          <w:spacing w:val="-3"/>
        </w:rPr>
        <w:t>)</w:t>
      </w:r>
      <w:r>
        <w:rPr>
          <w:spacing w:val="-3"/>
        </w:rPr>
        <w:t>，采用完工百分比法确认提供劳务收入，</w:t>
      </w:r>
      <w:r>
        <w:rPr>
          <w:spacing w:val="66"/>
        </w:rPr>
        <w:t> </w:t>
      </w:r>
      <w:r>
        <w:rPr>
          <w:spacing w:val="66"/>
        </w:rPr>
      </w:r>
      <w:r>
        <w:rPr>
          <w:spacing w:val="-3"/>
        </w:rPr>
        <w:t>并按已经提供的劳务占应提供劳务总量的比例确定提供劳务交易的完工进度。</w:t>
      </w:r>
    </w:p>
    <w:p>
      <w:pPr>
        <w:pStyle w:val="BodyText"/>
        <w:spacing w:line="477" w:lineRule="auto" w:before="70"/>
        <w:ind w:right="0" w:firstLine="360"/>
        <w:jc w:val="left"/>
      </w:pPr>
      <w:r>
        <w:rPr>
          <w:spacing w:val="-6"/>
          <w:w w:val="101"/>
        </w:rPr>
        <w:t>在资产负债表日提供劳务交易结果不能够可靠估计的，分别下列情况处理：若已经发生的劳务成本预计能够得到补偿的，</w:t>
      </w:r>
      <w:r>
        <w:rPr>
          <w:w w:val="101"/>
        </w:rPr>
        <w:t> </w:t>
      </w:r>
      <w:r>
        <w:rPr>
          <w:spacing w:val="-4"/>
        </w:rPr>
        <w:t>按照已经发生的劳务成本金额确认提供劳务收入，并按相同金额结转劳务成本；若已经发生的劳务成本预计不能够得到补偿</w:t>
      </w:r>
      <w:r>
        <w:rPr>
          <w:spacing w:val="42"/>
        </w:rPr>
        <w:t> </w:t>
      </w:r>
      <w:r>
        <w:rPr>
          <w:spacing w:val="42"/>
        </w:rPr>
      </w:r>
      <w:r>
        <w:rPr>
          <w:spacing w:val="-3"/>
        </w:rPr>
        <w:t>的，将已经发生的劳务成本计入当期损益，不确认提供劳务收入。</w:t>
      </w:r>
    </w:p>
    <w:p>
      <w:pPr>
        <w:pStyle w:val="BodyText"/>
        <w:spacing w:line="475" w:lineRule="auto" w:before="56"/>
        <w:ind w:left="513" w:right="0"/>
        <w:jc w:val="left"/>
      </w:pPr>
      <w:r>
        <w:rPr/>
        <w:t>③让渡资产使用权</w:t>
      </w:r>
      <w:r>
        <w:rPr>
          <w:spacing w:val="-86"/>
        </w:rPr>
        <w:t> </w:t>
      </w:r>
      <w:r>
        <w:rPr>
          <w:spacing w:val="-86"/>
        </w:rPr>
      </w:r>
      <w:r>
        <w:rPr>
          <w:spacing w:val="-3"/>
        </w:rPr>
        <w:t>让渡资产使用权在同时满足相关的经济利益很可能流入、收入的金额能够可靠地计量时，确认让渡资产使用权的收入。</w:t>
      </w:r>
    </w:p>
    <w:p>
      <w:pPr>
        <w:pStyle w:val="BodyText"/>
        <w:spacing w:line="475" w:lineRule="auto" w:before="58"/>
        <w:ind w:right="0"/>
        <w:jc w:val="left"/>
      </w:pPr>
      <w:r>
        <w:rPr>
          <w:spacing w:val="-4"/>
        </w:rPr>
        <w:t>利息收入金额，按照他人使用本企业货币资金的时间和实际利率计算确定；使用费收入金额，按照有关合同或协议约定的收</w:t>
      </w:r>
      <w:r>
        <w:rPr>
          <w:spacing w:val="43"/>
        </w:rPr>
        <w:t> </w:t>
      </w:r>
      <w:r>
        <w:rPr>
          <w:spacing w:val="43"/>
        </w:rPr>
      </w:r>
      <w:r>
        <w:rPr>
          <w:spacing w:val="-3"/>
        </w:rPr>
        <w:t>费时间和方法计算确定。</w:t>
      </w:r>
    </w:p>
    <w:p>
      <w:pPr>
        <w:pStyle w:val="BodyText"/>
        <w:spacing w:line="240" w:lineRule="auto" w:before="58"/>
        <w:ind w:left="513" w:right="0"/>
        <w:jc w:val="left"/>
      </w:pPr>
      <w:r>
        <w:rPr>
          <w:rFonts w:ascii="Times New Roman" w:hAnsi="Times New Roman" w:cs="Times New Roman" w:eastAsia="Times New Roman" w:hint="default"/>
        </w:rPr>
        <w:t>(2)</w:t>
      </w:r>
      <w:r>
        <w:rPr/>
        <w:t>本公司收入的具体确认原则</w:t>
      </w:r>
    </w:p>
    <w:p>
      <w:pPr>
        <w:spacing w:line="240" w:lineRule="auto" w:before="7"/>
        <w:rPr>
          <w:rFonts w:ascii="宋体" w:hAnsi="宋体" w:cs="宋体" w:eastAsia="宋体" w:hint="default"/>
          <w:sz w:val="16"/>
          <w:szCs w:val="16"/>
        </w:rPr>
      </w:pPr>
    </w:p>
    <w:p>
      <w:pPr>
        <w:pStyle w:val="BodyText"/>
        <w:spacing w:line="480" w:lineRule="auto"/>
        <w:ind w:right="1029" w:firstLine="360"/>
        <w:jc w:val="left"/>
      </w:pPr>
      <w:r>
        <w:rPr>
          <w:spacing w:val="-5"/>
        </w:rPr>
        <w:t>①本公司商品销售收入主要有金融专用设备、软件产品、系统集成收入、电子商务商品销售收入，其收入的具体确认原</w:t>
      </w:r>
      <w:r>
        <w:rPr>
          <w:w w:val="101"/>
        </w:rPr>
        <w:t> </w:t>
      </w:r>
      <w:r>
        <w:rPr/>
        <w:t>则：</w:t>
      </w:r>
    </w:p>
    <w:p>
      <w:pPr>
        <w:pStyle w:val="BodyText"/>
        <w:spacing w:line="453" w:lineRule="auto" w:before="50"/>
        <w:ind w:left="513" w:right="0"/>
        <w:jc w:val="left"/>
      </w:pPr>
      <w:r>
        <w:rPr>
          <w:rFonts w:ascii="Times New Roman" w:hAnsi="Times New Roman" w:cs="Times New Roman" w:eastAsia="Times New Roman" w:hint="default"/>
        </w:rPr>
        <w:t>A </w:t>
      </w:r>
      <w:r>
        <w:rPr>
          <w:spacing w:val="-3"/>
        </w:rPr>
        <w:t>金融专用设备：是指各类以辅助银行等金融机构办公应用为主、提升日常工作效率或控制风险的专用设备。</w:t>
      </w:r>
      <w:r>
        <w:rPr>
          <w:spacing w:val="-54"/>
        </w:rPr>
        <w:t> </w:t>
      </w:r>
      <w:r>
        <w:rPr>
          <w:spacing w:val="-54"/>
        </w:rPr>
      </w:r>
      <w:r>
        <w:rPr>
          <w:spacing w:val="-3"/>
        </w:rPr>
        <w:t>对于金融专用设备在按照双方约定于设备发货且客户签收（含电子签收）后确认收入。</w:t>
      </w:r>
    </w:p>
    <w:p>
      <w:pPr>
        <w:pStyle w:val="BodyText"/>
        <w:spacing w:line="453" w:lineRule="auto" w:before="70"/>
        <w:ind w:right="0" w:firstLine="360"/>
        <w:jc w:val="left"/>
      </w:pPr>
      <w:r>
        <w:rPr>
          <w:rFonts w:ascii="Times New Roman" w:hAnsi="Times New Roman" w:cs="Times New Roman" w:eastAsia="Times New Roman" w:hint="default"/>
        </w:rPr>
        <w:t>B</w:t>
      </w:r>
      <w:r>
        <w:rPr>
          <w:rFonts w:ascii="Times New Roman" w:hAnsi="Times New Roman" w:cs="Times New Roman" w:eastAsia="Times New Roman" w:hint="default"/>
          <w:spacing w:val="41"/>
        </w:rPr>
        <w:t> </w:t>
      </w:r>
      <w:r>
        <w:rPr>
          <w:spacing w:val="-4"/>
        </w:rPr>
        <w:t>软件产品：是指本公司自主开发的，取得了软件产品登记认证，购买方个性化差异很小，基本具有行业通用性，因而</w:t>
      </w:r>
      <w:r>
        <w:rPr>
          <w:w w:val="101"/>
        </w:rPr>
        <w:t> </w:t>
      </w:r>
      <w:r>
        <w:rPr>
          <w:spacing w:val="-3"/>
        </w:rPr>
        <w:t>可以批量复制销售的应用软件。</w:t>
      </w:r>
    </w:p>
    <w:p>
      <w:pPr>
        <w:pStyle w:val="BodyText"/>
        <w:spacing w:line="480" w:lineRule="auto" w:before="70"/>
        <w:ind w:right="1029" w:firstLine="360"/>
        <w:jc w:val="left"/>
      </w:pPr>
      <w:r>
        <w:rPr>
          <w:spacing w:val="-4"/>
        </w:rPr>
        <w:t>对于软件产品本公司在按照合同约定内容向购买方移交，并完成安装、调试工作，取得了购买方安装确认单据后确认收</w:t>
      </w:r>
      <w:r>
        <w:rPr>
          <w:w w:val="101"/>
        </w:rPr>
        <w:t> </w:t>
      </w:r>
      <w:r>
        <w:rPr/>
        <w:t>入。</w:t>
      </w:r>
    </w:p>
    <w:p>
      <w:pPr>
        <w:pStyle w:val="BodyText"/>
        <w:spacing w:line="453" w:lineRule="auto" w:before="50"/>
        <w:ind w:right="0" w:firstLine="360"/>
        <w:jc w:val="left"/>
      </w:pPr>
      <w:r>
        <w:rPr>
          <w:rFonts w:ascii="Times New Roman" w:hAnsi="Times New Roman" w:cs="Times New Roman" w:eastAsia="Times New Roman" w:hint="default"/>
        </w:rPr>
        <w:t>C</w:t>
      </w:r>
      <w:r>
        <w:rPr>
          <w:rFonts w:ascii="Times New Roman" w:hAnsi="Times New Roman" w:cs="Times New Roman" w:eastAsia="Times New Roman" w:hint="default"/>
          <w:spacing w:val="30"/>
        </w:rPr>
        <w:t> </w:t>
      </w:r>
      <w:r>
        <w:rPr>
          <w:spacing w:val="-2"/>
        </w:rPr>
        <w:t>系统集成：是指与本公司为客户提供的软件产品和软件开发相关的，应客户要求代客户购买硬件设备或第三方软件，</w:t>
      </w:r>
      <w:r>
        <w:rPr>
          <w:w w:val="101"/>
        </w:rPr>
        <w:t> </w:t>
      </w:r>
      <w:r>
        <w:rPr>
          <w:spacing w:val="-3"/>
        </w:rPr>
        <w:t>并提供相应的集成服务。</w:t>
      </w:r>
    </w:p>
    <w:p>
      <w:pPr>
        <w:pStyle w:val="BodyText"/>
        <w:spacing w:line="480" w:lineRule="auto" w:before="70"/>
        <w:ind w:right="1029" w:firstLine="360"/>
        <w:jc w:val="left"/>
      </w:pPr>
      <w:r>
        <w:rPr>
          <w:spacing w:val="-5"/>
          <w:w w:val="101"/>
        </w:rPr>
        <w:t>系统集成在按照合同约定内容向购买方移交了所提供的硬件设备或第三方软件的所有权，并取得了购买方的验收单据后</w:t>
      </w:r>
      <w:r>
        <w:rPr>
          <w:w w:val="101"/>
        </w:rPr>
        <w:t> </w:t>
      </w:r>
      <w:r>
        <w:rPr/>
        <w:t>确认收入。</w:t>
      </w:r>
    </w:p>
    <w:p>
      <w:pPr>
        <w:pStyle w:val="BodyText"/>
        <w:spacing w:line="240" w:lineRule="auto" w:before="50"/>
        <w:ind w:left="513" w:right="0"/>
        <w:jc w:val="left"/>
      </w:pPr>
      <w:r>
        <w:rPr>
          <w:rFonts w:ascii="Times New Roman" w:hAnsi="Times New Roman" w:cs="Times New Roman" w:eastAsia="Times New Roman" w:hint="default"/>
        </w:rPr>
        <w:t>D  </w:t>
      </w:r>
      <w:r>
        <w:rPr>
          <w:rFonts w:ascii="Times New Roman" w:hAnsi="Times New Roman" w:cs="Times New Roman" w:eastAsia="Times New Roman" w:hint="default"/>
          <w:spacing w:val="34"/>
        </w:rPr>
        <w:t> </w:t>
      </w:r>
      <w:r>
        <w:rPr>
          <w:spacing w:val="-4"/>
        </w:rPr>
        <w:t>电子商务商品销售收入：客户通过在公司自有网站或第三方销售平台（如亿贝、亚马逊等）下订单并按公司指定的付</w:t>
      </w:r>
    </w:p>
    <w:p>
      <w:pPr>
        <w:spacing w:after="0" w:line="240" w:lineRule="auto"/>
        <w:jc w:val="left"/>
        <w:sectPr>
          <w:pgSz w:w="11910" w:h="16840"/>
          <w:pgMar w:header="871" w:footer="1186" w:top="1100" w:bottom="1380" w:left="980" w:right="0"/>
        </w:sectPr>
      </w:pPr>
    </w:p>
    <w:p>
      <w:pPr>
        <w:spacing w:line="240" w:lineRule="auto" w:before="1"/>
        <w:rPr>
          <w:rFonts w:ascii="宋体" w:hAnsi="宋体" w:cs="宋体" w:eastAsia="宋体" w:hint="default"/>
          <w:sz w:val="28"/>
          <w:szCs w:val="28"/>
        </w:rPr>
      </w:pPr>
    </w:p>
    <w:p>
      <w:pPr>
        <w:pStyle w:val="BodyText"/>
        <w:spacing w:line="240" w:lineRule="auto" w:before="46"/>
        <w:ind w:right="0"/>
        <w:jc w:val="left"/>
      </w:pPr>
      <w:r>
        <w:rPr>
          <w:spacing w:val="-3"/>
        </w:rPr>
        <w:t>款方式支付货款后，公司在将商品发出并交付予物流公司时确认收入。</w:t>
      </w:r>
    </w:p>
    <w:p>
      <w:pPr>
        <w:spacing w:line="240" w:lineRule="auto" w:before="8"/>
        <w:rPr>
          <w:rFonts w:ascii="宋体" w:hAnsi="宋体" w:cs="宋体" w:eastAsia="宋体" w:hint="default"/>
          <w:sz w:val="17"/>
          <w:szCs w:val="17"/>
        </w:rPr>
      </w:pPr>
    </w:p>
    <w:p>
      <w:pPr>
        <w:pStyle w:val="BodyText"/>
        <w:spacing w:line="240" w:lineRule="auto"/>
        <w:ind w:left="513" w:right="0"/>
        <w:jc w:val="left"/>
      </w:pPr>
      <w:r>
        <w:rPr>
          <w:spacing w:val="-3"/>
        </w:rPr>
        <w:t>②本公司提供劳务收入主要有软件开发和服务类收入，其收入的具体确认原则：</w:t>
      </w:r>
    </w:p>
    <w:p>
      <w:pPr>
        <w:spacing w:line="240" w:lineRule="auto" w:before="13"/>
        <w:rPr>
          <w:rFonts w:ascii="宋体" w:hAnsi="宋体" w:cs="宋体" w:eastAsia="宋体" w:hint="default"/>
          <w:sz w:val="17"/>
          <w:szCs w:val="17"/>
        </w:rPr>
      </w:pPr>
    </w:p>
    <w:p>
      <w:pPr>
        <w:pStyle w:val="BodyText"/>
        <w:spacing w:line="448" w:lineRule="auto"/>
        <w:ind w:right="1129" w:firstLine="360"/>
        <w:jc w:val="both"/>
      </w:pPr>
      <w:r>
        <w:rPr>
          <w:rFonts w:ascii="Times New Roman" w:hAnsi="Times New Roman" w:cs="Times New Roman" w:eastAsia="Times New Roman" w:hint="default"/>
        </w:rPr>
        <w:t>A</w:t>
      </w:r>
      <w:r>
        <w:rPr>
          <w:rFonts w:ascii="Times New Roman" w:hAnsi="Times New Roman" w:cs="Times New Roman" w:eastAsia="Times New Roman" w:hint="default"/>
          <w:spacing w:val="30"/>
        </w:rPr>
        <w:t> </w:t>
      </w:r>
      <w:r>
        <w:rPr>
          <w:spacing w:val="-4"/>
        </w:rPr>
        <w:t>软件开发：是指本公司在自主研发的各种底层开发平台或技术的基础上，按照客户的个性化需求进行定制性开发而形</w:t>
      </w:r>
      <w:r>
        <w:rPr>
          <w:w w:val="101"/>
        </w:rPr>
        <w:t> </w:t>
      </w:r>
      <w:r>
        <w:rPr>
          <w:spacing w:val="-3"/>
        </w:rPr>
        <w:t>成的应用软件。</w:t>
      </w:r>
    </w:p>
    <w:p>
      <w:pPr>
        <w:pStyle w:val="BodyText"/>
        <w:spacing w:line="475" w:lineRule="auto" w:before="78"/>
        <w:ind w:right="1124" w:firstLine="360"/>
        <w:jc w:val="both"/>
      </w:pPr>
      <w:r>
        <w:rPr>
          <w:spacing w:val="-4"/>
        </w:rPr>
        <w:t>对于软件开发本公司在按照合同约定内容实施了开发工作，并为购买方完成了安装、调试工作，且至少具备以下条件之</w:t>
      </w:r>
      <w:r>
        <w:rPr>
          <w:w w:val="101"/>
        </w:rPr>
        <w:t> </w:t>
      </w:r>
      <w:r>
        <w:rPr>
          <w:spacing w:val="-3"/>
        </w:rPr>
        <w:t>一时确认收入：已取得购买方的验收文件；取得购买方对软件已正式投入使用的确认文件；已符合合同约定的验收条件。</w:t>
      </w:r>
    </w:p>
    <w:p>
      <w:pPr>
        <w:pStyle w:val="BodyText"/>
        <w:spacing w:line="448" w:lineRule="auto" w:before="59"/>
        <w:ind w:left="513" w:right="0"/>
        <w:jc w:val="left"/>
      </w:pPr>
      <w:r>
        <w:rPr>
          <w:rFonts w:ascii="Times New Roman" w:hAnsi="Times New Roman" w:cs="Times New Roman" w:eastAsia="Times New Roman" w:hint="default"/>
        </w:rPr>
        <w:t>B </w:t>
      </w:r>
      <w:r>
        <w:rPr>
          <w:spacing w:val="-3"/>
        </w:rPr>
        <w:t>技术服务：是指本公司对已销售的软件产品、软件开发、系统集成等，为客户提供的后续技术支持或维护服务。</w:t>
      </w:r>
      <w:r>
        <w:rPr>
          <w:spacing w:val="42"/>
        </w:rPr>
        <w:t> </w:t>
      </w:r>
      <w:r>
        <w:rPr>
          <w:spacing w:val="42"/>
        </w:rPr>
      </w:r>
      <w:r>
        <w:rPr>
          <w:spacing w:val="-4"/>
        </w:rPr>
        <w:t>对于按期提供劳务并计价收费的技术服务，本公司在按照合同约定内容提供了劳务后，分期确认收入；对于按次提供劳</w:t>
      </w:r>
    </w:p>
    <w:p>
      <w:pPr>
        <w:pStyle w:val="BodyText"/>
        <w:spacing w:line="240" w:lineRule="auto" w:before="78"/>
        <w:ind w:right="0"/>
        <w:jc w:val="left"/>
      </w:pPr>
      <w:r>
        <w:rPr>
          <w:spacing w:val="-3"/>
        </w:rPr>
        <w:t>务并计价收费的技术服务，本公司在劳务已经提供，并取得购买方的服务确认单据后确认收入。</w:t>
      </w:r>
    </w:p>
    <w:p>
      <w:pPr>
        <w:spacing w:line="240" w:lineRule="auto" w:before="8"/>
        <w:rPr>
          <w:rFonts w:ascii="宋体" w:hAnsi="宋体" w:cs="宋体" w:eastAsia="宋体" w:hint="default"/>
          <w:sz w:val="17"/>
          <w:szCs w:val="17"/>
        </w:rPr>
      </w:pPr>
    </w:p>
    <w:p>
      <w:pPr>
        <w:pStyle w:val="BodyText"/>
        <w:spacing w:line="453" w:lineRule="auto"/>
        <w:ind w:right="1128" w:firstLine="360"/>
        <w:jc w:val="both"/>
      </w:pPr>
      <w:r>
        <w:rPr>
          <w:rFonts w:ascii="Times New Roman" w:hAnsi="Times New Roman" w:cs="Times New Roman" w:eastAsia="Times New Roman" w:hint="default"/>
        </w:rPr>
        <w:t>C</w:t>
      </w:r>
      <w:r>
        <w:rPr>
          <w:rFonts w:ascii="Times New Roman" w:hAnsi="Times New Roman" w:cs="Times New Roman" w:eastAsia="Times New Roman" w:hint="default"/>
          <w:spacing w:val="36"/>
        </w:rPr>
        <w:t> </w:t>
      </w:r>
      <w:r>
        <w:rPr>
          <w:spacing w:val="-4"/>
        </w:rPr>
        <w:t>短彩信服务业务：公司向客户提供短彩信移动信息化解决方案和运营服务，以业务统计表记录实际提供的服务量，并</w:t>
      </w:r>
      <w:r>
        <w:rPr>
          <w:w w:val="101"/>
        </w:rPr>
        <w:t> </w:t>
      </w:r>
      <w:r>
        <w:rPr>
          <w:spacing w:val="-3"/>
        </w:rPr>
        <w:t>据以计算应向客户收取的服务费，于资产负债表日向客户发出结算通知，待客户核对后确认收入。</w:t>
      </w:r>
    </w:p>
    <w:p>
      <w:pPr>
        <w:pStyle w:val="BodyText"/>
        <w:spacing w:line="453" w:lineRule="auto" w:before="70"/>
        <w:ind w:right="1128" w:firstLine="360"/>
        <w:jc w:val="both"/>
      </w:pPr>
      <w:r>
        <w:rPr>
          <w:rFonts w:ascii="Times New Roman" w:hAnsi="Times New Roman" w:cs="Times New Roman" w:eastAsia="Times New Roman" w:hint="default"/>
        </w:rPr>
        <w:t>D</w:t>
      </w:r>
      <w:r>
        <w:rPr>
          <w:rFonts w:ascii="Times New Roman" w:hAnsi="Times New Roman" w:cs="Times New Roman" w:eastAsia="Times New Roman" w:hint="default"/>
          <w:spacing w:val="34"/>
        </w:rPr>
        <w:t> </w:t>
      </w:r>
      <w:r>
        <w:rPr>
          <w:spacing w:val="-4"/>
        </w:rPr>
        <w:t>业务平台开发业务：按照与客户签署的相关合同确定提供劳务预计总收入，于资产负债表日根据开发的完工进度确认</w:t>
      </w:r>
      <w:r>
        <w:rPr>
          <w:w w:val="101"/>
        </w:rPr>
        <w:t> </w:t>
      </w:r>
      <w:r>
        <w:rPr/>
        <w:t>收入。</w:t>
      </w:r>
    </w:p>
    <w:p>
      <w:pPr>
        <w:spacing w:line="240" w:lineRule="auto" w:before="4"/>
        <w:rPr>
          <w:rFonts w:ascii="宋体" w:hAnsi="宋体" w:cs="宋体" w:eastAsia="宋体" w:hint="default"/>
          <w:sz w:val="20"/>
          <w:szCs w:val="20"/>
        </w:rPr>
      </w:pPr>
    </w:p>
    <w:p>
      <w:pPr>
        <w:pStyle w:val="Heading3"/>
        <w:spacing w:line="240" w:lineRule="auto"/>
        <w:ind w:right="0"/>
        <w:jc w:val="left"/>
        <w:rPr>
          <w:b w:val="0"/>
          <w:bCs w:val="0"/>
        </w:rPr>
      </w:pPr>
      <w:bookmarkStart w:name="32、政府补助" w:id="211"/>
      <w:bookmarkEnd w:id="211"/>
      <w:r>
        <w:rPr>
          <w:b w:val="0"/>
          <w:bCs w:val="0"/>
        </w:rPr>
      </w:r>
      <w:r>
        <w:rPr>
          <w:rFonts w:ascii="Times New Roman" w:hAnsi="Times New Roman" w:cs="Times New Roman" w:eastAsia="Times New Roman" w:hint="default"/>
        </w:rPr>
        <w:t>32</w:t>
      </w:r>
      <w:r>
        <w:rPr/>
        <w:t>、政府补助</w:t>
      </w:r>
      <w:r>
        <w:rPr>
          <w:b w:val="0"/>
          <w:bCs w:val="0"/>
        </w:rPr>
      </w:r>
    </w:p>
    <w:p>
      <w:pPr>
        <w:spacing w:line="240" w:lineRule="auto" w:before="12"/>
        <w:rPr>
          <w:rFonts w:ascii="宋体" w:hAnsi="宋体" w:cs="宋体" w:eastAsia="宋体" w:hint="default"/>
          <w:b/>
          <w:bCs/>
          <w:sz w:val="32"/>
          <w:szCs w:val="32"/>
        </w:rPr>
      </w:pPr>
    </w:p>
    <w:p>
      <w:pPr>
        <w:pStyle w:val="BodyText"/>
        <w:spacing w:line="448" w:lineRule="auto"/>
        <w:ind w:left="513" w:right="0"/>
        <w:jc w:val="left"/>
      </w:pPr>
      <w:r>
        <w:rPr>
          <w:rFonts w:ascii="Times New Roman" w:hAnsi="Times New Roman" w:cs="Times New Roman" w:eastAsia="Times New Roman" w:hint="default"/>
        </w:rPr>
        <w:t>(1)</w:t>
      </w:r>
      <w:r>
        <w:rPr/>
        <w:t>政府补助的分类</w:t>
      </w:r>
      <w:r>
        <w:rPr>
          <w:spacing w:val="-88"/>
        </w:rPr>
        <w:t> </w:t>
      </w:r>
      <w:r>
        <w:rPr>
          <w:spacing w:val="-88"/>
        </w:rPr>
      </w:r>
      <w:r>
        <w:rPr>
          <w:spacing w:val="-4"/>
        </w:rPr>
        <w:t>政府补助，是指本公司从政府无偿取得货币性资产或非货币性资产。分为与资产相关的政府补助和与收益相关的政府补</w:t>
      </w:r>
    </w:p>
    <w:p>
      <w:pPr>
        <w:pStyle w:val="BodyText"/>
        <w:spacing w:line="240" w:lineRule="auto" w:before="78"/>
        <w:ind w:right="0"/>
        <w:jc w:val="left"/>
      </w:pPr>
      <w:r>
        <w:rPr/>
        <w:t>助。</w:t>
      </w:r>
    </w:p>
    <w:p>
      <w:pPr>
        <w:spacing w:line="240" w:lineRule="auto" w:before="8"/>
        <w:rPr>
          <w:rFonts w:ascii="宋体" w:hAnsi="宋体" w:cs="宋体" w:eastAsia="宋体" w:hint="default"/>
          <w:sz w:val="17"/>
          <w:szCs w:val="17"/>
        </w:rPr>
      </w:pPr>
    </w:p>
    <w:p>
      <w:pPr>
        <w:pStyle w:val="BodyText"/>
        <w:spacing w:line="477" w:lineRule="auto"/>
        <w:ind w:right="1123" w:firstLine="360"/>
        <w:jc w:val="both"/>
      </w:pPr>
      <w:r>
        <w:rPr>
          <w:spacing w:val="-4"/>
        </w:rPr>
        <w:t>与资产相关的政府补助，是指本公司取得的、用于购建或以其他方式形成长期资产的政府补助，包括购买固定资产或无</w:t>
      </w:r>
      <w:r>
        <w:rPr>
          <w:w w:val="101"/>
        </w:rPr>
        <w:t> </w:t>
      </w:r>
      <w:r>
        <w:rPr>
          <w:spacing w:val="-4"/>
        </w:rPr>
        <w:t>形资产的财政拨款、固定资产专门借款的财政贴息等；与收益相关的政府补助，是指除与资产相关的政府补助之外的政府补</w:t>
      </w:r>
      <w:r>
        <w:rPr>
          <w:spacing w:val="43"/>
        </w:rPr>
        <w:t> </w:t>
      </w:r>
      <w:r>
        <w:rPr>
          <w:spacing w:val="43"/>
        </w:rPr>
      </w:r>
      <w:r>
        <w:rPr>
          <w:spacing w:val="-4"/>
        </w:rPr>
        <w:t>助。对于同时包含与资产相关部分和与收益相关部分的政府补助，区分不同部分分别进行会计处理；难以区分的，整体归类</w:t>
      </w:r>
      <w:r>
        <w:rPr>
          <w:spacing w:val="40"/>
        </w:rPr>
        <w:t> </w:t>
      </w:r>
      <w:r>
        <w:rPr>
          <w:spacing w:val="40"/>
        </w:rPr>
      </w:r>
      <w:r>
        <w:rPr>
          <w:spacing w:val="-3"/>
        </w:rPr>
        <w:t>为与收益相关的政府补助。</w:t>
      </w:r>
    </w:p>
    <w:p>
      <w:pPr>
        <w:pStyle w:val="BodyText"/>
        <w:spacing w:line="240" w:lineRule="auto" w:before="52"/>
        <w:ind w:left="513" w:right="0"/>
        <w:jc w:val="left"/>
      </w:pPr>
      <w:r>
        <w:rPr>
          <w:spacing w:val="-3"/>
        </w:rPr>
        <w:t>本公司在进行政府补助分类时采取的具体标准为：</w:t>
      </w:r>
    </w:p>
    <w:p>
      <w:pPr>
        <w:spacing w:line="240" w:lineRule="auto" w:before="12"/>
        <w:rPr>
          <w:rFonts w:ascii="宋体" w:hAnsi="宋体" w:cs="宋体" w:eastAsia="宋体" w:hint="default"/>
          <w:sz w:val="17"/>
          <w:szCs w:val="17"/>
        </w:rPr>
      </w:pPr>
    </w:p>
    <w:p>
      <w:pPr>
        <w:pStyle w:val="BodyText"/>
        <w:spacing w:line="475" w:lineRule="auto"/>
        <w:ind w:right="1128" w:firstLine="360"/>
        <w:jc w:val="both"/>
      </w:pPr>
      <w:r>
        <w:rPr>
          <w:spacing w:val="-5"/>
          <w:w w:val="101"/>
        </w:rPr>
        <w:t>①政府补助文件规定的补助对象用于购建或以其他方式形成长期资产，或者补助对象的支出主要用于购建或以其他方式</w:t>
      </w:r>
      <w:r>
        <w:rPr>
          <w:w w:val="101"/>
        </w:rPr>
        <w:t> </w:t>
      </w:r>
      <w:r>
        <w:rPr>
          <w:spacing w:val="-3"/>
        </w:rPr>
        <w:t>形成长期资产的，划分为与资产相关的政府补助。</w:t>
      </w:r>
    </w:p>
    <w:p>
      <w:pPr>
        <w:pStyle w:val="BodyText"/>
        <w:spacing w:line="475" w:lineRule="auto" w:before="58"/>
        <w:ind w:right="1128" w:firstLine="360"/>
        <w:jc w:val="both"/>
      </w:pPr>
      <w:r>
        <w:rPr>
          <w:spacing w:val="-5"/>
          <w:w w:val="101"/>
        </w:rPr>
        <w:t>②根据政府补助文件获得的政府补助全部或者主要用于补偿以后期间或已发生的费用或损失的政府补助，划分为与收益</w:t>
      </w:r>
      <w:r>
        <w:rPr>
          <w:w w:val="101"/>
        </w:rPr>
        <w:t> </w:t>
      </w:r>
      <w:r>
        <w:rPr/>
        <w:t>相关的政府补助。</w:t>
      </w:r>
    </w:p>
    <w:p>
      <w:pPr>
        <w:pStyle w:val="BodyText"/>
        <w:spacing w:line="475" w:lineRule="auto" w:before="59"/>
        <w:ind w:right="1127" w:firstLine="360"/>
        <w:jc w:val="both"/>
      </w:pPr>
      <w:r>
        <w:rPr>
          <w:spacing w:val="-4"/>
          <w:w w:val="101"/>
        </w:rPr>
        <w:t>③若政府文件未明确规定补助对象，则采用以下方式将该政府补助款划分为与资产相关的政府补助或与收益相关的政府</w:t>
      </w:r>
      <w:r>
        <w:rPr>
          <w:w w:val="101"/>
        </w:rPr>
        <w:t> </w:t>
      </w:r>
      <w:r>
        <w:rPr>
          <w:spacing w:val="-10"/>
        </w:rPr>
        <w:t>补助：</w:t>
      </w:r>
      <w:r>
        <w:rPr>
          <w:rFonts w:ascii="Times New Roman" w:hAnsi="Times New Roman" w:cs="Times New Roman" w:eastAsia="Times New Roman" w:hint="default"/>
          <w:spacing w:val="-10"/>
        </w:rPr>
        <w:t>A    </w:t>
      </w:r>
      <w:r>
        <w:rPr>
          <w:rFonts w:ascii="Times New Roman" w:hAnsi="Times New Roman" w:cs="Times New Roman" w:eastAsia="Times New Roman" w:hint="default"/>
          <w:spacing w:val="16"/>
        </w:rPr>
        <w:t> </w:t>
      </w:r>
      <w:r>
        <w:rPr>
          <w:spacing w:val="-4"/>
        </w:rPr>
        <w:t>政府文件明确了补助所针对的特定项目的，根据该特定项目的预算中将形成资产的支出金额和计入费用的支出金额</w:t>
      </w:r>
    </w:p>
    <w:p>
      <w:pPr>
        <w:spacing w:after="0" w:line="475" w:lineRule="auto"/>
        <w:jc w:val="both"/>
        <w:sectPr>
          <w:footerReference w:type="default" r:id="rId32"/>
          <w:pgSz w:w="11910" w:h="16840"/>
          <w:pgMar w:footer="1498" w:header="871" w:top="1100" w:bottom="1680" w:left="980" w:right="0"/>
          <w:pgNumType w:start="133"/>
        </w:sectPr>
      </w:pPr>
    </w:p>
    <w:p>
      <w:pPr>
        <w:spacing w:line="240" w:lineRule="auto" w:before="1"/>
        <w:rPr>
          <w:rFonts w:ascii="宋体" w:hAnsi="宋体" w:cs="宋体" w:eastAsia="宋体" w:hint="default"/>
          <w:sz w:val="28"/>
          <w:szCs w:val="28"/>
        </w:rPr>
      </w:pPr>
    </w:p>
    <w:p>
      <w:pPr>
        <w:pStyle w:val="BodyText"/>
        <w:spacing w:line="240" w:lineRule="auto" w:before="46"/>
        <w:ind w:right="0"/>
        <w:jc w:val="left"/>
      </w:pPr>
      <w:r>
        <w:rPr>
          <w:spacing w:val="-3"/>
        </w:rPr>
        <w:t>述，没有指明特定项目的，作为与收益相关的政府补助。</w:t>
      </w:r>
    </w:p>
    <w:p>
      <w:pPr>
        <w:spacing w:line="240" w:lineRule="auto" w:before="8"/>
        <w:rPr>
          <w:rFonts w:ascii="宋体" w:hAnsi="宋体" w:cs="宋体" w:eastAsia="宋体" w:hint="default"/>
          <w:sz w:val="17"/>
          <w:szCs w:val="17"/>
        </w:rPr>
      </w:pPr>
    </w:p>
    <w:p>
      <w:pPr>
        <w:pStyle w:val="BodyText"/>
        <w:spacing w:line="453" w:lineRule="auto"/>
        <w:ind w:left="513" w:right="0"/>
        <w:jc w:val="left"/>
      </w:pPr>
      <w:r>
        <w:rPr>
          <w:rFonts w:ascii="Times New Roman" w:hAnsi="Times New Roman" w:cs="Times New Roman" w:eastAsia="Times New Roman" w:hint="default"/>
        </w:rPr>
        <w:t>(2)</w:t>
      </w:r>
      <w:r>
        <w:rPr/>
        <w:t>政府补助的确认时点</w:t>
      </w:r>
      <w:r>
        <w:rPr>
          <w:spacing w:val="-88"/>
        </w:rPr>
        <w:t> </w:t>
      </w:r>
      <w:r>
        <w:rPr>
          <w:spacing w:val="-88"/>
        </w:rPr>
      </w:r>
      <w:r>
        <w:rPr>
          <w:spacing w:val="-4"/>
        </w:rPr>
        <w:t>本公司对于政府补助通常在实际收到时，按照实收金额予以确认和计量。但对于期末有确凿证据表明能够符合财政扶持</w:t>
      </w:r>
    </w:p>
    <w:p>
      <w:pPr>
        <w:pStyle w:val="BodyText"/>
        <w:spacing w:line="240" w:lineRule="auto" w:before="70"/>
        <w:ind w:right="0"/>
        <w:jc w:val="left"/>
      </w:pPr>
      <w:r>
        <w:rPr>
          <w:w w:val="101"/>
        </w:rPr>
        <w:t>政</w:t>
      </w:r>
      <w:r>
        <w:rPr>
          <w:spacing w:val="-5"/>
          <w:w w:val="101"/>
        </w:rPr>
        <w:t>策</w:t>
      </w:r>
      <w:r>
        <w:rPr>
          <w:w w:val="101"/>
        </w:rPr>
        <w:t>规</w:t>
      </w:r>
      <w:r>
        <w:rPr>
          <w:spacing w:val="-5"/>
          <w:w w:val="101"/>
        </w:rPr>
        <w:t>定</w:t>
      </w:r>
      <w:r>
        <w:rPr>
          <w:w w:val="101"/>
        </w:rPr>
        <w:t>的</w:t>
      </w:r>
      <w:r>
        <w:rPr>
          <w:spacing w:val="-5"/>
          <w:w w:val="101"/>
        </w:rPr>
        <w:t>相</w:t>
      </w:r>
      <w:r>
        <w:rPr>
          <w:w w:val="101"/>
        </w:rPr>
        <w:t>关</w:t>
      </w:r>
      <w:r>
        <w:rPr>
          <w:spacing w:val="-5"/>
          <w:w w:val="101"/>
        </w:rPr>
        <w:t>条</w:t>
      </w:r>
      <w:r>
        <w:rPr>
          <w:w w:val="101"/>
        </w:rPr>
        <w:t>件</w:t>
      </w:r>
      <w:r>
        <w:rPr>
          <w:spacing w:val="-5"/>
          <w:w w:val="101"/>
        </w:rPr>
        <w:t>预</w:t>
      </w:r>
      <w:r>
        <w:rPr>
          <w:w w:val="101"/>
        </w:rPr>
        <w:t>计</w:t>
      </w:r>
      <w:r>
        <w:rPr>
          <w:spacing w:val="-5"/>
          <w:w w:val="101"/>
        </w:rPr>
        <w:t>能</w:t>
      </w:r>
      <w:r>
        <w:rPr>
          <w:w w:val="101"/>
        </w:rPr>
        <w:t>够</w:t>
      </w:r>
      <w:r>
        <w:rPr>
          <w:spacing w:val="-5"/>
          <w:w w:val="101"/>
        </w:rPr>
        <w:t>收</w:t>
      </w:r>
      <w:r>
        <w:rPr>
          <w:w w:val="101"/>
        </w:rPr>
        <w:t>到</w:t>
      </w:r>
      <w:r>
        <w:rPr>
          <w:spacing w:val="-5"/>
          <w:w w:val="101"/>
        </w:rPr>
        <w:t>财</w:t>
      </w:r>
      <w:r>
        <w:rPr>
          <w:w w:val="101"/>
        </w:rPr>
        <w:t>政</w:t>
      </w:r>
      <w:r>
        <w:rPr>
          <w:spacing w:val="-5"/>
          <w:w w:val="101"/>
        </w:rPr>
        <w:t>扶</w:t>
      </w:r>
      <w:r>
        <w:rPr>
          <w:w w:val="101"/>
        </w:rPr>
        <w:t>持</w:t>
      </w:r>
      <w:r>
        <w:rPr>
          <w:spacing w:val="-5"/>
          <w:w w:val="101"/>
        </w:rPr>
        <w:t>资</w:t>
      </w:r>
      <w:r>
        <w:rPr>
          <w:w w:val="101"/>
        </w:rPr>
        <w:t>金</w:t>
      </w:r>
      <w:r>
        <w:rPr>
          <w:spacing w:val="-92"/>
          <w:w w:val="101"/>
        </w:rPr>
        <w:t>，</w:t>
      </w:r>
      <w:r>
        <w:rPr>
          <w:w w:val="101"/>
        </w:rPr>
        <w:t>按</w:t>
      </w:r>
      <w:r>
        <w:rPr>
          <w:spacing w:val="-5"/>
          <w:w w:val="101"/>
        </w:rPr>
        <w:t>照</w:t>
      </w:r>
      <w:r>
        <w:rPr>
          <w:w w:val="101"/>
        </w:rPr>
        <w:t>应</w:t>
      </w:r>
      <w:r>
        <w:rPr>
          <w:spacing w:val="-5"/>
          <w:w w:val="101"/>
        </w:rPr>
        <w:t>收的</w:t>
      </w:r>
      <w:r>
        <w:rPr>
          <w:w w:val="101"/>
        </w:rPr>
        <w:t>金</w:t>
      </w:r>
      <w:r>
        <w:rPr>
          <w:spacing w:val="-5"/>
          <w:w w:val="101"/>
        </w:rPr>
        <w:t>额</w:t>
      </w:r>
      <w:r>
        <w:rPr>
          <w:w w:val="101"/>
        </w:rPr>
        <w:t>计量</w:t>
      </w:r>
      <w:r>
        <w:rPr>
          <w:spacing w:val="-92"/>
          <w:w w:val="101"/>
        </w:rPr>
        <w:t>。</w:t>
      </w:r>
      <w:r>
        <w:rPr>
          <w:w w:val="101"/>
        </w:rPr>
        <w:t>按</w:t>
      </w:r>
      <w:r>
        <w:rPr>
          <w:spacing w:val="-5"/>
          <w:w w:val="101"/>
        </w:rPr>
        <w:t>照</w:t>
      </w:r>
      <w:r>
        <w:rPr>
          <w:w w:val="101"/>
        </w:rPr>
        <w:t>应</w:t>
      </w:r>
      <w:r>
        <w:rPr>
          <w:spacing w:val="-5"/>
          <w:w w:val="101"/>
        </w:rPr>
        <w:t>收</w:t>
      </w:r>
      <w:r>
        <w:rPr>
          <w:w w:val="101"/>
        </w:rPr>
        <w:t>金</w:t>
      </w:r>
      <w:r>
        <w:rPr>
          <w:spacing w:val="-5"/>
          <w:w w:val="101"/>
        </w:rPr>
        <w:t>额</w:t>
      </w:r>
      <w:r>
        <w:rPr>
          <w:w w:val="101"/>
        </w:rPr>
        <w:t>计</w:t>
      </w:r>
      <w:r>
        <w:rPr>
          <w:spacing w:val="-4"/>
          <w:w w:val="101"/>
        </w:rPr>
        <w:t>量</w:t>
      </w:r>
      <w:r>
        <w:rPr>
          <w:spacing w:val="-5"/>
          <w:w w:val="101"/>
        </w:rPr>
        <w:t>的</w:t>
      </w:r>
      <w:r>
        <w:rPr>
          <w:w w:val="101"/>
        </w:rPr>
        <w:t>政</w:t>
      </w:r>
      <w:r>
        <w:rPr>
          <w:spacing w:val="-5"/>
          <w:w w:val="101"/>
        </w:rPr>
        <w:t>府</w:t>
      </w:r>
      <w:r>
        <w:rPr>
          <w:w w:val="101"/>
        </w:rPr>
        <w:t>补</w:t>
      </w:r>
      <w:r>
        <w:rPr>
          <w:spacing w:val="-5"/>
          <w:w w:val="101"/>
        </w:rPr>
        <w:t>助</w:t>
      </w:r>
      <w:r>
        <w:rPr>
          <w:w w:val="101"/>
        </w:rPr>
        <w:t>应</w:t>
      </w:r>
      <w:r>
        <w:rPr>
          <w:spacing w:val="-5"/>
          <w:w w:val="101"/>
        </w:rPr>
        <w:t>同</w:t>
      </w:r>
      <w:r>
        <w:rPr>
          <w:w w:val="101"/>
        </w:rPr>
        <w:t>时</w:t>
      </w:r>
      <w:r>
        <w:rPr>
          <w:spacing w:val="-5"/>
          <w:w w:val="101"/>
        </w:rPr>
        <w:t>符</w:t>
      </w:r>
      <w:r>
        <w:rPr>
          <w:w w:val="101"/>
        </w:rPr>
        <w:t>合</w:t>
      </w:r>
      <w:r>
        <w:rPr>
          <w:spacing w:val="-5"/>
          <w:w w:val="101"/>
        </w:rPr>
        <w:t>以</w:t>
      </w:r>
      <w:r>
        <w:rPr>
          <w:w w:val="101"/>
        </w:rPr>
        <w:t>下</w:t>
      </w:r>
      <w:r>
        <w:rPr>
          <w:spacing w:val="-5"/>
          <w:w w:val="101"/>
        </w:rPr>
        <w:t>条</w:t>
      </w:r>
      <w:r>
        <w:rPr>
          <w:w w:val="101"/>
        </w:rPr>
        <w:t>件：</w:t>
      </w:r>
      <w:r>
        <w:rPr/>
      </w:r>
    </w:p>
    <w:p>
      <w:pPr>
        <w:spacing w:line="240" w:lineRule="auto" w:before="12"/>
        <w:rPr>
          <w:rFonts w:ascii="宋体" w:hAnsi="宋体" w:cs="宋体" w:eastAsia="宋体" w:hint="default"/>
          <w:sz w:val="17"/>
          <w:szCs w:val="17"/>
        </w:rPr>
      </w:pPr>
    </w:p>
    <w:p>
      <w:pPr>
        <w:pStyle w:val="BodyText"/>
        <w:spacing w:line="475" w:lineRule="auto"/>
        <w:ind w:right="0" w:firstLine="360"/>
        <w:jc w:val="left"/>
      </w:pPr>
      <w:r>
        <w:rPr>
          <w:spacing w:val="-4"/>
        </w:rPr>
        <w:t>①所依据的是当地财政部门正式发布并按照《政府信息公开条例》的规定予以主动公开的财政扶持项目及其财政资金管</w:t>
      </w:r>
      <w:r>
        <w:rPr>
          <w:w w:val="101"/>
        </w:rPr>
        <w:t> </w:t>
      </w:r>
      <w:r>
        <w:rPr>
          <w:spacing w:val="-3"/>
        </w:rPr>
        <w:t>理办法，且该管理办法应当是普惠性的</w:t>
      </w:r>
      <w:r>
        <w:rPr>
          <w:rFonts w:ascii="Times New Roman" w:hAnsi="Times New Roman" w:cs="Times New Roman" w:eastAsia="Times New Roman" w:hint="default"/>
          <w:spacing w:val="-3"/>
        </w:rPr>
        <w:t>(</w:t>
      </w:r>
      <w:r>
        <w:rPr>
          <w:spacing w:val="-3"/>
        </w:rPr>
        <w:t>任何符合规定条件的企业均可申请</w:t>
      </w:r>
      <w:r>
        <w:rPr>
          <w:rFonts w:ascii="Times New Roman" w:hAnsi="Times New Roman" w:cs="Times New Roman" w:eastAsia="Times New Roman" w:hint="default"/>
          <w:spacing w:val="-3"/>
        </w:rPr>
        <w:t>)</w:t>
      </w:r>
      <w:r>
        <w:rPr>
          <w:spacing w:val="-3"/>
        </w:rPr>
        <w:t>，而不是专门针对特定企业制定的；</w:t>
      </w:r>
    </w:p>
    <w:p>
      <w:pPr>
        <w:pStyle w:val="BodyText"/>
        <w:spacing w:line="475" w:lineRule="auto" w:before="26"/>
        <w:ind w:right="935" w:firstLine="360"/>
        <w:jc w:val="left"/>
      </w:pPr>
      <w:r>
        <w:rPr>
          <w:spacing w:val="-4"/>
          <w:w w:val="101"/>
        </w:rPr>
        <w:t>②应收补助款的金额已经过有权政府部门发文确认，或者可根据正式发布的财政资金管理办法的有关规定自行合理测算，</w:t>
      </w:r>
      <w:r>
        <w:rPr>
          <w:w w:val="101"/>
        </w:rPr>
        <w:t> </w:t>
      </w:r>
      <w:r>
        <w:rPr>
          <w:spacing w:val="-3"/>
        </w:rPr>
        <w:t>且预计其金额不存在重大不确定性；</w:t>
      </w:r>
    </w:p>
    <w:p>
      <w:pPr>
        <w:pStyle w:val="BodyText"/>
        <w:spacing w:line="475" w:lineRule="auto" w:before="58"/>
        <w:ind w:right="0" w:firstLine="360"/>
        <w:jc w:val="left"/>
      </w:pPr>
      <w:r>
        <w:rPr>
          <w:spacing w:val="-4"/>
        </w:rPr>
        <w:t>③相关的补助款批文中已明确承诺了拨付期限，且该款项的拨付是有相应财政预算作为保障的，因而可以合理保证其可</w:t>
      </w:r>
      <w:r>
        <w:rPr>
          <w:w w:val="101"/>
        </w:rPr>
        <w:t> </w:t>
      </w:r>
      <w:r>
        <w:rPr>
          <w:spacing w:val="-3"/>
        </w:rPr>
        <w:t>在规定期限内收到；</w:t>
      </w:r>
    </w:p>
    <w:p>
      <w:pPr>
        <w:pStyle w:val="BodyText"/>
        <w:spacing w:line="240" w:lineRule="auto" w:before="58"/>
        <w:ind w:left="513" w:right="0"/>
        <w:jc w:val="left"/>
      </w:pPr>
      <w:r>
        <w:rPr>
          <w:spacing w:val="-3"/>
        </w:rPr>
        <w:t>④根据本公司和该补助事项的具体情况，应满足的其他相关条件</w:t>
      </w:r>
      <w:r>
        <w:rPr>
          <w:rFonts w:ascii="Times New Roman" w:hAnsi="Times New Roman" w:cs="Times New Roman" w:eastAsia="Times New Roman" w:hint="default"/>
          <w:spacing w:val="-3"/>
        </w:rPr>
        <w:t>(</w:t>
      </w:r>
      <w:r>
        <w:rPr>
          <w:spacing w:val="-3"/>
        </w:rPr>
        <w:t>如有</w:t>
      </w:r>
      <w:r>
        <w:rPr>
          <w:rFonts w:ascii="Times New Roman" w:hAnsi="Times New Roman" w:cs="Times New Roman" w:eastAsia="Times New Roman" w:hint="default"/>
          <w:spacing w:val="-3"/>
        </w:rPr>
        <w:t>)</w:t>
      </w:r>
      <w:r>
        <w:rPr>
          <w:spacing w:val="-3"/>
        </w:rPr>
        <w:t>。</w:t>
      </w:r>
    </w:p>
    <w:p>
      <w:pPr>
        <w:spacing w:line="240" w:lineRule="auto" w:before="7"/>
        <w:rPr>
          <w:rFonts w:ascii="宋体" w:hAnsi="宋体" w:cs="宋体" w:eastAsia="宋体" w:hint="default"/>
          <w:sz w:val="16"/>
          <w:szCs w:val="16"/>
        </w:rPr>
      </w:pPr>
    </w:p>
    <w:p>
      <w:pPr>
        <w:pStyle w:val="BodyText"/>
        <w:spacing w:line="453" w:lineRule="auto"/>
        <w:ind w:left="513" w:right="0"/>
        <w:jc w:val="left"/>
      </w:pPr>
      <w:r>
        <w:rPr>
          <w:rFonts w:ascii="Times New Roman" w:hAnsi="Times New Roman" w:cs="Times New Roman" w:eastAsia="Times New Roman" w:hint="default"/>
        </w:rPr>
        <w:t>(3)</w:t>
      </w:r>
      <w:r>
        <w:rPr/>
        <w:t>政府补助的会计处理</w:t>
      </w:r>
      <w:r>
        <w:rPr>
          <w:spacing w:val="-88"/>
        </w:rPr>
        <w:t> </w:t>
      </w:r>
      <w:r>
        <w:rPr>
          <w:spacing w:val="-88"/>
        </w:rPr>
      </w:r>
      <w:r>
        <w:rPr>
          <w:spacing w:val="-5"/>
        </w:rPr>
        <w:t>政府补助为货币性资产的，按收到或应收的金额计量；为非货币性资产的，按公允价值计量；非货币性资产公允价值不</w:t>
      </w:r>
    </w:p>
    <w:p>
      <w:pPr>
        <w:pStyle w:val="BodyText"/>
        <w:spacing w:line="477" w:lineRule="auto" w:before="70"/>
        <w:ind w:left="513" w:right="0" w:hanging="360"/>
        <w:jc w:val="left"/>
      </w:pPr>
      <w:r>
        <w:rPr>
          <w:spacing w:val="-3"/>
        </w:rPr>
        <w:t>能可靠取得的，按名义金额计量。按照名义金额计量的政府补助，直接计入当期损益。</w:t>
      </w:r>
      <w:r>
        <w:rPr>
          <w:spacing w:val="20"/>
        </w:rPr>
        <w:t> </w:t>
      </w:r>
      <w:r>
        <w:rPr>
          <w:spacing w:val="20"/>
        </w:rPr>
      </w:r>
      <w:r>
        <w:rPr>
          <w:spacing w:val="-3"/>
        </w:rPr>
        <w:t>本公司对政府补助采用的是总额法，具体会计处理如下：</w:t>
      </w:r>
      <w:r>
        <w:rPr>
          <w:w w:val="101"/>
        </w:rPr>
        <w:t> </w:t>
      </w:r>
      <w:r>
        <w:rPr>
          <w:spacing w:val="-4"/>
        </w:rPr>
        <w:t>与资产相关的政府补助确认为递延收益，在相关资产使用寿命内按照合理、系统的方法分期计入当期损益；相关资产在</w:t>
      </w:r>
    </w:p>
    <w:p>
      <w:pPr>
        <w:pStyle w:val="BodyText"/>
        <w:spacing w:line="475" w:lineRule="auto" w:before="56"/>
        <w:ind w:left="513" w:right="0" w:hanging="360"/>
        <w:jc w:val="left"/>
      </w:pPr>
      <w:r>
        <w:rPr>
          <w:spacing w:val="-3"/>
        </w:rPr>
        <w:t>使用寿命结束前被出售、转让、报废或发生毁损的，将相关递延收益余额转入资产处置当期的损益。</w:t>
      </w:r>
      <w:r>
        <w:rPr>
          <w:spacing w:val="37"/>
        </w:rPr>
        <w:t> </w:t>
      </w:r>
      <w:r>
        <w:rPr>
          <w:spacing w:val="37"/>
        </w:rPr>
      </w:r>
      <w:r>
        <w:rPr>
          <w:spacing w:val="-4"/>
        </w:rPr>
        <w:t>与收益相关的政府补助，用于补偿本公司以后期间的相关成本费用或损失的，确认为递延收益，并在确认相关成本费用</w:t>
      </w:r>
    </w:p>
    <w:p>
      <w:pPr>
        <w:pStyle w:val="BodyText"/>
        <w:spacing w:line="475" w:lineRule="auto" w:before="58"/>
        <w:ind w:left="513" w:right="0" w:hanging="360"/>
        <w:jc w:val="left"/>
      </w:pPr>
      <w:r>
        <w:rPr>
          <w:spacing w:val="-3"/>
        </w:rPr>
        <w:t>或损失的期间，计入当期损益；用于补偿企业已发生的相关成本费用或损失的，直接计入当期损益。</w:t>
      </w:r>
      <w:r>
        <w:rPr>
          <w:spacing w:val="37"/>
        </w:rPr>
        <w:t> </w:t>
      </w:r>
      <w:r>
        <w:rPr>
          <w:spacing w:val="37"/>
        </w:rPr>
      </w:r>
      <w:r>
        <w:rPr>
          <w:spacing w:val="-5"/>
        </w:rPr>
        <w:t>已确认的政府补助需要退回时，存在相关递延收益余额的，冲减相关递延收益账面余额，超出部分计入当期损益；属于</w:t>
      </w:r>
    </w:p>
    <w:p>
      <w:pPr>
        <w:pStyle w:val="BodyText"/>
        <w:spacing w:line="475" w:lineRule="auto" w:before="59"/>
        <w:ind w:left="513" w:right="0" w:hanging="360"/>
        <w:jc w:val="left"/>
      </w:pPr>
      <w:r>
        <w:rPr>
          <w:spacing w:val="-3"/>
        </w:rPr>
        <w:t>其他情况的，直接计入当期损益。</w:t>
      </w:r>
      <w:r>
        <w:rPr>
          <w:spacing w:val="-44"/>
        </w:rPr>
        <w:t> </w:t>
      </w:r>
      <w:r>
        <w:rPr>
          <w:spacing w:val="-44"/>
        </w:rPr>
      </w:r>
      <w:r>
        <w:rPr>
          <w:spacing w:val="-4"/>
        </w:rPr>
        <w:t>政府补助计入不同损益项目的区分原则为：与本公司日常活动相关的政府补助，按照经济业务实质，计入其他收益或冲</w:t>
      </w:r>
    </w:p>
    <w:p>
      <w:pPr>
        <w:pStyle w:val="BodyText"/>
        <w:spacing w:line="240" w:lineRule="auto" w:before="58"/>
        <w:ind w:right="0"/>
        <w:jc w:val="left"/>
      </w:pPr>
      <w:r>
        <w:rPr>
          <w:spacing w:val="-3"/>
        </w:rPr>
        <w:t>减相关成本费用；与本公司日常活动无关的政府补助，计入营业外收支。</w:t>
      </w: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14"/>
          <w:szCs w:val="14"/>
        </w:rPr>
      </w:pPr>
    </w:p>
    <w:p>
      <w:pPr>
        <w:pStyle w:val="Heading3"/>
        <w:spacing w:line="240" w:lineRule="auto"/>
        <w:ind w:right="0"/>
        <w:jc w:val="left"/>
        <w:rPr>
          <w:b w:val="0"/>
          <w:bCs w:val="0"/>
        </w:rPr>
      </w:pPr>
      <w:bookmarkStart w:name="33、递延所得税资产/递延所得税负债" w:id="212"/>
      <w:bookmarkEnd w:id="212"/>
      <w:r>
        <w:rPr>
          <w:b w:val="0"/>
          <w:bCs w:val="0"/>
        </w:rPr>
      </w:r>
      <w:r>
        <w:rPr>
          <w:rFonts w:ascii="Times New Roman" w:hAnsi="Times New Roman" w:cs="Times New Roman" w:eastAsia="Times New Roman" w:hint="default"/>
        </w:rPr>
        <w:t>33</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12"/>
        <w:rPr>
          <w:rFonts w:ascii="宋体" w:hAnsi="宋体" w:cs="宋体" w:eastAsia="宋体" w:hint="default"/>
          <w:b/>
          <w:bCs/>
          <w:sz w:val="32"/>
          <w:szCs w:val="32"/>
        </w:rPr>
      </w:pPr>
    </w:p>
    <w:p>
      <w:pPr>
        <w:pStyle w:val="BodyText"/>
        <w:spacing w:line="448" w:lineRule="auto"/>
        <w:ind w:left="513" w:right="0"/>
        <w:jc w:val="left"/>
      </w:pPr>
      <w:r>
        <w:rPr>
          <w:rFonts w:ascii="Times New Roman" w:hAnsi="Times New Roman" w:cs="Times New Roman" w:eastAsia="Times New Roman" w:hint="default"/>
          <w:spacing w:val="-3"/>
        </w:rPr>
        <w:t>(1)</w:t>
      </w:r>
      <w:r>
        <w:rPr>
          <w:spacing w:val="-3"/>
        </w:rPr>
        <w:t>递延所得税资产和递延所得税负债的确认和计量</w:t>
      </w:r>
      <w:r>
        <w:rPr>
          <w:spacing w:val="-17"/>
        </w:rPr>
        <w:t> </w:t>
      </w:r>
      <w:r>
        <w:rPr>
          <w:spacing w:val="-17"/>
        </w:rPr>
      </w:r>
      <w:r>
        <w:rPr>
          <w:spacing w:val="-6"/>
          <w:w w:val="101"/>
        </w:rPr>
        <w:t>本公司根据资产、负债与资产负债日的账面价值与计税基础之间的暂时性差异，采用资产负债表债务法确认递延所得税。</w:t>
      </w:r>
      <w:r>
        <w:rPr>
          <w:spacing w:val="-6"/>
        </w:rPr>
      </w:r>
    </w:p>
    <w:p>
      <w:pPr>
        <w:pStyle w:val="BodyText"/>
        <w:spacing w:line="475" w:lineRule="auto" w:before="79"/>
        <w:ind w:right="0"/>
        <w:jc w:val="left"/>
      </w:pPr>
      <w:r>
        <w:rPr>
          <w:spacing w:val="-4"/>
        </w:rPr>
        <w:t>公司当期所得税和递延所得税作为所得税费用或收益计入当期损益，但不包括下列情况产生的所得税：①企业合并；②直接</w:t>
      </w:r>
      <w:r>
        <w:rPr>
          <w:spacing w:val="38"/>
        </w:rPr>
        <w:t> </w:t>
      </w:r>
      <w:r>
        <w:rPr>
          <w:spacing w:val="38"/>
        </w:rPr>
      </w:r>
      <w:r>
        <w:rPr>
          <w:spacing w:val="-3"/>
        </w:rPr>
        <w:t>在所有者权益中确认的交易或者事项。</w:t>
      </w:r>
    </w:p>
    <w:p>
      <w:pPr>
        <w:pStyle w:val="BodyText"/>
        <w:spacing w:line="240" w:lineRule="auto" w:before="58"/>
        <w:ind w:left="513" w:right="0"/>
        <w:jc w:val="left"/>
      </w:pPr>
      <w:r>
        <w:rPr>
          <w:spacing w:val="-3"/>
        </w:rPr>
        <w:t>对于可抵扣暂时性差异、能够结转以后年度的可抵扣亏损和税款抵减，公司以很可能取得用来抵扣可抵扣暂时性差异、</w:t>
      </w:r>
    </w:p>
    <w:p>
      <w:pPr>
        <w:spacing w:after="0" w:line="240" w:lineRule="auto"/>
        <w:jc w:val="left"/>
        <w:sectPr>
          <w:footerReference w:type="default" r:id="rId33"/>
          <w:pgSz w:w="11910" w:h="16840"/>
          <w:pgMar w:footer="1186" w:header="871" w:top="1100" w:bottom="1380" w:left="980" w:right="0"/>
          <w:pgNumType w:start="134"/>
        </w:sectPr>
      </w:pPr>
    </w:p>
    <w:p>
      <w:pPr>
        <w:spacing w:line="240" w:lineRule="auto" w:before="1"/>
        <w:rPr>
          <w:rFonts w:ascii="宋体" w:hAnsi="宋体" w:cs="宋体" w:eastAsia="宋体" w:hint="default"/>
          <w:sz w:val="28"/>
          <w:szCs w:val="28"/>
        </w:rPr>
      </w:pPr>
    </w:p>
    <w:p>
      <w:pPr>
        <w:pStyle w:val="BodyText"/>
        <w:spacing w:line="475" w:lineRule="auto" w:before="46"/>
        <w:ind w:right="1029"/>
        <w:jc w:val="left"/>
      </w:pPr>
      <w:r>
        <w:rPr>
          <w:spacing w:val="-4"/>
        </w:rPr>
        <w:t>可抵扣亏损和税款抵减的未来应纳税所得额为限，确认由此产生的递延所得税资产，除非该可抵扣暂时性差异是在以下交易</w:t>
      </w:r>
      <w:r>
        <w:rPr>
          <w:spacing w:val="43"/>
        </w:rPr>
        <w:t> </w:t>
      </w:r>
      <w:r>
        <w:rPr>
          <w:spacing w:val="43"/>
        </w:rPr>
      </w:r>
      <w:r>
        <w:rPr/>
        <w:t>中产生的：</w:t>
      </w:r>
    </w:p>
    <w:p>
      <w:pPr>
        <w:pStyle w:val="BodyText"/>
        <w:spacing w:line="240" w:lineRule="auto" w:before="59"/>
        <w:ind w:left="513" w:right="0"/>
        <w:jc w:val="left"/>
      </w:pPr>
      <w:r>
        <w:rPr>
          <w:spacing w:val="-3"/>
        </w:rPr>
        <w:t>①该交易不是企业合并，并且交易发生时既不影响会计利润也不影响应纳税所得额；</w:t>
      </w:r>
    </w:p>
    <w:p>
      <w:pPr>
        <w:spacing w:line="240" w:lineRule="auto" w:before="8"/>
        <w:rPr>
          <w:rFonts w:ascii="宋体" w:hAnsi="宋体" w:cs="宋体" w:eastAsia="宋体" w:hint="default"/>
          <w:sz w:val="17"/>
          <w:szCs w:val="17"/>
        </w:rPr>
      </w:pPr>
    </w:p>
    <w:p>
      <w:pPr>
        <w:pStyle w:val="BodyText"/>
        <w:spacing w:line="480" w:lineRule="auto"/>
        <w:ind w:right="1124" w:firstLine="360"/>
        <w:jc w:val="both"/>
      </w:pPr>
      <w:r>
        <w:rPr>
          <w:spacing w:val="-4"/>
        </w:rPr>
        <w:t>②对于与子公司、合营企业及联营企业投资相关的可抵扣暂时性差异，同时满足下列条件的，确认相应的递延所得税资</w:t>
      </w:r>
      <w:r>
        <w:rPr>
          <w:w w:val="101"/>
        </w:rPr>
        <w:t> </w:t>
      </w:r>
      <w:r>
        <w:rPr>
          <w:spacing w:val="-3"/>
        </w:rPr>
        <w:t>产：暂时性差异在可预见的未来很可能转回，且未来很可能获得用来抵扣可抵扣暂时性差异的应纳税所得额。</w:t>
      </w:r>
    </w:p>
    <w:p>
      <w:pPr>
        <w:pStyle w:val="BodyText"/>
        <w:spacing w:line="240" w:lineRule="auto" w:before="50"/>
        <w:ind w:left="513" w:right="0"/>
        <w:jc w:val="left"/>
      </w:pPr>
      <w:r>
        <w:rPr>
          <w:spacing w:val="-3"/>
        </w:rPr>
        <w:t>各项应纳税暂时性差异均确认相关的递延所得税负债，除非该应纳税暂时性差异是在以下交易中产生的：</w:t>
      </w:r>
    </w:p>
    <w:p>
      <w:pPr>
        <w:spacing w:line="240" w:lineRule="auto" w:before="13"/>
        <w:rPr>
          <w:rFonts w:ascii="宋体" w:hAnsi="宋体" w:cs="宋体" w:eastAsia="宋体" w:hint="default"/>
          <w:sz w:val="17"/>
          <w:szCs w:val="17"/>
        </w:rPr>
      </w:pPr>
    </w:p>
    <w:p>
      <w:pPr>
        <w:pStyle w:val="BodyText"/>
        <w:spacing w:line="475" w:lineRule="auto"/>
        <w:ind w:right="1122" w:firstLine="360"/>
        <w:jc w:val="both"/>
      </w:pPr>
      <w:r>
        <w:rPr>
          <w:spacing w:val="-4"/>
        </w:rPr>
        <w:t>①商誉的初始确认，或者具有以下特征的交易中产生的资产或负债的初始确认：该交易不是企业合并，并且交易发生时</w:t>
      </w:r>
      <w:r>
        <w:rPr>
          <w:w w:val="101"/>
        </w:rPr>
        <w:t> </w:t>
      </w:r>
      <w:r>
        <w:rPr>
          <w:spacing w:val="-3"/>
        </w:rPr>
        <w:t>既不影响会计利润也不影响应纳税所得额；</w:t>
      </w:r>
    </w:p>
    <w:p>
      <w:pPr>
        <w:pStyle w:val="BodyText"/>
        <w:spacing w:line="475" w:lineRule="auto" w:before="58"/>
        <w:ind w:right="1124" w:firstLine="360"/>
        <w:jc w:val="both"/>
      </w:pPr>
      <w:r>
        <w:rPr>
          <w:spacing w:val="-4"/>
        </w:rPr>
        <w:t>②对于与子公司、合营企业及联营企业投资相关的应纳税暂时性差异，该暂时性差异转回的时间能够控制并且该暂时性</w:t>
      </w:r>
      <w:r>
        <w:rPr>
          <w:w w:val="101"/>
        </w:rPr>
        <w:t> </w:t>
      </w:r>
      <w:r>
        <w:rPr>
          <w:spacing w:val="-3"/>
        </w:rPr>
        <w:t>差异在可预见的未来很可能不会转回。</w:t>
      </w:r>
    </w:p>
    <w:p>
      <w:pPr>
        <w:pStyle w:val="BodyText"/>
        <w:spacing w:line="451" w:lineRule="auto" w:before="58"/>
        <w:ind w:right="1167" w:firstLine="360"/>
        <w:jc w:val="both"/>
      </w:pPr>
      <w:r>
        <w:rPr>
          <w:spacing w:val="-3"/>
        </w:rPr>
        <w:t>根据资产、负债的账面价值与其计税基础之间的差额</w:t>
      </w:r>
      <w:r>
        <w:rPr>
          <w:rFonts w:ascii="Times New Roman" w:hAnsi="Times New Roman" w:cs="Times New Roman" w:eastAsia="Times New Roman" w:hint="default"/>
          <w:spacing w:val="-3"/>
        </w:rPr>
        <w:t>(</w:t>
      </w:r>
      <w:r>
        <w:rPr>
          <w:spacing w:val="-3"/>
        </w:rPr>
        <w:t>未作为资产和负债确认的项目按照税法规定可以确定其计税基础</w:t>
      </w:r>
      <w:r>
        <w:rPr>
          <w:w w:val="101"/>
        </w:rPr>
        <w:t> </w:t>
      </w:r>
      <w:r>
        <w:rPr>
          <w:spacing w:val="-3"/>
        </w:rPr>
        <w:t>的，该计税基础与其账面数之间的差额</w:t>
      </w:r>
      <w:r>
        <w:rPr>
          <w:rFonts w:ascii="Times New Roman" w:hAnsi="Times New Roman" w:cs="Times New Roman" w:eastAsia="Times New Roman" w:hint="default"/>
          <w:spacing w:val="-3"/>
        </w:rPr>
        <w:t>)</w:t>
      </w:r>
      <w:r>
        <w:rPr>
          <w:spacing w:val="-3"/>
        </w:rPr>
        <w:t>，按照预期收回该资产或清偿该负债期间的适用税率计算确认递延所得税资产或递</w:t>
      </w:r>
      <w:r>
        <w:rPr>
          <w:spacing w:val="66"/>
        </w:rPr>
        <w:t> </w:t>
      </w:r>
      <w:r>
        <w:rPr>
          <w:spacing w:val="66"/>
        </w:rPr>
      </w:r>
      <w:r>
        <w:rPr>
          <w:spacing w:val="-3"/>
        </w:rPr>
        <w:t>延所得税负债。</w:t>
      </w:r>
    </w:p>
    <w:p>
      <w:pPr>
        <w:pStyle w:val="BodyText"/>
        <w:spacing w:line="477" w:lineRule="auto" w:before="72"/>
        <w:ind w:right="1124" w:firstLine="360"/>
        <w:jc w:val="both"/>
      </w:pPr>
      <w:r>
        <w:rPr>
          <w:spacing w:val="-5"/>
        </w:rPr>
        <w:t>确认递延所得税资产以很可能取得用来抵扣可抵扣暂时性差异的应纳税所得额为限。资产负债表日，有确凿证据表明未</w:t>
      </w:r>
      <w:r>
        <w:rPr>
          <w:w w:val="101"/>
        </w:rPr>
        <w:t> </w:t>
      </w:r>
      <w:r>
        <w:rPr>
          <w:spacing w:val="-4"/>
        </w:rPr>
        <w:t>来期间很可能获得足够的应纳税所得额用来抵扣可抵扣暂时性差异的，确认以前会计期间未确认的递延所得税资产。对递延</w:t>
      </w:r>
      <w:r>
        <w:rPr>
          <w:spacing w:val="38"/>
        </w:rPr>
        <w:t> </w:t>
      </w:r>
      <w:r>
        <w:rPr>
          <w:spacing w:val="38"/>
        </w:rPr>
      </w:r>
      <w:r>
        <w:rPr>
          <w:spacing w:val="-4"/>
        </w:rPr>
        <w:t>所得税资产的账面价值进行复核，如果未来期间很可能无法获得足够的应纳税所得额用以抵扣递延所得税资产的利益，则减</w:t>
      </w:r>
      <w:r>
        <w:rPr>
          <w:spacing w:val="44"/>
        </w:rPr>
        <w:t> </w:t>
      </w:r>
      <w:r>
        <w:rPr>
          <w:spacing w:val="44"/>
        </w:rPr>
      </w:r>
      <w:r>
        <w:rPr>
          <w:spacing w:val="-3"/>
        </w:rPr>
        <w:t>记递延所得税资产的账面价值。在很可能获得足够的应纳税所得额时，转回减记的金额。</w:t>
      </w:r>
    </w:p>
    <w:p>
      <w:pPr>
        <w:pStyle w:val="BodyText"/>
        <w:spacing w:line="453" w:lineRule="auto" w:before="52"/>
        <w:ind w:right="1191" w:firstLine="360"/>
        <w:jc w:val="both"/>
      </w:pPr>
      <w:r>
        <w:rPr>
          <w:rFonts w:ascii="Times New Roman" w:hAnsi="Times New Roman" w:cs="Times New Roman" w:eastAsia="Times New Roman" w:hint="default"/>
          <w:spacing w:val="-3"/>
        </w:rPr>
        <w:t>(2)</w:t>
      </w:r>
      <w:r>
        <w:rPr>
          <w:spacing w:val="-3"/>
        </w:rPr>
        <w:t>当拥有以净额结算的法定权利，且意图以净额结算或取得资产、清偿负债同时进行时，本公司当期所得税资产及当</w:t>
      </w:r>
      <w:r>
        <w:rPr>
          <w:w w:val="101"/>
        </w:rPr>
        <w:t> </w:t>
      </w:r>
      <w:r>
        <w:rPr>
          <w:spacing w:val="-3"/>
        </w:rPr>
        <w:t>期所得税负债以抵销后的净额列报。</w:t>
      </w:r>
    </w:p>
    <w:p>
      <w:pPr>
        <w:pStyle w:val="BodyText"/>
        <w:spacing w:line="477" w:lineRule="auto" w:before="70"/>
        <w:ind w:right="1124" w:firstLine="360"/>
        <w:jc w:val="both"/>
      </w:pPr>
      <w:r>
        <w:rPr>
          <w:spacing w:val="-4"/>
          <w:w w:val="101"/>
        </w:rPr>
        <w:t>当拥有以净额结算当期所得税资产及当期所得税负债的法定权利，且递延所得税资产及递延所得税负债是与同一税收征</w:t>
      </w:r>
      <w:r>
        <w:rPr>
          <w:w w:val="101"/>
        </w:rPr>
        <w:t> </w:t>
      </w:r>
      <w:r>
        <w:rPr>
          <w:spacing w:val="-4"/>
          <w:w w:val="101"/>
        </w:rPr>
        <w:t>管部门对同一纳税主体征收的所得税相关或者是对不同的纳税主体相关，但在未来每一具有重要性的递延所得税资产及负债</w:t>
      </w:r>
      <w:r>
        <w:rPr>
          <w:w w:val="101"/>
        </w:rPr>
        <w:t> </w:t>
      </w:r>
      <w:r>
        <w:rPr>
          <w:spacing w:val="-4"/>
        </w:rPr>
        <w:t>转回的期间内，涉及的纳税主体意图以净额结算当期所得税资产和负债或是同时取得资产、清偿负债时，本公司递延所得税</w:t>
      </w:r>
      <w:r>
        <w:rPr>
          <w:spacing w:val="43"/>
        </w:rPr>
        <w:t> </w:t>
      </w:r>
      <w:r>
        <w:rPr>
          <w:spacing w:val="43"/>
        </w:rPr>
      </w:r>
      <w:r>
        <w:rPr>
          <w:spacing w:val="-3"/>
        </w:rPr>
        <w:t>资产及递延所得税负债以抵销后的净额列报。</w:t>
      </w:r>
    </w:p>
    <w:p>
      <w:pPr>
        <w:spacing w:line="240" w:lineRule="auto" w:before="12"/>
        <w:rPr>
          <w:rFonts w:ascii="宋体" w:hAnsi="宋体" w:cs="宋体" w:eastAsia="宋体" w:hint="default"/>
          <w:sz w:val="18"/>
          <w:szCs w:val="18"/>
        </w:rPr>
      </w:pPr>
    </w:p>
    <w:p>
      <w:pPr>
        <w:pStyle w:val="Heading3"/>
        <w:spacing w:line="240" w:lineRule="auto"/>
        <w:ind w:right="0"/>
        <w:jc w:val="left"/>
        <w:rPr>
          <w:b w:val="0"/>
          <w:bCs w:val="0"/>
        </w:rPr>
      </w:pPr>
      <w:bookmarkStart w:name="34、租赁" w:id="213"/>
      <w:bookmarkEnd w:id="213"/>
      <w:r>
        <w:rPr>
          <w:b w:val="0"/>
          <w:bCs w:val="0"/>
        </w:rPr>
      </w:r>
      <w:r>
        <w:rPr>
          <w:rFonts w:ascii="Times New Roman" w:hAnsi="Times New Roman" w:cs="Times New Roman" w:eastAsia="Times New Roman" w:hint="default"/>
        </w:rPr>
        <w:t>34</w:t>
      </w:r>
      <w:r>
        <w:rPr/>
        <w:t>、租赁</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经营租赁的会计处理方法" w:id="214"/>
      <w:bookmarkEnd w:id="214"/>
      <w:r>
        <w:rPr>
          <w:b w:val="0"/>
          <w:bCs w:val="0"/>
        </w:rPr>
      </w:r>
      <w:r>
        <w:rPr/>
        <w:t>（</w:t>
      </w:r>
      <w:r>
        <w:rPr>
          <w:rFonts w:ascii="Times New Roman" w:hAnsi="Times New Roman" w:cs="Times New Roman" w:eastAsia="Times New Roman" w:hint="default"/>
        </w:rPr>
        <w:t>1</w:t>
      </w:r>
      <w:r>
        <w:rPr/>
        <w:t>）经营租赁的会计处理方法</w:t>
      </w:r>
      <w:r>
        <w:rPr>
          <w:b w:val="0"/>
          <w:bCs w:val="0"/>
        </w:rPr>
      </w:r>
    </w:p>
    <w:p>
      <w:pPr>
        <w:spacing w:line="240" w:lineRule="auto" w:before="12"/>
        <w:rPr>
          <w:rFonts w:ascii="宋体" w:hAnsi="宋体" w:cs="宋体" w:eastAsia="宋体" w:hint="default"/>
          <w:b/>
          <w:bCs/>
          <w:sz w:val="32"/>
          <w:szCs w:val="32"/>
        </w:rPr>
      </w:pPr>
    </w:p>
    <w:p>
      <w:pPr>
        <w:pStyle w:val="BodyText"/>
        <w:spacing w:line="477" w:lineRule="auto"/>
        <w:ind w:right="0" w:firstLine="360"/>
        <w:jc w:val="left"/>
      </w:pPr>
      <w:r>
        <w:rPr>
          <w:spacing w:val="-3"/>
        </w:rPr>
        <w:t>①出租人：公司出租资产收取的租赁费，在不扣除免租期的整个租赁期内，按直线法进行分摊，确认为租赁相关收入。</w:t>
      </w:r>
      <w:r>
        <w:rPr>
          <w:w w:val="101"/>
        </w:rPr>
        <w:t> </w:t>
      </w:r>
      <w:r>
        <w:rPr>
          <w:spacing w:val="-4"/>
        </w:rPr>
        <w:t>公司支付的与租赁交易相关的初始直接费用，计入当期费用；如金额较大的，则予以资本化，在这个租赁期间内按照与租赁</w:t>
      </w:r>
      <w:r>
        <w:rPr>
          <w:spacing w:val="41"/>
        </w:rPr>
        <w:t> </w:t>
      </w:r>
      <w:r>
        <w:rPr>
          <w:spacing w:val="41"/>
        </w:rPr>
      </w:r>
      <w:r>
        <w:rPr>
          <w:spacing w:val="-4"/>
        </w:rPr>
        <w:t>相关收入确认相同的基础分期计入当期收益。公司承担了应由承租方承担的与租赁相关的费用时，公司将该部分费用从租金</w:t>
      </w:r>
    </w:p>
    <w:p>
      <w:pPr>
        <w:spacing w:after="0" w:line="477" w:lineRule="auto"/>
        <w:jc w:val="left"/>
        <w:sectPr>
          <w:pgSz w:w="11910" w:h="16840"/>
          <w:pgMar w:header="871" w:footer="1186" w:top="1100" w:bottom="1380" w:left="980" w:right="0"/>
        </w:sectPr>
      </w:pPr>
    </w:p>
    <w:p>
      <w:pPr>
        <w:spacing w:line="240" w:lineRule="auto" w:before="1"/>
        <w:rPr>
          <w:rFonts w:ascii="宋体" w:hAnsi="宋体" w:cs="宋体" w:eastAsia="宋体" w:hint="default"/>
          <w:sz w:val="28"/>
          <w:szCs w:val="28"/>
        </w:rPr>
      </w:pPr>
    </w:p>
    <w:p>
      <w:pPr>
        <w:pStyle w:val="BodyText"/>
        <w:spacing w:line="240" w:lineRule="auto" w:before="46"/>
        <w:ind w:right="0"/>
        <w:jc w:val="left"/>
      </w:pPr>
      <w:r>
        <w:rPr>
          <w:spacing w:val="-3"/>
        </w:rPr>
        <w:t>收入总额扣除，按扣除后的租金费用在租赁期内分配。或有租金于实际发生时计入当期损益。</w:t>
      </w:r>
    </w:p>
    <w:p>
      <w:pPr>
        <w:spacing w:line="240" w:lineRule="auto" w:before="8"/>
        <w:rPr>
          <w:rFonts w:ascii="宋体" w:hAnsi="宋体" w:cs="宋体" w:eastAsia="宋体" w:hint="default"/>
          <w:sz w:val="17"/>
          <w:szCs w:val="17"/>
        </w:rPr>
      </w:pPr>
    </w:p>
    <w:p>
      <w:pPr>
        <w:pStyle w:val="BodyText"/>
        <w:spacing w:line="477" w:lineRule="auto"/>
        <w:ind w:right="1036" w:firstLine="360"/>
        <w:jc w:val="both"/>
      </w:pPr>
      <w:r>
        <w:rPr>
          <w:spacing w:val="-5"/>
        </w:rPr>
        <w:t>②承租人：公司租入资产所支付的租赁费，在不扣除免租期的整个租赁期内，按直线法进行分摊，计入当期费用。公司</w:t>
      </w:r>
      <w:r>
        <w:rPr>
          <w:w w:val="101"/>
        </w:rPr>
        <w:t> </w:t>
      </w:r>
      <w:r>
        <w:rPr>
          <w:spacing w:val="-4"/>
        </w:rPr>
        <w:t>支付的与租赁交易相关的初始直接费用，计入当期费用；资产出租方承担了应由公司承担的与租赁相关的费用时，公司将该</w:t>
      </w:r>
      <w:r>
        <w:rPr>
          <w:spacing w:val="43"/>
        </w:rPr>
        <w:t> </w:t>
      </w:r>
      <w:r>
        <w:rPr>
          <w:spacing w:val="43"/>
        </w:rPr>
      </w:r>
      <w:r>
        <w:rPr>
          <w:spacing w:val="-3"/>
        </w:rPr>
        <w:t>部分费用从租金总额中扣除，按扣除后的租金费用在租赁期内分摊，计入当期费用。或有租金于实际发生时计入当期损益。</w:t>
      </w:r>
    </w:p>
    <w:p>
      <w:pPr>
        <w:spacing w:line="240" w:lineRule="auto" w:before="3"/>
        <w:rPr>
          <w:rFonts w:ascii="宋体" w:hAnsi="宋体" w:cs="宋体" w:eastAsia="宋体" w:hint="default"/>
          <w:sz w:val="19"/>
          <w:szCs w:val="19"/>
        </w:rPr>
      </w:pPr>
    </w:p>
    <w:p>
      <w:pPr>
        <w:pStyle w:val="Heading3"/>
        <w:spacing w:line="240" w:lineRule="auto"/>
        <w:ind w:right="0"/>
        <w:jc w:val="left"/>
        <w:rPr>
          <w:b w:val="0"/>
          <w:bCs w:val="0"/>
        </w:rPr>
      </w:pPr>
      <w:bookmarkStart w:name="（2）融资租赁的会计处理方法" w:id="215"/>
      <w:bookmarkEnd w:id="215"/>
      <w:r>
        <w:rPr>
          <w:b w:val="0"/>
          <w:bCs w:val="0"/>
        </w:rPr>
      </w:r>
      <w:r>
        <w:rPr/>
        <w:t>（</w:t>
      </w:r>
      <w:r>
        <w:rPr>
          <w:rFonts w:ascii="Times New Roman" w:hAnsi="Times New Roman" w:cs="Times New Roman" w:eastAsia="Times New Roman" w:hint="default"/>
        </w:rPr>
        <w:t>2</w:t>
      </w:r>
      <w:r>
        <w:rPr/>
        <w:t>）融资租赁的会计处理方法</w:t>
      </w:r>
      <w:r>
        <w:rPr>
          <w:b w:val="0"/>
          <w:bCs w:val="0"/>
        </w:rPr>
      </w:r>
    </w:p>
    <w:p>
      <w:pPr>
        <w:spacing w:line="240" w:lineRule="auto" w:before="8"/>
        <w:rPr>
          <w:rFonts w:ascii="宋体" w:hAnsi="宋体" w:cs="宋体" w:eastAsia="宋体" w:hint="default"/>
          <w:b/>
          <w:bCs/>
          <w:sz w:val="32"/>
          <w:szCs w:val="32"/>
        </w:rPr>
      </w:pPr>
    </w:p>
    <w:p>
      <w:pPr>
        <w:pStyle w:val="BodyText"/>
        <w:spacing w:line="477" w:lineRule="auto"/>
        <w:ind w:right="1124" w:firstLine="360"/>
        <w:jc w:val="both"/>
      </w:pPr>
      <w:r>
        <w:rPr>
          <w:spacing w:val="-4"/>
        </w:rPr>
        <w:t>出租人：在租赁期开始日本公司按最低租赁收款额与初始直接费用之和作为应收融资租赁款的入账价值，同时记录未担</w:t>
      </w:r>
      <w:r>
        <w:rPr>
          <w:w w:val="101"/>
        </w:rPr>
        <w:t> </w:t>
      </w:r>
      <w:r>
        <w:rPr>
          <w:spacing w:val="-4"/>
        </w:rPr>
        <w:t>保余值；将最低租赁收款额、初始直接费用及未担保余值之和与其现值之和的差额确认为未实现融资收益。未实现融资收益</w:t>
      </w:r>
      <w:r>
        <w:rPr>
          <w:spacing w:val="43"/>
        </w:rPr>
        <w:t> </w:t>
      </w:r>
      <w:r>
        <w:rPr>
          <w:spacing w:val="43"/>
        </w:rPr>
      </w:r>
      <w:r>
        <w:rPr>
          <w:spacing w:val="-4"/>
          <w:w w:val="101"/>
        </w:rPr>
        <w:t>在租赁期内各个期间采用实际利率法计算确认当期的融资收入。应收融资租赁款扣除未实现融资收益后的余额分别长期债权</w:t>
      </w:r>
      <w:r>
        <w:rPr>
          <w:w w:val="101"/>
        </w:rPr>
        <w:t> </w:t>
      </w:r>
      <w:r>
        <w:rPr>
          <w:spacing w:val="-3"/>
        </w:rPr>
        <w:t>和一年内到期的长期债权列示。或有租金于实际发生时计入当期损益。</w:t>
      </w:r>
    </w:p>
    <w:p>
      <w:pPr>
        <w:pStyle w:val="BodyText"/>
        <w:spacing w:line="477" w:lineRule="auto" w:before="52"/>
        <w:ind w:right="1123" w:firstLine="360"/>
        <w:jc w:val="both"/>
      </w:pPr>
      <w:r>
        <w:rPr>
          <w:spacing w:val="-4"/>
        </w:rPr>
        <w:t>承租人：在租赁期开始日本公司将租赁资产公允价值与最低租赁付款额现值两者中较低者作为租入资产的入账价值，将</w:t>
      </w:r>
      <w:r>
        <w:rPr>
          <w:w w:val="101"/>
        </w:rPr>
        <w:t> </w:t>
      </w:r>
      <w:r>
        <w:rPr>
          <w:spacing w:val="-4"/>
        </w:rPr>
        <w:t>最低租赁付款额作为长期应付款的入账价值，其差额作为未确认融资费用。初始直接费用计入租入资产价值。未确认融资费</w:t>
      </w:r>
      <w:r>
        <w:rPr>
          <w:spacing w:val="43"/>
        </w:rPr>
        <w:t> </w:t>
      </w:r>
      <w:r>
        <w:rPr>
          <w:spacing w:val="43"/>
        </w:rPr>
      </w:r>
      <w:r>
        <w:rPr>
          <w:spacing w:val="-4"/>
          <w:w w:val="101"/>
        </w:rPr>
        <w:t>用在租赁期内各个期间采用实际利率法计算确认当期的融资费用。最低租赁付款额扣除未确认融资费用后的余额分别长期负</w:t>
      </w:r>
      <w:r>
        <w:rPr>
          <w:w w:val="101"/>
        </w:rPr>
        <w:t> </w:t>
      </w:r>
      <w:r>
        <w:rPr>
          <w:spacing w:val="-3"/>
        </w:rPr>
        <w:t>债和一年内到期的长期负债列示。或有租金于实际发生时计入当期损益。</w:t>
      </w:r>
    </w:p>
    <w:p>
      <w:pPr>
        <w:spacing w:line="240" w:lineRule="auto" w:before="12"/>
        <w:rPr>
          <w:rFonts w:ascii="宋体" w:hAnsi="宋体" w:cs="宋体" w:eastAsia="宋体" w:hint="default"/>
          <w:sz w:val="18"/>
          <w:szCs w:val="18"/>
        </w:rPr>
      </w:pPr>
    </w:p>
    <w:p>
      <w:pPr>
        <w:pStyle w:val="Heading3"/>
        <w:spacing w:line="240" w:lineRule="auto"/>
        <w:ind w:right="0"/>
        <w:jc w:val="left"/>
        <w:rPr>
          <w:b w:val="0"/>
          <w:bCs w:val="0"/>
        </w:rPr>
      </w:pPr>
      <w:bookmarkStart w:name="35、其他重要的会计政策和会计估计" w:id="216"/>
      <w:bookmarkEnd w:id="216"/>
      <w:r>
        <w:rPr>
          <w:b w:val="0"/>
          <w:bCs w:val="0"/>
        </w:rPr>
      </w:r>
      <w:r>
        <w:rPr>
          <w:rFonts w:ascii="Times New Roman" w:hAnsi="Times New Roman" w:cs="Times New Roman" w:eastAsia="Times New Roman" w:hint="default"/>
        </w:rPr>
        <w:t>35</w:t>
      </w:r>
      <w:r>
        <w:rPr/>
        <w:t>、其他重要的会计政策和会计估计</w:t>
      </w:r>
      <w:r>
        <w:rPr>
          <w:b w:val="0"/>
          <w:bCs w:val="0"/>
        </w:rPr>
      </w:r>
    </w:p>
    <w:p>
      <w:pPr>
        <w:spacing w:line="240" w:lineRule="auto" w:before="12"/>
        <w:rPr>
          <w:rFonts w:ascii="宋体" w:hAnsi="宋体" w:cs="宋体" w:eastAsia="宋体" w:hint="default"/>
          <w:b/>
          <w:bCs/>
          <w:sz w:val="32"/>
          <w:szCs w:val="32"/>
        </w:rPr>
      </w:pPr>
    </w:p>
    <w:p>
      <w:pPr>
        <w:pStyle w:val="BodyText"/>
        <w:spacing w:line="477" w:lineRule="auto"/>
        <w:ind w:right="0" w:firstLine="360"/>
        <w:jc w:val="left"/>
      </w:pPr>
      <w:r>
        <w:rPr>
          <w:spacing w:val="-4"/>
        </w:rPr>
        <w:t>本公司在运用会计政策过程中，由于经营活动内在的不确定性，本公司需要对无法准确计量的报表项目的账面价值进行</w:t>
      </w:r>
      <w:r>
        <w:rPr>
          <w:w w:val="101"/>
        </w:rPr>
        <w:t> </w:t>
      </w:r>
      <w:r>
        <w:rPr>
          <w:spacing w:val="-3"/>
        </w:rPr>
        <w:t>判断、估计和假设。这些判断、估计和假设是基于本公司管理层过去的历史经验，并在考虑其他相关因素的基础上做出的。</w:t>
      </w:r>
      <w:r>
        <w:rPr>
          <w:spacing w:val="75"/>
        </w:rPr>
        <w:t> </w:t>
      </w:r>
      <w:r>
        <w:rPr>
          <w:spacing w:val="75"/>
        </w:rPr>
      </w:r>
      <w:r>
        <w:rPr>
          <w:spacing w:val="-4"/>
        </w:rPr>
        <w:t>这些判断、估计和假设会影响收入、费用、资产和负债的报告金额以及资产负债表日或有负债的披露。然而，这些估计的不</w:t>
      </w:r>
      <w:r>
        <w:rPr>
          <w:spacing w:val="40"/>
        </w:rPr>
        <w:t> </w:t>
      </w:r>
      <w:r>
        <w:rPr>
          <w:spacing w:val="40"/>
        </w:rPr>
      </w:r>
      <w:r>
        <w:rPr>
          <w:spacing w:val="-4"/>
          <w:w w:val="101"/>
        </w:rPr>
        <w:t>确定性所导致的实际结果可能与本公司管理层当前的估计存在差异，进而造成对未来受影响的资产或负债的账面金额进行重</w:t>
      </w:r>
      <w:r>
        <w:rPr>
          <w:w w:val="101"/>
        </w:rPr>
        <w:t> </w:t>
      </w:r>
      <w:r>
        <w:rPr>
          <w:spacing w:val="-4"/>
        </w:rPr>
        <w:t>大调整。本公司对前述判断、估计和假设在持续经营的基础上进行定期复核，会计估计的变更仅影响变更当期的，其影响数</w:t>
      </w:r>
      <w:r>
        <w:rPr>
          <w:spacing w:val="40"/>
        </w:rPr>
        <w:t> </w:t>
      </w:r>
      <w:r>
        <w:rPr>
          <w:spacing w:val="40"/>
        </w:rPr>
      </w:r>
      <w:r>
        <w:rPr>
          <w:spacing w:val="-4"/>
        </w:rPr>
        <w:t>在变更当期予以确认；既影响变更当期又影响未来期间的，其影响数在变更当期和未来期间予以确认。于资产负债表日，本</w:t>
      </w:r>
      <w:r>
        <w:rPr>
          <w:spacing w:val="40"/>
        </w:rPr>
        <w:t> </w:t>
      </w:r>
      <w:r>
        <w:rPr>
          <w:spacing w:val="40"/>
        </w:rPr>
      </w:r>
      <w:r>
        <w:rPr>
          <w:spacing w:val="-3"/>
        </w:rPr>
        <w:t>公司需对财务报表项目金额进行判断、估计和假设的重要领域如下：</w:t>
      </w:r>
    </w:p>
    <w:p>
      <w:pPr>
        <w:pStyle w:val="BodyText"/>
        <w:spacing w:line="240" w:lineRule="auto" w:before="52"/>
        <w:ind w:left="513" w:right="0"/>
        <w:jc w:val="left"/>
      </w:pPr>
      <w:r>
        <w:rPr>
          <w:rFonts w:ascii="Times New Roman" w:hAnsi="Times New Roman" w:cs="Times New Roman" w:eastAsia="Times New Roman" w:hint="default"/>
        </w:rPr>
        <w:t>(1)</w:t>
      </w:r>
      <w:r>
        <w:rPr/>
        <w:t>租赁的分类</w:t>
      </w:r>
    </w:p>
    <w:p>
      <w:pPr>
        <w:spacing w:line="240" w:lineRule="auto" w:before="12"/>
        <w:rPr>
          <w:rFonts w:ascii="宋体" w:hAnsi="宋体" w:cs="宋体" w:eastAsia="宋体" w:hint="default"/>
          <w:sz w:val="16"/>
          <w:szCs w:val="16"/>
        </w:rPr>
      </w:pPr>
    </w:p>
    <w:p>
      <w:pPr>
        <w:pStyle w:val="BodyText"/>
        <w:spacing w:line="463" w:lineRule="auto"/>
        <w:ind w:right="1128" w:firstLine="360"/>
        <w:jc w:val="both"/>
      </w:pPr>
      <w:r>
        <w:rPr/>
        <w:t>本公司根据《企业会计准则第 </w:t>
      </w:r>
      <w:r>
        <w:rPr>
          <w:rFonts w:ascii="Times New Roman" w:hAnsi="Times New Roman" w:cs="Times New Roman" w:eastAsia="Times New Roman" w:hint="default"/>
          <w:spacing w:val="-3"/>
        </w:rPr>
        <w:t>21</w:t>
      </w:r>
      <w:r>
        <w:rPr>
          <w:rFonts w:ascii="Times New Roman" w:hAnsi="Times New Roman" w:cs="Times New Roman" w:eastAsia="Times New Roman" w:hint="default"/>
          <w:spacing w:val="26"/>
        </w:rPr>
        <w:t> </w:t>
      </w:r>
      <w:r>
        <w:rPr>
          <w:spacing w:val="-3"/>
        </w:rPr>
        <w:t>号</w:t>
      </w:r>
      <w:r>
        <w:rPr>
          <w:rFonts w:ascii="Times New Roman" w:hAnsi="Times New Roman" w:cs="Times New Roman" w:eastAsia="Times New Roman" w:hint="default"/>
          <w:spacing w:val="-3"/>
        </w:rPr>
        <w:t>——</w:t>
      </w:r>
      <w:r>
        <w:rPr>
          <w:spacing w:val="-3"/>
        </w:rPr>
        <w:t>租赁》的规定，将租赁归类为经营租赁和融资租赁，在进行归类时，管理层需</w:t>
      </w:r>
      <w:r>
        <w:rPr>
          <w:w w:val="101"/>
        </w:rPr>
        <w:t> </w:t>
      </w:r>
      <w:r>
        <w:rPr>
          <w:spacing w:val="-4"/>
          <w:w w:val="101"/>
        </w:rPr>
        <w:t>要对是否已将与租出资产所有权有关的全部风险和报酬实质上转移给承租人，或者本公司是否已经实质上承担与租入资产所</w:t>
      </w:r>
      <w:r>
        <w:rPr>
          <w:w w:val="101"/>
        </w:rPr>
        <w:t> </w:t>
      </w:r>
      <w:r>
        <w:rPr>
          <w:spacing w:val="-3"/>
        </w:rPr>
        <w:t>有权有关的全部风险和报酬，作出分析和判断。</w:t>
      </w:r>
    </w:p>
    <w:p>
      <w:pPr>
        <w:pStyle w:val="BodyText"/>
        <w:spacing w:line="453" w:lineRule="auto" w:before="63"/>
        <w:ind w:left="513" w:right="0"/>
        <w:jc w:val="left"/>
      </w:pPr>
      <w:r>
        <w:rPr>
          <w:rFonts w:ascii="Times New Roman" w:hAnsi="Times New Roman" w:cs="Times New Roman" w:eastAsia="Times New Roman" w:hint="default"/>
        </w:rPr>
        <w:t>(2)</w:t>
      </w:r>
      <w:r>
        <w:rPr/>
        <w:t>金融工具的减值</w:t>
      </w:r>
      <w:r>
        <w:rPr>
          <w:spacing w:val="-88"/>
        </w:rPr>
        <w:t> </w:t>
      </w:r>
      <w:r>
        <w:rPr>
          <w:spacing w:val="-88"/>
        </w:rPr>
      </w:r>
      <w:r>
        <w:rPr>
          <w:spacing w:val="-5"/>
          <w:w w:val="101"/>
        </w:rPr>
        <w:t>本公司采用预期信用损失模型对以摊余成本计量的应收款项及债权投资、以公允价值计量且其变动计入其他综合收益的</w:t>
      </w:r>
      <w:r>
        <w:rPr>
          <w:spacing w:val="-5"/>
        </w:rPr>
      </w:r>
    </w:p>
    <w:p>
      <w:pPr>
        <w:pStyle w:val="BodyText"/>
        <w:spacing w:line="240" w:lineRule="auto" w:before="69"/>
        <w:ind w:right="0"/>
        <w:jc w:val="left"/>
      </w:pPr>
      <w:r>
        <w:rPr>
          <w:spacing w:val="-4"/>
        </w:rPr>
        <w:t>应收款项融资及其他债权投资等的减值进行评估。运用预期信用损失模型涉及管理层的重大判断和估计。预期信用损失计量</w:t>
      </w:r>
    </w:p>
    <w:p>
      <w:pPr>
        <w:spacing w:after="0" w:line="240" w:lineRule="auto"/>
        <w:jc w:val="left"/>
        <w:sectPr>
          <w:pgSz w:w="11910" w:h="16840"/>
          <w:pgMar w:header="871" w:footer="1186" w:top="1100" w:bottom="1380" w:left="980" w:right="0"/>
        </w:sectPr>
      </w:pPr>
    </w:p>
    <w:p>
      <w:pPr>
        <w:spacing w:line="240" w:lineRule="auto" w:before="1"/>
        <w:rPr>
          <w:rFonts w:ascii="宋体" w:hAnsi="宋体" w:cs="宋体" w:eastAsia="宋体" w:hint="default"/>
          <w:sz w:val="28"/>
          <w:szCs w:val="28"/>
        </w:rPr>
      </w:pPr>
    </w:p>
    <w:p>
      <w:pPr>
        <w:pStyle w:val="BodyText"/>
        <w:spacing w:line="477" w:lineRule="auto" w:before="46"/>
        <w:ind w:right="1128"/>
        <w:jc w:val="both"/>
      </w:pPr>
      <w:r>
        <w:rPr>
          <w:spacing w:val="-8"/>
          <w:w w:val="101"/>
        </w:rPr>
        <w:t>的关键参数包括违约概率、违约损失率和违约风险敞口。本公司考虑历史统计数据的定量分析及前瞻性信息，建立违约概率、</w:t>
      </w:r>
      <w:r>
        <w:rPr>
          <w:spacing w:val="-53"/>
          <w:w w:val="101"/>
        </w:rPr>
        <w:t> </w:t>
      </w:r>
      <w:r>
        <w:rPr>
          <w:spacing w:val="-53"/>
          <w:w w:val="101"/>
        </w:rPr>
      </w:r>
      <w:r>
        <w:rPr>
          <w:spacing w:val="-4"/>
          <w:w w:val="101"/>
        </w:rPr>
        <w:t>违约损失率及违约风险敞口模型。实际的金融工具减值结果与原先估计的差异将在估计被改变的期间影响金融工具的账面价</w:t>
      </w:r>
      <w:r>
        <w:rPr>
          <w:w w:val="101"/>
        </w:rPr>
        <w:t> </w:t>
      </w:r>
      <w:r>
        <w:rPr>
          <w:spacing w:val="-3"/>
        </w:rPr>
        <w:t>值及信用减值损失的计提或转回。</w:t>
      </w:r>
    </w:p>
    <w:p>
      <w:pPr>
        <w:pStyle w:val="BodyText"/>
        <w:spacing w:line="453" w:lineRule="auto" w:before="52"/>
        <w:ind w:left="513" w:right="0"/>
        <w:jc w:val="left"/>
      </w:pPr>
      <w:r>
        <w:rPr>
          <w:rFonts w:ascii="Times New Roman" w:hAnsi="Times New Roman" w:cs="Times New Roman" w:eastAsia="Times New Roman" w:hint="default"/>
        </w:rPr>
        <w:t>(3)</w:t>
      </w:r>
      <w:r>
        <w:rPr/>
        <w:t>存货跌价准备</w:t>
      </w:r>
      <w:r>
        <w:rPr>
          <w:spacing w:val="-85"/>
        </w:rPr>
        <w:t> </w:t>
      </w:r>
      <w:r>
        <w:rPr>
          <w:spacing w:val="-85"/>
        </w:rPr>
      </w:r>
      <w:r>
        <w:rPr>
          <w:spacing w:val="-4"/>
        </w:rPr>
        <w:t>本公司根据存货会计政策，按照成本与可变现净值孰低计量，对成本高于可变现净值及陈旧和滞销的存货，计提存货跌</w:t>
      </w:r>
    </w:p>
    <w:p>
      <w:pPr>
        <w:pStyle w:val="BodyText"/>
        <w:spacing w:line="477" w:lineRule="auto" w:before="70"/>
        <w:ind w:right="1124"/>
        <w:jc w:val="both"/>
      </w:pPr>
      <w:r>
        <w:rPr>
          <w:spacing w:val="-4"/>
        </w:rPr>
        <w:t>价准备。存货减值至可变现净值是基于评估存货的可售性及其可变现净值。鉴定存货减值要求管理层在取得确凿证据，并且</w:t>
      </w:r>
      <w:r>
        <w:rPr>
          <w:spacing w:val="43"/>
        </w:rPr>
        <w:t> </w:t>
      </w:r>
      <w:r>
        <w:rPr>
          <w:spacing w:val="43"/>
        </w:rPr>
      </w:r>
      <w:r>
        <w:rPr>
          <w:spacing w:val="-4"/>
        </w:rPr>
        <w:t>考虑持有存货的目的、资产负债表日后事项的影响等因素的基础上作出判断和估计。实际的结果与原先估计的差异将在估计</w:t>
      </w:r>
      <w:r>
        <w:rPr>
          <w:spacing w:val="42"/>
        </w:rPr>
        <w:t> </w:t>
      </w:r>
      <w:r>
        <w:rPr>
          <w:spacing w:val="42"/>
        </w:rPr>
      </w:r>
      <w:r>
        <w:rPr>
          <w:spacing w:val="-3"/>
        </w:rPr>
        <w:t>被改变的期间影响存货的账面价值及存货跌价准备的计提或转回。</w:t>
      </w:r>
    </w:p>
    <w:p>
      <w:pPr>
        <w:pStyle w:val="BodyText"/>
        <w:spacing w:line="448" w:lineRule="auto" w:before="56"/>
        <w:ind w:left="513" w:right="0"/>
        <w:jc w:val="left"/>
      </w:pPr>
      <w:r>
        <w:rPr>
          <w:rFonts w:ascii="Times New Roman" w:hAnsi="Times New Roman" w:cs="Times New Roman" w:eastAsia="Times New Roman" w:hint="default"/>
        </w:rPr>
        <w:t>(4)</w:t>
      </w:r>
      <w:r>
        <w:rPr/>
        <w:t>非金融非流动资产减值</w:t>
      </w:r>
      <w:r>
        <w:rPr>
          <w:spacing w:val="-86"/>
        </w:rPr>
        <w:t> </w:t>
      </w:r>
      <w:r>
        <w:rPr>
          <w:spacing w:val="-86"/>
        </w:rPr>
      </w:r>
      <w:r>
        <w:rPr>
          <w:spacing w:val="-5"/>
          <w:w w:val="101"/>
        </w:rPr>
        <w:t>本公司于资产负债表日对除金融资产之外的非流动资产判断是否存在可能发生减值的迹象。对使用寿命不确定的无形资</w:t>
      </w:r>
      <w:r>
        <w:rPr>
          <w:spacing w:val="-5"/>
        </w:rPr>
      </w:r>
    </w:p>
    <w:p>
      <w:pPr>
        <w:pStyle w:val="BodyText"/>
        <w:spacing w:line="475" w:lineRule="auto" w:before="78"/>
        <w:ind w:right="1123"/>
        <w:jc w:val="both"/>
      </w:pPr>
      <w:r>
        <w:rPr>
          <w:spacing w:val="-4"/>
        </w:rPr>
        <w:t>产，除每年进行的减值测试外，当其存在减值迹象时，也进行减值测试。其他除金融资产之外的非流动资产，当存在迹象表</w:t>
      </w:r>
      <w:r>
        <w:rPr>
          <w:spacing w:val="40"/>
        </w:rPr>
        <w:t> </w:t>
      </w:r>
      <w:r>
        <w:rPr>
          <w:spacing w:val="40"/>
        </w:rPr>
      </w:r>
      <w:r>
        <w:rPr>
          <w:spacing w:val="-3"/>
        </w:rPr>
        <w:t>明其账面金额不可收回时，进行减值测试。</w:t>
      </w:r>
    </w:p>
    <w:p>
      <w:pPr>
        <w:pStyle w:val="BodyText"/>
        <w:spacing w:line="475" w:lineRule="auto" w:before="58"/>
        <w:ind w:right="935" w:firstLine="360"/>
        <w:jc w:val="left"/>
      </w:pPr>
      <w:r>
        <w:rPr>
          <w:spacing w:val="-4"/>
          <w:w w:val="101"/>
        </w:rPr>
        <w:t>当资产或资产组的账面价值高于可收回金额，即公允价值减去处置费用后的净额和预计未来现金流量的现值中的较高者，</w:t>
      </w:r>
      <w:r>
        <w:rPr>
          <w:w w:val="101"/>
        </w:rPr>
        <w:t> </w:t>
      </w:r>
      <w:r>
        <w:rPr/>
        <w:t>表明发生了减值。</w:t>
      </w:r>
    </w:p>
    <w:p>
      <w:pPr>
        <w:pStyle w:val="BodyText"/>
        <w:spacing w:line="468" w:lineRule="auto" w:before="58"/>
        <w:ind w:right="1122" w:firstLine="360"/>
        <w:jc w:val="both"/>
      </w:pPr>
      <w:r>
        <w:rPr>
          <w:spacing w:val="-4"/>
        </w:rPr>
        <w:t>公允价值减去处置费用后的净额，参考公平交易中类似资产的销售协议价格或可观察到的市场价格，减去可直接归属于</w:t>
      </w:r>
      <w:r>
        <w:rPr>
          <w:w w:val="101"/>
        </w:rPr>
        <w:t> </w:t>
      </w:r>
      <w:r>
        <w:rPr>
          <w:spacing w:val="-3"/>
        </w:rPr>
        <w:t>该资产处置的增量成本确定。在预计未来现金流量现值时，需要对该资产</w:t>
      </w:r>
      <w:r>
        <w:rPr>
          <w:rFonts w:ascii="Times New Roman" w:hAnsi="Times New Roman" w:cs="Times New Roman" w:eastAsia="Times New Roman" w:hint="default"/>
          <w:spacing w:val="-3"/>
        </w:rPr>
        <w:t>(</w:t>
      </w:r>
      <w:r>
        <w:rPr>
          <w:spacing w:val="-3"/>
        </w:rPr>
        <w:t>或资产组</w:t>
      </w:r>
      <w:r>
        <w:rPr>
          <w:rFonts w:ascii="Times New Roman" w:hAnsi="Times New Roman" w:cs="Times New Roman" w:eastAsia="Times New Roman" w:hint="default"/>
          <w:spacing w:val="-3"/>
        </w:rPr>
        <w:t>)</w:t>
      </w:r>
      <w:r>
        <w:rPr>
          <w:spacing w:val="-3"/>
        </w:rPr>
        <w:t>的产量、售价、相关经营成本以及计算</w:t>
      </w:r>
      <w:r>
        <w:rPr>
          <w:spacing w:val="52"/>
        </w:rPr>
        <w:t> </w:t>
      </w:r>
      <w:r>
        <w:rPr>
          <w:spacing w:val="52"/>
        </w:rPr>
      </w:r>
      <w:r>
        <w:rPr>
          <w:spacing w:val="-4"/>
        </w:rPr>
        <w:t>现值时使用的折现率等作出重大判断。本公司在估计可收回金额时会采用所有能够获得的相关资料，包括根据合理和可支持</w:t>
      </w:r>
      <w:r>
        <w:rPr>
          <w:spacing w:val="45"/>
        </w:rPr>
        <w:t> </w:t>
      </w:r>
      <w:r>
        <w:rPr>
          <w:spacing w:val="45"/>
        </w:rPr>
      </w:r>
      <w:r>
        <w:rPr>
          <w:spacing w:val="-3"/>
        </w:rPr>
        <w:t>的假设所作出有关产量、售价和相关经营成本的预测。</w:t>
      </w:r>
    </w:p>
    <w:p>
      <w:pPr>
        <w:pStyle w:val="BodyText"/>
        <w:spacing w:line="475" w:lineRule="auto" w:before="64"/>
        <w:ind w:right="0" w:firstLine="360"/>
        <w:jc w:val="left"/>
      </w:pPr>
      <w:r>
        <w:rPr>
          <w:spacing w:val="-4"/>
        </w:rPr>
        <w:t>本公司至少每年评估商誉是否发生减值，要求对分配了商誉的资产组的使用价值进行估计。估计使用价值时，本公司需</w:t>
      </w:r>
      <w:r>
        <w:rPr>
          <w:w w:val="101"/>
        </w:rPr>
        <w:t> </w:t>
      </w:r>
      <w:r>
        <w:rPr>
          <w:spacing w:val="-3"/>
        </w:rPr>
        <w:t>要估计未来来自资产组的现金流量，同时选择恰当的折现率计算未来现金流量的现值。</w:t>
      </w:r>
    </w:p>
    <w:p>
      <w:pPr>
        <w:pStyle w:val="BodyText"/>
        <w:spacing w:line="448" w:lineRule="auto" w:before="59"/>
        <w:ind w:left="513" w:right="1029"/>
        <w:jc w:val="left"/>
      </w:pPr>
      <w:r>
        <w:rPr>
          <w:rFonts w:ascii="Times New Roman" w:hAnsi="Times New Roman" w:cs="Times New Roman" w:eastAsia="Times New Roman" w:hint="default"/>
        </w:rPr>
        <w:t>(5)</w:t>
      </w:r>
      <w:r>
        <w:rPr/>
        <w:t>折旧和摊销</w:t>
      </w:r>
      <w:r>
        <w:rPr>
          <w:spacing w:val="-88"/>
        </w:rPr>
        <w:t> </w:t>
      </w:r>
      <w:r>
        <w:rPr>
          <w:spacing w:val="-88"/>
        </w:rPr>
      </w:r>
      <w:r>
        <w:rPr>
          <w:spacing w:val="-4"/>
        </w:rPr>
        <w:t>本公司对投资性房地产、固定资产和无形资产在考虑其残值后，在使用寿命内按直线法计提折旧和摊销。本公司定期复</w:t>
      </w:r>
    </w:p>
    <w:p>
      <w:pPr>
        <w:pStyle w:val="BodyText"/>
        <w:spacing w:line="475" w:lineRule="auto" w:before="78"/>
        <w:ind w:right="1122"/>
        <w:jc w:val="both"/>
      </w:pPr>
      <w:r>
        <w:rPr>
          <w:spacing w:val="-4"/>
        </w:rPr>
        <w:t>核使用寿命，以决定将计入每个报告期的折旧和摊销费用数额。使用寿命是本公司根据对同类资产的以往经验并结合预期的</w:t>
      </w:r>
      <w:r>
        <w:rPr>
          <w:spacing w:val="44"/>
        </w:rPr>
        <w:t> </w:t>
      </w:r>
      <w:r>
        <w:rPr>
          <w:spacing w:val="44"/>
        </w:rPr>
      </w:r>
      <w:r>
        <w:rPr>
          <w:spacing w:val="-3"/>
        </w:rPr>
        <w:t>技术更新而确定的。如果以前的估计发生重大变化，则会在未来期间对折旧和摊销费用进行调整。</w:t>
      </w:r>
    </w:p>
    <w:p>
      <w:pPr>
        <w:pStyle w:val="BodyText"/>
        <w:spacing w:line="448" w:lineRule="auto" w:before="59"/>
        <w:ind w:left="513" w:right="0"/>
        <w:jc w:val="left"/>
      </w:pPr>
      <w:r>
        <w:rPr>
          <w:rFonts w:ascii="Times New Roman" w:hAnsi="Times New Roman" w:cs="Times New Roman" w:eastAsia="Times New Roman" w:hint="default"/>
        </w:rPr>
        <w:t>(6)</w:t>
      </w:r>
      <w:r>
        <w:rPr/>
        <w:t>递延所得税资产</w:t>
      </w:r>
      <w:r>
        <w:rPr>
          <w:spacing w:val="-88"/>
        </w:rPr>
        <w:t> </w:t>
      </w:r>
      <w:r>
        <w:rPr>
          <w:spacing w:val="-88"/>
        </w:rPr>
      </w:r>
      <w:r>
        <w:rPr>
          <w:spacing w:val="-4"/>
        </w:rPr>
        <w:t>在很有可能有足够的应纳税利润来抵扣亏损的限度内，本公司就所有未利用的税务亏损确认递延所得税资产。这需要本</w:t>
      </w:r>
    </w:p>
    <w:p>
      <w:pPr>
        <w:pStyle w:val="BodyText"/>
        <w:spacing w:line="475" w:lineRule="auto" w:before="78"/>
        <w:ind w:right="1128"/>
        <w:jc w:val="both"/>
      </w:pPr>
      <w:r>
        <w:rPr>
          <w:spacing w:val="-5"/>
        </w:rPr>
        <w:t>公司管理层运用大量的判断来估计未来应纳税利润发生的时间和金额，结合纳税筹划策略，以决定应确认的递延所得税资产</w:t>
      </w:r>
      <w:r>
        <w:rPr>
          <w:spacing w:val="6"/>
        </w:rPr>
        <w:t> </w:t>
      </w:r>
      <w:r>
        <w:rPr>
          <w:spacing w:val="6"/>
        </w:rPr>
      </w:r>
      <w:r>
        <w:rPr/>
        <w:t>的金额。</w:t>
      </w:r>
    </w:p>
    <w:p>
      <w:pPr>
        <w:pStyle w:val="BodyText"/>
        <w:spacing w:line="240" w:lineRule="auto" w:before="58"/>
        <w:ind w:left="513" w:right="0"/>
        <w:jc w:val="left"/>
      </w:pPr>
      <w:r>
        <w:rPr>
          <w:rFonts w:ascii="Times New Roman" w:hAnsi="Times New Roman" w:cs="Times New Roman" w:eastAsia="Times New Roman" w:hint="default"/>
        </w:rPr>
        <w:t>(7)</w:t>
      </w:r>
      <w:r>
        <w:rPr/>
        <w:t>所得税</w:t>
      </w:r>
    </w:p>
    <w:p>
      <w:pPr>
        <w:spacing w:line="240" w:lineRule="auto" w:before="7"/>
        <w:rPr>
          <w:rFonts w:ascii="宋体" w:hAnsi="宋体" w:cs="宋体" w:eastAsia="宋体" w:hint="default"/>
          <w:sz w:val="16"/>
          <w:szCs w:val="16"/>
        </w:rPr>
      </w:pPr>
    </w:p>
    <w:p>
      <w:pPr>
        <w:pStyle w:val="BodyText"/>
        <w:spacing w:line="240" w:lineRule="auto"/>
        <w:ind w:left="513" w:right="0"/>
        <w:jc w:val="left"/>
      </w:pPr>
      <w:r>
        <w:rPr>
          <w:spacing w:val="-4"/>
        </w:rPr>
        <w:t>本公司在正常的经营活动中，有部分交易其最终的税务处理和计算存在一定的不确定性。部分项目是否能够在税前列支</w:t>
      </w:r>
    </w:p>
    <w:p>
      <w:pPr>
        <w:spacing w:after="0" w:line="240" w:lineRule="auto"/>
        <w:jc w:val="left"/>
        <w:sectPr>
          <w:footerReference w:type="default" r:id="rId34"/>
          <w:pgSz w:w="11910" w:h="16840"/>
          <w:pgMar w:footer="1186" w:header="871" w:top="1100" w:bottom="1380" w:left="980" w:right="0"/>
          <w:pgNumType w:start="137"/>
        </w:sectPr>
      </w:pPr>
    </w:p>
    <w:p>
      <w:pPr>
        <w:spacing w:line="240" w:lineRule="auto" w:before="1"/>
        <w:rPr>
          <w:rFonts w:ascii="宋体" w:hAnsi="宋体" w:cs="宋体" w:eastAsia="宋体" w:hint="default"/>
          <w:sz w:val="28"/>
          <w:szCs w:val="28"/>
        </w:rPr>
      </w:pPr>
    </w:p>
    <w:p>
      <w:pPr>
        <w:pStyle w:val="BodyText"/>
        <w:spacing w:line="475" w:lineRule="auto" w:before="46"/>
        <w:ind w:right="0"/>
        <w:jc w:val="left"/>
      </w:pPr>
      <w:r>
        <w:rPr>
          <w:spacing w:val="-4"/>
        </w:rPr>
        <w:t>需要税收主管机关的审批。如果这些税务事项的最终认定结果同最初估计的金额存在差异，则该差异将对其最终认定期间的</w:t>
      </w:r>
      <w:r>
        <w:rPr>
          <w:spacing w:val="44"/>
        </w:rPr>
        <w:t> </w:t>
      </w:r>
      <w:r>
        <w:rPr>
          <w:spacing w:val="44"/>
        </w:rPr>
      </w:r>
      <w:r>
        <w:rPr>
          <w:spacing w:val="-3"/>
        </w:rPr>
        <w:t>当期所得税和递延所得税产生影响。</w:t>
      </w:r>
    </w:p>
    <w:p>
      <w:pPr>
        <w:spacing w:line="240" w:lineRule="auto" w:before="6"/>
        <w:rPr>
          <w:rFonts w:ascii="宋体" w:hAnsi="宋体" w:cs="宋体" w:eastAsia="宋体" w:hint="default"/>
          <w:sz w:val="19"/>
          <w:szCs w:val="19"/>
        </w:rPr>
      </w:pPr>
    </w:p>
    <w:p>
      <w:pPr>
        <w:pStyle w:val="Heading3"/>
        <w:spacing w:line="240" w:lineRule="auto"/>
        <w:ind w:right="0"/>
        <w:jc w:val="left"/>
        <w:rPr>
          <w:b w:val="0"/>
          <w:bCs w:val="0"/>
        </w:rPr>
      </w:pPr>
      <w:bookmarkStart w:name="36、重要会计政策和会计估计变更" w:id="217"/>
      <w:bookmarkEnd w:id="217"/>
      <w:r>
        <w:rPr>
          <w:b w:val="0"/>
          <w:bCs w:val="0"/>
        </w:rPr>
      </w:r>
      <w:r>
        <w:rPr>
          <w:rFonts w:ascii="Times New Roman" w:hAnsi="Times New Roman" w:cs="Times New Roman" w:eastAsia="Times New Roman" w:hint="default"/>
        </w:rPr>
        <w:t>36</w:t>
      </w:r>
      <w:r>
        <w:rPr/>
        <w:t>、重要会计政策和会计估计变更</w:t>
      </w:r>
      <w:r>
        <w:rPr>
          <w:b w:val="0"/>
          <w:bCs w:val="0"/>
        </w:rPr>
      </w:r>
    </w:p>
    <w:p>
      <w:pPr>
        <w:spacing w:line="240" w:lineRule="auto" w:before="5"/>
        <w:rPr>
          <w:rFonts w:ascii="宋体" w:hAnsi="宋体" w:cs="宋体" w:eastAsia="宋体" w:hint="default"/>
          <w:b/>
          <w:bCs/>
          <w:sz w:val="24"/>
          <w:szCs w:val="24"/>
        </w:rPr>
      </w:pPr>
    </w:p>
    <w:p>
      <w:pPr>
        <w:pStyle w:val="Heading3"/>
        <w:spacing w:line="240" w:lineRule="auto"/>
        <w:ind w:right="0"/>
        <w:jc w:val="left"/>
        <w:rPr>
          <w:b w:val="0"/>
          <w:bCs w:val="0"/>
        </w:rPr>
      </w:pPr>
      <w:bookmarkStart w:name="（1）重要会计政策变更" w:id="218"/>
      <w:bookmarkEnd w:id="218"/>
      <w:r>
        <w:rPr>
          <w:b w:val="0"/>
          <w:bCs w:val="0"/>
        </w:rPr>
      </w:r>
      <w:r>
        <w:rPr/>
        <w:t>（</w:t>
      </w:r>
      <w:r>
        <w:rPr>
          <w:rFonts w:ascii="Times New Roman" w:hAnsi="Times New Roman" w:cs="Times New Roman" w:eastAsia="Times New Roman" w:hint="default"/>
        </w:rPr>
        <w:t>1</w:t>
      </w:r>
      <w:r>
        <w:rPr/>
        <w:t>）重要会计政策变更</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right="0"/>
        <w:jc w:val="left"/>
      </w:pPr>
      <w:r>
        <w:rPr/>
        <w:pict>
          <v:shape style="position:absolute;margin-left:210.550003pt;margin-top:37.41769pt;width:164.95pt;height:78.05pt;mso-position-horizontal-relative:page;mso-position-vertical-relative:paragraph;z-index:-1025968"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5"/>
                      <w:szCs w:val="15"/>
                    </w:rPr>
                  </w:pPr>
                </w:p>
                <w:p>
                  <w:pPr>
                    <w:pStyle w:val="BodyText"/>
                    <w:spacing w:line="240" w:lineRule="auto"/>
                    <w:ind w:left="0" w:right="0"/>
                    <w:jc w:val="left"/>
                  </w:pPr>
                  <w:r>
                    <w:rPr>
                      <w:w w:val="101"/>
                    </w:rPr>
                    <w:t>、</w:t>
                  </w:r>
                  <w:r>
                    <w:rPr/>
                  </w:r>
                </w:p>
              </w:txbxContent>
            </v:textbox>
            <w10:wrap type="none"/>
          </v:shape>
        </w:pict>
      </w: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8"/>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3193"/>
        <w:gridCol w:w="3189"/>
        <w:gridCol w:w="3193"/>
      </w:tblGrid>
      <w:tr>
        <w:trPr>
          <w:trHeight w:val="403" w:hRule="exact"/>
        </w:trPr>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08" w:right="0"/>
              <w:jc w:val="left"/>
              <w:rPr>
                <w:rFonts w:ascii="宋体" w:hAnsi="宋体" w:cs="宋体" w:eastAsia="宋体" w:hint="default"/>
                <w:sz w:val="18"/>
                <w:szCs w:val="18"/>
              </w:rPr>
            </w:pPr>
            <w:r>
              <w:rPr>
                <w:rFonts w:ascii="宋体" w:hAnsi="宋体" w:cs="宋体" w:eastAsia="宋体" w:hint="default"/>
                <w:spacing w:val="-3"/>
                <w:sz w:val="18"/>
                <w:szCs w:val="18"/>
              </w:rPr>
              <w:t>会计政策变更的内容和原因</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审批程序</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3836" w:hRule="exact"/>
        </w:trPr>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财政部于</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4"/>
                <w:sz w:val="18"/>
                <w:szCs w:val="18"/>
              </w:rPr>
              <w:t> </w:t>
            </w:r>
            <w:r>
              <w:rPr>
                <w:rFonts w:ascii="宋体" w:hAnsi="宋体" w:cs="宋体" w:eastAsia="宋体" w:hint="default"/>
                <w:spacing w:val="-3"/>
                <w:sz w:val="18"/>
                <w:szCs w:val="18"/>
              </w:rPr>
              <w:t>日分别发布了</w:t>
            </w:r>
          </w:p>
          <w:p>
            <w:pPr>
              <w:pStyle w:val="TableParagraph"/>
              <w:spacing w:line="300" w:lineRule="auto" w:before="63"/>
              <w:ind w:left="24" w:right="60"/>
              <w:jc w:val="left"/>
              <w:rPr>
                <w:rFonts w:ascii="Times New Roman" w:hAnsi="Times New Roman" w:cs="Times New Roman" w:eastAsia="Times New Roman" w:hint="default"/>
                <w:sz w:val="18"/>
                <w:szCs w:val="18"/>
              </w:rPr>
            </w:pPr>
            <w:r>
              <w:rPr>
                <w:rFonts w:ascii="宋体" w:hAnsi="宋体" w:cs="宋体" w:eastAsia="宋体" w:hint="default"/>
                <w:sz w:val="18"/>
                <w:szCs w:val="18"/>
              </w:rPr>
              <w:t>《企业会计准则第</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金融工具确认</w:t>
            </w:r>
            <w:r>
              <w:rPr>
                <w:rFonts w:ascii="宋体" w:hAnsi="宋体" w:cs="宋体" w:eastAsia="宋体" w:hint="default"/>
                <w:w w:val="101"/>
                <w:sz w:val="18"/>
                <w:szCs w:val="18"/>
              </w:rPr>
              <w:t> </w:t>
            </w:r>
            <w:r>
              <w:rPr>
                <w:rFonts w:ascii="宋体" w:hAnsi="宋体" w:cs="宋体" w:eastAsia="宋体" w:hint="default"/>
                <w:sz w:val="18"/>
                <w:szCs w:val="18"/>
              </w:rPr>
              <w:t>和计量</w:t>
            </w:r>
            <w:r>
              <w:rPr>
                <w:rFonts w:ascii="Times New Roman" w:hAnsi="Times New Roman" w:cs="Times New Roman" w:eastAsia="Times New Roman" w:hint="default"/>
                <w:sz w:val="18"/>
                <w:szCs w:val="18"/>
              </w:rPr>
              <w:t>(2017 </w:t>
            </w:r>
            <w:r>
              <w:rPr>
                <w:rFonts w:ascii="宋体" w:hAnsi="宋体" w:cs="宋体" w:eastAsia="宋体" w:hint="default"/>
                <w:spacing w:val="-3"/>
                <w:sz w:val="18"/>
                <w:szCs w:val="18"/>
              </w:rPr>
              <w:t>年修订</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财会</w:t>
            </w:r>
            <w:r>
              <w:rPr>
                <w:rFonts w:ascii="Times New Roman" w:hAnsi="Times New Roman" w:cs="Times New Roman" w:eastAsia="Times New Roman" w:hint="default"/>
                <w:spacing w:val="-3"/>
                <w:sz w:val="18"/>
                <w:szCs w:val="18"/>
              </w:rPr>
              <w:t>[2017]7</w:t>
            </w:r>
            <w:r>
              <w:rPr>
                <w:rFonts w:ascii="Times New Roman" w:hAnsi="Times New Roman" w:cs="Times New Roman" w:eastAsia="Times New Roman" w:hint="default"/>
                <w:spacing w:val="30"/>
                <w:sz w:val="18"/>
                <w:szCs w:val="18"/>
              </w:rPr>
              <w:t> </w:t>
            </w:r>
            <w:r>
              <w:rPr>
                <w:rFonts w:ascii="宋体" w:hAnsi="宋体" w:cs="宋体" w:eastAsia="宋体" w:hint="default"/>
                <w:spacing w:val="-3"/>
                <w:sz w:val="18"/>
                <w:szCs w:val="18"/>
              </w:rPr>
              <w:t>号</w:t>
            </w:r>
            <w:r>
              <w:rPr>
                <w:rFonts w:ascii="Times New Roman" w:hAnsi="Times New Roman" w:cs="Times New Roman" w:eastAsia="Times New Roman" w:hint="default"/>
                <w:spacing w:val="-3"/>
                <w:sz w:val="18"/>
                <w:szCs w:val="18"/>
              </w:rPr>
              <w:t>)</w:t>
            </w:r>
          </w:p>
          <w:p>
            <w:pPr>
              <w:pStyle w:val="TableParagraph"/>
              <w:spacing w:line="240" w:lineRule="auto" w:before="13"/>
              <w:ind w:left="24" w:right="0"/>
              <w:jc w:val="left"/>
              <w:rPr>
                <w:rFonts w:ascii="宋体" w:hAnsi="宋体" w:cs="宋体" w:eastAsia="宋体" w:hint="default"/>
                <w:sz w:val="18"/>
                <w:szCs w:val="18"/>
              </w:rPr>
            </w:pPr>
            <w:r>
              <w:rPr>
                <w:rFonts w:ascii="宋体" w:hAnsi="宋体" w:cs="宋体" w:eastAsia="宋体" w:hint="default"/>
                <w:sz w:val="18"/>
                <w:szCs w:val="18"/>
              </w:rPr>
              <w:t>《企业会计准则第</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金融资产转移</w:t>
            </w:r>
          </w:p>
          <w:p>
            <w:pPr>
              <w:pStyle w:val="TableParagraph"/>
              <w:spacing w:line="300" w:lineRule="auto" w:before="63"/>
              <w:ind w:left="24" w:right="17"/>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w w:val="101"/>
                <w:sz w:val="18"/>
                <w:szCs w:val="18"/>
              </w:rPr>
              <w:t>(2017 </w:t>
            </w:r>
            <w:r>
              <w:rPr>
                <w:rFonts w:ascii="宋体" w:hAnsi="宋体" w:cs="宋体" w:eastAsia="宋体" w:hint="default"/>
                <w:spacing w:val="-3"/>
                <w:w w:val="101"/>
                <w:sz w:val="18"/>
                <w:szCs w:val="18"/>
              </w:rPr>
              <w:t>年修订</w:t>
            </w:r>
            <w:r>
              <w:rPr>
                <w:rFonts w:ascii="Times New Roman" w:hAnsi="Times New Roman" w:cs="Times New Roman" w:eastAsia="Times New Roman" w:hint="default"/>
                <w:spacing w:val="-3"/>
                <w:w w:val="101"/>
                <w:sz w:val="18"/>
                <w:szCs w:val="18"/>
              </w:rPr>
              <w:t>)</w:t>
            </w:r>
            <w:r>
              <w:rPr>
                <w:rFonts w:ascii="宋体" w:hAnsi="宋体" w:cs="宋体" w:eastAsia="宋体" w:hint="default"/>
                <w:spacing w:val="-3"/>
                <w:w w:val="101"/>
                <w:sz w:val="18"/>
                <w:szCs w:val="18"/>
              </w:rPr>
              <w:t>》</w:t>
            </w:r>
            <w:r>
              <w:rPr>
                <w:rFonts w:ascii="Times New Roman" w:hAnsi="Times New Roman" w:cs="Times New Roman" w:eastAsia="Times New Roman" w:hint="default"/>
                <w:spacing w:val="-3"/>
                <w:w w:val="101"/>
                <w:sz w:val="18"/>
                <w:szCs w:val="18"/>
              </w:rPr>
              <w:t>(</w:t>
            </w:r>
            <w:r>
              <w:rPr>
                <w:rFonts w:ascii="宋体" w:hAnsi="宋体" w:cs="宋体" w:eastAsia="宋体" w:hint="default"/>
                <w:spacing w:val="-3"/>
                <w:w w:val="101"/>
                <w:sz w:val="18"/>
                <w:szCs w:val="18"/>
              </w:rPr>
              <w:t>财会</w:t>
            </w:r>
            <w:r>
              <w:rPr>
                <w:rFonts w:ascii="Times New Roman" w:hAnsi="Times New Roman" w:cs="Times New Roman" w:eastAsia="Times New Roman" w:hint="default"/>
                <w:spacing w:val="-3"/>
                <w:w w:val="101"/>
                <w:sz w:val="18"/>
                <w:szCs w:val="18"/>
              </w:rPr>
              <w:t>[2017]8</w:t>
            </w:r>
            <w:r>
              <w:rPr>
                <w:rFonts w:ascii="Times New Roman" w:hAnsi="Times New Roman" w:cs="Times New Roman" w:eastAsia="Times New Roman" w:hint="default"/>
                <w:w w:val="101"/>
                <w:sz w:val="18"/>
                <w:szCs w:val="18"/>
              </w:rPr>
              <w:t> </w:t>
            </w:r>
            <w:r>
              <w:rPr>
                <w:rFonts w:ascii="宋体" w:hAnsi="宋体" w:cs="宋体" w:eastAsia="宋体" w:hint="default"/>
                <w:spacing w:val="-19"/>
                <w:w w:val="101"/>
                <w:sz w:val="18"/>
                <w:szCs w:val="18"/>
              </w:rPr>
              <w:t>号</w:t>
            </w:r>
            <w:r>
              <w:rPr>
                <w:rFonts w:ascii="Times New Roman" w:hAnsi="Times New Roman" w:cs="Times New Roman" w:eastAsia="Times New Roman" w:hint="default"/>
                <w:spacing w:val="-19"/>
                <w:w w:val="101"/>
                <w:sz w:val="18"/>
                <w:szCs w:val="18"/>
              </w:rPr>
              <w:t>)</w:t>
            </w:r>
            <w:r>
              <w:rPr>
                <w:rFonts w:ascii="宋体" w:hAnsi="宋体" w:cs="宋体" w:eastAsia="宋体" w:hint="default"/>
                <w:spacing w:val="-19"/>
                <w:w w:val="101"/>
                <w:sz w:val="18"/>
                <w:szCs w:val="18"/>
              </w:rPr>
              <w:t>、《企业</w:t>
            </w:r>
            <w:r>
              <w:rPr>
                <w:rFonts w:ascii="宋体" w:hAnsi="宋体" w:cs="宋体" w:eastAsia="宋体" w:hint="default"/>
                <w:spacing w:val="-83"/>
                <w:w w:val="101"/>
                <w:sz w:val="18"/>
                <w:szCs w:val="18"/>
              </w:rPr>
              <w:t> </w:t>
            </w:r>
            <w:r>
              <w:rPr>
                <w:rFonts w:ascii="宋体" w:hAnsi="宋体" w:cs="宋体" w:eastAsia="宋体" w:hint="default"/>
                <w:spacing w:val="-83"/>
                <w:w w:val="101"/>
                <w:sz w:val="18"/>
                <w:szCs w:val="18"/>
              </w:rPr>
            </w:r>
            <w:r>
              <w:rPr>
                <w:rFonts w:ascii="宋体" w:hAnsi="宋体" w:cs="宋体" w:eastAsia="宋体" w:hint="default"/>
                <w:sz w:val="18"/>
                <w:szCs w:val="18"/>
              </w:rPr>
              <w:t>会计准则第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套期会计</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年修</w:t>
            </w:r>
            <w:r>
              <w:rPr>
                <w:rFonts w:ascii="宋体" w:hAnsi="宋体" w:cs="宋体" w:eastAsia="宋体" w:hint="default"/>
                <w:spacing w:val="-82"/>
                <w:sz w:val="18"/>
                <w:szCs w:val="18"/>
              </w:rPr>
              <w:t> </w:t>
            </w:r>
            <w:r>
              <w:rPr>
                <w:rFonts w:ascii="宋体" w:hAnsi="宋体" w:cs="宋体" w:eastAsia="宋体" w:hint="default"/>
                <w:spacing w:val="-4"/>
                <w:sz w:val="18"/>
                <w:szCs w:val="18"/>
              </w:rPr>
              <w:t>订</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财会</w:t>
            </w:r>
            <w:r>
              <w:rPr>
                <w:rFonts w:ascii="Times New Roman" w:hAnsi="Times New Roman" w:cs="Times New Roman" w:eastAsia="Times New Roman" w:hint="default"/>
                <w:spacing w:val="-4"/>
                <w:sz w:val="18"/>
                <w:szCs w:val="18"/>
              </w:rPr>
              <w:t>[2017]9</w:t>
            </w:r>
            <w:r>
              <w:rPr>
                <w:rFonts w:ascii="Times New Roman" w:hAnsi="Times New Roman" w:cs="Times New Roman" w:eastAsia="Times New Roman" w:hint="default"/>
                <w:spacing w:val="5"/>
                <w:sz w:val="18"/>
                <w:szCs w:val="18"/>
              </w:rPr>
              <w:t> </w:t>
            </w:r>
            <w:r>
              <w:rPr>
                <w:rFonts w:ascii="宋体" w:hAnsi="宋体" w:cs="宋体" w:eastAsia="宋体" w:hint="default"/>
                <w:spacing w:val="-7"/>
                <w:sz w:val="18"/>
                <w:szCs w:val="18"/>
              </w:rPr>
              <w:t>号</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，于</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2</w:t>
            </w:r>
          </w:p>
          <w:p>
            <w:pPr>
              <w:pStyle w:val="TableParagraph"/>
              <w:spacing w:line="302" w:lineRule="auto" w:before="13"/>
              <w:ind w:left="24" w:right="60"/>
              <w:jc w:val="both"/>
              <w:rPr>
                <w:rFonts w:ascii="宋体" w:hAnsi="宋体" w:cs="宋体" w:eastAsia="宋体" w:hint="default"/>
                <w:sz w:val="18"/>
                <w:szCs w:val="18"/>
              </w:rPr>
            </w:pPr>
            <w:r>
              <w:rPr>
                <w:rFonts w:ascii="宋体" w:hAnsi="宋体" w:cs="宋体" w:eastAsia="宋体" w:hint="default"/>
                <w:spacing w:val="-3"/>
                <w:sz w:val="18"/>
                <w:szCs w:val="18"/>
              </w:rPr>
              <w:t>日发布了《企业会计准则第</w:t>
            </w:r>
            <w:r>
              <w:rPr>
                <w:rFonts w:ascii="宋体" w:hAnsi="宋体" w:cs="宋体" w:eastAsia="宋体" w:hint="default"/>
                <w:spacing w:val="-29"/>
                <w:sz w:val="18"/>
                <w:szCs w:val="18"/>
              </w:rPr>
              <w:t> </w:t>
            </w:r>
            <w:r>
              <w:rPr>
                <w:rFonts w:ascii="Times New Roman" w:hAnsi="Times New Roman" w:cs="Times New Roman" w:eastAsia="Times New Roman" w:hint="default"/>
                <w:sz w:val="18"/>
                <w:szCs w:val="18"/>
              </w:rPr>
              <w:t>37</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金融</w:t>
            </w:r>
            <w:r>
              <w:rPr>
                <w:rFonts w:ascii="宋体" w:hAnsi="宋体" w:cs="宋体" w:eastAsia="宋体" w:hint="default"/>
                <w:spacing w:val="-84"/>
                <w:sz w:val="18"/>
                <w:szCs w:val="18"/>
              </w:rPr>
              <w:t> </w:t>
            </w:r>
            <w:r>
              <w:rPr>
                <w:rFonts w:ascii="宋体" w:hAnsi="宋体" w:cs="宋体" w:eastAsia="宋体" w:hint="default"/>
                <w:sz w:val="18"/>
                <w:szCs w:val="18"/>
              </w:rPr>
              <w:t>工具列报</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年修订</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财会</w:t>
            </w:r>
            <w:r>
              <w:rPr>
                <w:rFonts w:ascii="Times New Roman" w:hAnsi="Times New Roman" w:cs="Times New Roman" w:eastAsia="Times New Roman" w:hint="default"/>
                <w:sz w:val="18"/>
                <w:szCs w:val="18"/>
              </w:rPr>
              <w:t>[2017]14</w:t>
            </w:r>
            <w:r>
              <w:rPr>
                <w:rFonts w:ascii="Times New Roman" w:hAnsi="Times New Roman" w:cs="Times New Roman" w:eastAsia="Times New Roman" w:hint="default"/>
                <w:spacing w:val="-42"/>
                <w:sz w:val="18"/>
                <w:szCs w:val="18"/>
              </w:rPr>
              <w:t> </w:t>
            </w:r>
            <w:r>
              <w:rPr>
                <w:rFonts w:ascii="Times New Roman" w:hAnsi="Times New Roman" w:cs="Times New Roman" w:eastAsia="Times New Roman" w:hint="default"/>
                <w:spacing w:val="-42"/>
                <w:sz w:val="18"/>
                <w:szCs w:val="18"/>
              </w:rPr>
            </w:r>
            <w:r>
              <w:rPr>
                <w:rFonts w:ascii="宋体" w:hAnsi="宋体" w:cs="宋体" w:eastAsia="宋体" w:hint="default"/>
                <w:spacing w:val="-3"/>
                <w:sz w:val="18"/>
                <w:szCs w:val="18"/>
              </w:rPr>
              <w:t>号</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上述准则以下统称</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新金融工具准则</w:t>
            </w:r>
            <w:r>
              <w:rPr>
                <w:rFonts w:ascii="宋体" w:hAnsi="宋体" w:cs="宋体" w:eastAsia="宋体" w:hint="default"/>
                <w:spacing w:val="-34"/>
                <w:sz w:val="18"/>
                <w:szCs w:val="18"/>
              </w:rPr>
              <w:t> </w:t>
            </w:r>
            <w:r>
              <w:rPr>
                <w:rFonts w:ascii="宋体" w:hAnsi="宋体" w:cs="宋体" w:eastAsia="宋体" w:hint="default"/>
                <w:spacing w:val="-34"/>
                <w:sz w:val="18"/>
                <w:szCs w:val="18"/>
              </w:rPr>
            </w:r>
            <w:r>
              <w:rPr>
                <w:rFonts w:ascii="Times New Roman" w:hAnsi="Times New Roman" w:cs="Times New Roman" w:eastAsia="Times New Roman" w:hint="default"/>
                <w:sz w:val="18"/>
                <w:szCs w:val="18"/>
              </w:rPr>
              <w:t>")</w:t>
            </w:r>
            <w:r>
              <w:rPr>
                <w:rFonts w:ascii="宋体" w:hAnsi="宋体" w:cs="宋体" w:eastAsia="宋体" w:hint="default"/>
                <w:sz w:val="18"/>
                <w:szCs w:val="18"/>
              </w:rPr>
              <w:t>，要求境内上市企业自</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43"/>
                <w:sz w:val="18"/>
                <w:szCs w:val="18"/>
              </w:rPr>
              <w:t> </w:t>
            </w:r>
            <w:r>
              <w:rPr>
                <w:rFonts w:ascii="宋体" w:hAnsi="宋体" w:cs="宋体" w:eastAsia="宋体" w:hint="default"/>
                <w:spacing w:val="-3"/>
                <w:sz w:val="18"/>
                <w:szCs w:val="18"/>
              </w:rPr>
              <w:t>日起执行新金融工具准则。</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1560" w:lineRule="exact"/>
              <w:ind w:right="-50"/>
              <w:jc w:val="left"/>
              <w:rPr>
                <w:rFonts w:ascii="宋体" w:hAnsi="宋体" w:cs="宋体" w:eastAsia="宋体" w:hint="default"/>
                <w:sz w:val="20"/>
                <w:szCs w:val="20"/>
              </w:rPr>
            </w:pPr>
            <w:r>
              <w:rPr>
                <w:rFonts w:ascii="宋体" w:hAnsi="宋体" w:cs="宋体" w:eastAsia="宋体" w:hint="default"/>
                <w:position w:val="-30"/>
                <w:sz w:val="20"/>
                <w:szCs w:val="20"/>
              </w:rPr>
              <w:pict>
                <v:group style="width:158.950pt;height:78.05pt;mso-position-horizontal-relative:char;mso-position-vertical-relative:line" coordorigin="0,0" coordsize="3179,1561">
                  <v:group style="position:absolute;left:0;top:0;width:3179;height:1561" coordorigin="0,0" coordsize="3179,1561">
                    <v:shape style="position:absolute;left:0;top:0;width:3179;height:1561" coordorigin="0,0" coordsize="3179,1561" path="m0,1560l3179,1560,3179,0,0,0,0,1560xe" filled="true" fillcolor="#ffffff" stroked="false">
                      <v:path arrowok="t"/>
                      <v:fill type="solid"/>
                    </v:shape>
                  </v:group>
                </v:group>
              </w:pict>
            </w:r>
            <w:r>
              <w:rPr>
                <w:rFonts w:ascii="宋体" w:hAnsi="宋体" w:cs="宋体" w:eastAsia="宋体" w:hint="default"/>
                <w:position w:val="-30"/>
                <w:sz w:val="20"/>
                <w:szCs w:val="20"/>
              </w:rPr>
            </w:r>
          </w:p>
          <w:p>
            <w:pPr>
              <w:pStyle w:val="TableParagraph"/>
              <w:spacing w:line="321" w:lineRule="auto" w:before="54"/>
              <w:ind w:left="23" w:right="90"/>
              <w:jc w:val="left"/>
              <w:rPr>
                <w:rFonts w:ascii="宋体" w:hAnsi="宋体" w:cs="宋体" w:eastAsia="宋体" w:hint="default"/>
                <w:sz w:val="18"/>
                <w:szCs w:val="18"/>
              </w:rPr>
            </w:pPr>
            <w:r>
              <w:rPr>
                <w:rFonts w:ascii="宋体" w:hAnsi="宋体" w:cs="宋体" w:eastAsia="宋体" w:hint="default"/>
                <w:spacing w:val="-3"/>
                <w:sz w:val="18"/>
                <w:szCs w:val="18"/>
              </w:rPr>
              <w:t>本次变更经公司第四届董事会第十六次</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会议审议通过。</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p>
        </w:tc>
      </w:tr>
      <w:tr>
        <w:trPr>
          <w:trHeight w:val="1964" w:hRule="exact"/>
        </w:trPr>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53"/>
              <w:ind w:left="24" w:right="17"/>
              <w:jc w:val="left"/>
              <w:rPr>
                <w:rFonts w:ascii="宋体" w:hAnsi="宋体" w:cs="宋体" w:eastAsia="宋体" w:hint="default"/>
                <w:sz w:val="18"/>
                <w:szCs w:val="18"/>
              </w:rPr>
            </w:pPr>
            <w:r>
              <w:rPr>
                <w:rFonts w:ascii="宋体" w:hAnsi="宋体" w:cs="宋体" w:eastAsia="宋体" w:hint="default"/>
                <w:spacing w:val="-4"/>
                <w:sz w:val="18"/>
                <w:szCs w:val="18"/>
              </w:rPr>
              <w:t>根据财政部《关于修订印发</w:t>
            </w:r>
            <w:r>
              <w:rPr>
                <w:rFonts w:ascii="宋体" w:hAnsi="宋体" w:cs="宋体" w:eastAsia="宋体" w:hint="default"/>
                <w:spacing w:val="-31"/>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年度一</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3"/>
                <w:w w:val="101"/>
                <w:sz w:val="18"/>
                <w:szCs w:val="18"/>
              </w:rPr>
              <w:t>般企业财务报表格式的通</w:t>
            </w:r>
            <w:r>
              <w:rPr>
                <w:rFonts w:ascii="宋体" w:hAnsi="宋体" w:cs="宋体" w:eastAsia="宋体" w:hint="default"/>
                <w:w w:val="101"/>
                <w:sz w:val="18"/>
                <w:szCs w:val="18"/>
              </w:rPr>
              <w:t> </w:t>
            </w:r>
            <w:r>
              <w:rPr>
                <w:rFonts w:ascii="宋体" w:hAnsi="宋体" w:cs="宋体" w:eastAsia="宋体" w:hint="default"/>
                <w:spacing w:val="-21"/>
                <w:w w:val="101"/>
                <w:sz w:val="18"/>
                <w:szCs w:val="18"/>
              </w:rPr>
              <w:t>知》（财会</w:t>
            </w:r>
            <w:r>
              <w:rPr>
                <w:rFonts w:ascii="宋体" w:hAnsi="宋体" w:cs="宋体" w:eastAsia="宋体" w:hint="default"/>
                <w:spacing w:val="-81"/>
                <w:w w:val="101"/>
                <w:sz w:val="18"/>
                <w:szCs w:val="18"/>
              </w:rPr>
              <w:t> </w:t>
            </w:r>
            <w:r>
              <w:rPr>
                <w:rFonts w:ascii="宋体" w:hAnsi="宋体" w:cs="宋体" w:eastAsia="宋体" w:hint="default"/>
                <w:spacing w:val="-81"/>
                <w:w w:val="101"/>
                <w:sz w:val="18"/>
                <w:szCs w:val="18"/>
              </w:rPr>
            </w:r>
            <w:r>
              <w:rPr>
                <w:rFonts w:ascii="Times New Roman" w:hAnsi="Times New Roman" w:cs="Times New Roman" w:eastAsia="Times New Roman" w:hint="default"/>
                <w:sz w:val="18"/>
                <w:szCs w:val="18"/>
              </w:rPr>
              <w:t>[2019]6</w:t>
            </w:r>
            <w:r>
              <w:rPr>
                <w:rFonts w:ascii="Times New Roman" w:hAnsi="Times New Roman" w:cs="Times New Roman" w:eastAsia="Times New Roman" w:hint="default"/>
                <w:spacing w:val="31"/>
                <w:sz w:val="18"/>
                <w:szCs w:val="18"/>
              </w:rPr>
              <w:t> </w:t>
            </w:r>
            <w:r>
              <w:rPr>
                <w:rFonts w:ascii="宋体" w:hAnsi="宋体" w:cs="宋体" w:eastAsia="宋体" w:hint="default"/>
                <w:spacing w:val="-3"/>
                <w:sz w:val="18"/>
                <w:szCs w:val="18"/>
              </w:rPr>
              <w:t>号）和《关于修订印发合并财务</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w w:val="101"/>
                <w:sz w:val="18"/>
                <w:szCs w:val="18"/>
              </w:rPr>
              <w:t>报表格式（</w:t>
            </w:r>
            <w:r>
              <w:rPr>
                <w:rFonts w:ascii="Times New Roman" w:hAnsi="Times New Roman" w:cs="Times New Roman" w:eastAsia="Times New Roman" w:hint="default"/>
                <w:spacing w:val="-2"/>
                <w:w w:val="101"/>
                <w:sz w:val="18"/>
                <w:szCs w:val="18"/>
              </w:rPr>
              <w:t>2019</w:t>
            </w:r>
            <w:r>
              <w:rPr>
                <w:rFonts w:ascii="Times New Roman" w:hAnsi="Times New Roman" w:cs="Times New Roman" w:eastAsia="Times New Roman" w:hint="default"/>
                <w:spacing w:val="-7"/>
                <w:w w:val="101"/>
                <w:sz w:val="18"/>
                <w:szCs w:val="18"/>
              </w:rPr>
              <w:t> </w:t>
            </w:r>
            <w:r>
              <w:rPr>
                <w:rFonts w:ascii="宋体" w:hAnsi="宋体" w:cs="宋体" w:eastAsia="宋体" w:hint="default"/>
                <w:spacing w:val="-12"/>
                <w:w w:val="101"/>
                <w:sz w:val="18"/>
                <w:szCs w:val="18"/>
              </w:rPr>
              <w:t>版）的通知》（财会</w:t>
            </w:r>
            <w:r>
              <w:rPr>
                <w:rFonts w:ascii="宋体" w:hAnsi="宋体" w:cs="宋体" w:eastAsia="宋体" w:hint="default"/>
                <w:spacing w:val="-84"/>
                <w:w w:val="101"/>
                <w:sz w:val="18"/>
                <w:szCs w:val="18"/>
              </w:rPr>
              <w:t> </w:t>
            </w:r>
            <w:r>
              <w:rPr>
                <w:rFonts w:ascii="宋体" w:hAnsi="宋体" w:cs="宋体" w:eastAsia="宋体" w:hint="default"/>
                <w:spacing w:val="-84"/>
                <w:w w:val="101"/>
                <w:sz w:val="18"/>
                <w:szCs w:val="18"/>
              </w:rPr>
            </w:r>
            <w:r>
              <w:rPr>
                <w:rFonts w:ascii="Times New Roman" w:hAnsi="Times New Roman" w:cs="Times New Roman" w:eastAsia="Times New Roman" w:hint="default"/>
                <w:spacing w:val="-1"/>
                <w:w w:val="101"/>
                <w:sz w:val="18"/>
                <w:szCs w:val="18"/>
              </w:rPr>
              <w:t>[2019]16</w:t>
            </w:r>
            <w:r>
              <w:rPr>
                <w:rFonts w:ascii="Times New Roman" w:hAnsi="Times New Roman" w:cs="Times New Roman" w:eastAsia="Times New Roman" w:hint="default"/>
                <w:w w:val="101"/>
                <w:sz w:val="18"/>
                <w:szCs w:val="18"/>
              </w:rPr>
              <w:t> </w:t>
            </w:r>
            <w:r>
              <w:rPr>
                <w:rFonts w:ascii="宋体" w:hAnsi="宋体" w:cs="宋体" w:eastAsia="宋体" w:hint="default"/>
                <w:spacing w:val="-9"/>
                <w:w w:val="101"/>
                <w:sz w:val="18"/>
                <w:szCs w:val="18"/>
              </w:rPr>
              <w:t>号），本公司对财务报表格式进</w:t>
            </w:r>
            <w:r>
              <w:rPr>
                <w:rFonts w:ascii="宋体" w:hAnsi="宋体" w:cs="宋体" w:eastAsia="宋体" w:hint="default"/>
                <w:w w:val="101"/>
                <w:sz w:val="18"/>
                <w:szCs w:val="18"/>
              </w:rPr>
              <w:t> </w:t>
            </w:r>
            <w:r>
              <w:rPr>
                <w:rFonts w:ascii="宋体" w:hAnsi="宋体" w:cs="宋体" w:eastAsia="宋体" w:hint="default"/>
                <w:spacing w:val="-3"/>
                <w:sz w:val="18"/>
                <w:szCs w:val="18"/>
              </w:rPr>
              <w:t>行了相应调整。</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21" w:lineRule="auto"/>
              <w:ind w:left="23" w:right="89"/>
              <w:jc w:val="both"/>
              <w:rPr>
                <w:rFonts w:ascii="宋体" w:hAnsi="宋体" w:cs="宋体" w:eastAsia="宋体" w:hint="default"/>
                <w:sz w:val="18"/>
                <w:szCs w:val="18"/>
              </w:rPr>
            </w:pPr>
            <w:r>
              <w:rPr>
                <w:rFonts w:ascii="宋体" w:hAnsi="宋体" w:cs="宋体" w:eastAsia="宋体" w:hint="default"/>
                <w:spacing w:val="-3"/>
                <w:sz w:val="18"/>
                <w:szCs w:val="18"/>
              </w:rPr>
              <w:t>本次变更分别经公司第四届董事会第十</w:t>
            </w:r>
            <w:r>
              <w:rPr>
                <w:rFonts w:ascii="宋体" w:hAnsi="宋体" w:cs="宋体" w:eastAsia="宋体" w:hint="default"/>
                <w:spacing w:val="-38"/>
                <w:sz w:val="18"/>
                <w:szCs w:val="18"/>
              </w:rPr>
              <w:t> </w:t>
            </w:r>
            <w:r>
              <w:rPr>
                <w:rFonts w:ascii="宋体" w:hAnsi="宋体" w:cs="宋体" w:eastAsia="宋体" w:hint="default"/>
                <w:spacing w:val="-38"/>
                <w:sz w:val="18"/>
                <w:szCs w:val="18"/>
              </w:rPr>
            </w:r>
            <w:r>
              <w:rPr>
                <w:rFonts w:ascii="宋体" w:hAnsi="宋体" w:cs="宋体" w:eastAsia="宋体" w:hint="default"/>
                <w:spacing w:val="-3"/>
                <w:sz w:val="18"/>
                <w:szCs w:val="18"/>
              </w:rPr>
              <w:t>八次会议、第四届董事会第二十二次会</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z w:val="18"/>
                <w:szCs w:val="18"/>
              </w:rPr>
              <w:t>议审议通过。</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p>
        </w:tc>
      </w:tr>
      <w:tr>
        <w:trPr>
          <w:trHeight w:val="1647" w:hRule="exact"/>
        </w:trPr>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both"/>
              <w:rPr>
                <w:rFonts w:ascii="宋体" w:hAnsi="宋体" w:cs="宋体" w:eastAsia="宋体" w:hint="default"/>
                <w:sz w:val="18"/>
                <w:szCs w:val="18"/>
              </w:rPr>
            </w:pPr>
            <w:r>
              <w:rPr>
                <w:rFonts w:ascii="宋体" w:hAnsi="宋体" w:cs="宋体" w:eastAsia="宋体" w:hint="default"/>
                <w:sz w:val="18"/>
                <w:szCs w:val="18"/>
              </w:rPr>
              <w:t>财政部于</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2"/>
                <w:sz w:val="18"/>
                <w:szCs w:val="18"/>
              </w:rPr>
              <w:t> </w:t>
            </w:r>
            <w:r>
              <w:rPr>
                <w:rFonts w:ascii="宋体" w:hAnsi="宋体" w:cs="宋体" w:eastAsia="宋体" w:hint="default"/>
                <w:spacing w:val="-5"/>
                <w:sz w:val="18"/>
                <w:szCs w:val="18"/>
              </w:rPr>
              <w:t>日发布《关于印</w:t>
            </w:r>
          </w:p>
          <w:p>
            <w:pPr>
              <w:pStyle w:val="TableParagraph"/>
              <w:spacing w:line="302" w:lineRule="auto" w:before="58"/>
              <w:ind w:left="24" w:right="36"/>
              <w:jc w:val="both"/>
              <w:rPr>
                <w:rFonts w:ascii="宋体" w:hAnsi="宋体" w:cs="宋体" w:eastAsia="宋体" w:hint="default"/>
                <w:sz w:val="18"/>
                <w:szCs w:val="18"/>
              </w:rPr>
            </w:pPr>
            <w:r>
              <w:rPr>
                <w:rFonts w:ascii="宋体" w:hAnsi="宋体" w:cs="宋体" w:eastAsia="宋体" w:hint="default"/>
                <w:spacing w:val="-3"/>
                <w:sz w:val="18"/>
                <w:szCs w:val="18"/>
              </w:rPr>
              <w:t>发修订</w:t>
            </w:r>
            <w:r>
              <w:rPr>
                <w:rFonts w:ascii="Times New Roman" w:hAnsi="Times New Roman" w:cs="Times New Roman" w:eastAsia="Times New Roman" w:hint="default"/>
                <w:spacing w:val="-3"/>
                <w:sz w:val="18"/>
                <w:szCs w:val="18"/>
              </w:rPr>
              <w:t>&lt;</w:t>
            </w:r>
            <w:r>
              <w:rPr>
                <w:rFonts w:ascii="宋体" w:hAnsi="宋体" w:cs="宋体" w:eastAsia="宋体" w:hint="default"/>
                <w:spacing w:val="-3"/>
                <w:sz w:val="18"/>
                <w:szCs w:val="18"/>
              </w:rPr>
              <w:t>企业会计准则第</w:t>
            </w:r>
            <w:r>
              <w:rPr>
                <w:rFonts w:ascii="宋体" w:hAnsi="宋体" w:cs="宋体" w:eastAsia="宋体" w:hint="default"/>
                <w:spacing w:val="-34"/>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非货币性</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资产交换</w:t>
            </w:r>
            <w:r>
              <w:rPr>
                <w:rFonts w:ascii="Times New Roman" w:hAnsi="Times New Roman" w:cs="Times New Roman" w:eastAsia="Times New Roman" w:hint="default"/>
                <w:sz w:val="18"/>
                <w:szCs w:val="18"/>
              </w:rPr>
              <w:t>&gt;</w:t>
            </w:r>
            <w:r>
              <w:rPr>
                <w:rFonts w:ascii="宋体" w:hAnsi="宋体" w:cs="宋体" w:eastAsia="宋体" w:hint="default"/>
                <w:sz w:val="18"/>
                <w:szCs w:val="18"/>
              </w:rPr>
              <w:t>的通知》</w:t>
            </w:r>
            <w:r>
              <w:rPr>
                <w:rFonts w:ascii="Times New Roman" w:hAnsi="Times New Roman" w:cs="Times New Roman" w:eastAsia="Times New Roman" w:hint="default"/>
                <w:sz w:val="18"/>
                <w:szCs w:val="18"/>
              </w:rPr>
              <w:t>(</w:t>
            </w:r>
            <w:r>
              <w:rPr>
                <w:rFonts w:ascii="宋体" w:hAnsi="宋体" w:cs="宋体" w:eastAsia="宋体" w:hint="default"/>
                <w:sz w:val="18"/>
                <w:szCs w:val="18"/>
              </w:rPr>
              <w:t>财会</w:t>
            </w:r>
            <w:r>
              <w:rPr>
                <w:rFonts w:ascii="Times New Roman" w:hAnsi="Times New Roman" w:cs="Times New Roman" w:eastAsia="Times New Roman" w:hint="default"/>
                <w:sz w:val="18"/>
                <w:szCs w:val="18"/>
              </w:rPr>
              <w:t>[2019]8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号，以</w:t>
            </w:r>
            <w:r>
              <w:rPr>
                <w:rFonts w:ascii="宋体" w:hAnsi="宋体" w:cs="宋体" w:eastAsia="宋体" w:hint="default"/>
                <w:w w:val="101"/>
                <w:sz w:val="18"/>
                <w:szCs w:val="18"/>
              </w:rPr>
              <w:t> </w:t>
            </w:r>
            <w:r>
              <w:rPr>
                <w:rFonts w:ascii="宋体" w:hAnsi="宋体" w:cs="宋体" w:eastAsia="宋体" w:hint="default"/>
                <w:spacing w:val="-3"/>
                <w:sz w:val="18"/>
                <w:szCs w:val="18"/>
              </w:rPr>
              <w:t>下简称</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新非货币性资产交换准则</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，自</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日起执行。</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21" w:lineRule="auto"/>
              <w:ind w:left="23" w:right="90"/>
              <w:jc w:val="left"/>
              <w:rPr>
                <w:rFonts w:ascii="宋体" w:hAnsi="宋体" w:cs="宋体" w:eastAsia="宋体" w:hint="default"/>
                <w:sz w:val="18"/>
                <w:szCs w:val="18"/>
              </w:rPr>
            </w:pPr>
            <w:r>
              <w:rPr>
                <w:rFonts w:ascii="宋体" w:hAnsi="宋体" w:cs="宋体" w:eastAsia="宋体" w:hint="default"/>
                <w:spacing w:val="-3"/>
                <w:sz w:val="18"/>
                <w:szCs w:val="18"/>
              </w:rPr>
              <w:t>本次变更经公司第四届董事会第二十二</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z w:val="18"/>
                <w:szCs w:val="18"/>
              </w:rPr>
              <w:t>次会议审议通过。</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p>
        </w:tc>
      </w:tr>
      <w:tr>
        <w:trPr>
          <w:trHeight w:val="1652" w:hRule="exact"/>
        </w:trPr>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both"/>
              <w:rPr>
                <w:rFonts w:ascii="宋体" w:hAnsi="宋体" w:cs="宋体" w:eastAsia="宋体" w:hint="default"/>
                <w:sz w:val="18"/>
                <w:szCs w:val="18"/>
              </w:rPr>
            </w:pPr>
            <w:r>
              <w:rPr>
                <w:rFonts w:ascii="宋体" w:hAnsi="宋体" w:cs="宋体" w:eastAsia="宋体" w:hint="default"/>
                <w:sz w:val="18"/>
                <w:szCs w:val="18"/>
              </w:rPr>
              <w:t>财政部于</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4"/>
                <w:sz w:val="18"/>
                <w:szCs w:val="18"/>
              </w:rPr>
              <w:t> </w:t>
            </w:r>
            <w:r>
              <w:rPr>
                <w:rFonts w:ascii="宋体" w:hAnsi="宋体" w:cs="宋体" w:eastAsia="宋体" w:hint="default"/>
                <w:spacing w:val="-3"/>
                <w:sz w:val="18"/>
                <w:szCs w:val="18"/>
              </w:rPr>
              <w:t>日发布《关于</w:t>
            </w:r>
          </w:p>
          <w:p>
            <w:pPr>
              <w:pStyle w:val="TableParagraph"/>
              <w:spacing w:line="302" w:lineRule="auto" w:before="63"/>
              <w:ind w:left="24" w:right="17"/>
              <w:jc w:val="both"/>
              <w:rPr>
                <w:rFonts w:ascii="宋体" w:hAnsi="宋体" w:cs="宋体" w:eastAsia="宋体" w:hint="default"/>
                <w:sz w:val="18"/>
                <w:szCs w:val="18"/>
              </w:rPr>
            </w:pPr>
            <w:r>
              <w:rPr>
                <w:rFonts w:ascii="宋体" w:hAnsi="宋体" w:cs="宋体" w:eastAsia="宋体" w:hint="default"/>
                <w:spacing w:val="-3"/>
                <w:sz w:val="18"/>
                <w:szCs w:val="18"/>
              </w:rPr>
              <w:t>印发修订《企业会计准则第</w:t>
            </w:r>
            <w:r>
              <w:rPr>
                <w:rFonts w:ascii="宋体" w:hAnsi="宋体" w:cs="宋体" w:eastAsia="宋体" w:hint="default"/>
                <w:spacing w:val="-3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债务</w:t>
            </w:r>
            <w:r>
              <w:rPr>
                <w:rFonts w:ascii="宋体" w:hAnsi="宋体" w:cs="宋体" w:eastAsia="宋体" w:hint="default"/>
                <w:spacing w:val="-73"/>
                <w:sz w:val="18"/>
                <w:szCs w:val="18"/>
              </w:rPr>
              <w:t> </w:t>
            </w:r>
            <w:r>
              <w:rPr>
                <w:rFonts w:ascii="宋体" w:hAnsi="宋体" w:cs="宋体" w:eastAsia="宋体" w:hint="default"/>
                <w:spacing w:val="-5"/>
                <w:sz w:val="18"/>
                <w:szCs w:val="18"/>
              </w:rPr>
              <w:t>重组》的通知》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财会</w:t>
            </w:r>
            <w:r>
              <w:rPr>
                <w:rFonts w:ascii="Times New Roman" w:hAnsi="Times New Roman" w:cs="Times New Roman" w:eastAsia="Times New Roman" w:hint="default"/>
                <w:spacing w:val="-5"/>
                <w:sz w:val="18"/>
                <w:szCs w:val="18"/>
              </w:rPr>
              <w:t>[2019]9 </w:t>
            </w:r>
            <w:r>
              <w:rPr>
                <w:rFonts w:ascii="宋体" w:hAnsi="宋体" w:cs="宋体" w:eastAsia="宋体" w:hint="default"/>
                <w:spacing w:val="-6"/>
                <w:sz w:val="18"/>
                <w:szCs w:val="18"/>
              </w:rPr>
              <w:t>号，以下简</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9"/>
                <w:w w:val="101"/>
                <w:sz w:val="18"/>
                <w:szCs w:val="18"/>
              </w:rPr>
              <w:t>称</w:t>
            </w:r>
            <w:r>
              <w:rPr>
                <w:rFonts w:ascii="Times New Roman" w:hAnsi="Times New Roman" w:cs="Times New Roman" w:eastAsia="Times New Roman" w:hint="default"/>
                <w:spacing w:val="-9"/>
                <w:w w:val="101"/>
                <w:sz w:val="18"/>
                <w:szCs w:val="18"/>
              </w:rPr>
              <w:t>"</w:t>
            </w:r>
            <w:r>
              <w:rPr>
                <w:rFonts w:ascii="宋体" w:hAnsi="宋体" w:cs="宋体" w:eastAsia="宋体" w:hint="default"/>
                <w:spacing w:val="-9"/>
                <w:w w:val="101"/>
                <w:sz w:val="18"/>
                <w:szCs w:val="18"/>
              </w:rPr>
              <w:t>新债务重组准则</w:t>
            </w:r>
            <w:r>
              <w:rPr>
                <w:rFonts w:ascii="Times New Roman" w:hAnsi="Times New Roman" w:cs="Times New Roman" w:eastAsia="Times New Roman" w:hint="default"/>
                <w:spacing w:val="-9"/>
                <w:w w:val="101"/>
                <w:sz w:val="18"/>
                <w:szCs w:val="18"/>
              </w:rPr>
              <w:t>")</w:t>
            </w:r>
            <w:r>
              <w:rPr>
                <w:rFonts w:ascii="宋体" w:hAnsi="宋体" w:cs="宋体" w:eastAsia="宋体" w:hint="default"/>
                <w:spacing w:val="-9"/>
                <w:w w:val="101"/>
                <w:sz w:val="18"/>
                <w:szCs w:val="18"/>
              </w:rPr>
              <w:t>，自</w:t>
            </w:r>
            <w:r>
              <w:rPr>
                <w:rFonts w:ascii="宋体" w:hAnsi="宋体" w:cs="宋体" w:eastAsia="宋体" w:hint="default"/>
                <w:spacing w:val="-48"/>
                <w:w w:val="101"/>
                <w:sz w:val="18"/>
                <w:szCs w:val="18"/>
              </w:rPr>
              <w:t> </w:t>
            </w:r>
            <w:r>
              <w:rPr>
                <w:rFonts w:ascii="Times New Roman" w:hAnsi="Times New Roman" w:cs="Times New Roman" w:eastAsia="Times New Roman" w:hint="default"/>
                <w:w w:val="101"/>
                <w:sz w:val="18"/>
                <w:szCs w:val="18"/>
              </w:rPr>
              <w:t>2019</w:t>
            </w:r>
            <w:r>
              <w:rPr>
                <w:rFonts w:ascii="Times New Roman" w:hAnsi="Times New Roman" w:cs="Times New Roman" w:eastAsia="Times New Roman" w:hint="default"/>
                <w:spacing w:val="-2"/>
                <w:w w:val="101"/>
                <w:sz w:val="18"/>
                <w:szCs w:val="18"/>
              </w:rPr>
              <w:t> </w:t>
            </w:r>
            <w:r>
              <w:rPr>
                <w:rFonts w:ascii="宋体" w:hAnsi="宋体" w:cs="宋体" w:eastAsia="宋体" w:hint="default"/>
                <w:w w:val="101"/>
                <w:sz w:val="18"/>
                <w:szCs w:val="18"/>
              </w:rPr>
              <w:t>年</w:t>
            </w:r>
            <w:r>
              <w:rPr>
                <w:rFonts w:ascii="宋体" w:hAnsi="宋体" w:cs="宋体" w:eastAsia="宋体" w:hint="default"/>
                <w:spacing w:val="-48"/>
                <w:w w:val="101"/>
                <w:sz w:val="18"/>
                <w:szCs w:val="18"/>
              </w:rPr>
              <w:t> </w:t>
            </w:r>
            <w:r>
              <w:rPr>
                <w:rFonts w:ascii="Times New Roman" w:hAnsi="Times New Roman" w:cs="Times New Roman" w:eastAsia="Times New Roman" w:hint="default"/>
                <w:w w:val="101"/>
                <w:sz w:val="18"/>
                <w:szCs w:val="18"/>
              </w:rPr>
              <w:t>6</w:t>
            </w:r>
            <w:r>
              <w:rPr>
                <w:rFonts w:ascii="Times New Roman" w:hAnsi="Times New Roman" w:cs="Times New Roman" w:eastAsia="Times New Roman" w:hint="default"/>
                <w:spacing w:val="-2"/>
                <w:w w:val="101"/>
                <w:sz w:val="18"/>
                <w:szCs w:val="18"/>
              </w:rPr>
              <w:t> </w:t>
            </w:r>
            <w:r>
              <w:rPr>
                <w:rFonts w:ascii="宋体" w:hAnsi="宋体" w:cs="宋体" w:eastAsia="宋体" w:hint="default"/>
                <w:w w:val="101"/>
                <w:sz w:val="18"/>
                <w:szCs w:val="18"/>
              </w:rPr>
              <w:t>月</w:t>
            </w:r>
            <w:r>
              <w:rPr>
                <w:rFonts w:ascii="宋体" w:hAnsi="宋体" w:cs="宋体" w:eastAsia="宋体" w:hint="default"/>
                <w:spacing w:val="-53"/>
                <w:w w:val="101"/>
                <w:sz w:val="18"/>
                <w:szCs w:val="18"/>
              </w:rPr>
              <w:t> </w:t>
            </w:r>
            <w:r>
              <w:rPr>
                <w:rFonts w:ascii="Times New Roman" w:hAnsi="Times New Roman" w:cs="Times New Roman" w:eastAsia="Times New Roman" w:hint="default"/>
                <w:w w:val="101"/>
                <w:sz w:val="18"/>
                <w:szCs w:val="18"/>
              </w:rPr>
              <w:t>17 </w:t>
            </w:r>
            <w:r>
              <w:rPr>
                <w:rFonts w:ascii="宋体" w:hAnsi="宋体" w:cs="宋体" w:eastAsia="宋体" w:hint="default"/>
                <w:sz w:val="18"/>
                <w:szCs w:val="18"/>
              </w:rPr>
              <w:t>日起施行</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316" w:lineRule="auto"/>
              <w:ind w:left="23" w:right="90"/>
              <w:jc w:val="left"/>
              <w:rPr>
                <w:rFonts w:ascii="宋体" w:hAnsi="宋体" w:cs="宋体" w:eastAsia="宋体" w:hint="default"/>
                <w:sz w:val="18"/>
                <w:szCs w:val="18"/>
              </w:rPr>
            </w:pPr>
            <w:r>
              <w:rPr>
                <w:rFonts w:ascii="宋体" w:hAnsi="宋体" w:cs="宋体" w:eastAsia="宋体" w:hint="default"/>
                <w:spacing w:val="-3"/>
                <w:sz w:val="18"/>
                <w:szCs w:val="18"/>
              </w:rPr>
              <w:t>本次变更经公司第四届董事会第二十二</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z w:val="18"/>
                <w:szCs w:val="18"/>
              </w:rPr>
              <w:t>次会议审议通过。</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p>
        </w:tc>
      </w:tr>
    </w:tbl>
    <w:p>
      <w:pPr>
        <w:pStyle w:val="BodyText"/>
        <w:spacing w:line="463" w:lineRule="auto" w:before="92"/>
        <w:ind w:right="1037" w:firstLine="360"/>
        <w:jc w:val="both"/>
      </w:pPr>
      <w:r>
        <w:rPr>
          <w:rFonts w:ascii="Times New Roman" w:hAnsi="Times New Roman" w:cs="Times New Roman" w:eastAsia="Times New Roman" w:hint="default"/>
        </w:rPr>
        <w:t>[</w:t>
      </w:r>
      <w:r>
        <w:rPr/>
        <w:t>注</w:t>
      </w:r>
      <w:r>
        <w:rPr>
          <w:spacing w:val="-11"/>
        </w:rPr>
        <w:t> </w:t>
      </w:r>
      <w:r>
        <w:rPr>
          <w:rFonts w:ascii="Times New Roman" w:hAnsi="Times New Roman" w:cs="Times New Roman" w:eastAsia="Times New Roman" w:hint="default"/>
          <w:spacing w:val="-3"/>
        </w:rPr>
        <w:t>1]</w:t>
      </w:r>
      <w:r>
        <w:rPr>
          <w:spacing w:val="-3"/>
        </w:rPr>
        <w:t>新金融工具准则改变了原准则下金融资产的分类和计量方式，将金融资产分为三类：按摊余成本计量、按公允价</w:t>
      </w:r>
      <w:r>
        <w:rPr>
          <w:w w:val="101"/>
        </w:rPr>
        <w:t> </w:t>
      </w:r>
      <w:r>
        <w:rPr>
          <w:spacing w:val="-4"/>
        </w:rPr>
        <w:t>值计量且其变动计入其他综合收益、按公允价值计量且其变动计入当期损益。本公司考虑金融资产的合同现金流量特征和自</w:t>
      </w:r>
      <w:r>
        <w:rPr>
          <w:spacing w:val="43"/>
        </w:rPr>
        <w:t> </w:t>
      </w:r>
      <w:r>
        <w:rPr>
          <w:spacing w:val="43"/>
        </w:rPr>
      </w:r>
      <w:r>
        <w:rPr>
          <w:spacing w:val="-6"/>
          <w:w w:val="101"/>
        </w:rPr>
        <w:t>身管理金融资产的业务模式进行上述分类。权益类投资需按公允价值计量且其变动计入当期损益，但对非交易性权益类投资，</w:t>
      </w:r>
      <w:r>
        <w:rPr>
          <w:spacing w:val="-6"/>
        </w:rPr>
      </w:r>
    </w:p>
    <w:p>
      <w:pPr>
        <w:spacing w:after="0" w:line="463" w:lineRule="auto"/>
        <w:jc w:val="both"/>
        <w:sectPr>
          <w:pgSz w:w="11910" w:h="16840"/>
          <w:pgMar w:header="871" w:footer="1186" w:top="1100" w:bottom="1380" w:left="980" w:right="0"/>
        </w:sectPr>
      </w:pPr>
    </w:p>
    <w:p>
      <w:pPr>
        <w:spacing w:line="240" w:lineRule="auto" w:before="1"/>
        <w:rPr>
          <w:rFonts w:ascii="宋体" w:hAnsi="宋体" w:cs="宋体" w:eastAsia="宋体" w:hint="default"/>
          <w:sz w:val="28"/>
          <w:szCs w:val="28"/>
        </w:rPr>
      </w:pPr>
    </w:p>
    <w:p>
      <w:pPr>
        <w:pStyle w:val="BodyText"/>
        <w:spacing w:line="475" w:lineRule="auto" w:before="46"/>
        <w:ind w:right="1117"/>
        <w:jc w:val="left"/>
      </w:pPr>
      <w:r>
        <w:rPr>
          <w:spacing w:val="-4"/>
          <w:w w:val="101"/>
        </w:rPr>
        <w:t>在初始确认时可选择按公允价值计量且其变动计入其他综合收益，该等金融资产终止确认时累计利得或损失从其他综合收益</w:t>
      </w:r>
      <w:r>
        <w:rPr>
          <w:w w:val="101"/>
        </w:rPr>
        <w:t> </w:t>
      </w:r>
      <w:r>
        <w:rPr>
          <w:spacing w:val="-3"/>
        </w:rPr>
        <w:t>转入留存收益，不计入当期损益。</w:t>
      </w:r>
    </w:p>
    <w:p>
      <w:pPr>
        <w:pStyle w:val="BodyText"/>
        <w:spacing w:line="448" w:lineRule="auto" w:before="59"/>
        <w:ind w:right="1127" w:firstLine="360"/>
        <w:jc w:val="both"/>
      </w:pPr>
      <w:r>
        <w:rPr>
          <w:spacing w:val="-4"/>
        </w:rPr>
        <w:t>新金融工具准则将金融资产减值计量由原准则下的</w:t>
      </w:r>
      <w:r>
        <w:rPr>
          <w:rFonts w:ascii="Times New Roman" w:hAnsi="Times New Roman" w:cs="Times New Roman" w:eastAsia="Times New Roman" w:hint="default"/>
          <w:spacing w:val="-4"/>
        </w:rPr>
        <w:t>“</w:t>
      </w:r>
      <w:r>
        <w:rPr>
          <w:spacing w:val="-4"/>
        </w:rPr>
        <w:t>已发生损失模型</w:t>
      </w:r>
      <w:r>
        <w:rPr>
          <w:rFonts w:ascii="Times New Roman" w:hAnsi="Times New Roman" w:cs="Times New Roman" w:eastAsia="Times New Roman" w:hint="default"/>
          <w:spacing w:val="-4"/>
        </w:rPr>
        <w:t>”</w:t>
      </w:r>
      <w:r>
        <w:rPr>
          <w:spacing w:val="-4"/>
        </w:rPr>
        <w:t>改为</w:t>
      </w:r>
      <w:r>
        <w:rPr>
          <w:rFonts w:ascii="Times New Roman" w:hAnsi="Times New Roman" w:cs="Times New Roman" w:eastAsia="Times New Roman" w:hint="default"/>
          <w:spacing w:val="-4"/>
        </w:rPr>
        <w:t>“</w:t>
      </w:r>
      <w:r>
        <w:rPr>
          <w:spacing w:val="-4"/>
        </w:rPr>
        <w:t>预期信用损失模型</w:t>
      </w:r>
      <w:r>
        <w:rPr>
          <w:rFonts w:ascii="Times New Roman" w:hAnsi="Times New Roman" w:cs="Times New Roman" w:eastAsia="Times New Roman" w:hint="default"/>
          <w:spacing w:val="-4"/>
        </w:rPr>
        <w:t>”</w:t>
      </w:r>
      <w:r>
        <w:rPr>
          <w:spacing w:val="-4"/>
        </w:rPr>
        <w:t>，适用于以摊余成本计量</w:t>
      </w:r>
      <w:r>
        <w:rPr>
          <w:w w:val="101"/>
        </w:rPr>
        <w:t> </w:t>
      </w:r>
      <w:r>
        <w:rPr>
          <w:spacing w:val="-3"/>
        </w:rPr>
        <w:t>的金融资产、以公允价值计量且其变动计入其他综合收益的债务工具投资、租赁应收款及财务担保合同。</w:t>
      </w:r>
    </w:p>
    <w:p>
      <w:pPr>
        <w:pStyle w:val="BodyText"/>
        <w:spacing w:line="453" w:lineRule="auto" w:before="78"/>
        <w:ind w:right="1029" w:firstLine="360"/>
        <w:jc w:val="left"/>
      </w:pPr>
      <w:r>
        <w:rPr>
          <w:spacing w:val="-4"/>
        </w:rPr>
        <w:t>本公司按照新金融工具准则的相关规定，对比较期间财务报表不予调整，首次执行日执行新准则与原准则的差异追溯调</w:t>
      </w:r>
      <w:r>
        <w:rPr>
          <w:w w:val="101"/>
        </w:rPr>
        <w:t> </w:t>
      </w:r>
      <w:r>
        <w:rPr>
          <w:spacing w:val="-4"/>
        </w:rPr>
        <w:t>整本报告期期初留存收益或其他综合收益。调整情况详见本附注五、</w:t>
      </w:r>
      <w:r>
        <w:rPr>
          <w:rFonts w:ascii="Times New Roman" w:hAnsi="Times New Roman" w:cs="Times New Roman" w:eastAsia="Times New Roman" w:hint="default"/>
          <w:spacing w:val="-4"/>
        </w:rPr>
        <w:t>36(3)</w:t>
      </w:r>
      <w:r>
        <w:rPr>
          <w:spacing w:val="-4"/>
        </w:rPr>
        <w:t>、</w:t>
      </w:r>
      <w:r>
        <w:rPr>
          <w:rFonts w:ascii="Times New Roman" w:hAnsi="Times New Roman" w:cs="Times New Roman" w:eastAsia="Times New Roman" w:hint="default"/>
          <w:spacing w:val="-4"/>
        </w:rPr>
        <w:t>(4)</w:t>
      </w:r>
      <w:r>
        <w:rPr>
          <w:spacing w:val="-4"/>
        </w:rPr>
        <w:t>、</w:t>
      </w:r>
      <w:r>
        <w:rPr>
          <w:rFonts w:ascii="Times New Roman" w:hAnsi="Times New Roman" w:cs="Times New Roman" w:eastAsia="Times New Roman" w:hint="default"/>
          <w:spacing w:val="-4"/>
        </w:rPr>
        <w:t>(5)</w:t>
      </w:r>
      <w:r>
        <w:rPr>
          <w:spacing w:val="-4"/>
        </w:rPr>
        <w:t>之说明。</w:t>
      </w:r>
      <w:r>
        <w:rPr>
          <w:rFonts w:ascii="Times New Roman" w:hAnsi="Times New Roman" w:cs="Times New Roman" w:eastAsia="Times New Roman" w:hint="default"/>
          <w:spacing w:val="-4"/>
        </w:rPr>
        <w:t>[</w:t>
      </w:r>
      <w:r>
        <w:rPr>
          <w:spacing w:val="-4"/>
        </w:rPr>
        <w:t>注</w:t>
      </w:r>
      <w:r>
        <w:rPr>
          <w:spacing w:val="-34"/>
        </w:rPr>
        <w:t> </w:t>
      </w:r>
      <w:r>
        <w:rPr>
          <w:rFonts w:ascii="Times New Roman" w:hAnsi="Times New Roman" w:cs="Times New Roman" w:eastAsia="Times New Roman" w:hint="default"/>
        </w:rPr>
        <w:t>2]</w:t>
      </w:r>
      <w:r>
        <w:rPr>
          <w:rFonts w:ascii="Times New Roman" w:hAnsi="Times New Roman" w:cs="Times New Roman" w:eastAsia="Times New Roman" w:hint="default"/>
          <w:spacing w:val="5"/>
        </w:rPr>
        <w:t> </w:t>
      </w:r>
      <w:r>
        <w:rPr>
          <w:spacing w:val="-3"/>
        </w:rPr>
        <w:t>财政部于</w:t>
      </w:r>
      <w:r>
        <w:rPr>
          <w:spacing w:val="-34"/>
        </w:rPr>
        <w:t> </w:t>
      </w:r>
      <w:r>
        <w:rPr>
          <w:rFonts w:ascii="Times New Roman" w:hAnsi="Times New Roman" w:cs="Times New Roman" w:eastAsia="Times New Roman" w:hint="default"/>
        </w:rPr>
        <w:t>2019</w:t>
      </w:r>
      <w:r>
        <w:rPr>
          <w:rFonts w:ascii="Times New Roman" w:hAnsi="Times New Roman" w:cs="Times New Roman" w:eastAsia="Times New Roman" w:hint="default"/>
          <w:spacing w:val="4"/>
        </w:rPr>
        <w:t> </w:t>
      </w:r>
      <w:r>
        <w:rPr/>
        <w:t>年</w:t>
      </w:r>
      <w:r>
        <w:rPr>
          <w:spacing w:val="-41"/>
        </w:rPr>
        <w:t> </w:t>
      </w:r>
      <w:r>
        <w:rPr>
          <w:rFonts w:ascii="Times New Roman" w:hAnsi="Times New Roman" w:cs="Times New Roman" w:eastAsia="Times New Roman" w:hint="default"/>
        </w:rPr>
        <w:t>4</w:t>
      </w:r>
      <w:r>
        <w:rPr>
          <w:rFonts w:ascii="Times New Roman" w:hAnsi="Times New Roman" w:cs="Times New Roman" w:eastAsia="Times New Roman" w:hint="default"/>
          <w:spacing w:val="4"/>
        </w:rPr>
        <w:t> </w:t>
      </w:r>
      <w:r>
        <w:rPr/>
        <w:t>月</w:t>
      </w:r>
      <w:r>
        <w:rPr>
          <w:spacing w:val="-34"/>
        </w:rPr>
        <w:t> </w:t>
      </w:r>
      <w:r>
        <w:rPr>
          <w:rFonts w:ascii="Times New Roman" w:hAnsi="Times New Roman" w:cs="Times New Roman" w:eastAsia="Times New Roman" w:hint="default"/>
          <w:spacing w:val="-5"/>
        </w:rPr>
        <w:t>30</w:t>
      </w:r>
      <w:r>
        <w:rPr>
          <w:rFonts w:ascii="Times New Roman" w:hAnsi="Times New Roman" w:cs="Times New Roman" w:eastAsia="Times New Roman" w:hint="default"/>
          <w:spacing w:val="-7"/>
        </w:rPr>
        <w:t> </w:t>
      </w:r>
      <w:r>
        <w:rPr>
          <w:spacing w:val="-11"/>
          <w:w w:val="101"/>
        </w:rPr>
        <w:t>日发布《关于修订印发</w:t>
      </w:r>
      <w:r>
        <w:rPr>
          <w:spacing w:val="-51"/>
          <w:w w:val="101"/>
        </w:rPr>
        <w:t> </w:t>
      </w:r>
      <w:r>
        <w:rPr>
          <w:rFonts w:ascii="Times New Roman" w:hAnsi="Times New Roman" w:cs="Times New Roman" w:eastAsia="Times New Roman" w:hint="default"/>
          <w:w w:val="101"/>
        </w:rPr>
        <w:t>2019</w:t>
      </w:r>
      <w:r>
        <w:rPr>
          <w:rFonts w:ascii="Times New Roman" w:hAnsi="Times New Roman" w:cs="Times New Roman" w:eastAsia="Times New Roman" w:hint="default"/>
          <w:spacing w:val="-5"/>
          <w:w w:val="101"/>
        </w:rPr>
        <w:t> </w:t>
      </w:r>
      <w:r>
        <w:rPr>
          <w:spacing w:val="-6"/>
          <w:w w:val="101"/>
        </w:rPr>
        <w:t>年度一般企业财务报表格式的通知》</w:t>
      </w:r>
      <w:r>
        <w:rPr>
          <w:rFonts w:ascii="Times New Roman" w:hAnsi="Times New Roman" w:cs="Times New Roman" w:eastAsia="Times New Roman" w:hint="default"/>
          <w:spacing w:val="-6"/>
          <w:w w:val="101"/>
        </w:rPr>
        <w:t>(</w:t>
      </w:r>
      <w:r>
        <w:rPr>
          <w:spacing w:val="-6"/>
          <w:w w:val="101"/>
        </w:rPr>
        <w:t>财会</w:t>
      </w:r>
      <w:r>
        <w:rPr>
          <w:rFonts w:ascii="Times New Roman" w:hAnsi="Times New Roman" w:cs="Times New Roman" w:eastAsia="Times New Roman" w:hint="default"/>
          <w:spacing w:val="-6"/>
          <w:w w:val="101"/>
        </w:rPr>
        <w:t>[2019]6 </w:t>
      </w:r>
      <w:r>
        <w:rPr>
          <w:spacing w:val="-10"/>
          <w:w w:val="101"/>
        </w:rPr>
        <w:t>号，以下简称</w:t>
      </w:r>
      <w:r>
        <w:rPr>
          <w:rFonts w:ascii="Times New Roman" w:hAnsi="Times New Roman" w:cs="Times New Roman" w:eastAsia="Times New Roman" w:hint="default"/>
          <w:spacing w:val="-10"/>
          <w:w w:val="101"/>
        </w:rPr>
        <w:t>“2019</w:t>
      </w:r>
      <w:r>
        <w:rPr>
          <w:rFonts w:ascii="Times New Roman" w:hAnsi="Times New Roman" w:cs="Times New Roman" w:eastAsia="Times New Roman" w:hint="default"/>
          <w:spacing w:val="-11"/>
          <w:w w:val="101"/>
        </w:rPr>
        <w:t> </w:t>
      </w:r>
      <w:r>
        <w:rPr>
          <w:spacing w:val="-3"/>
          <w:w w:val="101"/>
        </w:rPr>
        <w:t>年新修订的财务报表格式</w:t>
      </w:r>
      <w:r>
        <w:rPr>
          <w:rFonts w:ascii="Times New Roman" w:hAnsi="Times New Roman" w:cs="Times New Roman" w:eastAsia="Times New Roman" w:hint="default"/>
          <w:spacing w:val="-3"/>
          <w:w w:val="101"/>
        </w:rPr>
        <w:t>”)</w:t>
      </w:r>
      <w:r>
        <w:rPr>
          <w:spacing w:val="-3"/>
          <w:w w:val="101"/>
        </w:rPr>
        <w:t>。</w:t>
      </w:r>
      <w:r>
        <w:rPr>
          <w:spacing w:val="-87"/>
          <w:w w:val="101"/>
        </w:rPr>
        <w:t> </w:t>
      </w:r>
      <w:r>
        <w:rPr>
          <w:rFonts w:ascii="Times New Roman" w:hAnsi="Times New Roman" w:cs="Times New Roman" w:eastAsia="Times New Roman" w:hint="default"/>
        </w:rPr>
        <w:t>2019 </w:t>
      </w:r>
      <w:r>
        <w:rPr>
          <w:spacing w:val="-3"/>
        </w:rPr>
        <w:t>年新修订的财务报表格式将</w:t>
      </w:r>
      <w:r>
        <w:rPr>
          <w:rFonts w:ascii="Times New Roman" w:hAnsi="Times New Roman" w:cs="Times New Roman" w:eastAsia="Times New Roman" w:hint="default"/>
          <w:spacing w:val="-3"/>
        </w:rPr>
        <w:t>“</w:t>
      </w:r>
      <w:r>
        <w:rPr>
          <w:spacing w:val="-3"/>
        </w:rPr>
        <w:t>应收票据及应收账款</w:t>
      </w:r>
      <w:r>
        <w:rPr>
          <w:rFonts w:ascii="Times New Roman" w:hAnsi="Times New Roman" w:cs="Times New Roman" w:eastAsia="Times New Roman" w:hint="default"/>
          <w:spacing w:val="-3"/>
        </w:rPr>
        <w:t>”</w:t>
      </w:r>
      <w:r>
        <w:rPr>
          <w:spacing w:val="-3"/>
        </w:rPr>
        <w:t>项目拆分为</w:t>
      </w:r>
      <w:r>
        <w:rPr>
          <w:rFonts w:ascii="Times New Roman" w:hAnsi="Times New Roman" w:cs="Times New Roman" w:eastAsia="Times New Roman" w:hint="default"/>
          <w:spacing w:val="-3"/>
        </w:rPr>
        <w:t>“</w:t>
      </w:r>
      <w:r>
        <w:rPr>
          <w:spacing w:val="-3"/>
        </w:rPr>
        <w:t>应收票据</w:t>
      </w:r>
      <w:r>
        <w:rPr>
          <w:rFonts w:ascii="Times New Roman" w:hAnsi="Times New Roman" w:cs="Times New Roman" w:eastAsia="Times New Roman" w:hint="default"/>
          <w:spacing w:val="-3"/>
        </w:rPr>
        <w:t>”</w:t>
      </w:r>
      <w:r>
        <w:rPr>
          <w:spacing w:val="-3"/>
        </w:rPr>
        <w:t>和</w:t>
      </w:r>
      <w:r>
        <w:rPr>
          <w:rFonts w:ascii="Times New Roman" w:hAnsi="Times New Roman" w:cs="Times New Roman" w:eastAsia="Times New Roman" w:hint="default"/>
          <w:spacing w:val="-3"/>
        </w:rPr>
        <w:t>“</w:t>
      </w:r>
      <w:r>
        <w:rPr>
          <w:spacing w:val="-3"/>
        </w:rPr>
        <w:t>应收账款</w:t>
      </w:r>
      <w:r>
        <w:rPr>
          <w:rFonts w:ascii="Times New Roman" w:hAnsi="Times New Roman" w:cs="Times New Roman" w:eastAsia="Times New Roman" w:hint="default"/>
          <w:spacing w:val="-3"/>
        </w:rPr>
        <w:t>”</w:t>
      </w:r>
      <w:r>
        <w:rPr>
          <w:spacing w:val="-3"/>
        </w:rPr>
        <w:t>两个项目列报，将</w:t>
      </w:r>
      <w:r>
        <w:rPr>
          <w:rFonts w:ascii="Times New Roman" w:hAnsi="Times New Roman" w:cs="Times New Roman" w:eastAsia="Times New Roman" w:hint="default"/>
          <w:spacing w:val="-3"/>
        </w:rPr>
        <w:t>“</w:t>
      </w:r>
      <w:r>
        <w:rPr>
          <w:spacing w:val="-3"/>
        </w:rPr>
        <w:t>应付票据及</w:t>
      </w:r>
      <w:r>
        <w:rPr>
          <w:spacing w:val="60"/>
        </w:rPr>
        <w:t> </w:t>
      </w:r>
      <w:r>
        <w:rPr>
          <w:spacing w:val="60"/>
        </w:rPr>
      </w:r>
      <w:r>
        <w:rPr>
          <w:spacing w:val="-3"/>
        </w:rPr>
        <w:t>应付账款</w:t>
      </w:r>
      <w:r>
        <w:rPr>
          <w:rFonts w:ascii="Times New Roman" w:hAnsi="Times New Roman" w:cs="Times New Roman" w:eastAsia="Times New Roman" w:hint="default"/>
          <w:spacing w:val="-3"/>
        </w:rPr>
        <w:t>”</w:t>
      </w:r>
      <w:r>
        <w:rPr>
          <w:spacing w:val="-3"/>
        </w:rPr>
        <w:t>项目拆分为</w:t>
      </w:r>
      <w:r>
        <w:rPr>
          <w:rFonts w:ascii="Times New Roman" w:hAnsi="Times New Roman" w:cs="Times New Roman" w:eastAsia="Times New Roman" w:hint="default"/>
          <w:spacing w:val="-3"/>
        </w:rPr>
        <w:t>“</w:t>
      </w:r>
      <w:r>
        <w:rPr>
          <w:spacing w:val="-3"/>
        </w:rPr>
        <w:t>应付票据</w:t>
      </w:r>
      <w:r>
        <w:rPr>
          <w:rFonts w:ascii="Times New Roman" w:hAnsi="Times New Roman" w:cs="Times New Roman" w:eastAsia="Times New Roman" w:hint="default"/>
          <w:spacing w:val="-3"/>
        </w:rPr>
        <w:t>”</w:t>
      </w:r>
      <w:r>
        <w:rPr>
          <w:spacing w:val="-3"/>
        </w:rPr>
        <w:t>和</w:t>
      </w:r>
      <w:r>
        <w:rPr>
          <w:rFonts w:ascii="Times New Roman" w:hAnsi="Times New Roman" w:cs="Times New Roman" w:eastAsia="Times New Roman" w:hint="default"/>
          <w:spacing w:val="-3"/>
        </w:rPr>
        <w:t>“</w:t>
      </w:r>
      <w:r>
        <w:rPr>
          <w:spacing w:val="-3"/>
        </w:rPr>
        <w:t>应付账款</w:t>
      </w:r>
      <w:r>
        <w:rPr>
          <w:rFonts w:ascii="Times New Roman" w:hAnsi="Times New Roman" w:cs="Times New Roman" w:eastAsia="Times New Roman" w:hint="default"/>
          <w:spacing w:val="-3"/>
        </w:rPr>
        <w:t>”</w:t>
      </w:r>
      <w:r>
        <w:rPr>
          <w:spacing w:val="-3"/>
        </w:rPr>
        <w:t>两个项目列报；增加对仅执行新金融工具准则对报表项目的调整要求；补充</w:t>
      </w:r>
      <w:r>
        <w:rPr>
          <w:spacing w:val="74"/>
        </w:rPr>
        <w:t> </w:t>
      </w:r>
      <w:r>
        <w:rPr>
          <w:spacing w:val="74"/>
        </w:rPr>
      </w:r>
      <w:r>
        <w:rPr>
          <w:rFonts w:ascii="Times New Roman" w:hAnsi="Times New Roman" w:cs="Times New Roman" w:eastAsia="Times New Roman" w:hint="default"/>
          <w:spacing w:val="-3"/>
        </w:rPr>
        <w:t>“</w:t>
      </w:r>
      <w:r>
        <w:rPr>
          <w:spacing w:val="-3"/>
        </w:rPr>
        <w:t>研发费用</w:t>
      </w:r>
      <w:r>
        <w:rPr>
          <w:rFonts w:ascii="Times New Roman" w:hAnsi="Times New Roman" w:cs="Times New Roman" w:eastAsia="Times New Roman" w:hint="default"/>
          <w:spacing w:val="-3"/>
        </w:rPr>
        <w:t>”</w:t>
      </w:r>
      <w:r>
        <w:rPr>
          <w:spacing w:val="-3"/>
        </w:rPr>
        <w:t>核算范围，明确</w:t>
      </w:r>
      <w:r>
        <w:rPr>
          <w:rFonts w:ascii="Times New Roman" w:hAnsi="Times New Roman" w:cs="Times New Roman" w:eastAsia="Times New Roman" w:hint="default"/>
          <w:spacing w:val="-3"/>
        </w:rPr>
        <w:t>“</w:t>
      </w:r>
      <w:r>
        <w:rPr>
          <w:spacing w:val="-3"/>
        </w:rPr>
        <w:t>研发费用</w:t>
      </w:r>
      <w:r>
        <w:rPr>
          <w:rFonts w:ascii="Times New Roman" w:hAnsi="Times New Roman" w:cs="Times New Roman" w:eastAsia="Times New Roman" w:hint="default"/>
          <w:spacing w:val="-3"/>
        </w:rPr>
        <w:t>”</w:t>
      </w:r>
      <w:r>
        <w:rPr>
          <w:spacing w:val="-3"/>
        </w:rPr>
        <w:t>项目还包括计入管理费用的自行开发无形资产的摊销；</w:t>
      </w:r>
      <w:r>
        <w:rPr>
          <w:rFonts w:ascii="Times New Roman" w:hAnsi="Times New Roman" w:cs="Times New Roman" w:eastAsia="Times New Roman" w:hint="default"/>
          <w:spacing w:val="-3"/>
        </w:rPr>
        <w:t>“</w:t>
      </w:r>
      <w:r>
        <w:rPr>
          <w:spacing w:val="-3"/>
        </w:rPr>
        <w:t>营业外收入</w:t>
      </w:r>
      <w:r>
        <w:rPr>
          <w:rFonts w:ascii="Times New Roman" w:hAnsi="Times New Roman" w:cs="Times New Roman" w:eastAsia="Times New Roman" w:hint="default"/>
          <w:spacing w:val="-3"/>
        </w:rPr>
        <w:t>”</w:t>
      </w:r>
      <w:r>
        <w:rPr>
          <w:spacing w:val="-3"/>
        </w:rPr>
        <w:t>和</w:t>
      </w:r>
      <w:r>
        <w:rPr>
          <w:rFonts w:ascii="Times New Roman" w:hAnsi="Times New Roman" w:cs="Times New Roman" w:eastAsia="Times New Roman" w:hint="default"/>
          <w:spacing w:val="-3"/>
        </w:rPr>
        <w:t>“</w:t>
      </w:r>
      <w:r>
        <w:rPr>
          <w:spacing w:val="-3"/>
        </w:rPr>
        <w:t>营业外支出</w:t>
      </w:r>
      <w:r>
        <w:rPr>
          <w:rFonts w:ascii="Times New Roman" w:hAnsi="Times New Roman" w:cs="Times New Roman" w:eastAsia="Times New Roman" w:hint="default"/>
          <w:spacing w:val="-3"/>
        </w:rPr>
        <w:t>”</w:t>
      </w:r>
      <w:r>
        <w:rPr>
          <w:rFonts w:ascii="Times New Roman" w:hAnsi="Times New Roman" w:cs="Times New Roman" w:eastAsia="Times New Roman" w:hint="default"/>
          <w:spacing w:val="37"/>
        </w:rPr>
        <w:t> </w:t>
      </w:r>
      <w:r>
        <w:rPr>
          <w:spacing w:val="-4"/>
        </w:rPr>
        <w:t>项目中删除债务重组利得和损失。此外，在新金融工具准则下，</w:t>
      </w:r>
      <w:r>
        <w:rPr>
          <w:rFonts w:ascii="Times New Roman" w:hAnsi="Times New Roman" w:cs="Times New Roman" w:eastAsia="Times New Roman" w:hint="default"/>
          <w:spacing w:val="-4"/>
        </w:rPr>
        <w:t>“</w:t>
      </w:r>
      <w:r>
        <w:rPr>
          <w:spacing w:val="-4"/>
        </w:rPr>
        <w:t>应收利息</w:t>
      </w:r>
      <w:r>
        <w:rPr>
          <w:rFonts w:ascii="Times New Roman" w:hAnsi="Times New Roman" w:cs="Times New Roman" w:eastAsia="Times New Roman" w:hint="default"/>
          <w:spacing w:val="-4"/>
        </w:rPr>
        <w:t>”</w:t>
      </w:r>
      <w:r>
        <w:rPr>
          <w:spacing w:val="-4"/>
        </w:rPr>
        <w:t>、</w:t>
      </w:r>
      <w:r>
        <w:rPr>
          <w:rFonts w:ascii="Times New Roman" w:hAnsi="Times New Roman" w:cs="Times New Roman" w:eastAsia="Times New Roman" w:hint="default"/>
          <w:spacing w:val="-4"/>
        </w:rPr>
        <w:t>“</w:t>
      </w:r>
      <w:r>
        <w:rPr>
          <w:spacing w:val="-4"/>
        </w:rPr>
        <w:t>应付利息</w:t>
      </w:r>
      <w:r>
        <w:rPr>
          <w:rFonts w:ascii="Times New Roman" w:hAnsi="Times New Roman" w:cs="Times New Roman" w:eastAsia="Times New Roman" w:hint="default"/>
          <w:spacing w:val="-4"/>
        </w:rPr>
        <w:t>”</w:t>
      </w:r>
      <w:r>
        <w:rPr>
          <w:spacing w:val="-4"/>
        </w:rPr>
        <w:t>仅反映相关金融工具已到期可收取</w:t>
      </w:r>
      <w:r>
        <w:rPr>
          <w:spacing w:val="3"/>
        </w:rPr>
        <w:t> </w:t>
      </w:r>
      <w:r>
        <w:rPr>
          <w:spacing w:val="3"/>
        </w:rPr>
      </w:r>
      <w:r>
        <w:rPr>
          <w:spacing w:val="-3"/>
        </w:rPr>
        <w:t>但于资产负债表日尚未收到的利息，基于实际利率法计提的金融工具的利息应包含在相应金融工具的账面余额中。</w:t>
      </w:r>
    </w:p>
    <w:p>
      <w:pPr>
        <w:pStyle w:val="BodyText"/>
        <w:spacing w:line="451" w:lineRule="auto" w:before="74"/>
        <w:ind w:right="1122" w:firstLine="360"/>
        <w:jc w:val="both"/>
      </w:pPr>
      <w:r>
        <w:rPr/>
        <w:t>财政部于</w:t>
      </w:r>
      <w:r>
        <w:rPr>
          <w:spacing w:val="-38"/>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w:t>
      </w:r>
      <w:r>
        <w:rPr>
          <w:spacing w:val="-44"/>
        </w:rPr>
        <w:t> </w:t>
      </w:r>
      <w:r>
        <w:rPr>
          <w:rFonts w:ascii="Times New Roman" w:hAnsi="Times New Roman" w:cs="Times New Roman" w:eastAsia="Times New Roman" w:hint="default"/>
        </w:rPr>
        <w:t>9</w:t>
      </w:r>
      <w:r>
        <w:rPr>
          <w:rFonts w:ascii="Times New Roman" w:hAnsi="Times New Roman" w:cs="Times New Roman" w:eastAsia="Times New Roman" w:hint="default"/>
          <w:spacing w:val="1"/>
        </w:rPr>
        <w:t> </w:t>
      </w:r>
      <w:r>
        <w:rPr/>
        <w:t>月</w:t>
      </w:r>
      <w:r>
        <w:rPr>
          <w:spacing w:val="-38"/>
        </w:rPr>
        <w:t> </w:t>
      </w:r>
      <w:r>
        <w:rPr>
          <w:rFonts w:ascii="Times New Roman" w:hAnsi="Times New Roman" w:cs="Times New Roman" w:eastAsia="Times New Roman" w:hint="default"/>
          <w:spacing w:val="-3"/>
        </w:rPr>
        <w:t>19</w:t>
      </w:r>
      <w:r>
        <w:rPr>
          <w:rFonts w:ascii="Times New Roman" w:hAnsi="Times New Roman" w:cs="Times New Roman" w:eastAsia="Times New Roman" w:hint="default"/>
          <w:spacing w:val="-5"/>
        </w:rPr>
        <w:t> </w:t>
      </w:r>
      <w:r>
        <w:rPr>
          <w:spacing w:val="-3"/>
        </w:rPr>
        <w:t>日发布《关于修订印发合并财务报表格式</w:t>
      </w:r>
      <w:r>
        <w:rPr>
          <w:rFonts w:ascii="Times New Roman" w:hAnsi="Times New Roman" w:cs="Times New Roman" w:eastAsia="Times New Roman" w:hint="default"/>
          <w:spacing w:val="-3"/>
        </w:rPr>
        <w:t>(2019</w:t>
      </w:r>
      <w:r>
        <w:rPr>
          <w:rFonts w:ascii="Times New Roman" w:hAnsi="Times New Roman" w:cs="Times New Roman" w:eastAsia="Times New Roman" w:hint="default"/>
          <w:spacing w:val="-4"/>
        </w:rPr>
        <w:t> </w:t>
      </w:r>
      <w:r>
        <w:rPr/>
        <w:t>版</w:t>
      </w:r>
      <w:r>
        <w:rPr>
          <w:rFonts w:ascii="Times New Roman" w:hAnsi="Times New Roman" w:cs="Times New Roman" w:eastAsia="Times New Roman" w:hint="default"/>
        </w:rPr>
        <w:t>)</w:t>
      </w:r>
      <w:r>
        <w:rPr/>
        <w:t>的通知》</w:t>
      </w:r>
      <w:r>
        <w:rPr>
          <w:rFonts w:ascii="Times New Roman" w:hAnsi="Times New Roman" w:cs="Times New Roman" w:eastAsia="Times New Roman" w:hint="default"/>
        </w:rPr>
        <w:t>(</w:t>
      </w:r>
      <w:r>
        <w:rPr/>
        <w:t>财会</w:t>
      </w:r>
      <w:r>
        <w:rPr>
          <w:rFonts w:ascii="Times New Roman" w:hAnsi="Times New Roman" w:cs="Times New Roman" w:eastAsia="Times New Roman" w:hint="default"/>
        </w:rPr>
        <w:t>[2019]16</w:t>
      </w:r>
      <w:r>
        <w:rPr>
          <w:rFonts w:ascii="Times New Roman" w:hAnsi="Times New Roman" w:cs="Times New Roman" w:eastAsia="Times New Roman" w:hint="default"/>
          <w:spacing w:val="1"/>
        </w:rPr>
        <w:t> </w:t>
      </w:r>
      <w:r>
        <w:rPr/>
        <w:t>号，以下简称</w:t>
      </w:r>
      <w:r>
        <w:rPr>
          <w:rFonts w:ascii="Times New Roman" w:hAnsi="Times New Roman" w:cs="Times New Roman" w:eastAsia="Times New Roman" w:hint="default"/>
        </w:rPr>
        <w:t>“2019</w:t>
      </w:r>
      <w:r>
        <w:rPr>
          <w:rFonts w:ascii="Times New Roman" w:hAnsi="Times New Roman" w:cs="Times New Roman" w:eastAsia="Times New Roman" w:hint="default"/>
          <w:w w:val="101"/>
        </w:rPr>
        <w:t> </w:t>
      </w:r>
      <w:r>
        <w:rPr>
          <w:spacing w:val="-3"/>
        </w:rPr>
        <w:t>年新修订的合并财务报表格式</w:t>
      </w:r>
      <w:r>
        <w:rPr>
          <w:rFonts w:ascii="Times New Roman" w:hAnsi="Times New Roman" w:cs="Times New Roman" w:eastAsia="Times New Roman" w:hint="default"/>
          <w:spacing w:val="-3"/>
        </w:rPr>
        <w:t>”)</w:t>
      </w:r>
      <w:r>
        <w:rPr>
          <w:spacing w:val="-3"/>
        </w:rPr>
        <w:t>。</w:t>
      </w:r>
      <w:r>
        <w:rPr>
          <w:rFonts w:ascii="Times New Roman" w:hAnsi="Times New Roman" w:cs="Times New Roman" w:eastAsia="Times New Roman" w:hint="default"/>
          <w:spacing w:val="-3"/>
        </w:rPr>
        <w:t>2019 </w:t>
      </w:r>
      <w:r>
        <w:rPr>
          <w:spacing w:val="-3"/>
        </w:rPr>
        <w:t>年新修订的合并财务报表格式除上述</w:t>
      </w:r>
      <w:r>
        <w:rPr>
          <w:rFonts w:ascii="Times New Roman" w:hAnsi="Times New Roman" w:cs="Times New Roman" w:eastAsia="Times New Roman" w:hint="default"/>
          <w:spacing w:val="-3"/>
        </w:rPr>
        <w:t>“</w:t>
      </w:r>
      <w:r>
        <w:rPr>
          <w:spacing w:val="-3"/>
        </w:rPr>
        <w:t>应收票据及应收账款</w:t>
      </w:r>
      <w:r>
        <w:rPr>
          <w:rFonts w:ascii="Times New Roman" w:hAnsi="Times New Roman" w:cs="Times New Roman" w:eastAsia="Times New Roman" w:hint="default"/>
          <w:spacing w:val="-3"/>
        </w:rPr>
        <w:t>”</w:t>
      </w:r>
      <w:r>
        <w:rPr>
          <w:spacing w:val="-3"/>
        </w:rPr>
        <w:t>、</w:t>
      </w:r>
      <w:r>
        <w:rPr>
          <w:rFonts w:ascii="Times New Roman" w:hAnsi="Times New Roman" w:cs="Times New Roman" w:eastAsia="Times New Roman" w:hint="default"/>
          <w:spacing w:val="-3"/>
        </w:rPr>
        <w:t>“</w:t>
      </w:r>
      <w:r>
        <w:rPr>
          <w:spacing w:val="-3"/>
        </w:rPr>
        <w:t>应付票据及应付账款</w:t>
      </w:r>
      <w:r>
        <w:rPr>
          <w:rFonts w:ascii="Times New Roman" w:hAnsi="Times New Roman" w:cs="Times New Roman" w:eastAsia="Times New Roman" w:hint="default"/>
          <w:spacing w:val="-3"/>
        </w:rPr>
        <w:t>”</w:t>
      </w:r>
      <w:r>
        <w:rPr>
          <w:rFonts w:ascii="Times New Roman" w:hAnsi="Times New Roman" w:cs="Times New Roman" w:eastAsia="Times New Roman" w:hint="default"/>
          <w:spacing w:val="-1"/>
        </w:rPr>
        <w:t> </w:t>
      </w:r>
      <w:r>
        <w:rPr>
          <w:spacing w:val="-3"/>
        </w:rPr>
        <w:t>项目的拆分外，删除了原合并现金流量表中</w:t>
      </w:r>
      <w:r>
        <w:rPr>
          <w:rFonts w:ascii="Times New Roman" w:hAnsi="Times New Roman" w:cs="Times New Roman" w:eastAsia="Times New Roman" w:hint="default"/>
          <w:spacing w:val="-3"/>
        </w:rPr>
        <w:t>“</w:t>
      </w:r>
      <w:r>
        <w:rPr>
          <w:spacing w:val="-3"/>
        </w:rPr>
        <w:t>发行债券收到的现金 </w:t>
      </w:r>
      <w:r>
        <w:rPr>
          <w:spacing w:val="52"/>
        </w:rPr>
        <w:t> </w:t>
      </w:r>
      <w:r>
        <w:rPr>
          <w:rFonts w:ascii="Times New Roman" w:hAnsi="Times New Roman" w:cs="Times New Roman" w:eastAsia="Times New Roman" w:hint="default"/>
          <w:spacing w:val="-3"/>
        </w:rPr>
        <w:t>”</w:t>
      </w:r>
      <w:r>
        <w:rPr>
          <w:spacing w:val="-3"/>
        </w:rPr>
        <w:t>、</w:t>
      </w:r>
      <w:r>
        <w:rPr>
          <w:rFonts w:ascii="Times New Roman" w:hAnsi="Times New Roman" w:cs="Times New Roman" w:eastAsia="Times New Roman" w:hint="default"/>
          <w:spacing w:val="-3"/>
        </w:rPr>
        <w:t>“</w:t>
      </w:r>
      <w:r>
        <w:rPr>
          <w:spacing w:val="-3"/>
        </w:rPr>
        <w:t>为交易目的而持有的金融资产净增加额</w:t>
      </w:r>
      <w:r>
        <w:rPr>
          <w:rFonts w:ascii="Times New Roman" w:hAnsi="Times New Roman" w:cs="Times New Roman" w:eastAsia="Times New Roman" w:hint="default"/>
          <w:spacing w:val="-3"/>
        </w:rPr>
        <w:t>”</w:t>
      </w:r>
      <w:r>
        <w:rPr>
          <w:spacing w:val="-3"/>
        </w:rPr>
        <w:t>等行项目。</w:t>
      </w:r>
    </w:p>
    <w:p>
      <w:pPr>
        <w:pStyle w:val="BodyText"/>
        <w:spacing w:line="451" w:lineRule="auto" w:before="41"/>
        <w:ind w:right="1037" w:firstLine="360"/>
        <w:jc w:val="both"/>
      </w:pPr>
      <w:r>
        <w:rPr/>
        <w:t>本公司按照《企业会计准则第 </w:t>
      </w:r>
      <w:r>
        <w:rPr>
          <w:rFonts w:ascii="Times New Roman" w:hAnsi="Times New Roman" w:cs="Times New Roman" w:eastAsia="Times New Roman" w:hint="default"/>
          <w:spacing w:val="-3"/>
        </w:rPr>
        <w:t>30</w:t>
      </w:r>
      <w:r>
        <w:rPr>
          <w:rFonts w:ascii="Times New Roman" w:hAnsi="Times New Roman" w:cs="Times New Roman" w:eastAsia="Times New Roman" w:hint="default"/>
          <w:spacing w:val="-14"/>
        </w:rPr>
        <w:t> </w:t>
      </w:r>
      <w:r>
        <w:rPr>
          <w:spacing w:val="-3"/>
        </w:rPr>
        <w:t>号</w:t>
      </w:r>
      <w:r>
        <w:rPr>
          <w:rFonts w:ascii="Times New Roman" w:hAnsi="Times New Roman" w:cs="Times New Roman" w:eastAsia="Times New Roman" w:hint="default"/>
          <w:spacing w:val="-3"/>
        </w:rPr>
        <w:t>——</w:t>
      </w:r>
      <w:r>
        <w:rPr>
          <w:spacing w:val="-3"/>
        </w:rPr>
        <w:t>财务报表列报》等相关规定，对上述会计政策变更进行追溯调整，其中对仅适</w:t>
      </w:r>
      <w:r>
        <w:rPr>
          <w:w w:val="101"/>
        </w:rPr>
        <w:t> </w:t>
      </w:r>
      <w:r>
        <w:rPr>
          <w:spacing w:val="-3"/>
        </w:rPr>
        <w:t>用新金融工具准则的会计政策变更追溯调整至 </w:t>
      </w:r>
      <w:r>
        <w:rPr>
          <w:rFonts w:ascii="Times New Roman" w:hAnsi="Times New Roman" w:cs="Times New Roman" w:eastAsia="Times New Roman" w:hint="default"/>
        </w:rPr>
        <w:t>2019 </w:t>
      </w:r>
      <w:r>
        <w:rPr>
          <w:spacing w:val="-3"/>
        </w:rPr>
        <w:t>年期初数，对其他会计政策变更重新表述可比期间财务报表。对于上述</w:t>
      </w:r>
      <w:r>
        <w:rPr>
          <w:spacing w:val="10"/>
        </w:rPr>
        <w:t> </w:t>
      </w:r>
      <w:r>
        <w:rPr>
          <w:spacing w:val="10"/>
        </w:rPr>
      </w:r>
      <w:r>
        <w:rPr>
          <w:spacing w:val="-3"/>
        </w:rPr>
        <w:t>报表格式变更中简单合并与拆分的财务报表项目，本公司已在财务报表中直接进行了调整，不再专门列示重分类调整情况。</w:t>
      </w:r>
    </w:p>
    <w:p>
      <w:pPr>
        <w:pStyle w:val="BodyText"/>
        <w:spacing w:line="240" w:lineRule="auto" w:before="76"/>
        <w:ind w:left="590" w:right="0"/>
        <w:jc w:val="left"/>
      </w:pPr>
      <w:r>
        <w:rPr>
          <w:rFonts w:ascii="Times New Roman" w:hAnsi="Times New Roman" w:cs="Times New Roman" w:eastAsia="Times New Roman" w:hint="default"/>
        </w:rPr>
        <w:t>[</w:t>
      </w:r>
      <w:r>
        <w:rPr/>
        <w:t>注</w:t>
      </w:r>
      <w:r>
        <w:rPr>
          <w:spacing w:val="-30"/>
        </w:rPr>
        <w:t> </w:t>
      </w:r>
      <w:r>
        <w:rPr>
          <w:rFonts w:ascii="Times New Roman" w:hAnsi="Times New Roman" w:cs="Times New Roman" w:eastAsia="Times New Roman" w:hint="default"/>
        </w:rPr>
        <w:t>3] </w:t>
      </w:r>
      <w:r>
        <w:rPr>
          <w:rFonts w:ascii="Times New Roman" w:hAnsi="Times New Roman" w:cs="Times New Roman" w:eastAsia="Times New Roman" w:hint="default"/>
          <w:spacing w:val="7"/>
        </w:rPr>
        <w:t> </w:t>
      </w:r>
      <w:r>
        <w:rPr>
          <w:spacing w:val="-3"/>
        </w:rPr>
        <w:t>新非货币性资产交换准则规定对</w:t>
      </w:r>
      <w:r>
        <w:rPr>
          <w:spacing w:val="-30"/>
        </w:rPr>
        <w:t> </w:t>
      </w:r>
      <w:r>
        <w:rPr>
          <w:rFonts w:ascii="Times New Roman" w:hAnsi="Times New Roman" w:cs="Times New Roman" w:eastAsia="Times New Roman" w:hint="default"/>
          <w:spacing w:val="-3"/>
        </w:rPr>
        <w:t>2019</w:t>
      </w:r>
      <w:r>
        <w:rPr>
          <w:rFonts w:ascii="Times New Roman" w:hAnsi="Times New Roman" w:cs="Times New Roman" w:eastAsia="Times New Roman" w:hint="default"/>
          <w:spacing w:val="8"/>
        </w:rPr>
        <w:t> </w:t>
      </w:r>
      <w:r>
        <w:rPr/>
        <w:t>年</w:t>
      </w:r>
      <w:r>
        <w:rPr>
          <w:spacing w:val="-37"/>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月</w:t>
      </w:r>
      <w:r>
        <w:rPr>
          <w:spacing w:val="-30"/>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spacing w:val="-3"/>
        </w:rPr>
        <w:t>日至本准则施行日之间发生的非货币性资产交换根据本准则进行</w:t>
      </w:r>
    </w:p>
    <w:p>
      <w:pPr>
        <w:spacing w:line="240" w:lineRule="auto" w:before="7"/>
        <w:rPr>
          <w:rFonts w:ascii="宋体" w:hAnsi="宋体" w:cs="宋体" w:eastAsia="宋体" w:hint="default"/>
          <w:sz w:val="16"/>
          <w:szCs w:val="16"/>
        </w:rPr>
      </w:pPr>
    </w:p>
    <w:p>
      <w:pPr>
        <w:pStyle w:val="BodyText"/>
        <w:spacing w:line="240" w:lineRule="auto"/>
        <w:ind w:right="0"/>
        <w:jc w:val="left"/>
      </w:pPr>
      <w:r>
        <w:rPr/>
        <w:t>调整，对</w:t>
      </w:r>
      <w:r>
        <w:rPr>
          <w:spacing w:val="-32"/>
        </w:rPr>
        <w:t> </w:t>
      </w:r>
      <w:r>
        <w:rPr>
          <w:rFonts w:ascii="Times New Roman" w:hAnsi="Times New Roman" w:cs="Times New Roman" w:eastAsia="Times New Roman" w:hint="default"/>
        </w:rPr>
        <w:t>2019</w:t>
      </w:r>
      <w:r>
        <w:rPr>
          <w:rFonts w:ascii="Times New Roman" w:hAnsi="Times New Roman" w:cs="Times New Roman" w:eastAsia="Times New Roman" w:hint="default"/>
          <w:spacing w:val="6"/>
        </w:rPr>
        <w:t> </w:t>
      </w:r>
      <w:r>
        <w:rPr/>
        <w:t>年</w:t>
      </w:r>
      <w:r>
        <w:rPr>
          <w:spacing w:val="-39"/>
        </w:rPr>
        <w:t> </w:t>
      </w:r>
      <w:r>
        <w:rPr>
          <w:rFonts w:ascii="Times New Roman" w:hAnsi="Times New Roman" w:cs="Times New Roman" w:eastAsia="Times New Roman" w:hint="default"/>
        </w:rPr>
        <w:t>1</w:t>
      </w:r>
      <w:r>
        <w:rPr>
          <w:rFonts w:ascii="Times New Roman" w:hAnsi="Times New Roman" w:cs="Times New Roman" w:eastAsia="Times New Roman" w:hint="default"/>
          <w:spacing w:val="6"/>
        </w:rPr>
        <w:t> </w:t>
      </w:r>
      <w:r>
        <w:rPr/>
        <w:t>月</w:t>
      </w:r>
      <w:r>
        <w:rPr>
          <w:spacing w:val="-39"/>
        </w:rPr>
        <w:t> </w:t>
      </w:r>
      <w:r>
        <w:rPr>
          <w:rFonts w:ascii="Times New Roman" w:hAnsi="Times New Roman" w:cs="Times New Roman" w:eastAsia="Times New Roman" w:hint="default"/>
        </w:rPr>
        <w:t>1</w:t>
      </w:r>
      <w:r>
        <w:rPr>
          <w:rFonts w:ascii="Times New Roman" w:hAnsi="Times New Roman" w:cs="Times New Roman" w:eastAsia="Times New Roman" w:hint="default"/>
          <w:spacing w:val="6"/>
        </w:rPr>
        <w:t> </w:t>
      </w:r>
      <w:r>
        <w:rPr>
          <w:spacing w:val="-3"/>
        </w:rPr>
        <w:t>日之前发生的非货币性资产交换，不需要进行追溯调整。</w:t>
      </w:r>
    </w:p>
    <w:p>
      <w:pPr>
        <w:spacing w:line="240" w:lineRule="auto" w:before="12"/>
        <w:rPr>
          <w:rFonts w:ascii="宋体" w:hAnsi="宋体" w:cs="宋体" w:eastAsia="宋体" w:hint="default"/>
          <w:sz w:val="16"/>
          <w:szCs w:val="16"/>
        </w:rPr>
      </w:pPr>
    </w:p>
    <w:p>
      <w:pPr>
        <w:pStyle w:val="BodyText"/>
        <w:spacing w:line="448" w:lineRule="auto"/>
        <w:ind w:right="0" w:firstLine="360"/>
        <w:jc w:val="left"/>
      </w:pPr>
      <w:r>
        <w:rPr/>
        <w:t>本公司按照规定自</w:t>
      </w:r>
      <w:r>
        <w:rPr>
          <w:spacing w:val="-36"/>
        </w:rPr>
        <w:t> </w:t>
      </w:r>
      <w:r>
        <w:rPr>
          <w:rFonts w:ascii="Times New Roman" w:hAnsi="Times New Roman" w:cs="Times New Roman" w:eastAsia="Times New Roman" w:hint="default"/>
        </w:rPr>
        <w:t>2019</w:t>
      </w:r>
      <w:r>
        <w:rPr>
          <w:rFonts w:ascii="Times New Roman" w:hAnsi="Times New Roman" w:cs="Times New Roman" w:eastAsia="Times New Roman" w:hint="default"/>
          <w:spacing w:val="2"/>
        </w:rPr>
        <w:t> </w:t>
      </w:r>
      <w:r>
        <w:rPr/>
        <w:t>年</w:t>
      </w:r>
      <w:r>
        <w:rPr>
          <w:spacing w:val="-43"/>
        </w:rPr>
        <w:t> </w:t>
      </w:r>
      <w:r>
        <w:rPr>
          <w:rFonts w:ascii="Times New Roman" w:hAnsi="Times New Roman" w:cs="Times New Roman" w:eastAsia="Times New Roman" w:hint="default"/>
        </w:rPr>
        <w:t>6</w:t>
      </w:r>
      <w:r>
        <w:rPr>
          <w:rFonts w:ascii="Times New Roman" w:hAnsi="Times New Roman" w:cs="Times New Roman" w:eastAsia="Times New Roman" w:hint="default"/>
          <w:spacing w:val="2"/>
        </w:rPr>
        <w:t> </w:t>
      </w:r>
      <w:r>
        <w:rPr/>
        <w:t>月</w:t>
      </w:r>
      <w:r>
        <w:rPr>
          <w:spacing w:val="-36"/>
        </w:rPr>
        <w:t> </w:t>
      </w:r>
      <w:r>
        <w:rPr>
          <w:rFonts w:ascii="Times New Roman" w:hAnsi="Times New Roman" w:cs="Times New Roman" w:eastAsia="Times New Roman" w:hint="default"/>
          <w:spacing w:val="-3"/>
        </w:rPr>
        <w:t>10</w:t>
      </w:r>
      <w:r>
        <w:rPr>
          <w:rFonts w:ascii="Times New Roman" w:hAnsi="Times New Roman" w:cs="Times New Roman" w:eastAsia="Times New Roman" w:hint="default"/>
          <w:spacing w:val="-4"/>
        </w:rPr>
        <w:t> </w:t>
      </w:r>
      <w:r>
        <w:rPr>
          <w:spacing w:val="-3"/>
        </w:rPr>
        <w:t>日起执行新非货币性资产交换准则，对</w:t>
      </w:r>
      <w:r>
        <w:rPr>
          <w:spacing w:val="-35"/>
        </w:rPr>
        <w:t> </w:t>
      </w:r>
      <w:r>
        <w:rPr>
          <w:rFonts w:ascii="Times New Roman" w:hAnsi="Times New Roman" w:cs="Times New Roman" w:eastAsia="Times New Roman" w:hint="default"/>
          <w:spacing w:val="-3"/>
        </w:rPr>
        <w:t>2019</w:t>
      </w:r>
      <w:r>
        <w:rPr>
          <w:rFonts w:ascii="Times New Roman" w:hAnsi="Times New Roman" w:cs="Times New Roman" w:eastAsia="Times New Roman" w:hint="default"/>
          <w:spacing w:val="2"/>
        </w:rPr>
        <w:t> </w:t>
      </w:r>
      <w:r>
        <w:rPr/>
        <w:t>年</w:t>
      </w:r>
      <w:r>
        <w:rPr>
          <w:spacing w:val="-43"/>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月</w:t>
      </w:r>
      <w:r>
        <w:rPr>
          <w:spacing w:val="-36"/>
        </w:rPr>
        <w:t> </w:t>
      </w:r>
      <w:r>
        <w:rPr>
          <w:rFonts w:ascii="Times New Roman" w:hAnsi="Times New Roman" w:cs="Times New Roman" w:eastAsia="Times New Roman" w:hint="default"/>
        </w:rPr>
        <w:t>1</w:t>
      </w:r>
      <w:r>
        <w:rPr>
          <w:rFonts w:ascii="Times New Roman" w:hAnsi="Times New Roman" w:cs="Times New Roman" w:eastAsia="Times New Roman" w:hint="default"/>
          <w:spacing w:val="-4"/>
        </w:rPr>
        <w:t> </w:t>
      </w:r>
      <w:r>
        <w:rPr>
          <w:spacing w:val="-3"/>
        </w:rPr>
        <w:t>日存在的非货币性资产交换采</w:t>
      </w:r>
      <w:r>
        <w:rPr>
          <w:w w:val="101"/>
        </w:rPr>
        <w:t> </w:t>
      </w:r>
      <w:r>
        <w:rPr>
          <w:spacing w:val="-3"/>
        </w:rPr>
        <w:t>用未来适用法处理。</w:t>
      </w:r>
    </w:p>
    <w:p>
      <w:pPr>
        <w:pStyle w:val="BodyText"/>
        <w:spacing w:line="240" w:lineRule="auto" w:before="78"/>
        <w:ind w:left="513" w:right="0"/>
        <w:jc w:val="left"/>
        <w:rPr>
          <w:rFonts w:ascii="Times New Roman" w:hAnsi="Times New Roman" w:cs="Times New Roman" w:eastAsia="Times New Roman" w:hint="default"/>
        </w:rPr>
      </w:pPr>
      <w:r>
        <w:rPr>
          <w:rFonts w:ascii="Times New Roman" w:hAnsi="Times New Roman" w:cs="Times New Roman" w:eastAsia="Times New Roman" w:hint="default"/>
        </w:rPr>
        <w:t>[</w:t>
      </w:r>
      <w:r>
        <w:rPr/>
        <w:t>注</w:t>
      </w:r>
      <w:r>
        <w:rPr>
          <w:spacing w:val="-38"/>
        </w:rPr>
        <w:t> </w:t>
      </w:r>
      <w:r>
        <w:rPr>
          <w:rFonts w:ascii="Times New Roman" w:hAnsi="Times New Roman" w:cs="Times New Roman" w:eastAsia="Times New Roman" w:hint="default"/>
        </w:rPr>
        <w:t>4] </w:t>
      </w:r>
      <w:r>
        <w:rPr>
          <w:rFonts w:ascii="Times New Roman" w:hAnsi="Times New Roman" w:cs="Times New Roman" w:eastAsia="Times New Roman" w:hint="default"/>
          <w:spacing w:val="1"/>
        </w:rPr>
        <w:t> </w:t>
      </w:r>
      <w:r>
        <w:rPr/>
        <w:t>新债务重组准则规定对</w:t>
      </w:r>
      <w:r>
        <w:rPr>
          <w:spacing w:val="-38"/>
        </w:rPr>
        <w:t> </w:t>
      </w:r>
      <w:r>
        <w:rPr>
          <w:rFonts w:ascii="Times New Roman" w:hAnsi="Times New Roman" w:cs="Times New Roman" w:eastAsia="Times New Roman" w:hint="default"/>
          <w:spacing w:val="-3"/>
        </w:rPr>
        <w:t>2019</w:t>
      </w:r>
      <w:r>
        <w:rPr>
          <w:rFonts w:ascii="Times New Roman" w:hAnsi="Times New Roman" w:cs="Times New Roman" w:eastAsia="Times New Roman" w:hint="default"/>
          <w:spacing w:val="1"/>
        </w:rPr>
        <w:t> </w:t>
      </w:r>
      <w:r>
        <w:rPr/>
        <w:t>年</w:t>
      </w:r>
      <w:r>
        <w:rPr>
          <w:spacing w:val="-38"/>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t>月</w:t>
      </w:r>
      <w:r>
        <w:rPr>
          <w:spacing w:val="-38"/>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spacing w:val="-3"/>
        </w:rPr>
        <w:t>日至本准则施行日之间发生的债务重组根据本准则进行调整，对</w:t>
      </w:r>
      <w:r>
        <w:rPr>
          <w:spacing w:val="-36"/>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w:t>
      </w:r>
      <w:r>
        <w:rPr>
          <w:spacing w:val="-44"/>
        </w:rPr>
        <w:t> </w:t>
      </w:r>
      <w:r>
        <w:rPr>
          <w:rFonts w:ascii="Times New Roman" w:hAnsi="Times New Roman" w:cs="Times New Roman" w:eastAsia="Times New Roman" w:hint="default"/>
        </w:rPr>
        <w:t>1</w:t>
      </w:r>
    </w:p>
    <w:p>
      <w:pPr>
        <w:spacing w:line="240" w:lineRule="auto" w:before="9"/>
        <w:rPr>
          <w:rFonts w:ascii="Times New Roman" w:hAnsi="Times New Roman" w:cs="Times New Roman" w:eastAsia="Times New Roman" w:hint="default"/>
          <w:sz w:val="18"/>
          <w:szCs w:val="18"/>
        </w:rPr>
      </w:pPr>
    </w:p>
    <w:p>
      <w:pPr>
        <w:pStyle w:val="BodyText"/>
        <w:spacing w:line="240" w:lineRule="auto"/>
        <w:ind w:right="0"/>
        <w:jc w:val="left"/>
      </w:pPr>
      <w:r>
        <w:rPr/>
        <w:t>月 </w:t>
      </w:r>
      <w:r>
        <w:rPr>
          <w:rFonts w:ascii="Times New Roman" w:hAnsi="Times New Roman" w:cs="Times New Roman" w:eastAsia="Times New Roman" w:hint="default"/>
        </w:rPr>
        <w:t>1</w:t>
      </w:r>
      <w:r>
        <w:rPr>
          <w:rFonts w:ascii="Times New Roman" w:hAnsi="Times New Roman" w:cs="Times New Roman" w:eastAsia="Times New Roman" w:hint="default"/>
          <w:spacing w:val="13"/>
        </w:rPr>
        <w:t> </w:t>
      </w:r>
      <w:r>
        <w:rPr>
          <w:spacing w:val="-3"/>
        </w:rPr>
        <w:t>日之前发生的债务重组，不需要进行追溯调整。</w:t>
      </w:r>
    </w:p>
    <w:p>
      <w:pPr>
        <w:spacing w:line="240" w:lineRule="auto" w:before="12"/>
        <w:rPr>
          <w:rFonts w:ascii="宋体" w:hAnsi="宋体" w:cs="宋体" w:eastAsia="宋体" w:hint="default"/>
          <w:sz w:val="16"/>
          <w:szCs w:val="16"/>
        </w:rPr>
      </w:pPr>
    </w:p>
    <w:p>
      <w:pPr>
        <w:pStyle w:val="BodyText"/>
        <w:spacing w:line="240" w:lineRule="auto"/>
        <w:ind w:left="513" w:right="0"/>
        <w:jc w:val="left"/>
      </w:pPr>
      <w:r>
        <w:rPr>
          <w:w w:val="101"/>
        </w:rPr>
        <w:t>本</w:t>
      </w:r>
      <w:r>
        <w:rPr>
          <w:spacing w:val="-5"/>
          <w:w w:val="101"/>
        </w:rPr>
        <w:t>公</w:t>
      </w:r>
      <w:r>
        <w:rPr>
          <w:w w:val="101"/>
        </w:rPr>
        <w:t>司</w:t>
      </w:r>
      <w:r>
        <w:rPr>
          <w:spacing w:val="-5"/>
          <w:w w:val="101"/>
        </w:rPr>
        <w:t>按</w:t>
      </w:r>
      <w:r>
        <w:rPr>
          <w:w w:val="101"/>
        </w:rPr>
        <w:t>照</w:t>
      </w:r>
      <w:r>
        <w:rPr>
          <w:spacing w:val="-5"/>
          <w:w w:val="101"/>
        </w:rPr>
        <w:t>规</w:t>
      </w:r>
      <w:r>
        <w:rPr>
          <w:w w:val="101"/>
        </w:rPr>
        <w:t>定自</w:t>
      </w:r>
      <w:r>
        <w:rPr>
          <w:spacing w:val="-52"/>
        </w:rPr>
        <w:t> </w:t>
      </w:r>
      <w:r>
        <w:rPr>
          <w:rFonts w:ascii="Times New Roman" w:hAnsi="Times New Roman" w:cs="Times New Roman" w:eastAsia="Times New Roman" w:hint="default"/>
          <w:w w:val="101"/>
        </w:rPr>
        <w:t>2019</w:t>
      </w:r>
      <w:r>
        <w:rPr>
          <w:rFonts w:ascii="Times New Roman" w:hAnsi="Times New Roman" w:cs="Times New Roman" w:eastAsia="Times New Roman" w:hint="default"/>
          <w:spacing w:val="-11"/>
        </w:rPr>
        <w:t> </w:t>
      </w:r>
      <w:r>
        <w:rPr>
          <w:w w:val="101"/>
        </w:rPr>
        <w:t>年</w:t>
      </w:r>
      <w:r>
        <w:rPr>
          <w:spacing w:val="-52"/>
        </w:rPr>
        <w:t> </w:t>
      </w:r>
      <w:r>
        <w:rPr>
          <w:rFonts w:ascii="Times New Roman" w:hAnsi="Times New Roman" w:cs="Times New Roman" w:eastAsia="Times New Roman" w:hint="default"/>
          <w:w w:val="101"/>
        </w:rPr>
        <w:t>6</w:t>
      </w:r>
      <w:r>
        <w:rPr>
          <w:rFonts w:ascii="Times New Roman" w:hAnsi="Times New Roman" w:cs="Times New Roman" w:eastAsia="Times New Roman" w:hint="default"/>
          <w:spacing w:val="-12"/>
        </w:rPr>
        <w:t> </w:t>
      </w:r>
      <w:r>
        <w:rPr>
          <w:w w:val="101"/>
        </w:rPr>
        <w:t>月</w:t>
      </w:r>
      <w:r>
        <w:rPr>
          <w:spacing w:val="-52"/>
        </w:rPr>
        <w:t> </w:t>
      </w:r>
      <w:r>
        <w:rPr>
          <w:rFonts w:ascii="Times New Roman" w:hAnsi="Times New Roman" w:cs="Times New Roman" w:eastAsia="Times New Roman" w:hint="default"/>
          <w:w w:val="101"/>
        </w:rPr>
        <w:t>17</w:t>
      </w:r>
      <w:r>
        <w:rPr>
          <w:rFonts w:ascii="Times New Roman" w:hAnsi="Times New Roman" w:cs="Times New Roman" w:eastAsia="Times New Roman" w:hint="default"/>
          <w:spacing w:val="-17"/>
        </w:rPr>
        <w:t> </w:t>
      </w:r>
      <w:r>
        <w:rPr>
          <w:w w:val="101"/>
        </w:rPr>
        <w:t>日</w:t>
      </w:r>
      <w:r>
        <w:rPr>
          <w:spacing w:val="-5"/>
          <w:w w:val="101"/>
        </w:rPr>
        <w:t>起</w:t>
      </w:r>
      <w:r>
        <w:rPr>
          <w:w w:val="101"/>
        </w:rPr>
        <w:t>执</w:t>
      </w:r>
      <w:r>
        <w:rPr>
          <w:spacing w:val="-5"/>
          <w:w w:val="101"/>
        </w:rPr>
        <w:t>行</w:t>
      </w:r>
      <w:r>
        <w:rPr>
          <w:w w:val="101"/>
        </w:rPr>
        <w:t>新</w:t>
      </w:r>
      <w:r>
        <w:rPr>
          <w:spacing w:val="-5"/>
          <w:w w:val="101"/>
        </w:rPr>
        <w:t>债</w:t>
      </w:r>
      <w:r>
        <w:rPr>
          <w:w w:val="101"/>
        </w:rPr>
        <w:t>务</w:t>
      </w:r>
      <w:r>
        <w:rPr>
          <w:spacing w:val="-5"/>
          <w:w w:val="101"/>
        </w:rPr>
        <w:t>重</w:t>
      </w:r>
      <w:r>
        <w:rPr>
          <w:w w:val="101"/>
        </w:rPr>
        <w:t>组</w:t>
      </w:r>
      <w:r>
        <w:rPr>
          <w:spacing w:val="-5"/>
          <w:w w:val="101"/>
        </w:rPr>
        <w:t>准</w:t>
      </w:r>
      <w:r>
        <w:rPr>
          <w:w w:val="101"/>
        </w:rPr>
        <w:t>则</w:t>
      </w:r>
      <w:r>
        <w:rPr>
          <w:spacing w:val="-96"/>
          <w:w w:val="101"/>
        </w:rPr>
        <w:t>，</w:t>
      </w:r>
      <w:r>
        <w:rPr>
          <w:w w:val="101"/>
        </w:rPr>
        <w:t>对</w:t>
      </w:r>
      <w:r>
        <w:rPr>
          <w:spacing w:val="-51"/>
        </w:rPr>
        <w:t> </w:t>
      </w:r>
      <w:r>
        <w:rPr>
          <w:rFonts w:ascii="Times New Roman" w:hAnsi="Times New Roman" w:cs="Times New Roman" w:eastAsia="Times New Roman" w:hint="default"/>
          <w:w w:val="101"/>
        </w:rPr>
        <w:t>2019</w:t>
      </w:r>
      <w:r>
        <w:rPr>
          <w:rFonts w:ascii="Times New Roman" w:hAnsi="Times New Roman" w:cs="Times New Roman" w:eastAsia="Times New Roman" w:hint="default"/>
          <w:spacing w:val="-12"/>
        </w:rPr>
        <w:t> </w:t>
      </w:r>
      <w:r>
        <w:rPr>
          <w:w w:val="101"/>
        </w:rPr>
        <w:t>年</w:t>
      </w:r>
      <w:r>
        <w:rPr>
          <w:spacing w:val="-52"/>
        </w:rPr>
        <w:t> </w:t>
      </w:r>
      <w:r>
        <w:rPr>
          <w:rFonts w:ascii="Times New Roman" w:hAnsi="Times New Roman" w:cs="Times New Roman" w:eastAsia="Times New Roman" w:hint="default"/>
          <w:w w:val="101"/>
        </w:rPr>
        <w:t>1</w:t>
      </w:r>
      <w:r>
        <w:rPr>
          <w:rFonts w:ascii="Times New Roman" w:hAnsi="Times New Roman" w:cs="Times New Roman" w:eastAsia="Times New Roman" w:hint="default"/>
          <w:spacing w:val="-12"/>
        </w:rPr>
        <w:t> </w:t>
      </w:r>
      <w:r>
        <w:rPr>
          <w:w w:val="101"/>
        </w:rPr>
        <w:t>月</w:t>
      </w:r>
      <w:r>
        <w:rPr>
          <w:spacing w:val="-52"/>
        </w:rPr>
        <w:t> </w:t>
      </w:r>
      <w:r>
        <w:rPr>
          <w:rFonts w:ascii="Times New Roman" w:hAnsi="Times New Roman" w:cs="Times New Roman" w:eastAsia="Times New Roman" w:hint="default"/>
          <w:w w:val="101"/>
        </w:rPr>
        <w:t>1</w:t>
      </w:r>
      <w:r>
        <w:rPr>
          <w:rFonts w:ascii="Times New Roman" w:hAnsi="Times New Roman" w:cs="Times New Roman" w:eastAsia="Times New Roman" w:hint="default"/>
          <w:spacing w:val="-12"/>
        </w:rPr>
        <w:t> </w:t>
      </w:r>
      <w:r>
        <w:rPr>
          <w:w w:val="101"/>
        </w:rPr>
        <w:t>日</w:t>
      </w:r>
      <w:r>
        <w:rPr>
          <w:spacing w:val="-5"/>
          <w:w w:val="101"/>
        </w:rPr>
        <w:t>存</w:t>
      </w:r>
      <w:r>
        <w:rPr>
          <w:w w:val="101"/>
        </w:rPr>
        <w:t>在</w:t>
      </w:r>
      <w:r>
        <w:rPr>
          <w:spacing w:val="-5"/>
          <w:w w:val="101"/>
        </w:rPr>
        <w:t>的</w:t>
      </w:r>
      <w:r>
        <w:rPr>
          <w:w w:val="101"/>
        </w:rPr>
        <w:t>债</w:t>
      </w:r>
      <w:r>
        <w:rPr>
          <w:spacing w:val="-5"/>
          <w:w w:val="101"/>
        </w:rPr>
        <w:t>务</w:t>
      </w:r>
      <w:r>
        <w:rPr>
          <w:w w:val="101"/>
        </w:rPr>
        <w:t>重</w:t>
      </w:r>
      <w:r>
        <w:rPr>
          <w:spacing w:val="-5"/>
          <w:w w:val="101"/>
        </w:rPr>
        <w:t>组</w:t>
      </w:r>
      <w:r>
        <w:rPr>
          <w:w w:val="101"/>
        </w:rPr>
        <w:t>采</w:t>
      </w:r>
      <w:r>
        <w:rPr>
          <w:spacing w:val="-5"/>
          <w:w w:val="101"/>
        </w:rPr>
        <w:t>用</w:t>
      </w:r>
      <w:r>
        <w:rPr>
          <w:w w:val="101"/>
        </w:rPr>
        <w:t>未</w:t>
      </w:r>
      <w:r>
        <w:rPr>
          <w:spacing w:val="-5"/>
          <w:w w:val="101"/>
        </w:rPr>
        <w:t>来</w:t>
      </w:r>
      <w:r>
        <w:rPr>
          <w:w w:val="101"/>
        </w:rPr>
        <w:t>适</w:t>
      </w:r>
      <w:r>
        <w:rPr>
          <w:spacing w:val="-5"/>
          <w:w w:val="101"/>
        </w:rPr>
        <w:t>用</w:t>
      </w:r>
      <w:r>
        <w:rPr>
          <w:w w:val="101"/>
        </w:rPr>
        <w:t>法</w:t>
      </w:r>
      <w:r>
        <w:rPr>
          <w:spacing w:val="-5"/>
          <w:w w:val="101"/>
        </w:rPr>
        <w:t>处</w:t>
      </w:r>
      <w:r>
        <w:rPr>
          <w:w w:val="101"/>
        </w:rPr>
        <w:t>理。</w:t>
      </w:r>
      <w:r>
        <w:rPr/>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3"/>
          <w:szCs w:val="13"/>
        </w:rPr>
      </w:pPr>
    </w:p>
    <w:p>
      <w:pPr>
        <w:pStyle w:val="Heading3"/>
        <w:spacing w:line="240" w:lineRule="auto"/>
        <w:ind w:right="0"/>
        <w:jc w:val="left"/>
        <w:rPr>
          <w:b w:val="0"/>
          <w:bCs w:val="0"/>
        </w:rPr>
      </w:pPr>
      <w:bookmarkStart w:name="（2）重要会计估计变更" w:id="219"/>
      <w:bookmarkEnd w:id="219"/>
      <w:r>
        <w:rPr>
          <w:b w:val="0"/>
          <w:bCs w:val="0"/>
        </w:rPr>
      </w:r>
      <w:r>
        <w:rPr/>
        <w:t>（</w:t>
      </w:r>
      <w:r>
        <w:rPr>
          <w:rFonts w:ascii="Times New Roman" w:hAnsi="Times New Roman" w:cs="Times New Roman" w:eastAsia="Times New Roman" w:hint="default"/>
        </w:rPr>
        <w:t>2</w:t>
      </w:r>
      <w:r>
        <w:rPr/>
        <w:t>）重要会计估计变更</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after="0" w:line="240" w:lineRule="auto"/>
        <w:jc w:val="left"/>
        <w:sectPr>
          <w:pgSz w:w="11910" w:h="16840"/>
          <w:pgMar w:header="871" w:footer="1186" w:top="1100" w:bottom="1380" w:left="980" w:right="0"/>
        </w:sectPr>
      </w:pPr>
    </w:p>
    <w:p>
      <w:pPr>
        <w:spacing w:line="240" w:lineRule="auto" w:before="9"/>
        <w:rPr>
          <w:rFonts w:ascii="宋体" w:hAnsi="宋体" w:cs="宋体" w:eastAsia="宋体" w:hint="default"/>
          <w:sz w:val="20"/>
          <w:szCs w:val="20"/>
        </w:rPr>
      </w:pPr>
    </w:p>
    <w:p>
      <w:pPr>
        <w:pStyle w:val="Heading3"/>
        <w:spacing w:line="240" w:lineRule="auto" w:before="36"/>
        <w:ind w:right="0"/>
        <w:jc w:val="left"/>
        <w:rPr>
          <w:b w:val="0"/>
          <w:bCs w:val="0"/>
        </w:rPr>
      </w:pPr>
      <w:bookmarkStart w:name="（3）2019年起执行新金融工具准则、新收入准则或新租赁准则调整执行当年年初财务" w:id="220"/>
      <w:bookmarkEnd w:id="220"/>
      <w:r>
        <w:rPr>
          <w:b w:val="0"/>
          <w:bCs w:val="0"/>
        </w:rPr>
      </w:r>
      <w:r>
        <w:rPr/>
        <w:t>（</w:t>
      </w:r>
      <w:r>
        <w:rPr>
          <w:rFonts w:ascii="Times New Roman" w:hAnsi="Times New Roman" w:cs="Times New Roman" w:eastAsia="Times New Roman" w:hint="default"/>
        </w:rPr>
        <w:t>3</w:t>
      </w:r>
      <w:r>
        <w:rPr/>
        <w:t>）</w:t>
      </w: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年起执行新金融工具准则、新收入准则或新租赁准则调整执行当年年初财务报表相关项目情况</w:t>
      </w:r>
      <w:r>
        <w:rPr>
          <w:b w:val="0"/>
          <w:bCs w:val="0"/>
        </w:rPr>
      </w:r>
    </w:p>
    <w:p>
      <w:pPr>
        <w:spacing w:line="240" w:lineRule="auto" w:before="6"/>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871" w:footer="1186" w:top="1100" w:bottom="1380" w:left="980" w:right="0"/>
        </w:sectPr>
      </w:pPr>
    </w:p>
    <w:p>
      <w:pPr>
        <w:pStyle w:val="BodyText"/>
        <w:spacing w:line="338" w:lineRule="auto" w:before="46"/>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2"/>
        </w:rPr>
        <w:t> </w:t>
      </w:r>
      <w:r>
        <w:rPr/>
        <w:t>不适用</w:t>
      </w:r>
      <w:r>
        <w:rPr>
          <w:w w:val="101"/>
        </w:rPr>
        <w:t> </w:t>
      </w:r>
      <w:r>
        <w:rPr>
          <w:spacing w:val="-3"/>
        </w:rPr>
        <w:t>合并资产负债表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单位：元</w:t>
      </w:r>
    </w:p>
    <w:p>
      <w:pPr>
        <w:spacing w:after="0" w:line="240" w:lineRule="auto"/>
        <w:jc w:val="left"/>
        <w:sectPr>
          <w:type w:val="continuous"/>
          <w:pgSz w:w="11910" w:h="16840"/>
          <w:pgMar w:top="1580" w:bottom="700" w:left="980" w:right="0"/>
          <w:cols w:num="2" w:equalWidth="0">
            <w:col w:w="1537" w:space="7385"/>
            <w:col w:w="2008"/>
          </w:cols>
        </w:sectPr>
      </w:pP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185"/>
        <w:gridCol w:w="2466"/>
        <w:gridCol w:w="2454"/>
        <w:gridCol w:w="2453"/>
      </w:tblGrid>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9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7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调整数</w:t>
            </w:r>
          </w:p>
        </w:tc>
      </w:tr>
      <w:tr>
        <w:trPr>
          <w:trHeight w:val="398"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46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4"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389,798,968.49</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390,114,584.93</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315,616.44</w:t>
            </w: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交易性金融资产</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67,000,000.00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67,000,000.00</w:t>
            </w:r>
          </w:p>
        </w:tc>
      </w:tr>
      <w:tr>
        <w:trPr>
          <w:trHeight w:val="1028"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11" w:right="178" w:firstLine="360"/>
              <w:jc w:val="both"/>
              <w:rPr>
                <w:rFonts w:ascii="宋体" w:hAnsi="宋体" w:cs="宋体" w:eastAsia="宋体" w:hint="default"/>
                <w:sz w:val="18"/>
                <w:szCs w:val="18"/>
              </w:rPr>
            </w:pPr>
            <w:r>
              <w:rPr>
                <w:rFonts w:ascii="宋体" w:hAnsi="宋体" w:cs="宋体" w:eastAsia="宋体" w:hint="default"/>
                <w:spacing w:val="-3"/>
                <w:sz w:val="18"/>
                <w:szCs w:val="18"/>
              </w:rPr>
              <w:t>以公允价值计量且其</w:t>
            </w:r>
            <w:r>
              <w:rPr>
                <w:rFonts w:ascii="宋体" w:hAnsi="宋体" w:cs="宋体" w:eastAsia="宋体" w:hint="default"/>
                <w:w w:val="101"/>
                <w:sz w:val="18"/>
                <w:szCs w:val="18"/>
              </w:rPr>
              <w:t> </w:t>
            </w:r>
            <w:r>
              <w:rPr>
                <w:rFonts w:ascii="宋体" w:hAnsi="宋体" w:cs="宋体" w:eastAsia="宋体" w:hint="default"/>
                <w:spacing w:val="-3"/>
                <w:sz w:val="18"/>
                <w:szCs w:val="18"/>
              </w:rPr>
              <w:t>变动计入当期损益的金融</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z w:val="18"/>
                <w:szCs w:val="18"/>
              </w:rPr>
              <w:t>资产</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387,092,859.87</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382,283,310.31</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-4,809,549.56</w:t>
            </w: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121,317,967.75</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121,317,967.75</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应收分保合同准备金</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43,896,402.45</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45,770,457.72</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1,874,055.27</w:t>
            </w: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54" w:right="0"/>
              <w:jc w:val="left"/>
              <w:rPr>
                <w:rFonts w:ascii="宋体" w:hAnsi="宋体" w:cs="宋体" w:eastAsia="宋体" w:hint="default"/>
                <w:sz w:val="18"/>
                <w:szCs w:val="18"/>
              </w:rPr>
            </w:pPr>
            <w:r>
              <w:rPr>
                <w:rFonts w:ascii="宋体" w:hAnsi="宋体" w:cs="宋体" w:eastAsia="宋体" w:hint="default"/>
                <w:spacing w:val="-3"/>
                <w:sz w:val="18"/>
                <w:szCs w:val="18"/>
              </w:rPr>
              <w:t>其中：应收利息</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315,616.44</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-315,616.44</w:t>
            </w:r>
          </w:p>
        </w:tc>
      </w:tr>
      <w:tr>
        <w:trPr>
          <w:trHeight w:val="399"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9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127,534,000.88</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127,534,000.88</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合同资产</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4"/>
              <w:ind w:left="11" w:right="178" w:firstLine="360"/>
              <w:jc w:val="left"/>
              <w:rPr>
                <w:rFonts w:ascii="宋体" w:hAnsi="宋体" w:cs="宋体" w:eastAsia="宋体" w:hint="default"/>
                <w:sz w:val="18"/>
                <w:szCs w:val="18"/>
              </w:rPr>
            </w:pPr>
            <w:r>
              <w:rPr>
                <w:rFonts w:ascii="宋体" w:hAnsi="宋体" w:cs="宋体" w:eastAsia="宋体" w:hint="default"/>
                <w:spacing w:val="-3"/>
                <w:sz w:val="18"/>
                <w:szCs w:val="18"/>
              </w:rPr>
              <w:t>一年内到期的非流动</w:t>
            </w:r>
            <w:r>
              <w:rPr>
                <w:rFonts w:ascii="宋体" w:hAnsi="宋体" w:cs="宋体" w:eastAsia="宋体" w:hint="default"/>
                <w:w w:val="101"/>
                <w:sz w:val="18"/>
                <w:szCs w:val="18"/>
              </w:rPr>
              <w:t> </w:t>
            </w:r>
            <w:r>
              <w:rPr>
                <w:rFonts w:ascii="宋体" w:hAnsi="宋体" w:cs="宋体" w:eastAsia="宋体" w:hint="default"/>
                <w:sz w:val="18"/>
                <w:szCs w:val="18"/>
              </w:rPr>
              <w:t>资产</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239,573,173.29</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172,573,173.29</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-67,000,000.00</w:t>
            </w: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1,309,213,372.73</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1,306,593,494.88</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-2,619,877.85</w:t>
            </w:r>
          </w:p>
        </w:tc>
      </w:tr>
      <w:tr>
        <w:trPr>
          <w:trHeight w:val="399"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46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发放贷款和垫款</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债权投资</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580" w:bottom="70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2185"/>
        <w:gridCol w:w="2466"/>
        <w:gridCol w:w="2454"/>
        <w:gridCol w:w="2453"/>
      </w:tblGrid>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30,000,000.00</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-30,000,000.00</w:t>
            </w:r>
          </w:p>
        </w:tc>
      </w:tr>
      <w:tr>
        <w:trPr>
          <w:trHeight w:val="398"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其他债权投资</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pacing w:val="-3"/>
                <w:sz w:val="18"/>
                <w:szCs w:val="18"/>
              </w:rPr>
              <w:t>持有至到期投资</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537,260,988.53</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537,239,732.07</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-21,256.46</w:t>
            </w:r>
          </w:p>
        </w:tc>
      </w:tr>
      <w:tr>
        <w:trPr>
          <w:trHeight w:val="398"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30,000,000.00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30,000,000.00</w:t>
            </w:r>
          </w:p>
        </w:tc>
      </w:tr>
      <w:tr>
        <w:trPr>
          <w:trHeight w:val="404"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178"/>
              <w:jc w:val="right"/>
              <w:rPr>
                <w:rFonts w:ascii="宋体" w:hAnsi="宋体" w:cs="宋体" w:eastAsia="宋体" w:hint="default"/>
                <w:sz w:val="18"/>
                <w:szCs w:val="18"/>
              </w:rPr>
            </w:pPr>
            <w:r>
              <w:rPr>
                <w:rFonts w:ascii="宋体" w:hAnsi="宋体" w:cs="宋体" w:eastAsia="宋体" w:hint="default"/>
                <w:spacing w:val="-3"/>
                <w:sz w:val="18"/>
                <w:szCs w:val="18"/>
              </w:rPr>
              <w:t>其他非流动金融资产</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13,570,998.25</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13,570,998.25</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pacing w:val="-3"/>
                <w:sz w:val="18"/>
                <w:szCs w:val="18"/>
              </w:rPr>
              <w:t>生产性生物资产</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使用权资产</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52,398,706.48</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52,398,706.48</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7,052,562.82</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7,052,562.82</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155,617,924.66</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155,617,924.66</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6,880,251.17</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6,880,251.17</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递延所得税资产</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31,032,052.92</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31,443,857.83</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2"/>
                <w:sz w:val="18"/>
              </w:rPr>
              <w:t>411,804.91</w:t>
            </w: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pacing w:val="-3"/>
                <w:sz w:val="18"/>
                <w:szCs w:val="18"/>
              </w:rPr>
              <w:t>其他非流动资产</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2"/>
                <w:sz w:val="18"/>
              </w:rPr>
              <w:t>11,527,148.00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2"/>
                <w:sz w:val="18"/>
              </w:rPr>
              <w:t>11,527,148.00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pacing w:val="-3"/>
                <w:sz w:val="18"/>
                <w:szCs w:val="18"/>
              </w:rPr>
              <w:t>非流动资产合计</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845,340,632.83</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845,731,181.28</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390,548.45</w:t>
            </w: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2,154,554,005.56</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2,152,324,676.16</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-2,229,329.40</w:t>
            </w:r>
          </w:p>
        </w:tc>
      </w:tr>
      <w:tr>
        <w:trPr>
          <w:trHeight w:val="398"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46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287,900,000.00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288,247,329.17</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347,329.17</w:t>
            </w:r>
          </w:p>
        </w:tc>
      </w:tr>
      <w:tr>
        <w:trPr>
          <w:trHeight w:val="404"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pacing w:val="-3"/>
                <w:sz w:val="18"/>
                <w:szCs w:val="18"/>
              </w:rPr>
              <w:t>向中央银行借款</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交易性金融负债</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8"/>
              <w:ind w:left="11" w:right="178" w:firstLine="360"/>
              <w:jc w:val="both"/>
              <w:rPr>
                <w:rFonts w:ascii="宋体" w:hAnsi="宋体" w:cs="宋体" w:eastAsia="宋体" w:hint="default"/>
                <w:sz w:val="18"/>
                <w:szCs w:val="18"/>
              </w:rPr>
            </w:pPr>
            <w:r>
              <w:rPr>
                <w:rFonts w:ascii="宋体" w:hAnsi="宋体" w:cs="宋体" w:eastAsia="宋体" w:hint="default"/>
                <w:spacing w:val="-3"/>
                <w:sz w:val="18"/>
                <w:szCs w:val="18"/>
              </w:rPr>
              <w:t>以公允价值计量且其</w:t>
            </w:r>
            <w:r>
              <w:rPr>
                <w:rFonts w:ascii="宋体" w:hAnsi="宋体" w:cs="宋体" w:eastAsia="宋体" w:hint="default"/>
                <w:w w:val="101"/>
                <w:sz w:val="18"/>
                <w:szCs w:val="18"/>
              </w:rPr>
              <w:t> </w:t>
            </w:r>
            <w:r>
              <w:rPr>
                <w:rFonts w:ascii="宋体" w:hAnsi="宋体" w:cs="宋体" w:eastAsia="宋体" w:hint="default"/>
                <w:spacing w:val="-3"/>
                <w:sz w:val="18"/>
                <w:szCs w:val="18"/>
              </w:rPr>
              <w:t>变动计入当期损益的金融</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z w:val="18"/>
                <w:szCs w:val="18"/>
              </w:rPr>
              <w:t>负债</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55,722,833.97</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55,722,833.97</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45,562,442.24</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45,562,442.24</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1"/>
              <w:ind w:right="17"/>
              <w:jc w:val="right"/>
              <w:rPr>
                <w:rFonts w:ascii="Times New Roman" w:hAnsi="Times New Roman" w:cs="Times New Roman" w:eastAsia="Times New Roman" w:hint="default"/>
                <w:sz w:val="18"/>
                <w:szCs w:val="18"/>
              </w:rPr>
            </w:pPr>
            <w:r>
              <w:rPr>
                <w:rFonts w:ascii="Times New Roman"/>
                <w:spacing w:val="-2"/>
                <w:sz w:val="18"/>
              </w:rPr>
              <w:t>114,372,352.56</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3"/>
              <w:jc w:val="right"/>
              <w:rPr>
                <w:rFonts w:ascii="Times New Roman" w:hAnsi="Times New Roman" w:cs="Times New Roman" w:eastAsia="Times New Roman" w:hint="default"/>
                <w:sz w:val="18"/>
                <w:szCs w:val="18"/>
              </w:rPr>
            </w:pPr>
            <w:r>
              <w:rPr>
                <w:rFonts w:ascii="Times New Roman"/>
                <w:spacing w:val="-2"/>
                <w:sz w:val="18"/>
              </w:rPr>
              <w:t>114,372,352.56</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合同负债</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78"/>
              <w:jc w:val="right"/>
              <w:rPr>
                <w:rFonts w:ascii="宋体" w:hAnsi="宋体" w:cs="宋体" w:eastAsia="宋体" w:hint="default"/>
                <w:sz w:val="18"/>
                <w:szCs w:val="18"/>
              </w:rPr>
            </w:pPr>
            <w:r>
              <w:rPr>
                <w:rFonts w:ascii="宋体" w:hAnsi="宋体" w:cs="宋体" w:eastAsia="宋体" w:hint="default"/>
                <w:spacing w:val="-3"/>
                <w:sz w:val="18"/>
                <w:szCs w:val="18"/>
              </w:rPr>
              <w:t>卖出回购金融资产款</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1" w:footer="1186" w:top="1100" w:bottom="138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2185"/>
        <w:gridCol w:w="2466"/>
        <w:gridCol w:w="2454"/>
        <w:gridCol w:w="2453"/>
      </w:tblGrid>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吸收存款及同业存放</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代理买卖证券款</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pacing w:val="-3"/>
                <w:sz w:val="18"/>
                <w:szCs w:val="18"/>
              </w:rPr>
              <w:t>代理承销证券款</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8,477,706.20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8,477,706.20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80,029,952.37</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80,029,952.37</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18,882,268.06</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18,213,033.35</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-669,234.71</w:t>
            </w:r>
          </w:p>
        </w:tc>
      </w:tr>
      <w:tr>
        <w:trPr>
          <w:trHeight w:val="404"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554" w:right="0"/>
              <w:jc w:val="left"/>
              <w:rPr>
                <w:rFonts w:ascii="宋体" w:hAnsi="宋体" w:cs="宋体" w:eastAsia="宋体" w:hint="default"/>
                <w:sz w:val="18"/>
                <w:szCs w:val="18"/>
              </w:rPr>
            </w:pPr>
            <w:r>
              <w:rPr>
                <w:rFonts w:ascii="宋体" w:hAnsi="宋体" w:cs="宋体" w:eastAsia="宋体" w:hint="default"/>
                <w:spacing w:val="-3"/>
                <w:sz w:val="18"/>
                <w:szCs w:val="18"/>
              </w:rPr>
              <w:t>其中：应付利息</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669,234.71</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-669,234.71</w:t>
            </w: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92"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4"/>
              <w:ind w:left="11" w:right="178" w:firstLine="360"/>
              <w:jc w:val="left"/>
              <w:rPr>
                <w:rFonts w:ascii="宋体" w:hAnsi="宋体" w:cs="宋体" w:eastAsia="宋体" w:hint="default"/>
                <w:sz w:val="18"/>
                <w:szCs w:val="18"/>
              </w:rPr>
            </w:pPr>
            <w:r>
              <w:rPr>
                <w:rFonts w:ascii="宋体" w:hAnsi="宋体" w:cs="宋体" w:eastAsia="宋体" w:hint="default"/>
                <w:spacing w:val="-3"/>
                <w:sz w:val="18"/>
                <w:szCs w:val="18"/>
              </w:rPr>
              <w:t>一年内到期的非流动</w:t>
            </w:r>
            <w:r>
              <w:rPr>
                <w:rFonts w:ascii="宋体" w:hAnsi="宋体" w:cs="宋体" w:eastAsia="宋体" w:hint="default"/>
                <w:w w:val="101"/>
                <w:sz w:val="18"/>
                <w:szCs w:val="18"/>
              </w:rPr>
              <w:t> </w:t>
            </w:r>
            <w:r>
              <w:rPr>
                <w:rFonts w:ascii="宋体" w:hAnsi="宋体" w:cs="宋体" w:eastAsia="宋体" w:hint="default"/>
                <w:sz w:val="18"/>
                <w:szCs w:val="18"/>
              </w:rPr>
              <w:t>负债</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610,947,555.40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610,625,649.86</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-321,905.54</w:t>
            </w:r>
          </w:p>
        </w:tc>
      </w:tr>
      <w:tr>
        <w:trPr>
          <w:trHeight w:val="404"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246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保险合同准备金</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170,000,000.00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170,321,905.54</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321,905.54</w:t>
            </w:r>
          </w:p>
        </w:tc>
      </w:tr>
      <w:tr>
        <w:trPr>
          <w:trHeight w:val="398"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554" w:right="0"/>
              <w:jc w:val="left"/>
              <w:rPr>
                <w:rFonts w:ascii="宋体" w:hAnsi="宋体" w:cs="宋体" w:eastAsia="宋体" w:hint="default"/>
                <w:sz w:val="18"/>
                <w:szCs w:val="18"/>
              </w:rPr>
            </w:pPr>
            <w:r>
              <w:rPr>
                <w:rFonts w:ascii="宋体" w:hAnsi="宋体" w:cs="宋体" w:eastAsia="宋体" w:hint="default"/>
                <w:spacing w:val="-3"/>
                <w:sz w:val="18"/>
                <w:szCs w:val="18"/>
              </w:rPr>
              <w:t>其中：优先股</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92"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租赁负债</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5,056,825.79</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5,056,825.79</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递延所得税负债</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2,655,208.66</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2,655,208.66</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pacing w:val="-3"/>
                <w:sz w:val="18"/>
                <w:szCs w:val="18"/>
              </w:rPr>
              <w:t>其他非流动负债</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pacing w:val="-3"/>
                <w:sz w:val="18"/>
                <w:szCs w:val="18"/>
              </w:rPr>
              <w:t>非流动负债合计</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177,712,034.45</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178,033,939.99</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321,905.54</w:t>
            </w: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788,659,589.85</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788,659,589.85</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246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706,640,535.00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706,640,535.00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54" w:right="0"/>
              <w:jc w:val="left"/>
              <w:rPr>
                <w:rFonts w:ascii="宋体" w:hAnsi="宋体" w:cs="宋体" w:eastAsia="宋体" w:hint="default"/>
                <w:sz w:val="18"/>
                <w:szCs w:val="18"/>
              </w:rPr>
            </w:pPr>
            <w:r>
              <w:rPr>
                <w:rFonts w:ascii="宋体" w:hAnsi="宋体" w:cs="宋体" w:eastAsia="宋体" w:hint="default"/>
                <w:spacing w:val="-3"/>
                <w:sz w:val="18"/>
                <w:szCs w:val="18"/>
              </w:rPr>
              <w:t>其中：优先股</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1" w:footer="1186" w:top="1100" w:bottom="138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48" w:type="dxa"/>
        <w:tblLayout w:type="fixed"/>
        <w:tblCellMar>
          <w:top w:w="0" w:type="dxa"/>
          <w:left w:w="0" w:type="dxa"/>
          <w:bottom w:w="0" w:type="dxa"/>
          <w:right w:w="0" w:type="dxa"/>
        </w:tblCellMar>
        <w:tblLook w:val="01E0"/>
      </w:tblPr>
      <w:tblGrid>
        <w:gridCol w:w="2209"/>
        <w:gridCol w:w="2454"/>
        <w:gridCol w:w="2454"/>
        <w:gridCol w:w="2453"/>
      </w:tblGrid>
      <w:tr>
        <w:trPr>
          <w:trHeight w:val="403"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04"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375,979,751.21</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375,979,751.21</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84"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-12,588,336.41</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412,924.58</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13,001,260.99</w:t>
            </w:r>
          </w:p>
        </w:tc>
      </w:tr>
      <w:tr>
        <w:trPr>
          <w:trHeight w:val="403"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27,821,403.26</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27,821,403.26</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84"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253,412,946.83</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238,244,406.27</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-15,168,540.56</w:t>
            </w:r>
          </w:p>
        </w:tc>
      </w:tr>
      <w:tr>
        <w:trPr>
          <w:trHeight w:val="715"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190"/>
              <w:jc w:val="left"/>
              <w:rPr>
                <w:rFonts w:ascii="宋体" w:hAnsi="宋体" w:cs="宋体" w:eastAsia="宋体" w:hint="default"/>
                <w:sz w:val="18"/>
                <w:szCs w:val="18"/>
              </w:rPr>
            </w:pPr>
            <w:r>
              <w:rPr>
                <w:rFonts w:ascii="宋体" w:hAnsi="宋体" w:cs="宋体" w:eastAsia="宋体" w:hint="default"/>
                <w:spacing w:val="-3"/>
                <w:sz w:val="18"/>
                <w:szCs w:val="18"/>
              </w:rPr>
              <w:t>归属于母公司所有者权益</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z w:val="18"/>
                <w:szCs w:val="18"/>
              </w:rPr>
              <w:t>合计</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2"/>
                <w:sz w:val="18"/>
              </w:rPr>
              <w:t>1,351,266,299.89</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2"/>
                <w:sz w:val="18"/>
              </w:rPr>
              <w:t>1,349,099,020.32</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-2,167,279.57</w:t>
            </w:r>
          </w:p>
        </w:tc>
      </w:tr>
      <w:tr>
        <w:trPr>
          <w:trHeight w:val="398"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14,628,115.82</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14,566,065.99</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-62,049.83</w:t>
            </w:r>
          </w:p>
        </w:tc>
      </w:tr>
      <w:tr>
        <w:trPr>
          <w:trHeight w:val="404"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spacing w:val="-3"/>
                <w:sz w:val="18"/>
                <w:szCs w:val="18"/>
              </w:rPr>
              <w:t>所有者权益合计</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7"/>
              <w:jc w:val="right"/>
              <w:rPr>
                <w:rFonts w:ascii="Times New Roman" w:hAnsi="Times New Roman" w:cs="Times New Roman" w:eastAsia="Times New Roman" w:hint="default"/>
                <w:sz w:val="18"/>
                <w:szCs w:val="18"/>
              </w:rPr>
            </w:pPr>
            <w:r>
              <w:rPr>
                <w:rFonts w:ascii="Times New Roman"/>
                <w:spacing w:val="-2"/>
                <w:sz w:val="18"/>
              </w:rPr>
              <w:t>1,365,894,415.71</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3"/>
              <w:jc w:val="right"/>
              <w:rPr>
                <w:rFonts w:ascii="Times New Roman" w:hAnsi="Times New Roman" w:cs="Times New Roman" w:eastAsia="Times New Roman" w:hint="default"/>
                <w:sz w:val="18"/>
                <w:szCs w:val="18"/>
              </w:rPr>
            </w:pPr>
            <w:r>
              <w:rPr>
                <w:rFonts w:ascii="Times New Roman"/>
                <w:spacing w:val="-2"/>
                <w:sz w:val="18"/>
              </w:rPr>
              <w:t>1,363,665,086.31</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2"/>
              <w:jc w:val="right"/>
              <w:rPr>
                <w:rFonts w:ascii="Times New Roman" w:hAnsi="Times New Roman" w:cs="Times New Roman" w:eastAsia="Times New Roman" w:hint="default"/>
                <w:sz w:val="18"/>
                <w:szCs w:val="18"/>
              </w:rPr>
            </w:pPr>
            <w:r>
              <w:rPr>
                <w:rFonts w:ascii="Times New Roman"/>
                <w:spacing w:val="-1"/>
                <w:sz w:val="18"/>
              </w:rPr>
              <w:t>-2,229,329.40</w:t>
            </w:r>
          </w:p>
        </w:tc>
      </w:tr>
      <w:tr>
        <w:trPr>
          <w:trHeight w:val="403"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2,154,554,005.56</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2,152,324,676.16</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-2,229,329.40</w:t>
            </w:r>
          </w:p>
        </w:tc>
      </w:tr>
    </w:tbl>
    <w:p>
      <w:pPr>
        <w:pStyle w:val="BodyText"/>
        <w:spacing w:line="240" w:lineRule="auto" w:before="53"/>
        <w:ind w:right="0"/>
        <w:jc w:val="left"/>
      </w:pPr>
      <w:r>
        <w:rPr/>
        <w:t>调整情况说明</w:t>
      </w:r>
    </w:p>
    <w:p>
      <w:pPr>
        <w:spacing w:line="240" w:lineRule="auto" w:before="0"/>
        <w:rPr>
          <w:rFonts w:ascii="宋体" w:hAnsi="宋体" w:cs="宋体" w:eastAsia="宋体" w:hint="default"/>
          <w:sz w:val="15"/>
          <w:szCs w:val="15"/>
        </w:rPr>
      </w:pPr>
    </w:p>
    <w:p>
      <w:pPr>
        <w:pStyle w:val="BodyText"/>
        <w:spacing w:line="240" w:lineRule="auto"/>
        <w:ind w:left="513" w:right="0"/>
        <w:jc w:val="left"/>
      </w:pPr>
      <w:r>
        <w:rPr>
          <w:w w:val="101"/>
        </w:rPr>
        <w:t>财</w:t>
      </w:r>
      <w:r>
        <w:rPr>
          <w:spacing w:val="-5"/>
          <w:w w:val="101"/>
        </w:rPr>
        <w:t>政</w:t>
      </w:r>
      <w:r>
        <w:rPr>
          <w:w w:val="101"/>
        </w:rPr>
        <w:t>部于</w:t>
      </w:r>
      <w:r>
        <w:rPr>
          <w:spacing w:val="-47"/>
        </w:rPr>
        <w:t> </w:t>
      </w:r>
      <w:r>
        <w:rPr>
          <w:rFonts w:ascii="Times New Roman" w:hAnsi="Times New Roman" w:cs="Times New Roman" w:eastAsia="Times New Roman" w:hint="default"/>
          <w:w w:val="101"/>
        </w:rPr>
        <w:t>20</w:t>
      </w:r>
      <w:r>
        <w:rPr>
          <w:rFonts w:ascii="Times New Roman" w:hAnsi="Times New Roman" w:cs="Times New Roman" w:eastAsia="Times New Roman" w:hint="default"/>
          <w:spacing w:val="-5"/>
          <w:w w:val="101"/>
        </w:rPr>
        <w:t>1</w:t>
      </w:r>
      <w:r>
        <w:rPr>
          <w:rFonts w:ascii="Times New Roman" w:hAnsi="Times New Roman" w:cs="Times New Roman" w:eastAsia="Times New Roman" w:hint="default"/>
          <w:w w:val="101"/>
        </w:rPr>
        <w:t>7</w:t>
      </w:r>
      <w:r>
        <w:rPr>
          <w:rFonts w:ascii="Times New Roman" w:hAnsi="Times New Roman" w:cs="Times New Roman" w:eastAsia="Times New Roman" w:hint="default"/>
          <w:spacing w:val="-7"/>
        </w:rPr>
        <w:t> </w:t>
      </w:r>
      <w:r>
        <w:rPr>
          <w:w w:val="101"/>
        </w:rPr>
        <w:t>年</w:t>
      </w:r>
      <w:r>
        <w:rPr>
          <w:spacing w:val="-52"/>
        </w:rPr>
        <w:t> </w:t>
      </w:r>
      <w:r>
        <w:rPr>
          <w:rFonts w:ascii="Times New Roman" w:hAnsi="Times New Roman" w:cs="Times New Roman" w:eastAsia="Times New Roman" w:hint="default"/>
          <w:w w:val="101"/>
        </w:rPr>
        <w:t>3</w:t>
      </w:r>
      <w:r>
        <w:rPr>
          <w:rFonts w:ascii="Times New Roman" w:hAnsi="Times New Roman" w:cs="Times New Roman" w:eastAsia="Times New Roman" w:hint="default"/>
          <w:spacing w:val="-7"/>
        </w:rPr>
        <w:t> </w:t>
      </w:r>
      <w:r>
        <w:rPr>
          <w:w w:val="101"/>
        </w:rPr>
        <w:t>月</w:t>
      </w:r>
      <w:r>
        <w:rPr>
          <w:spacing w:val="-47"/>
        </w:rPr>
        <w:t> </w:t>
      </w:r>
      <w:r>
        <w:rPr>
          <w:rFonts w:ascii="Times New Roman" w:hAnsi="Times New Roman" w:cs="Times New Roman" w:eastAsia="Times New Roman" w:hint="default"/>
          <w:spacing w:val="-5"/>
          <w:w w:val="101"/>
        </w:rPr>
        <w:t>3</w:t>
      </w:r>
      <w:r>
        <w:rPr>
          <w:rFonts w:ascii="Times New Roman" w:hAnsi="Times New Roman" w:cs="Times New Roman" w:eastAsia="Times New Roman" w:hint="default"/>
          <w:w w:val="101"/>
        </w:rPr>
        <w:t>1</w:t>
      </w:r>
      <w:r>
        <w:rPr>
          <w:rFonts w:ascii="Times New Roman" w:hAnsi="Times New Roman" w:cs="Times New Roman" w:eastAsia="Times New Roman" w:hint="default"/>
          <w:spacing w:val="-12"/>
        </w:rPr>
        <w:t> </w:t>
      </w:r>
      <w:r>
        <w:rPr>
          <w:w w:val="101"/>
        </w:rPr>
        <w:t>日</w:t>
      </w:r>
      <w:r>
        <w:rPr>
          <w:spacing w:val="-5"/>
          <w:w w:val="101"/>
        </w:rPr>
        <w:t>分</w:t>
      </w:r>
      <w:r>
        <w:rPr>
          <w:w w:val="101"/>
        </w:rPr>
        <w:t>别</w:t>
      </w:r>
      <w:r>
        <w:rPr>
          <w:spacing w:val="-5"/>
          <w:w w:val="101"/>
        </w:rPr>
        <w:t>发</w:t>
      </w:r>
      <w:r>
        <w:rPr>
          <w:w w:val="101"/>
        </w:rPr>
        <w:t>布</w:t>
      </w:r>
      <w:r>
        <w:rPr>
          <w:spacing w:val="-48"/>
          <w:w w:val="101"/>
        </w:rPr>
        <w:t>了</w:t>
      </w:r>
      <w:r>
        <w:rPr>
          <w:w w:val="101"/>
        </w:rPr>
        <w:t>《</w:t>
      </w:r>
      <w:r>
        <w:rPr>
          <w:spacing w:val="-5"/>
          <w:w w:val="101"/>
        </w:rPr>
        <w:t>企</w:t>
      </w:r>
      <w:r>
        <w:rPr>
          <w:w w:val="101"/>
        </w:rPr>
        <w:t>业</w:t>
      </w:r>
      <w:r>
        <w:rPr>
          <w:spacing w:val="-5"/>
          <w:w w:val="101"/>
        </w:rPr>
        <w:t>会</w:t>
      </w:r>
      <w:r>
        <w:rPr>
          <w:w w:val="101"/>
        </w:rPr>
        <w:t>计</w:t>
      </w:r>
      <w:r>
        <w:rPr>
          <w:spacing w:val="-5"/>
          <w:w w:val="101"/>
        </w:rPr>
        <w:t>准</w:t>
      </w:r>
      <w:r>
        <w:rPr>
          <w:w w:val="101"/>
        </w:rPr>
        <w:t>则第</w:t>
      </w:r>
      <w:r>
        <w:rPr>
          <w:spacing w:val="-47"/>
        </w:rPr>
        <w:t> </w:t>
      </w:r>
      <w:r>
        <w:rPr>
          <w:rFonts w:ascii="Times New Roman" w:hAnsi="Times New Roman" w:cs="Times New Roman" w:eastAsia="Times New Roman" w:hint="default"/>
          <w:spacing w:val="-5"/>
          <w:w w:val="101"/>
        </w:rPr>
        <w:t>2</w:t>
      </w:r>
      <w:r>
        <w:rPr>
          <w:rFonts w:ascii="Times New Roman" w:hAnsi="Times New Roman" w:cs="Times New Roman" w:eastAsia="Times New Roman" w:hint="default"/>
          <w:w w:val="101"/>
        </w:rPr>
        <w:t>2</w:t>
      </w:r>
      <w:r>
        <w:rPr>
          <w:rFonts w:ascii="Times New Roman" w:hAnsi="Times New Roman" w:cs="Times New Roman" w:eastAsia="Times New Roman" w:hint="default"/>
          <w:spacing w:val="-7"/>
        </w:rPr>
        <w:t> </w:t>
      </w:r>
      <w:r>
        <w:rPr>
          <w:spacing w:val="-5"/>
          <w:w w:val="101"/>
        </w:rPr>
        <w:t>号</w:t>
      </w:r>
      <w:r>
        <w:rPr>
          <w:rFonts w:ascii="Times New Roman" w:hAnsi="Times New Roman" w:cs="Times New Roman" w:eastAsia="Times New Roman" w:hint="default"/>
          <w:w w:val="101"/>
        </w:rPr>
        <w:t>—</w:t>
      </w:r>
      <w:r>
        <w:rPr>
          <w:rFonts w:ascii="Times New Roman" w:hAnsi="Times New Roman" w:cs="Times New Roman" w:eastAsia="Times New Roman" w:hint="default"/>
          <w:spacing w:val="-5"/>
          <w:w w:val="101"/>
        </w:rPr>
        <w:t>—</w:t>
      </w:r>
      <w:r>
        <w:rPr>
          <w:w w:val="101"/>
        </w:rPr>
        <w:t>金</w:t>
      </w:r>
      <w:r>
        <w:rPr>
          <w:spacing w:val="-5"/>
          <w:w w:val="101"/>
        </w:rPr>
        <w:t>融</w:t>
      </w:r>
      <w:r>
        <w:rPr>
          <w:w w:val="101"/>
        </w:rPr>
        <w:t>工</w:t>
      </w:r>
      <w:r>
        <w:rPr>
          <w:spacing w:val="-5"/>
          <w:w w:val="101"/>
        </w:rPr>
        <w:t>具</w:t>
      </w:r>
      <w:r>
        <w:rPr>
          <w:w w:val="101"/>
        </w:rPr>
        <w:t>确</w:t>
      </w:r>
      <w:r>
        <w:rPr>
          <w:spacing w:val="-5"/>
          <w:w w:val="101"/>
        </w:rPr>
        <w:t>认</w:t>
      </w:r>
      <w:r>
        <w:rPr>
          <w:w w:val="101"/>
        </w:rPr>
        <w:t>和</w:t>
      </w:r>
      <w:r>
        <w:rPr>
          <w:spacing w:val="-5"/>
          <w:w w:val="101"/>
        </w:rPr>
        <w:t>计</w:t>
      </w:r>
      <w:r>
        <w:rPr>
          <w:spacing w:val="-44"/>
          <w:w w:val="101"/>
        </w:rPr>
        <w:t>量</w:t>
      </w:r>
      <w:r>
        <w:rPr>
          <w:w w:val="101"/>
        </w:rPr>
        <w:t>（</w:t>
      </w:r>
      <w:r>
        <w:rPr>
          <w:rFonts w:ascii="Times New Roman" w:hAnsi="Times New Roman" w:cs="Times New Roman" w:eastAsia="Times New Roman" w:hint="default"/>
          <w:spacing w:val="-5"/>
          <w:w w:val="101"/>
        </w:rPr>
        <w:t>2</w:t>
      </w:r>
      <w:r>
        <w:rPr>
          <w:rFonts w:ascii="Times New Roman" w:hAnsi="Times New Roman" w:cs="Times New Roman" w:eastAsia="Times New Roman" w:hint="default"/>
          <w:w w:val="101"/>
        </w:rPr>
        <w:t>0</w:t>
      </w:r>
      <w:r>
        <w:rPr>
          <w:rFonts w:ascii="Times New Roman" w:hAnsi="Times New Roman" w:cs="Times New Roman" w:eastAsia="Times New Roman" w:hint="default"/>
          <w:spacing w:val="-5"/>
          <w:w w:val="101"/>
        </w:rPr>
        <w:t>1</w:t>
      </w:r>
      <w:r>
        <w:rPr>
          <w:rFonts w:ascii="Times New Roman" w:hAnsi="Times New Roman" w:cs="Times New Roman" w:eastAsia="Times New Roman" w:hint="default"/>
          <w:w w:val="101"/>
        </w:rPr>
        <w:t>7</w:t>
      </w:r>
      <w:r>
        <w:rPr>
          <w:rFonts w:ascii="Times New Roman" w:hAnsi="Times New Roman" w:cs="Times New Roman" w:eastAsia="Times New Roman" w:hint="default"/>
          <w:spacing w:val="-7"/>
        </w:rPr>
        <w:t> </w:t>
      </w:r>
      <w:r>
        <w:rPr>
          <w:spacing w:val="-5"/>
          <w:w w:val="101"/>
        </w:rPr>
        <w:t>年</w:t>
      </w:r>
      <w:r>
        <w:rPr>
          <w:w w:val="101"/>
        </w:rPr>
        <w:t>修订</w:t>
      </w:r>
      <w:r>
        <w:rPr>
          <w:spacing w:val="-96"/>
          <w:w w:val="101"/>
        </w:rPr>
        <w:t>）</w:t>
      </w:r>
      <w:r>
        <w:rPr>
          <w:spacing w:val="-135"/>
          <w:w w:val="101"/>
        </w:rPr>
        <w:t>》</w:t>
      </w:r>
      <w:r>
        <w:rPr>
          <w:spacing w:val="-5"/>
          <w:w w:val="101"/>
        </w:rPr>
        <w:t>（</w:t>
      </w:r>
      <w:r>
        <w:rPr>
          <w:w w:val="101"/>
        </w:rPr>
        <w:t>财</w:t>
      </w:r>
      <w:r>
        <w:rPr>
          <w:spacing w:val="-48"/>
          <w:w w:val="101"/>
        </w:rPr>
        <w:t>会</w:t>
      </w:r>
      <w:r>
        <w:rPr>
          <w:w w:val="101"/>
        </w:rPr>
        <w:t>〔</w:t>
      </w:r>
      <w:r>
        <w:rPr>
          <w:rFonts w:ascii="Times New Roman" w:hAnsi="Times New Roman" w:cs="Times New Roman" w:eastAsia="Times New Roman" w:hint="default"/>
          <w:w w:val="101"/>
        </w:rPr>
        <w:t>20</w:t>
      </w:r>
      <w:r>
        <w:rPr>
          <w:rFonts w:ascii="Times New Roman" w:hAnsi="Times New Roman" w:cs="Times New Roman" w:eastAsia="Times New Roman" w:hint="default"/>
          <w:spacing w:val="-5"/>
          <w:w w:val="101"/>
        </w:rPr>
        <w:t>1</w:t>
      </w:r>
      <w:r>
        <w:rPr>
          <w:rFonts w:ascii="Times New Roman" w:hAnsi="Times New Roman" w:cs="Times New Roman" w:eastAsia="Times New Roman" w:hint="default"/>
          <w:spacing w:val="-1"/>
          <w:w w:val="101"/>
        </w:rPr>
        <w:t>7</w:t>
      </w:r>
      <w:r>
        <w:rPr>
          <w:w w:val="101"/>
        </w:rPr>
        <w:t>〕</w:t>
      </w:r>
      <w:r>
        <w:rPr/>
      </w:r>
    </w:p>
    <w:p>
      <w:pPr>
        <w:spacing w:line="240" w:lineRule="auto" w:before="7"/>
        <w:rPr>
          <w:rFonts w:ascii="宋体" w:hAnsi="宋体" w:cs="宋体" w:eastAsia="宋体" w:hint="default"/>
          <w:sz w:val="16"/>
          <w:szCs w:val="16"/>
        </w:rPr>
      </w:pPr>
    </w:p>
    <w:p>
      <w:pPr>
        <w:pStyle w:val="BodyText"/>
        <w:spacing w:line="240" w:lineRule="auto"/>
        <w:ind w:right="0"/>
        <w:jc w:val="left"/>
      </w:pPr>
      <w:r>
        <w:rPr>
          <w:rFonts w:ascii="Times New Roman" w:hAnsi="Times New Roman" w:cs="Times New Roman" w:eastAsia="Times New Roman" w:hint="default"/>
          <w:w w:val="101"/>
        </w:rPr>
        <w:t>7</w:t>
      </w:r>
      <w:r>
        <w:rPr>
          <w:rFonts w:ascii="Times New Roman" w:hAnsi="Times New Roman" w:cs="Times New Roman" w:eastAsia="Times New Roman" w:hint="default"/>
          <w:spacing w:val="-7"/>
        </w:rPr>
        <w:t> </w:t>
      </w:r>
      <w:r>
        <w:rPr>
          <w:w w:val="101"/>
        </w:rPr>
        <w:t>号</w:t>
      </w:r>
      <w:r>
        <w:rPr>
          <w:spacing w:val="-96"/>
          <w:w w:val="101"/>
        </w:rPr>
        <w:t>）</w:t>
      </w:r>
      <w:r>
        <w:rPr>
          <w:spacing w:val="-92"/>
          <w:w w:val="101"/>
        </w:rPr>
        <w:t>、</w:t>
      </w:r>
      <w:r>
        <w:rPr>
          <w:spacing w:val="-5"/>
          <w:w w:val="101"/>
        </w:rPr>
        <w:t>《</w:t>
      </w:r>
      <w:r>
        <w:rPr>
          <w:w w:val="101"/>
        </w:rPr>
        <w:t>企</w:t>
      </w:r>
      <w:r>
        <w:rPr>
          <w:spacing w:val="-5"/>
          <w:w w:val="101"/>
        </w:rPr>
        <w:t>业</w:t>
      </w:r>
      <w:r>
        <w:rPr>
          <w:w w:val="101"/>
        </w:rPr>
        <w:t>会</w:t>
      </w:r>
      <w:r>
        <w:rPr>
          <w:spacing w:val="-5"/>
          <w:w w:val="101"/>
        </w:rPr>
        <w:t>计</w:t>
      </w:r>
      <w:r>
        <w:rPr>
          <w:w w:val="101"/>
        </w:rPr>
        <w:t>准则第</w:t>
      </w:r>
      <w:r>
        <w:rPr>
          <w:spacing w:val="-52"/>
        </w:rPr>
        <w:t> </w:t>
      </w:r>
      <w:r>
        <w:rPr>
          <w:rFonts w:ascii="Times New Roman" w:hAnsi="Times New Roman" w:cs="Times New Roman" w:eastAsia="Times New Roman" w:hint="default"/>
          <w:w w:val="101"/>
        </w:rPr>
        <w:t>23</w:t>
      </w:r>
      <w:r>
        <w:rPr>
          <w:rFonts w:ascii="Times New Roman" w:hAnsi="Times New Roman" w:cs="Times New Roman" w:eastAsia="Times New Roman" w:hint="default"/>
          <w:spacing w:val="-11"/>
        </w:rPr>
        <w:t> </w:t>
      </w:r>
      <w:r>
        <w:rPr>
          <w:w w:val="101"/>
        </w:rPr>
        <w:t>号</w:t>
      </w:r>
      <w:r>
        <w:rPr>
          <w:rFonts w:ascii="Times New Roman" w:hAnsi="Times New Roman" w:cs="Times New Roman" w:eastAsia="Times New Roman" w:hint="default"/>
          <w:spacing w:val="-5"/>
          <w:w w:val="101"/>
        </w:rPr>
        <w:t>—</w:t>
      </w:r>
      <w:r>
        <w:rPr>
          <w:rFonts w:ascii="Times New Roman" w:hAnsi="Times New Roman" w:cs="Times New Roman" w:eastAsia="Times New Roman" w:hint="default"/>
          <w:w w:val="101"/>
        </w:rPr>
        <w:t>—</w:t>
      </w:r>
      <w:r>
        <w:rPr>
          <w:spacing w:val="-5"/>
          <w:w w:val="101"/>
        </w:rPr>
        <w:t>金</w:t>
      </w:r>
      <w:r>
        <w:rPr>
          <w:w w:val="101"/>
        </w:rPr>
        <w:t>融</w:t>
      </w:r>
      <w:r>
        <w:rPr>
          <w:spacing w:val="-5"/>
          <w:w w:val="101"/>
        </w:rPr>
        <w:t>资</w:t>
      </w:r>
      <w:r>
        <w:rPr>
          <w:w w:val="101"/>
        </w:rPr>
        <w:t>产</w:t>
      </w:r>
      <w:r>
        <w:rPr>
          <w:spacing w:val="-5"/>
          <w:w w:val="101"/>
        </w:rPr>
        <w:t>转</w:t>
      </w:r>
      <w:r>
        <w:rPr>
          <w:w w:val="101"/>
        </w:rPr>
        <w:t>移</w:t>
      </w:r>
      <w:r>
        <w:rPr>
          <w:spacing w:val="-5"/>
          <w:w w:val="101"/>
        </w:rPr>
        <w:t>（</w:t>
      </w:r>
      <w:r>
        <w:rPr>
          <w:rFonts w:ascii="Times New Roman" w:hAnsi="Times New Roman" w:cs="Times New Roman" w:eastAsia="Times New Roman" w:hint="default"/>
          <w:w w:val="101"/>
        </w:rPr>
        <w:t>20</w:t>
      </w:r>
      <w:r>
        <w:rPr>
          <w:rFonts w:ascii="Times New Roman" w:hAnsi="Times New Roman" w:cs="Times New Roman" w:eastAsia="Times New Roman" w:hint="default"/>
          <w:spacing w:val="-5"/>
          <w:w w:val="101"/>
        </w:rPr>
        <w:t>1</w:t>
      </w:r>
      <w:r>
        <w:rPr>
          <w:rFonts w:ascii="Times New Roman" w:hAnsi="Times New Roman" w:cs="Times New Roman" w:eastAsia="Times New Roman" w:hint="default"/>
          <w:w w:val="101"/>
        </w:rPr>
        <w:t>7</w:t>
      </w:r>
      <w:r>
        <w:rPr>
          <w:rFonts w:ascii="Times New Roman" w:hAnsi="Times New Roman" w:cs="Times New Roman" w:eastAsia="Times New Roman" w:hint="default"/>
          <w:spacing w:val="-7"/>
        </w:rPr>
        <w:t> </w:t>
      </w:r>
      <w:r>
        <w:rPr>
          <w:spacing w:val="-5"/>
          <w:w w:val="101"/>
        </w:rPr>
        <w:t>年修</w:t>
      </w:r>
      <w:r>
        <w:rPr>
          <w:w w:val="101"/>
        </w:rPr>
        <w:t>订</w:t>
      </w:r>
      <w:r>
        <w:rPr>
          <w:spacing w:val="-92"/>
          <w:w w:val="101"/>
        </w:rPr>
        <w:t>）</w:t>
      </w:r>
      <w:r>
        <w:rPr>
          <w:spacing w:val="-96"/>
          <w:w w:val="101"/>
        </w:rPr>
        <w:t>》</w:t>
      </w:r>
      <w:r>
        <w:rPr>
          <w:w w:val="101"/>
        </w:rPr>
        <w:t>（</w:t>
      </w:r>
      <w:r>
        <w:rPr>
          <w:spacing w:val="-5"/>
          <w:w w:val="101"/>
        </w:rPr>
        <w:t>财</w:t>
      </w:r>
      <w:r>
        <w:rPr>
          <w:w w:val="101"/>
        </w:rPr>
        <w:t>会〔</w:t>
      </w:r>
      <w:r>
        <w:rPr>
          <w:rFonts w:ascii="Times New Roman" w:hAnsi="Times New Roman" w:cs="Times New Roman" w:eastAsia="Times New Roman" w:hint="default"/>
          <w:spacing w:val="-5"/>
          <w:w w:val="101"/>
        </w:rPr>
        <w:t>2</w:t>
      </w:r>
      <w:r>
        <w:rPr>
          <w:rFonts w:ascii="Times New Roman" w:hAnsi="Times New Roman" w:cs="Times New Roman" w:eastAsia="Times New Roman" w:hint="default"/>
          <w:w w:val="101"/>
        </w:rPr>
        <w:t>01</w:t>
      </w:r>
      <w:r>
        <w:rPr>
          <w:rFonts w:ascii="Times New Roman" w:hAnsi="Times New Roman" w:cs="Times New Roman" w:eastAsia="Times New Roman" w:hint="default"/>
          <w:spacing w:val="-5"/>
          <w:w w:val="101"/>
        </w:rPr>
        <w:t>7</w:t>
      </w:r>
      <w:r>
        <w:rPr>
          <w:w w:val="101"/>
        </w:rPr>
        <w:t>〕</w:t>
      </w:r>
      <w:r>
        <w:rPr>
          <w:rFonts w:ascii="Times New Roman" w:hAnsi="Times New Roman" w:cs="Times New Roman" w:eastAsia="Times New Roman" w:hint="default"/>
          <w:w w:val="101"/>
        </w:rPr>
        <w:t>8</w:t>
      </w:r>
      <w:r>
        <w:rPr>
          <w:rFonts w:ascii="Times New Roman" w:hAnsi="Times New Roman" w:cs="Times New Roman" w:eastAsia="Times New Roman" w:hint="default"/>
          <w:spacing w:val="-12"/>
        </w:rPr>
        <w:t> </w:t>
      </w:r>
      <w:r>
        <w:rPr>
          <w:w w:val="101"/>
        </w:rPr>
        <w:t>号</w:t>
      </w:r>
      <w:r>
        <w:rPr>
          <w:spacing w:val="-92"/>
          <w:w w:val="101"/>
        </w:rPr>
        <w:t>）</w:t>
      </w:r>
      <w:r>
        <w:rPr>
          <w:spacing w:val="-96"/>
          <w:w w:val="101"/>
        </w:rPr>
        <w:t>、</w:t>
      </w:r>
      <w:r>
        <w:rPr>
          <w:w w:val="101"/>
        </w:rPr>
        <w:t>《</w:t>
      </w:r>
      <w:r>
        <w:rPr>
          <w:spacing w:val="-5"/>
          <w:w w:val="101"/>
        </w:rPr>
        <w:t>企</w:t>
      </w:r>
      <w:r>
        <w:rPr>
          <w:w w:val="101"/>
        </w:rPr>
        <w:t>业</w:t>
      </w:r>
      <w:r>
        <w:rPr>
          <w:spacing w:val="-5"/>
          <w:w w:val="101"/>
        </w:rPr>
        <w:t>会</w:t>
      </w:r>
      <w:r>
        <w:rPr>
          <w:w w:val="101"/>
        </w:rPr>
        <w:t>计</w:t>
      </w:r>
      <w:r>
        <w:rPr>
          <w:spacing w:val="-5"/>
          <w:w w:val="101"/>
        </w:rPr>
        <w:t>准</w:t>
      </w:r>
      <w:r>
        <w:rPr>
          <w:w w:val="101"/>
        </w:rPr>
        <w:t>则第</w:t>
      </w:r>
      <w:r>
        <w:rPr>
          <w:spacing w:val="-47"/>
        </w:rPr>
        <w:t> </w:t>
      </w:r>
      <w:r>
        <w:rPr>
          <w:rFonts w:ascii="Times New Roman" w:hAnsi="Times New Roman" w:cs="Times New Roman" w:eastAsia="Times New Roman" w:hint="default"/>
          <w:spacing w:val="-5"/>
          <w:w w:val="101"/>
        </w:rPr>
        <w:t>2</w:t>
      </w:r>
      <w:r>
        <w:rPr>
          <w:rFonts w:ascii="Times New Roman" w:hAnsi="Times New Roman" w:cs="Times New Roman" w:eastAsia="Times New Roman" w:hint="default"/>
          <w:w w:val="101"/>
        </w:rPr>
        <w:t>4</w:t>
      </w:r>
      <w:r>
        <w:rPr>
          <w:rFonts w:ascii="Times New Roman" w:hAnsi="Times New Roman" w:cs="Times New Roman" w:eastAsia="Times New Roman" w:hint="default"/>
          <w:spacing w:val="-7"/>
        </w:rPr>
        <w:t> </w:t>
      </w:r>
      <w:r>
        <w:rPr>
          <w:spacing w:val="-5"/>
          <w:w w:val="101"/>
        </w:rPr>
        <w:t>号</w:t>
      </w:r>
      <w:r>
        <w:rPr>
          <w:rFonts w:ascii="Times New Roman" w:hAnsi="Times New Roman" w:cs="Times New Roman" w:eastAsia="Times New Roman" w:hint="default"/>
          <w:w w:val="101"/>
        </w:rPr>
        <w:t>—</w:t>
      </w:r>
      <w:r>
        <w:rPr>
          <w:rFonts w:ascii="Times New Roman" w:hAnsi="Times New Roman" w:cs="Times New Roman" w:eastAsia="Times New Roman" w:hint="default"/>
          <w:spacing w:val="-5"/>
          <w:w w:val="101"/>
        </w:rPr>
        <w:t>—</w:t>
      </w:r>
      <w:r>
        <w:rPr>
          <w:w w:val="101"/>
        </w:rPr>
        <w:t>套</w:t>
      </w:r>
      <w:r>
        <w:rPr>
          <w:spacing w:val="-5"/>
          <w:w w:val="101"/>
        </w:rPr>
        <w:t>期</w:t>
      </w:r>
      <w:r>
        <w:rPr>
          <w:w w:val="101"/>
        </w:rPr>
        <w:t>会</w:t>
      </w:r>
      <w:r>
        <w:rPr/>
      </w:r>
    </w:p>
    <w:p>
      <w:pPr>
        <w:spacing w:line="240" w:lineRule="auto" w:before="12"/>
        <w:rPr>
          <w:rFonts w:ascii="宋体" w:hAnsi="宋体" w:cs="宋体" w:eastAsia="宋体" w:hint="default"/>
          <w:sz w:val="16"/>
          <w:szCs w:val="16"/>
        </w:rPr>
      </w:pPr>
    </w:p>
    <w:p>
      <w:pPr>
        <w:pStyle w:val="BodyText"/>
        <w:spacing w:line="240" w:lineRule="auto"/>
        <w:ind w:right="0"/>
        <w:jc w:val="left"/>
      </w:pPr>
      <w:r>
        <w:rPr>
          <w:w w:val="101"/>
        </w:rPr>
        <w:t>计（</w:t>
      </w:r>
      <w:r>
        <w:rPr>
          <w:rFonts w:ascii="Times New Roman" w:hAnsi="Times New Roman" w:cs="Times New Roman" w:eastAsia="Times New Roman" w:hint="default"/>
          <w:spacing w:val="-5"/>
          <w:w w:val="101"/>
        </w:rPr>
        <w:t>2</w:t>
      </w:r>
      <w:r>
        <w:rPr>
          <w:rFonts w:ascii="Times New Roman" w:hAnsi="Times New Roman" w:cs="Times New Roman" w:eastAsia="Times New Roman" w:hint="default"/>
          <w:w w:val="101"/>
        </w:rPr>
        <w:t>0</w:t>
      </w:r>
      <w:r>
        <w:rPr>
          <w:rFonts w:ascii="Times New Roman" w:hAnsi="Times New Roman" w:cs="Times New Roman" w:eastAsia="Times New Roman" w:hint="default"/>
          <w:spacing w:val="-5"/>
          <w:w w:val="101"/>
        </w:rPr>
        <w:t>1</w:t>
      </w:r>
      <w:r>
        <w:rPr>
          <w:rFonts w:ascii="Times New Roman" w:hAnsi="Times New Roman" w:cs="Times New Roman" w:eastAsia="Times New Roman" w:hint="default"/>
          <w:w w:val="101"/>
        </w:rPr>
        <w:t>7</w:t>
      </w:r>
      <w:r>
        <w:rPr>
          <w:rFonts w:ascii="Times New Roman" w:hAnsi="Times New Roman" w:cs="Times New Roman" w:eastAsia="Times New Roman" w:hint="default"/>
          <w:spacing w:val="-7"/>
        </w:rPr>
        <w:t> </w:t>
      </w:r>
      <w:r>
        <w:rPr>
          <w:spacing w:val="-5"/>
          <w:w w:val="101"/>
        </w:rPr>
        <w:t>年</w:t>
      </w:r>
      <w:r>
        <w:rPr>
          <w:w w:val="101"/>
        </w:rPr>
        <w:t>修订</w:t>
      </w:r>
      <w:r>
        <w:rPr>
          <w:spacing w:val="-96"/>
          <w:w w:val="101"/>
        </w:rPr>
        <w:t>）</w:t>
      </w:r>
      <w:r>
        <w:rPr>
          <w:spacing w:val="-92"/>
          <w:w w:val="101"/>
        </w:rPr>
        <w:t>》</w:t>
      </w:r>
      <w:r>
        <w:rPr>
          <w:spacing w:val="-5"/>
          <w:w w:val="101"/>
        </w:rPr>
        <w:t>（</w:t>
      </w:r>
      <w:r>
        <w:rPr>
          <w:w w:val="101"/>
        </w:rPr>
        <w:t>财</w:t>
      </w:r>
      <w:r>
        <w:rPr>
          <w:spacing w:val="-5"/>
          <w:w w:val="101"/>
        </w:rPr>
        <w:t>会</w:t>
      </w:r>
      <w:r>
        <w:rPr>
          <w:w w:val="101"/>
        </w:rPr>
        <w:t>〔</w:t>
      </w:r>
      <w:r>
        <w:rPr>
          <w:rFonts w:ascii="Times New Roman" w:hAnsi="Times New Roman" w:cs="Times New Roman" w:eastAsia="Times New Roman" w:hint="default"/>
          <w:w w:val="101"/>
        </w:rPr>
        <w:t>20</w:t>
      </w:r>
      <w:r>
        <w:rPr>
          <w:rFonts w:ascii="Times New Roman" w:hAnsi="Times New Roman" w:cs="Times New Roman" w:eastAsia="Times New Roman" w:hint="default"/>
          <w:spacing w:val="-5"/>
          <w:w w:val="101"/>
        </w:rPr>
        <w:t>1</w:t>
      </w:r>
      <w:r>
        <w:rPr>
          <w:rFonts w:ascii="Times New Roman" w:hAnsi="Times New Roman" w:cs="Times New Roman" w:eastAsia="Times New Roman" w:hint="default"/>
          <w:spacing w:val="-1"/>
          <w:w w:val="101"/>
        </w:rPr>
        <w:t>7</w:t>
      </w:r>
      <w:r>
        <w:rPr>
          <w:spacing w:val="-5"/>
          <w:w w:val="101"/>
        </w:rPr>
        <w:t>〕</w:t>
      </w:r>
      <w:r>
        <w:rPr>
          <w:rFonts w:ascii="Times New Roman" w:hAnsi="Times New Roman" w:cs="Times New Roman" w:eastAsia="Times New Roman" w:hint="default"/>
          <w:w w:val="101"/>
        </w:rPr>
        <w:t>9</w:t>
      </w:r>
      <w:r>
        <w:rPr>
          <w:rFonts w:ascii="Times New Roman" w:hAnsi="Times New Roman" w:cs="Times New Roman" w:eastAsia="Times New Roman" w:hint="default"/>
          <w:spacing w:val="-7"/>
        </w:rPr>
        <w:t> </w:t>
      </w:r>
      <w:r>
        <w:rPr>
          <w:spacing w:val="-5"/>
          <w:w w:val="101"/>
        </w:rPr>
        <w:t>号</w:t>
      </w:r>
      <w:r>
        <w:rPr>
          <w:spacing w:val="-92"/>
          <w:w w:val="101"/>
        </w:rPr>
        <w:t>）</w:t>
      </w:r>
      <w:r>
        <w:rPr>
          <w:w w:val="101"/>
        </w:rPr>
        <w:t>，于</w:t>
      </w:r>
      <w:r>
        <w:rPr>
          <w:spacing w:val="-47"/>
        </w:rPr>
        <w:t> </w:t>
      </w:r>
      <w:r>
        <w:rPr>
          <w:rFonts w:ascii="Times New Roman" w:hAnsi="Times New Roman" w:cs="Times New Roman" w:eastAsia="Times New Roman" w:hint="default"/>
          <w:spacing w:val="-5"/>
          <w:w w:val="101"/>
        </w:rPr>
        <w:t>2</w:t>
      </w:r>
      <w:r>
        <w:rPr>
          <w:rFonts w:ascii="Times New Roman" w:hAnsi="Times New Roman" w:cs="Times New Roman" w:eastAsia="Times New Roman" w:hint="default"/>
          <w:w w:val="101"/>
        </w:rPr>
        <w:t>0</w:t>
      </w:r>
      <w:r>
        <w:rPr>
          <w:rFonts w:ascii="Times New Roman" w:hAnsi="Times New Roman" w:cs="Times New Roman" w:eastAsia="Times New Roman" w:hint="default"/>
          <w:spacing w:val="-5"/>
          <w:w w:val="101"/>
        </w:rPr>
        <w:t>1</w:t>
      </w:r>
      <w:r>
        <w:rPr>
          <w:rFonts w:ascii="Times New Roman" w:hAnsi="Times New Roman" w:cs="Times New Roman" w:eastAsia="Times New Roman" w:hint="default"/>
          <w:w w:val="101"/>
        </w:rPr>
        <w:t>7</w:t>
      </w:r>
      <w:r>
        <w:rPr>
          <w:rFonts w:ascii="Times New Roman" w:hAnsi="Times New Roman" w:cs="Times New Roman" w:eastAsia="Times New Roman" w:hint="default"/>
          <w:spacing w:val="-7"/>
        </w:rPr>
        <w:t> </w:t>
      </w:r>
      <w:r>
        <w:rPr>
          <w:w w:val="101"/>
        </w:rPr>
        <w:t>年</w:t>
      </w:r>
      <w:r>
        <w:rPr>
          <w:spacing w:val="-52"/>
        </w:rPr>
        <w:t> </w:t>
      </w:r>
      <w:r>
        <w:rPr>
          <w:rFonts w:ascii="Times New Roman" w:hAnsi="Times New Roman" w:cs="Times New Roman" w:eastAsia="Times New Roman" w:hint="default"/>
          <w:w w:val="101"/>
        </w:rPr>
        <w:t>5</w:t>
      </w:r>
      <w:r>
        <w:rPr>
          <w:rFonts w:ascii="Times New Roman" w:hAnsi="Times New Roman" w:cs="Times New Roman" w:eastAsia="Times New Roman" w:hint="default"/>
          <w:spacing w:val="-7"/>
        </w:rPr>
        <w:t> </w:t>
      </w:r>
      <w:r>
        <w:rPr>
          <w:w w:val="101"/>
        </w:rPr>
        <w:t>月</w:t>
      </w:r>
      <w:r>
        <w:rPr>
          <w:spacing w:val="-47"/>
        </w:rPr>
        <w:t> </w:t>
      </w:r>
      <w:r>
        <w:rPr>
          <w:rFonts w:ascii="Times New Roman" w:hAnsi="Times New Roman" w:cs="Times New Roman" w:eastAsia="Times New Roman" w:hint="default"/>
          <w:w w:val="101"/>
        </w:rPr>
        <w:t>2</w:t>
      </w:r>
      <w:r>
        <w:rPr>
          <w:rFonts w:ascii="Times New Roman" w:hAnsi="Times New Roman" w:cs="Times New Roman" w:eastAsia="Times New Roman" w:hint="default"/>
          <w:spacing w:val="-11"/>
        </w:rPr>
        <w:t> </w:t>
      </w:r>
      <w:r>
        <w:rPr>
          <w:spacing w:val="-5"/>
          <w:w w:val="101"/>
        </w:rPr>
        <w:t>日</w:t>
      </w:r>
      <w:r>
        <w:rPr>
          <w:w w:val="101"/>
        </w:rPr>
        <w:t>发</w:t>
      </w:r>
      <w:r>
        <w:rPr>
          <w:spacing w:val="-5"/>
          <w:w w:val="101"/>
        </w:rPr>
        <w:t>布</w:t>
      </w:r>
      <w:r>
        <w:rPr>
          <w:w w:val="101"/>
        </w:rPr>
        <w:t>了</w:t>
      </w:r>
      <w:r>
        <w:rPr>
          <w:spacing w:val="-5"/>
          <w:w w:val="101"/>
        </w:rPr>
        <w:t>《</w:t>
      </w:r>
      <w:r>
        <w:rPr>
          <w:w w:val="101"/>
        </w:rPr>
        <w:t>企</w:t>
      </w:r>
      <w:r>
        <w:rPr>
          <w:spacing w:val="-5"/>
          <w:w w:val="101"/>
        </w:rPr>
        <w:t>业</w:t>
      </w:r>
      <w:r>
        <w:rPr>
          <w:w w:val="101"/>
        </w:rPr>
        <w:t>会</w:t>
      </w:r>
      <w:r>
        <w:rPr>
          <w:spacing w:val="-5"/>
          <w:w w:val="101"/>
        </w:rPr>
        <w:t>计</w:t>
      </w:r>
      <w:r>
        <w:rPr>
          <w:w w:val="101"/>
        </w:rPr>
        <w:t>准则第</w:t>
      </w:r>
      <w:r>
        <w:rPr>
          <w:spacing w:val="-47"/>
        </w:rPr>
        <w:t> </w:t>
      </w:r>
      <w:r>
        <w:rPr>
          <w:rFonts w:ascii="Times New Roman" w:hAnsi="Times New Roman" w:cs="Times New Roman" w:eastAsia="Times New Roman" w:hint="default"/>
          <w:spacing w:val="-5"/>
          <w:w w:val="101"/>
        </w:rPr>
        <w:t>3</w:t>
      </w:r>
      <w:r>
        <w:rPr>
          <w:rFonts w:ascii="Times New Roman" w:hAnsi="Times New Roman" w:cs="Times New Roman" w:eastAsia="Times New Roman" w:hint="default"/>
          <w:w w:val="101"/>
        </w:rPr>
        <w:t>7</w:t>
      </w:r>
      <w:r>
        <w:rPr>
          <w:rFonts w:ascii="Times New Roman" w:hAnsi="Times New Roman" w:cs="Times New Roman" w:eastAsia="Times New Roman" w:hint="default"/>
          <w:spacing w:val="-11"/>
        </w:rPr>
        <w:t> </w:t>
      </w:r>
      <w:r>
        <w:rPr>
          <w:w w:val="101"/>
        </w:rPr>
        <w:t>号</w:t>
      </w:r>
      <w:r>
        <w:rPr>
          <w:rFonts w:ascii="Times New Roman" w:hAnsi="Times New Roman" w:cs="Times New Roman" w:eastAsia="Times New Roman" w:hint="default"/>
          <w:spacing w:val="-5"/>
          <w:w w:val="101"/>
        </w:rPr>
        <w:t>—</w:t>
      </w:r>
      <w:r>
        <w:rPr>
          <w:rFonts w:ascii="Times New Roman" w:hAnsi="Times New Roman" w:cs="Times New Roman" w:eastAsia="Times New Roman" w:hint="default"/>
          <w:w w:val="101"/>
        </w:rPr>
        <w:t>—</w:t>
      </w:r>
      <w:r>
        <w:rPr>
          <w:spacing w:val="-5"/>
          <w:w w:val="101"/>
        </w:rPr>
        <w:t>金</w:t>
      </w:r>
      <w:r>
        <w:rPr>
          <w:w w:val="101"/>
        </w:rPr>
        <w:t>融</w:t>
      </w:r>
      <w:r>
        <w:rPr>
          <w:spacing w:val="-5"/>
          <w:w w:val="101"/>
        </w:rPr>
        <w:t>工</w:t>
      </w:r>
      <w:r>
        <w:rPr>
          <w:w w:val="101"/>
        </w:rPr>
        <w:t>具</w:t>
      </w:r>
      <w:r>
        <w:rPr>
          <w:spacing w:val="-5"/>
          <w:w w:val="101"/>
        </w:rPr>
        <w:t>列</w:t>
      </w:r>
      <w:r>
        <w:rPr>
          <w:w w:val="101"/>
        </w:rPr>
        <w:t>报（</w:t>
      </w:r>
      <w:r>
        <w:rPr>
          <w:rFonts w:ascii="Times New Roman" w:hAnsi="Times New Roman" w:cs="Times New Roman" w:eastAsia="Times New Roman" w:hint="default"/>
          <w:spacing w:val="-5"/>
          <w:w w:val="101"/>
        </w:rPr>
        <w:t>2</w:t>
      </w:r>
      <w:r>
        <w:rPr>
          <w:rFonts w:ascii="Times New Roman" w:hAnsi="Times New Roman" w:cs="Times New Roman" w:eastAsia="Times New Roman" w:hint="default"/>
          <w:w w:val="101"/>
        </w:rPr>
        <w:t>0</w:t>
      </w:r>
      <w:r>
        <w:rPr>
          <w:rFonts w:ascii="Times New Roman" w:hAnsi="Times New Roman" w:cs="Times New Roman" w:eastAsia="Times New Roman" w:hint="default"/>
          <w:spacing w:val="-5"/>
          <w:w w:val="101"/>
        </w:rPr>
        <w:t>1</w:t>
      </w:r>
      <w:r>
        <w:rPr>
          <w:rFonts w:ascii="Times New Roman" w:hAnsi="Times New Roman" w:cs="Times New Roman" w:eastAsia="Times New Roman" w:hint="default"/>
          <w:w w:val="101"/>
        </w:rPr>
        <w:t>7</w:t>
      </w:r>
      <w:r>
        <w:rPr>
          <w:rFonts w:ascii="Times New Roman" w:hAnsi="Times New Roman" w:cs="Times New Roman" w:eastAsia="Times New Roman" w:hint="default"/>
          <w:spacing w:val="-7"/>
        </w:rPr>
        <w:t> </w:t>
      </w:r>
      <w:r>
        <w:rPr>
          <w:spacing w:val="-5"/>
          <w:w w:val="101"/>
        </w:rPr>
        <w:t>年修</w:t>
      </w:r>
      <w:r>
        <w:rPr/>
      </w:r>
    </w:p>
    <w:p>
      <w:pPr>
        <w:spacing w:line="240" w:lineRule="auto" w:before="7"/>
        <w:rPr>
          <w:rFonts w:ascii="宋体" w:hAnsi="宋体" w:cs="宋体" w:eastAsia="宋体" w:hint="default"/>
          <w:sz w:val="16"/>
          <w:szCs w:val="16"/>
        </w:rPr>
      </w:pPr>
    </w:p>
    <w:p>
      <w:pPr>
        <w:pStyle w:val="BodyText"/>
        <w:spacing w:line="240" w:lineRule="auto"/>
        <w:ind w:right="0"/>
        <w:jc w:val="left"/>
      </w:pPr>
      <w:r>
        <w:rPr>
          <w:w w:val="101"/>
        </w:rPr>
        <w:t>订</w:t>
      </w:r>
      <w:r>
        <w:rPr>
          <w:spacing w:val="-92"/>
          <w:w w:val="101"/>
        </w:rPr>
        <w:t>）</w:t>
      </w:r>
      <w:r>
        <w:rPr>
          <w:spacing w:val="-96"/>
          <w:w w:val="101"/>
        </w:rPr>
        <w:t>》</w:t>
      </w:r>
      <w:r>
        <w:rPr>
          <w:w w:val="101"/>
        </w:rPr>
        <w:t>（</w:t>
      </w:r>
      <w:r>
        <w:rPr>
          <w:spacing w:val="-5"/>
          <w:w w:val="101"/>
        </w:rPr>
        <w:t>财</w:t>
      </w:r>
      <w:r>
        <w:rPr>
          <w:w w:val="101"/>
        </w:rPr>
        <w:t>会〔</w:t>
      </w:r>
      <w:r>
        <w:rPr>
          <w:rFonts w:ascii="Times New Roman" w:hAnsi="Times New Roman" w:cs="Times New Roman" w:eastAsia="Times New Roman" w:hint="default"/>
          <w:spacing w:val="-5"/>
          <w:w w:val="101"/>
        </w:rPr>
        <w:t>2</w:t>
      </w:r>
      <w:r>
        <w:rPr>
          <w:rFonts w:ascii="Times New Roman" w:hAnsi="Times New Roman" w:cs="Times New Roman" w:eastAsia="Times New Roman" w:hint="default"/>
          <w:w w:val="101"/>
        </w:rPr>
        <w:t>01</w:t>
      </w:r>
      <w:r>
        <w:rPr>
          <w:rFonts w:ascii="Times New Roman" w:hAnsi="Times New Roman" w:cs="Times New Roman" w:eastAsia="Times New Roman" w:hint="default"/>
          <w:spacing w:val="-5"/>
          <w:w w:val="101"/>
        </w:rPr>
        <w:t>7</w:t>
      </w:r>
      <w:r>
        <w:rPr>
          <w:w w:val="101"/>
        </w:rPr>
        <w:t>〕</w:t>
      </w:r>
      <w:r>
        <w:rPr>
          <w:rFonts w:ascii="Times New Roman" w:hAnsi="Times New Roman" w:cs="Times New Roman" w:eastAsia="Times New Roman" w:hint="default"/>
          <w:spacing w:val="-5"/>
          <w:w w:val="101"/>
        </w:rPr>
        <w:t>1</w:t>
      </w:r>
      <w:r>
        <w:rPr>
          <w:rFonts w:ascii="Times New Roman" w:hAnsi="Times New Roman" w:cs="Times New Roman" w:eastAsia="Times New Roman" w:hint="default"/>
          <w:w w:val="101"/>
        </w:rPr>
        <w:t>4</w:t>
      </w:r>
      <w:r>
        <w:rPr>
          <w:rFonts w:ascii="Times New Roman" w:hAnsi="Times New Roman" w:cs="Times New Roman" w:eastAsia="Times New Roman" w:hint="default"/>
          <w:spacing w:val="-7"/>
        </w:rPr>
        <w:t> </w:t>
      </w:r>
      <w:r>
        <w:rPr>
          <w:w w:val="101"/>
        </w:rPr>
        <w:t>号</w:t>
      </w:r>
      <w:r>
        <w:rPr>
          <w:spacing w:val="-96"/>
          <w:w w:val="101"/>
        </w:rPr>
        <w:t>）</w:t>
      </w:r>
      <w:r>
        <w:rPr>
          <w:w w:val="101"/>
        </w:rPr>
        <w:t>（</w:t>
      </w:r>
      <w:r>
        <w:rPr>
          <w:spacing w:val="-5"/>
          <w:w w:val="101"/>
        </w:rPr>
        <w:t>上</w:t>
      </w:r>
      <w:r>
        <w:rPr>
          <w:w w:val="101"/>
        </w:rPr>
        <w:t>述</w:t>
      </w:r>
      <w:r>
        <w:rPr>
          <w:spacing w:val="-5"/>
          <w:w w:val="101"/>
        </w:rPr>
        <w:t>准</w:t>
      </w:r>
      <w:r>
        <w:rPr>
          <w:w w:val="101"/>
        </w:rPr>
        <w:t>则</w:t>
      </w:r>
      <w:r>
        <w:rPr>
          <w:spacing w:val="-5"/>
          <w:w w:val="101"/>
        </w:rPr>
        <w:t>以</w:t>
      </w:r>
      <w:r>
        <w:rPr>
          <w:w w:val="101"/>
        </w:rPr>
        <w:t>下</w:t>
      </w:r>
      <w:r>
        <w:rPr>
          <w:spacing w:val="-5"/>
          <w:w w:val="101"/>
        </w:rPr>
        <w:t>统</w:t>
      </w:r>
      <w:r>
        <w:rPr>
          <w:w w:val="101"/>
        </w:rPr>
        <w:t>称</w:t>
      </w:r>
      <w:r>
        <w:rPr>
          <w:rFonts w:ascii="Times New Roman" w:hAnsi="Times New Roman" w:cs="Times New Roman" w:eastAsia="Times New Roman" w:hint="default"/>
          <w:spacing w:val="-5"/>
          <w:w w:val="101"/>
        </w:rPr>
        <w:t>“</w:t>
      </w:r>
      <w:r>
        <w:rPr>
          <w:w w:val="101"/>
        </w:rPr>
        <w:t>新</w:t>
      </w:r>
      <w:r>
        <w:rPr>
          <w:spacing w:val="-5"/>
          <w:w w:val="101"/>
        </w:rPr>
        <w:t>金</w:t>
      </w:r>
      <w:r>
        <w:rPr>
          <w:w w:val="101"/>
        </w:rPr>
        <w:t>融</w:t>
      </w:r>
      <w:r>
        <w:rPr>
          <w:spacing w:val="-5"/>
          <w:w w:val="101"/>
        </w:rPr>
        <w:t>工</w:t>
      </w:r>
      <w:r>
        <w:rPr>
          <w:w w:val="101"/>
        </w:rPr>
        <w:t>具</w:t>
      </w:r>
      <w:r>
        <w:rPr>
          <w:spacing w:val="-5"/>
          <w:w w:val="101"/>
        </w:rPr>
        <w:t>准</w:t>
      </w:r>
      <w:r>
        <w:rPr>
          <w:w w:val="101"/>
        </w:rPr>
        <w:t>则</w:t>
      </w:r>
      <w:r>
        <w:rPr>
          <w:rFonts w:ascii="Times New Roman" w:hAnsi="Times New Roman" w:cs="Times New Roman" w:eastAsia="Times New Roman" w:hint="default"/>
          <w:w w:val="101"/>
        </w:rPr>
        <w:t>”</w:t>
      </w:r>
      <w:r>
        <w:rPr>
          <w:spacing w:val="-96"/>
          <w:w w:val="101"/>
        </w:rPr>
        <w:t>）</w:t>
      </w:r>
      <w:r>
        <w:rPr>
          <w:w w:val="101"/>
        </w:rPr>
        <w:t>，</w:t>
      </w:r>
      <w:r>
        <w:rPr>
          <w:spacing w:val="-5"/>
          <w:w w:val="101"/>
        </w:rPr>
        <w:t>并</w:t>
      </w:r>
      <w:r>
        <w:rPr>
          <w:w w:val="101"/>
        </w:rPr>
        <w:t>要</w:t>
      </w:r>
      <w:r>
        <w:rPr>
          <w:spacing w:val="-5"/>
          <w:w w:val="101"/>
        </w:rPr>
        <w:t>求</w:t>
      </w:r>
      <w:r>
        <w:rPr>
          <w:w w:val="101"/>
        </w:rPr>
        <w:t>境</w:t>
      </w:r>
      <w:r>
        <w:rPr>
          <w:spacing w:val="-5"/>
          <w:w w:val="101"/>
        </w:rPr>
        <w:t>内</w:t>
      </w:r>
      <w:r>
        <w:rPr>
          <w:w w:val="101"/>
        </w:rPr>
        <w:t>上</w:t>
      </w:r>
      <w:r>
        <w:rPr>
          <w:spacing w:val="-5"/>
          <w:w w:val="101"/>
        </w:rPr>
        <w:t>市</w:t>
      </w:r>
      <w:r>
        <w:rPr>
          <w:w w:val="101"/>
        </w:rPr>
        <w:t>公司自</w:t>
      </w:r>
      <w:r>
        <w:rPr>
          <w:spacing w:val="-51"/>
        </w:rPr>
        <w:t> </w:t>
      </w:r>
      <w:r>
        <w:rPr>
          <w:rFonts w:ascii="Times New Roman" w:hAnsi="Times New Roman" w:cs="Times New Roman" w:eastAsia="Times New Roman" w:hint="default"/>
          <w:w w:val="101"/>
        </w:rPr>
        <w:t>20</w:t>
      </w:r>
      <w:r>
        <w:rPr>
          <w:rFonts w:ascii="Times New Roman" w:hAnsi="Times New Roman" w:cs="Times New Roman" w:eastAsia="Times New Roman" w:hint="default"/>
          <w:spacing w:val="-5"/>
          <w:w w:val="101"/>
        </w:rPr>
        <w:t>1</w:t>
      </w:r>
      <w:r>
        <w:rPr>
          <w:rFonts w:ascii="Times New Roman" w:hAnsi="Times New Roman" w:cs="Times New Roman" w:eastAsia="Times New Roman" w:hint="default"/>
          <w:w w:val="101"/>
        </w:rPr>
        <w:t>9</w:t>
      </w:r>
      <w:r>
        <w:rPr>
          <w:rFonts w:ascii="Times New Roman" w:hAnsi="Times New Roman" w:cs="Times New Roman" w:eastAsia="Times New Roman" w:hint="default"/>
          <w:spacing w:val="-7"/>
        </w:rPr>
        <w:t> </w:t>
      </w:r>
      <w:r>
        <w:rPr>
          <w:w w:val="101"/>
        </w:rPr>
        <w:t>年</w:t>
      </w:r>
      <w:r>
        <w:rPr>
          <w:spacing w:val="-52"/>
        </w:rPr>
        <w:t> </w:t>
      </w:r>
      <w:r>
        <w:rPr>
          <w:rFonts w:ascii="Times New Roman" w:hAnsi="Times New Roman" w:cs="Times New Roman" w:eastAsia="Times New Roman" w:hint="default"/>
          <w:w w:val="101"/>
        </w:rPr>
        <w:t>1</w:t>
      </w:r>
      <w:r>
        <w:rPr>
          <w:rFonts w:ascii="Times New Roman" w:hAnsi="Times New Roman" w:cs="Times New Roman" w:eastAsia="Times New Roman" w:hint="default"/>
          <w:spacing w:val="-7"/>
        </w:rPr>
        <w:t> </w:t>
      </w:r>
      <w:r>
        <w:rPr>
          <w:w w:val="101"/>
        </w:rPr>
        <w:t>月</w:t>
      </w:r>
      <w:r>
        <w:rPr>
          <w:spacing w:val="-52"/>
        </w:rPr>
        <w:t> </w:t>
      </w:r>
      <w:r>
        <w:rPr>
          <w:rFonts w:ascii="Times New Roman" w:hAnsi="Times New Roman" w:cs="Times New Roman" w:eastAsia="Times New Roman" w:hint="default"/>
          <w:w w:val="101"/>
        </w:rPr>
        <w:t>1</w:t>
      </w:r>
      <w:r>
        <w:rPr>
          <w:rFonts w:ascii="Times New Roman" w:hAnsi="Times New Roman" w:cs="Times New Roman" w:eastAsia="Times New Roman" w:hint="default"/>
          <w:spacing w:val="-7"/>
        </w:rPr>
        <w:t> </w:t>
      </w:r>
      <w:r>
        <w:rPr>
          <w:spacing w:val="-5"/>
          <w:w w:val="101"/>
        </w:rPr>
        <w:t>日</w:t>
      </w:r>
      <w:r>
        <w:rPr>
          <w:w w:val="101"/>
        </w:rPr>
        <w:t>起</w:t>
      </w:r>
      <w:r>
        <w:rPr>
          <w:spacing w:val="-5"/>
          <w:w w:val="101"/>
        </w:rPr>
        <w:t>施</w:t>
      </w:r>
      <w:r>
        <w:rPr>
          <w:w w:val="101"/>
        </w:rPr>
        <w:t>行。</w:t>
      </w:r>
      <w:r>
        <w:rPr/>
      </w:r>
    </w:p>
    <w:p>
      <w:pPr>
        <w:spacing w:line="240" w:lineRule="auto" w:before="12"/>
        <w:rPr>
          <w:rFonts w:ascii="宋体" w:hAnsi="宋体" w:cs="宋体" w:eastAsia="宋体" w:hint="default"/>
          <w:sz w:val="16"/>
          <w:szCs w:val="16"/>
        </w:rPr>
      </w:pPr>
    </w:p>
    <w:p>
      <w:pPr>
        <w:pStyle w:val="BodyText"/>
        <w:spacing w:line="240" w:lineRule="auto"/>
        <w:ind w:left="513" w:right="0"/>
        <w:jc w:val="left"/>
        <w:rPr>
          <w:rFonts w:ascii="Times New Roman" w:hAnsi="Times New Roman" w:cs="Times New Roman" w:eastAsia="Times New Roman" w:hint="default"/>
        </w:rPr>
      </w:pPr>
      <w:r>
        <w:rPr>
          <w:rFonts w:ascii="Times New Roman" w:hAnsi="Times New Roman" w:cs="Times New Roman" w:eastAsia="Times New Roman" w:hint="default"/>
          <w:w w:val="101"/>
        </w:rPr>
        <w:t>2019</w:t>
      </w:r>
      <w:r>
        <w:rPr>
          <w:rFonts w:ascii="Times New Roman" w:hAnsi="Times New Roman" w:cs="Times New Roman" w:eastAsia="Times New Roman" w:hint="default"/>
          <w:spacing w:val="-11"/>
        </w:rPr>
        <w:t> </w:t>
      </w:r>
      <w:r>
        <w:rPr>
          <w:w w:val="101"/>
        </w:rPr>
        <w:t>年</w:t>
      </w:r>
      <w:r>
        <w:rPr>
          <w:spacing w:val="-47"/>
        </w:rPr>
        <w:t> </w:t>
      </w:r>
      <w:r>
        <w:rPr>
          <w:rFonts w:ascii="Times New Roman" w:hAnsi="Times New Roman" w:cs="Times New Roman" w:eastAsia="Times New Roman" w:hint="default"/>
          <w:w w:val="101"/>
        </w:rPr>
        <w:t>4</w:t>
      </w:r>
      <w:r>
        <w:rPr>
          <w:rFonts w:ascii="Times New Roman" w:hAnsi="Times New Roman" w:cs="Times New Roman" w:eastAsia="Times New Roman" w:hint="default"/>
          <w:spacing w:val="-7"/>
        </w:rPr>
        <w:t> </w:t>
      </w:r>
      <w:r>
        <w:rPr>
          <w:w w:val="101"/>
        </w:rPr>
        <w:t>月</w:t>
      </w:r>
      <w:r>
        <w:rPr>
          <w:spacing w:val="-52"/>
        </w:rPr>
        <w:t> </w:t>
      </w:r>
      <w:r>
        <w:rPr>
          <w:rFonts w:ascii="Times New Roman" w:hAnsi="Times New Roman" w:cs="Times New Roman" w:eastAsia="Times New Roman" w:hint="default"/>
          <w:w w:val="101"/>
        </w:rPr>
        <w:t>22</w:t>
      </w:r>
      <w:r>
        <w:rPr>
          <w:rFonts w:ascii="Times New Roman" w:hAnsi="Times New Roman" w:cs="Times New Roman" w:eastAsia="Times New Roman" w:hint="default"/>
          <w:spacing w:val="-12"/>
        </w:rPr>
        <w:t> </w:t>
      </w:r>
      <w:r>
        <w:rPr>
          <w:spacing w:val="-5"/>
          <w:w w:val="101"/>
        </w:rPr>
        <w:t>日</w:t>
      </w:r>
      <w:r>
        <w:rPr>
          <w:w w:val="101"/>
        </w:rPr>
        <w:t>，</w:t>
      </w:r>
      <w:r>
        <w:rPr>
          <w:spacing w:val="-5"/>
          <w:w w:val="101"/>
        </w:rPr>
        <w:t>公</w:t>
      </w:r>
      <w:r>
        <w:rPr>
          <w:w w:val="101"/>
        </w:rPr>
        <w:t>司</w:t>
      </w:r>
      <w:r>
        <w:rPr>
          <w:spacing w:val="-5"/>
          <w:w w:val="101"/>
        </w:rPr>
        <w:t>召</w:t>
      </w:r>
      <w:r>
        <w:rPr>
          <w:w w:val="101"/>
        </w:rPr>
        <w:t>开</w:t>
      </w:r>
      <w:r>
        <w:rPr>
          <w:spacing w:val="-5"/>
          <w:w w:val="101"/>
        </w:rPr>
        <w:t>第</w:t>
      </w:r>
      <w:r>
        <w:rPr>
          <w:w w:val="101"/>
        </w:rPr>
        <w:t>四</w:t>
      </w:r>
      <w:r>
        <w:rPr>
          <w:spacing w:val="-5"/>
          <w:w w:val="101"/>
        </w:rPr>
        <w:t>届</w:t>
      </w:r>
      <w:r>
        <w:rPr>
          <w:w w:val="101"/>
        </w:rPr>
        <w:t>董</w:t>
      </w:r>
      <w:r>
        <w:rPr>
          <w:spacing w:val="-5"/>
          <w:w w:val="101"/>
        </w:rPr>
        <w:t>事</w:t>
      </w:r>
      <w:r>
        <w:rPr>
          <w:w w:val="101"/>
        </w:rPr>
        <w:t>会</w:t>
      </w:r>
      <w:r>
        <w:rPr>
          <w:spacing w:val="-5"/>
          <w:w w:val="101"/>
        </w:rPr>
        <w:t>第</w:t>
      </w:r>
      <w:r>
        <w:rPr>
          <w:w w:val="101"/>
        </w:rPr>
        <w:t>十</w:t>
      </w:r>
      <w:r>
        <w:rPr>
          <w:spacing w:val="-5"/>
          <w:w w:val="101"/>
        </w:rPr>
        <w:t>六</w:t>
      </w:r>
      <w:r>
        <w:rPr>
          <w:w w:val="101"/>
        </w:rPr>
        <w:t>次</w:t>
      </w:r>
      <w:r>
        <w:rPr>
          <w:spacing w:val="-5"/>
          <w:w w:val="101"/>
        </w:rPr>
        <w:t>会</w:t>
      </w:r>
      <w:r>
        <w:rPr>
          <w:w w:val="101"/>
        </w:rPr>
        <w:t>议</w:t>
      </w:r>
      <w:r>
        <w:rPr>
          <w:spacing w:val="-5"/>
          <w:w w:val="101"/>
        </w:rPr>
        <w:t>审议</w:t>
      </w:r>
      <w:r>
        <w:rPr>
          <w:w w:val="101"/>
        </w:rPr>
        <w:t>通</w:t>
      </w:r>
      <w:r>
        <w:rPr>
          <w:spacing w:val="-5"/>
          <w:w w:val="101"/>
        </w:rPr>
        <w:t>过</w:t>
      </w:r>
      <w:r>
        <w:rPr>
          <w:w w:val="101"/>
        </w:rPr>
        <w:t>了</w:t>
      </w:r>
      <w:r>
        <w:rPr>
          <w:spacing w:val="-5"/>
          <w:w w:val="101"/>
        </w:rPr>
        <w:t>《</w:t>
      </w:r>
      <w:r>
        <w:rPr>
          <w:w w:val="101"/>
        </w:rPr>
        <w:t>关</w:t>
      </w:r>
      <w:r>
        <w:rPr>
          <w:spacing w:val="-5"/>
          <w:w w:val="101"/>
        </w:rPr>
        <w:t>于</w:t>
      </w:r>
      <w:r>
        <w:rPr>
          <w:w w:val="101"/>
        </w:rPr>
        <w:t>会</w:t>
      </w:r>
      <w:r>
        <w:rPr>
          <w:spacing w:val="-5"/>
          <w:w w:val="101"/>
        </w:rPr>
        <w:t>计</w:t>
      </w:r>
      <w:r>
        <w:rPr>
          <w:w w:val="101"/>
        </w:rPr>
        <w:t>政</w:t>
      </w:r>
      <w:r>
        <w:rPr>
          <w:spacing w:val="-5"/>
          <w:w w:val="101"/>
        </w:rPr>
        <w:t>策</w:t>
      </w:r>
      <w:r>
        <w:rPr>
          <w:w w:val="101"/>
        </w:rPr>
        <w:t>变</w:t>
      </w:r>
      <w:r>
        <w:rPr>
          <w:spacing w:val="-5"/>
          <w:w w:val="101"/>
        </w:rPr>
        <w:t>更</w:t>
      </w:r>
      <w:r>
        <w:rPr>
          <w:w w:val="101"/>
        </w:rPr>
        <w:t>的</w:t>
      </w:r>
      <w:r>
        <w:rPr>
          <w:spacing w:val="-5"/>
          <w:w w:val="101"/>
        </w:rPr>
        <w:t>议</w:t>
      </w:r>
      <w:r>
        <w:rPr>
          <w:w w:val="101"/>
        </w:rPr>
        <w:t>案</w:t>
      </w:r>
      <w:r>
        <w:rPr>
          <w:spacing w:val="-92"/>
          <w:w w:val="101"/>
        </w:rPr>
        <w:t>》</w:t>
      </w:r>
      <w:r>
        <w:rPr>
          <w:spacing w:val="-5"/>
          <w:w w:val="101"/>
        </w:rPr>
        <w:t>，</w:t>
      </w:r>
      <w:r>
        <w:rPr>
          <w:w w:val="101"/>
        </w:rPr>
        <w:t>同</w:t>
      </w:r>
      <w:r>
        <w:rPr>
          <w:spacing w:val="-5"/>
          <w:w w:val="101"/>
        </w:rPr>
        <w:t>意</w:t>
      </w:r>
      <w:r>
        <w:rPr>
          <w:w w:val="101"/>
        </w:rPr>
        <w:t>公司</w:t>
      </w:r>
      <w:r>
        <w:rPr>
          <w:spacing w:val="-46"/>
        </w:rPr>
        <w:t> </w:t>
      </w:r>
      <w:r>
        <w:rPr>
          <w:rFonts w:ascii="Times New Roman" w:hAnsi="Times New Roman" w:cs="Times New Roman" w:eastAsia="Times New Roman" w:hint="default"/>
          <w:spacing w:val="-5"/>
          <w:w w:val="101"/>
        </w:rPr>
        <w:t>2</w:t>
      </w:r>
      <w:r>
        <w:rPr>
          <w:rFonts w:ascii="Times New Roman" w:hAnsi="Times New Roman" w:cs="Times New Roman" w:eastAsia="Times New Roman" w:hint="default"/>
          <w:w w:val="101"/>
        </w:rPr>
        <w:t>019</w:t>
      </w:r>
      <w:r>
        <w:rPr>
          <w:rFonts w:ascii="Times New Roman" w:hAnsi="Times New Roman" w:cs="Times New Roman" w:eastAsia="Times New Roman" w:hint="default"/>
          <w:spacing w:val="-12"/>
        </w:rPr>
        <w:t> </w:t>
      </w:r>
      <w:r>
        <w:rPr>
          <w:w w:val="101"/>
        </w:rPr>
        <w:t>年</w:t>
      </w:r>
      <w:r>
        <w:rPr>
          <w:spacing w:val="-47"/>
        </w:rPr>
        <w:t> </w:t>
      </w:r>
      <w:r>
        <w:rPr>
          <w:rFonts w:ascii="Times New Roman" w:hAnsi="Times New Roman" w:cs="Times New Roman" w:eastAsia="Times New Roman" w:hint="default"/>
          <w:w w:val="101"/>
        </w:rPr>
        <w:t>1</w:t>
      </w:r>
      <w:r>
        <w:rPr>
          <w:rFonts w:ascii="Times New Roman" w:hAnsi="Times New Roman" w:cs="Times New Roman" w:eastAsia="Times New Roman" w:hint="default"/>
        </w:rPr>
      </w:r>
    </w:p>
    <w:p>
      <w:pPr>
        <w:spacing w:line="240" w:lineRule="auto" w:before="10"/>
        <w:rPr>
          <w:rFonts w:ascii="Times New Roman" w:hAnsi="Times New Roman" w:cs="Times New Roman" w:eastAsia="Times New Roman" w:hint="default"/>
          <w:sz w:val="18"/>
          <w:szCs w:val="18"/>
        </w:rPr>
      </w:pPr>
    </w:p>
    <w:p>
      <w:pPr>
        <w:pStyle w:val="BodyText"/>
        <w:spacing w:line="240" w:lineRule="auto"/>
        <w:ind w:right="0"/>
        <w:jc w:val="left"/>
      </w:pPr>
      <w:r>
        <w:rPr/>
        <w:t>月 </w:t>
      </w:r>
      <w:r>
        <w:rPr>
          <w:rFonts w:ascii="Times New Roman" w:hAnsi="Times New Roman" w:cs="Times New Roman" w:eastAsia="Times New Roman" w:hint="default"/>
        </w:rPr>
        <w:t>1 </w:t>
      </w:r>
      <w:r>
        <w:rPr>
          <w:rFonts w:ascii="Times New Roman" w:hAnsi="Times New Roman" w:cs="Times New Roman" w:eastAsia="Times New Roman" w:hint="default"/>
          <w:spacing w:val="21"/>
        </w:rPr>
        <w:t> </w:t>
      </w:r>
      <w:r>
        <w:rPr>
          <w:spacing w:val="-3"/>
        </w:rPr>
        <w:t>日起执行上述新金融工具准则，并依据上述新金融工具准则的规定对相关会计政策进行变更。</w:t>
      </w:r>
    </w:p>
    <w:p>
      <w:pPr>
        <w:spacing w:line="240" w:lineRule="auto" w:before="5"/>
        <w:rPr>
          <w:rFonts w:ascii="宋体" w:hAnsi="宋体" w:cs="宋体" w:eastAsia="宋体" w:hint="default"/>
          <w:sz w:val="10"/>
          <w:szCs w:val="10"/>
        </w:rPr>
      </w:pPr>
    </w:p>
    <w:p>
      <w:pPr>
        <w:pStyle w:val="BodyText"/>
        <w:spacing w:line="240" w:lineRule="auto" w:before="46"/>
        <w:ind w:right="0"/>
        <w:jc w:val="left"/>
      </w:pPr>
      <w:r>
        <w:rPr/>
        <w:t>母公司资产负债表</w:t>
      </w:r>
    </w:p>
    <w:p>
      <w:pPr>
        <w:pStyle w:val="BodyText"/>
        <w:spacing w:line="240" w:lineRule="auto" w:before="115"/>
        <w:ind w:left="0" w:right="1122"/>
        <w:jc w:val="right"/>
      </w:pPr>
      <w:r>
        <w:rPr>
          <w:spacing w:val="-2"/>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185"/>
        <w:gridCol w:w="2466"/>
        <w:gridCol w:w="2454"/>
        <w:gridCol w:w="2453"/>
      </w:tblGrid>
      <w:tr>
        <w:trPr>
          <w:trHeight w:val="401"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9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7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调整数</w:t>
            </w:r>
          </w:p>
        </w:tc>
      </w:tr>
      <w:tr>
        <w:trPr>
          <w:trHeight w:val="401"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46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264,399,492.17</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264,715,108.61</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315,616.44</w:t>
            </w: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交易性金融资产</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67,000,000.00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67,000,000.00</w:t>
            </w:r>
          </w:p>
        </w:tc>
      </w:tr>
      <w:tr>
        <w:trPr>
          <w:trHeight w:val="102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11" w:right="178" w:firstLine="360"/>
              <w:jc w:val="both"/>
              <w:rPr>
                <w:rFonts w:ascii="宋体" w:hAnsi="宋体" w:cs="宋体" w:eastAsia="宋体" w:hint="default"/>
                <w:sz w:val="18"/>
                <w:szCs w:val="18"/>
              </w:rPr>
            </w:pPr>
            <w:r>
              <w:rPr>
                <w:rFonts w:ascii="宋体" w:hAnsi="宋体" w:cs="宋体" w:eastAsia="宋体" w:hint="default"/>
                <w:spacing w:val="-3"/>
                <w:sz w:val="18"/>
                <w:szCs w:val="18"/>
              </w:rPr>
              <w:t>以公允价值计量且其</w:t>
            </w:r>
            <w:r>
              <w:rPr>
                <w:rFonts w:ascii="宋体" w:hAnsi="宋体" w:cs="宋体" w:eastAsia="宋体" w:hint="default"/>
                <w:w w:val="101"/>
                <w:sz w:val="18"/>
                <w:szCs w:val="18"/>
              </w:rPr>
              <w:t> </w:t>
            </w:r>
            <w:r>
              <w:rPr>
                <w:rFonts w:ascii="宋体" w:hAnsi="宋体" w:cs="宋体" w:eastAsia="宋体" w:hint="default"/>
                <w:spacing w:val="-3"/>
                <w:sz w:val="18"/>
                <w:szCs w:val="18"/>
              </w:rPr>
              <w:t>变动计入当期损益的金融</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z w:val="18"/>
                <w:szCs w:val="18"/>
              </w:rPr>
              <w:t>资产</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160,522,838.38</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157,211,130.01</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2"/>
                <w:sz w:val="18"/>
              </w:rPr>
              <w:t>-3,311,708.37</w:t>
            </w:r>
          </w:p>
        </w:tc>
      </w:tr>
      <w:tr>
        <w:trPr>
          <w:trHeight w:val="398"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1,137,197.70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1,137,197.70</w:t>
            </w:r>
          </w:p>
        </w:tc>
        <w:tc>
          <w:tcPr>
            <w:tcW w:w="245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1" w:footer="1186" w:top="1100" w:bottom="138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2185"/>
        <w:gridCol w:w="2466"/>
        <w:gridCol w:w="2454"/>
        <w:gridCol w:w="2453"/>
      </w:tblGrid>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104,684,879.40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104,864,763.62</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179,884.22</w:t>
            </w:r>
          </w:p>
        </w:tc>
      </w:tr>
      <w:tr>
        <w:trPr>
          <w:trHeight w:val="398"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54" w:right="0"/>
              <w:jc w:val="left"/>
              <w:rPr>
                <w:rFonts w:ascii="宋体" w:hAnsi="宋体" w:cs="宋体" w:eastAsia="宋体" w:hint="default"/>
                <w:sz w:val="18"/>
                <w:szCs w:val="18"/>
              </w:rPr>
            </w:pPr>
            <w:r>
              <w:rPr>
                <w:rFonts w:ascii="宋体" w:hAnsi="宋体" w:cs="宋体" w:eastAsia="宋体" w:hint="default"/>
                <w:spacing w:val="-3"/>
                <w:sz w:val="18"/>
                <w:szCs w:val="18"/>
              </w:rPr>
              <w:t>其中：应收利息</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315,616.44</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-315,616.44</w:t>
            </w:r>
          </w:p>
        </w:tc>
      </w:tr>
      <w:tr>
        <w:trPr>
          <w:trHeight w:val="404"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09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20,000,000.00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20,000,000.00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30,221,099.60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30,221,099.60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合同资产</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8"/>
              <w:ind w:left="11" w:right="178" w:firstLine="360"/>
              <w:jc w:val="left"/>
              <w:rPr>
                <w:rFonts w:ascii="宋体" w:hAnsi="宋体" w:cs="宋体" w:eastAsia="宋体" w:hint="default"/>
                <w:sz w:val="18"/>
                <w:szCs w:val="18"/>
              </w:rPr>
            </w:pPr>
            <w:r>
              <w:rPr>
                <w:rFonts w:ascii="宋体" w:hAnsi="宋体" w:cs="宋体" w:eastAsia="宋体" w:hint="default"/>
                <w:spacing w:val="-3"/>
                <w:sz w:val="18"/>
                <w:szCs w:val="18"/>
              </w:rPr>
              <w:t>一年内到期的非流动</w:t>
            </w:r>
            <w:r>
              <w:rPr>
                <w:rFonts w:ascii="宋体" w:hAnsi="宋体" w:cs="宋体" w:eastAsia="宋体" w:hint="default"/>
                <w:w w:val="101"/>
                <w:sz w:val="18"/>
                <w:szCs w:val="18"/>
              </w:rPr>
              <w:t> </w:t>
            </w:r>
            <w:r>
              <w:rPr>
                <w:rFonts w:ascii="宋体" w:hAnsi="宋体" w:cs="宋体" w:eastAsia="宋体" w:hint="default"/>
                <w:sz w:val="18"/>
                <w:szCs w:val="18"/>
              </w:rPr>
              <w:t>资产</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167,662,296.34</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100,662,296.34</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-67,000,000.00</w:t>
            </w: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728,627,803.59</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725,811,595.88</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-2,816,207.71</w:t>
            </w:r>
          </w:p>
        </w:tc>
      </w:tr>
      <w:tr>
        <w:trPr>
          <w:trHeight w:val="398"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46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4"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371" w:right="0"/>
              <w:jc w:val="left"/>
              <w:rPr>
                <w:rFonts w:ascii="宋体" w:hAnsi="宋体" w:cs="宋体" w:eastAsia="宋体" w:hint="default"/>
                <w:sz w:val="18"/>
                <w:szCs w:val="18"/>
              </w:rPr>
            </w:pPr>
            <w:r>
              <w:rPr>
                <w:rFonts w:ascii="宋体" w:hAnsi="宋体" w:cs="宋体" w:eastAsia="宋体" w:hint="default"/>
                <w:sz w:val="18"/>
                <w:szCs w:val="18"/>
              </w:rPr>
              <w:t>债权投资</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30,000,000.00</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-30,000,000.00</w:t>
            </w: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其他债权投资</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持有至到期投资</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863,263,521.44</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863,242,264.98</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-21,256.46</w:t>
            </w: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30,000,000.00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30,000,000.00</w:t>
            </w:r>
          </w:p>
        </w:tc>
      </w:tr>
      <w:tr>
        <w:trPr>
          <w:trHeight w:val="398"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其他非流动金融资产</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8,984,803.73</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8,984,803.73</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生产性生物资产</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使用权资产</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32,083,410.60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32,083,410.60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7,052,562.82</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7,052,562.82</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5,351,202.86</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5,351,202.86</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递延所得税资产</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16,494,504.21</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16,916,935.36</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422,431.15</w:t>
            </w:r>
          </w:p>
        </w:tc>
      </w:tr>
      <w:tr>
        <w:trPr>
          <w:trHeight w:val="398"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其他非流动资产</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11,527,148.00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11,527,148.00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1" w:right="0"/>
              <w:jc w:val="left"/>
              <w:rPr>
                <w:rFonts w:ascii="宋体" w:hAnsi="宋体" w:cs="宋体" w:eastAsia="宋体" w:hint="default"/>
                <w:sz w:val="18"/>
                <w:szCs w:val="18"/>
              </w:rPr>
            </w:pPr>
            <w:r>
              <w:rPr>
                <w:rFonts w:ascii="宋体" w:hAnsi="宋体" w:cs="宋体" w:eastAsia="宋体" w:hint="default"/>
                <w:spacing w:val="-3"/>
                <w:sz w:val="18"/>
                <w:szCs w:val="18"/>
              </w:rPr>
              <w:t>非流动资产合计</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974,757,153.66</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975,158,328.35</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401,174.69</w:t>
            </w:r>
          </w:p>
        </w:tc>
      </w:tr>
      <w:tr>
        <w:trPr>
          <w:trHeight w:val="404"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1,703,384,957.25</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1,700,969,924.23</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-2,415,033.02</w:t>
            </w: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46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871" w:footer="1186" w:top="1100" w:bottom="138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2185"/>
        <w:gridCol w:w="2466"/>
        <w:gridCol w:w="2454"/>
        <w:gridCol w:w="2453"/>
      </w:tblGrid>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190,000,000.00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190,271,929.17</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271,929.17</w:t>
            </w:r>
          </w:p>
        </w:tc>
      </w:tr>
      <w:tr>
        <w:trPr>
          <w:trHeight w:val="398"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交易性金融负债</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8"/>
              <w:ind w:left="11" w:right="178" w:firstLine="360"/>
              <w:jc w:val="both"/>
              <w:rPr>
                <w:rFonts w:ascii="宋体" w:hAnsi="宋体" w:cs="宋体" w:eastAsia="宋体" w:hint="default"/>
                <w:sz w:val="18"/>
                <w:szCs w:val="18"/>
              </w:rPr>
            </w:pPr>
            <w:r>
              <w:rPr>
                <w:rFonts w:ascii="宋体" w:hAnsi="宋体" w:cs="宋体" w:eastAsia="宋体" w:hint="default"/>
                <w:spacing w:val="-3"/>
                <w:sz w:val="18"/>
                <w:szCs w:val="18"/>
              </w:rPr>
              <w:t>以公允价值计量且其</w:t>
            </w:r>
            <w:r>
              <w:rPr>
                <w:rFonts w:ascii="宋体" w:hAnsi="宋体" w:cs="宋体" w:eastAsia="宋体" w:hint="default"/>
                <w:w w:val="101"/>
                <w:sz w:val="18"/>
                <w:szCs w:val="18"/>
              </w:rPr>
              <w:t> </w:t>
            </w:r>
            <w:r>
              <w:rPr>
                <w:rFonts w:ascii="宋体" w:hAnsi="宋体" w:cs="宋体" w:eastAsia="宋体" w:hint="default"/>
                <w:spacing w:val="-3"/>
                <w:sz w:val="18"/>
                <w:szCs w:val="18"/>
              </w:rPr>
              <w:t>变动计入当期损益的金融</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z w:val="18"/>
                <w:szCs w:val="18"/>
              </w:rPr>
              <w:t>负债</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53,400,000.00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53,400,000.00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18,244,450.14</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18,244,450.14</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1,931,052.36</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1,931,052.36</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合同负债</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2,511,418.96</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2,511,418.96</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11,707,387.75</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11,707,387.75</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31,537,497.55</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30,943,662.84</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-593,834.71</w:t>
            </w: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356"/>
              <w:jc w:val="right"/>
              <w:rPr>
                <w:rFonts w:ascii="宋体" w:hAnsi="宋体" w:cs="宋体" w:eastAsia="宋体" w:hint="default"/>
                <w:sz w:val="18"/>
                <w:szCs w:val="18"/>
              </w:rPr>
            </w:pPr>
            <w:r>
              <w:rPr>
                <w:rFonts w:ascii="宋体" w:hAnsi="宋体" w:cs="宋体" w:eastAsia="宋体" w:hint="default"/>
                <w:spacing w:val="-3"/>
                <w:sz w:val="18"/>
                <w:szCs w:val="18"/>
              </w:rPr>
              <w:t>其中：应付利息</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593,834.71</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-593,834.71</w:t>
            </w: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355"/>
              <w:jc w:val="right"/>
              <w:rPr>
                <w:rFonts w:ascii="宋体" w:hAnsi="宋体" w:cs="宋体" w:eastAsia="宋体" w:hint="default"/>
                <w:sz w:val="18"/>
                <w:szCs w:val="18"/>
              </w:rPr>
            </w:pPr>
            <w:r>
              <w:rPr>
                <w:rFonts w:ascii="宋体" w:hAnsi="宋体" w:cs="宋体" w:eastAsia="宋体" w:hint="default"/>
                <w:spacing w:val="-2"/>
                <w:sz w:val="18"/>
                <w:szCs w:val="18"/>
              </w:rPr>
              <w:t>应付股利</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8"/>
              <w:ind w:left="11" w:right="178" w:firstLine="360"/>
              <w:jc w:val="left"/>
              <w:rPr>
                <w:rFonts w:ascii="宋体" w:hAnsi="宋体" w:cs="宋体" w:eastAsia="宋体" w:hint="default"/>
                <w:sz w:val="18"/>
                <w:szCs w:val="18"/>
              </w:rPr>
            </w:pPr>
            <w:r>
              <w:rPr>
                <w:rFonts w:ascii="宋体" w:hAnsi="宋体" w:cs="宋体" w:eastAsia="宋体" w:hint="default"/>
                <w:spacing w:val="-3"/>
                <w:sz w:val="18"/>
                <w:szCs w:val="18"/>
              </w:rPr>
              <w:t>一年内到期的非流动</w:t>
            </w:r>
            <w:r>
              <w:rPr>
                <w:rFonts w:ascii="宋体" w:hAnsi="宋体" w:cs="宋体" w:eastAsia="宋体" w:hint="default"/>
                <w:w w:val="101"/>
                <w:sz w:val="18"/>
                <w:szCs w:val="18"/>
              </w:rPr>
              <w:t> </w:t>
            </w:r>
            <w:r>
              <w:rPr>
                <w:rFonts w:ascii="宋体" w:hAnsi="宋体" w:cs="宋体" w:eastAsia="宋体" w:hint="default"/>
                <w:sz w:val="18"/>
                <w:szCs w:val="18"/>
              </w:rPr>
              <w:t>负债</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309,331,806.76</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309,009,901.22</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-321,905.54</w:t>
            </w:r>
          </w:p>
        </w:tc>
      </w:tr>
      <w:tr>
        <w:trPr>
          <w:trHeight w:val="399"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246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170,000,000.00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170,321,905.54</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321,905.54</w:t>
            </w: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54" w:right="0"/>
              <w:jc w:val="left"/>
              <w:rPr>
                <w:rFonts w:ascii="宋体" w:hAnsi="宋体" w:cs="宋体" w:eastAsia="宋体" w:hint="default"/>
                <w:sz w:val="18"/>
                <w:szCs w:val="18"/>
              </w:rPr>
            </w:pPr>
            <w:r>
              <w:rPr>
                <w:rFonts w:ascii="宋体" w:hAnsi="宋体" w:cs="宋体" w:eastAsia="宋体" w:hint="default"/>
                <w:spacing w:val="-3"/>
                <w:sz w:val="18"/>
                <w:szCs w:val="18"/>
              </w:rPr>
              <w:t>其中：优先股</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092"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租赁负债</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356"/>
              <w:jc w:val="right"/>
              <w:rPr>
                <w:rFonts w:ascii="宋体" w:hAnsi="宋体" w:cs="宋体" w:eastAsia="宋体" w:hint="default"/>
                <w:sz w:val="18"/>
                <w:szCs w:val="18"/>
              </w:rPr>
            </w:pPr>
            <w:r>
              <w:rPr>
                <w:rFonts w:ascii="宋体" w:hAnsi="宋体" w:cs="宋体" w:eastAsia="宋体" w:hint="default"/>
                <w:spacing w:val="-2"/>
                <w:sz w:val="18"/>
                <w:szCs w:val="18"/>
              </w:rPr>
              <w:t>长期应付职工薪酬</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5,056,825.79</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5,056,825.79</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递延所得税负债</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其他非流动负债</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pacing w:val="-3"/>
                <w:sz w:val="18"/>
                <w:szCs w:val="18"/>
              </w:rPr>
              <w:t>非流动负债合计</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175,056,825.79</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175,378,731.33</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321,905.54</w:t>
            </w: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484,388,632.55</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484,388,632.55</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246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871" w:footer="1186" w:top="1100" w:bottom="138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48" w:type="dxa"/>
        <w:tblLayout w:type="fixed"/>
        <w:tblCellMar>
          <w:top w:w="0" w:type="dxa"/>
          <w:left w:w="0" w:type="dxa"/>
          <w:bottom w:w="0" w:type="dxa"/>
          <w:right w:w="0" w:type="dxa"/>
        </w:tblCellMar>
        <w:tblLook w:val="01E0"/>
      </w:tblPr>
      <w:tblGrid>
        <w:gridCol w:w="2209"/>
        <w:gridCol w:w="2454"/>
        <w:gridCol w:w="2454"/>
        <w:gridCol w:w="2453"/>
      </w:tblGrid>
      <w:tr>
        <w:trPr>
          <w:trHeight w:val="403"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706,640,535.00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706,640,535.00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566" w:right="0"/>
              <w:jc w:val="left"/>
              <w:rPr>
                <w:rFonts w:ascii="宋体" w:hAnsi="宋体" w:cs="宋体" w:eastAsia="宋体" w:hint="default"/>
                <w:sz w:val="18"/>
                <w:szCs w:val="18"/>
              </w:rPr>
            </w:pPr>
            <w:r>
              <w:rPr>
                <w:rFonts w:ascii="宋体" w:hAnsi="宋体" w:cs="宋体" w:eastAsia="宋体" w:hint="default"/>
                <w:spacing w:val="-3"/>
                <w:sz w:val="18"/>
                <w:szCs w:val="18"/>
              </w:rPr>
              <w:t>其中：优先股</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04"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375,979,751.21</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375,979,751.21</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84"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-12,588,336.41</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412,924.58</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13,001,260.99</w:t>
            </w:r>
          </w:p>
        </w:tc>
      </w:tr>
      <w:tr>
        <w:trPr>
          <w:trHeight w:val="403"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25,734,687.73</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25,734,687.73</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123,229,687.17</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107,813,393.16</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-15,416,294.01</w:t>
            </w:r>
          </w:p>
        </w:tc>
      </w:tr>
      <w:tr>
        <w:trPr>
          <w:trHeight w:val="403"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3"/>
                <w:sz w:val="18"/>
                <w:szCs w:val="18"/>
              </w:rPr>
              <w:t>所有者权益合计</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2"/>
                <w:sz w:val="18"/>
              </w:rPr>
              <w:t>1,218,996,324.70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2"/>
                <w:sz w:val="18"/>
              </w:rPr>
              <w:t>1,216,581,291.68</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-2,415,033.02</w:t>
            </w:r>
          </w:p>
        </w:tc>
      </w:tr>
      <w:tr>
        <w:trPr>
          <w:trHeight w:val="404"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1,703,384,957.25</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1,700,969,924.23</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-2,415,033.02</w:t>
            </w:r>
          </w:p>
        </w:tc>
      </w:tr>
    </w:tbl>
    <w:p>
      <w:pPr>
        <w:pStyle w:val="BodyText"/>
        <w:spacing w:line="240" w:lineRule="auto" w:before="53"/>
        <w:ind w:right="0"/>
        <w:jc w:val="left"/>
      </w:pPr>
      <w:r>
        <w:rPr/>
        <w:t>调整情况说明</w:t>
      </w:r>
    </w:p>
    <w:p>
      <w:pPr>
        <w:spacing w:line="240" w:lineRule="auto" w:before="0"/>
        <w:rPr>
          <w:rFonts w:ascii="宋体" w:hAnsi="宋体" w:cs="宋体" w:eastAsia="宋体" w:hint="default"/>
          <w:sz w:val="15"/>
          <w:szCs w:val="15"/>
        </w:rPr>
      </w:pPr>
    </w:p>
    <w:p>
      <w:pPr>
        <w:pStyle w:val="BodyText"/>
        <w:spacing w:line="240" w:lineRule="auto"/>
        <w:ind w:left="513" w:right="0"/>
        <w:jc w:val="left"/>
      </w:pPr>
      <w:r>
        <w:rPr>
          <w:w w:val="101"/>
        </w:rPr>
        <w:t>财</w:t>
      </w:r>
      <w:r>
        <w:rPr>
          <w:spacing w:val="-5"/>
          <w:w w:val="101"/>
        </w:rPr>
        <w:t>政</w:t>
      </w:r>
      <w:r>
        <w:rPr>
          <w:w w:val="101"/>
        </w:rPr>
        <w:t>部于</w:t>
      </w:r>
      <w:r>
        <w:rPr>
          <w:spacing w:val="-47"/>
        </w:rPr>
        <w:t> </w:t>
      </w:r>
      <w:r>
        <w:rPr>
          <w:rFonts w:ascii="Times New Roman" w:hAnsi="Times New Roman" w:cs="Times New Roman" w:eastAsia="Times New Roman" w:hint="default"/>
          <w:w w:val="101"/>
        </w:rPr>
        <w:t>20</w:t>
      </w:r>
      <w:r>
        <w:rPr>
          <w:rFonts w:ascii="Times New Roman" w:hAnsi="Times New Roman" w:cs="Times New Roman" w:eastAsia="Times New Roman" w:hint="default"/>
          <w:spacing w:val="-5"/>
          <w:w w:val="101"/>
        </w:rPr>
        <w:t>1</w:t>
      </w:r>
      <w:r>
        <w:rPr>
          <w:rFonts w:ascii="Times New Roman" w:hAnsi="Times New Roman" w:cs="Times New Roman" w:eastAsia="Times New Roman" w:hint="default"/>
          <w:w w:val="101"/>
        </w:rPr>
        <w:t>7</w:t>
      </w:r>
      <w:r>
        <w:rPr>
          <w:rFonts w:ascii="Times New Roman" w:hAnsi="Times New Roman" w:cs="Times New Roman" w:eastAsia="Times New Roman" w:hint="default"/>
          <w:spacing w:val="-7"/>
        </w:rPr>
        <w:t> </w:t>
      </w:r>
      <w:r>
        <w:rPr>
          <w:w w:val="101"/>
        </w:rPr>
        <w:t>年</w:t>
      </w:r>
      <w:r>
        <w:rPr>
          <w:spacing w:val="-52"/>
        </w:rPr>
        <w:t> </w:t>
      </w:r>
      <w:r>
        <w:rPr>
          <w:rFonts w:ascii="Times New Roman" w:hAnsi="Times New Roman" w:cs="Times New Roman" w:eastAsia="Times New Roman" w:hint="default"/>
          <w:w w:val="101"/>
        </w:rPr>
        <w:t>3</w:t>
      </w:r>
      <w:r>
        <w:rPr>
          <w:rFonts w:ascii="Times New Roman" w:hAnsi="Times New Roman" w:cs="Times New Roman" w:eastAsia="Times New Roman" w:hint="default"/>
          <w:spacing w:val="-7"/>
        </w:rPr>
        <w:t> </w:t>
      </w:r>
      <w:r>
        <w:rPr>
          <w:w w:val="101"/>
        </w:rPr>
        <w:t>月</w:t>
      </w:r>
      <w:r>
        <w:rPr>
          <w:spacing w:val="-47"/>
        </w:rPr>
        <w:t> </w:t>
      </w:r>
      <w:r>
        <w:rPr>
          <w:rFonts w:ascii="Times New Roman" w:hAnsi="Times New Roman" w:cs="Times New Roman" w:eastAsia="Times New Roman" w:hint="default"/>
          <w:spacing w:val="-5"/>
          <w:w w:val="101"/>
        </w:rPr>
        <w:t>3</w:t>
      </w:r>
      <w:r>
        <w:rPr>
          <w:rFonts w:ascii="Times New Roman" w:hAnsi="Times New Roman" w:cs="Times New Roman" w:eastAsia="Times New Roman" w:hint="default"/>
          <w:w w:val="101"/>
        </w:rPr>
        <w:t>1</w:t>
      </w:r>
      <w:r>
        <w:rPr>
          <w:rFonts w:ascii="Times New Roman" w:hAnsi="Times New Roman" w:cs="Times New Roman" w:eastAsia="Times New Roman" w:hint="default"/>
          <w:spacing w:val="-12"/>
        </w:rPr>
        <w:t> </w:t>
      </w:r>
      <w:r>
        <w:rPr>
          <w:w w:val="101"/>
        </w:rPr>
        <w:t>日</w:t>
      </w:r>
      <w:r>
        <w:rPr>
          <w:spacing w:val="-5"/>
          <w:w w:val="101"/>
        </w:rPr>
        <w:t>分</w:t>
      </w:r>
      <w:r>
        <w:rPr>
          <w:w w:val="101"/>
        </w:rPr>
        <w:t>别</w:t>
      </w:r>
      <w:r>
        <w:rPr>
          <w:spacing w:val="-5"/>
          <w:w w:val="101"/>
        </w:rPr>
        <w:t>发</w:t>
      </w:r>
      <w:r>
        <w:rPr>
          <w:w w:val="101"/>
        </w:rPr>
        <w:t>布</w:t>
      </w:r>
      <w:r>
        <w:rPr>
          <w:spacing w:val="-48"/>
          <w:w w:val="101"/>
        </w:rPr>
        <w:t>了</w:t>
      </w:r>
      <w:r>
        <w:rPr>
          <w:w w:val="101"/>
        </w:rPr>
        <w:t>《</w:t>
      </w:r>
      <w:r>
        <w:rPr>
          <w:spacing w:val="-5"/>
          <w:w w:val="101"/>
        </w:rPr>
        <w:t>企</w:t>
      </w:r>
      <w:r>
        <w:rPr>
          <w:w w:val="101"/>
        </w:rPr>
        <w:t>业</w:t>
      </w:r>
      <w:r>
        <w:rPr>
          <w:spacing w:val="-5"/>
          <w:w w:val="101"/>
        </w:rPr>
        <w:t>会</w:t>
      </w:r>
      <w:r>
        <w:rPr>
          <w:w w:val="101"/>
        </w:rPr>
        <w:t>计</w:t>
      </w:r>
      <w:r>
        <w:rPr>
          <w:spacing w:val="-5"/>
          <w:w w:val="101"/>
        </w:rPr>
        <w:t>准</w:t>
      </w:r>
      <w:r>
        <w:rPr>
          <w:w w:val="101"/>
        </w:rPr>
        <w:t>则第</w:t>
      </w:r>
      <w:r>
        <w:rPr>
          <w:spacing w:val="-47"/>
        </w:rPr>
        <w:t> </w:t>
      </w:r>
      <w:r>
        <w:rPr>
          <w:rFonts w:ascii="Times New Roman" w:hAnsi="Times New Roman" w:cs="Times New Roman" w:eastAsia="Times New Roman" w:hint="default"/>
          <w:spacing w:val="-5"/>
          <w:w w:val="101"/>
        </w:rPr>
        <w:t>2</w:t>
      </w:r>
      <w:r>
        <w:rPr>
          <w:rFonts w:ascii="Times New Roman" w:hAnsi="Times New Roman" w:cs="Times New Roman" w:eastAsia="Times New Roman" w:hint="default"/>
          <w:w w:val="101"/>
        </w:rPr>
        <w:t>2</w:t>
      </w:r>
      <w:r>
        <w:rPr>
          <w:rFonts w:ascii="Times New Roman" w:hAnsi="Times New Roman" w:cs="Times New Roman" w:eastAsia="Times New Roman" w:hint="default"/>
          <w:spacing w:val="-7"/>
        </w:rPr>
        <w:t> </w:t>
      </w:r>
      <w:r>
        <w:rPr>
          <w:spacing w:val="-5"/>
          <w:w w:val="101"/>
        </w:rPr>
        <w:t>号</w:t>
      </w:r>
      <w:r>
        <w:rPr>
          <w:rFonts w:ascii="Times New Roman" w:hAnsi="Times New Roman" w:cs="Times New Roman" w:eastAsia="Times New Roman" w:hint="default"/>
          <w:w w:val="101"/>
        </w:rPr>
        <w:t>—</w:t>
      </w:r>
      <w:r>
        <w:rPr>
          <w:rFonts w:ascii="Times New Roman" w:hAnsi="Times New Roman" w:cs="Times New Roman" w:eastAsia="Times New Roman" w:hint="default"/>
          <w:spacing w:val="-5"/>
          <w:w w:val="101"/>
        </w:rPr>
        <w:t>—</w:t>
      </w:r>
      <w:r>
        <w:rPr>
          <w:w w:val="101"/>
        </w:rPr>
        <w:t>金</w:t>
      </w:r>
      <w:r>
        <w:rPr>
          <w:spacing w:val="-5"/>
          <w:w w:val="101"/>
        </w:rPr>
        <w:t>融</w:t>
      </w:r>
      <w:r>
        <w:rPr>
          <w:w w:val="101"/>
        </w:rPr>
        <w:t>工</w:t>
      </w:r>
      <w:r>
        <w:rPr>
          <w:spacing w:val="-5"/>
          <w:w w:val="101"/>
        </w:rPr>
        <w:t>具</w:t>
      </w:r>
      <w:r>
        <w:rPr>
          <w:w w:val="101"/>
        </w:rPr>
        <w:t>确</w:t>
      </w:r>
      <w:r>
        <w:rPr>
          <w:spacing w:val="-5"/>
          <w:w w:val="101"/>
        </w:rPr>
        <w:t>认</w:t>
      </w:r>
      <w:r>
        <w:rPr>
          <w:w w:val="101"/>
        </w:rPr>
        <w:t>和</w:t>
      </w:r>
      <w:r>
        <w:rPr>
          <w:spacing w:val="-5"/>
          <w:w w:val="101"/>
        </w:rPr>
        <w:t>计</w:t>
      </w:r>
      <w:r>
        <w:rPr>
          <w:spacing w:val="-44"/>
          <w:w w:val="101"/>
        </w:rPr>
        <w:t>量</w:t>
      </w:r>
      <w:r>
        <w:rPr>
          <w:w w:val="101"/>
        </w:rPr>
        <w:t>（</w:t>
      </w:r>
      <w:r>
        <w:rPr>
          <w:rFonts w:ascii="Times New Roman" w:hAnsi="Times New Roman" w:cs="Times New Roman" w:eastAsia="Times New Roman" w:hint="default"/>
          <w:spacing w:val="-5"/>
          <w:w w:val="101"/>
        </w:rPr>
        <w:t>2</w:t>
      </w:r>
      <w:r>
        <w:rPr>
          <w:rFonts w:ascii="Times New Roman" w:hAnsi="Times New Roman" w:cs="Times New Roman" w:eastAsia="Times New Roman" w:hint="default"/>
          <w:w w:val="101"/>
        </w:rPr>
        <w:t>0</w:t>
      </w:r>
      <w:r>
        <w:rPr>
          <w:rFonts w:ascii="Times New Roman" w:hAnsi="Times New Roman" w:cs="Times New Roman" w:eastAsia="Times New Roman" w:hint="default"/>
          <w:spacing w:val="-5"/>
          <w:w w:val="101"/>
        </w:rPr>
        <w:t>1</w:t>
      </w:r>
      <w:r>
        <w:rPr>
          <w:rFonts w:ascii="Times New Roman" w:hAnsi="Times New Roman" w:cs="Times New Roman" w:eastAsia="Times New Roman" w:hint="default"/>
          <w:w w:val="101"/>
        </w:rPr>
        <w:t>7</w:t>
      </w:r>
      <w:r>
        <w:rPr>
          <w:rFonts w:ascii="Times New Roman" w:hAnsi="Times New Roman" w:cs="Times New Roman" w:eastAsia="Times New Roman" w:hint="default"/>
          <w:spacing w:val="-7"/>
        </w:rPr>
        <w:t> </w:t>
      </w:r>
      <w:r>
        <w:rPr>
          <w:spacing w:val="-5"/>
          <w:w w:val="101"/>
        </w:rPr>
        <w:t>年</w:t>
      </w:r>
      <w:r>
        <w:rPr>
          <w:w w:val="101"/>
        </w:rPr>
        <w:t>修订</w:t>
      </w:r>
      <w:r>
        <w:rPr>
          <w:spacing w:val="-96"/>
          <w:w w:val="101"/>
        </w:rPr>
        <w:t>）</w:t>
      </w:r>
      <w:r>
        <w:rPr>
          <w:spacing w:val="-135"/>
          <w:w w:val="101"/>
        </w:rPr>
        <w:t>》</w:t>
      </w:r>
      <w:r>
        <w:rPr>
          <w:spacing w:val="-5"/>
          <w:w w:val="101"/>
        </w:rPr>
        <w:t>（</w:t>
      </w:r>
      <w:r>
        <w:rPr>
          <w:w w:val="101"/>
        </w:rPr>
        <w:t>财</w:t>
      </w:r>
      <w:r>
        <w:rPr>
          <w:spacing w:val="-48"/>
          <w:w w:val="101"/>
        </w:rPr>
        <w:t>会</w:t>
      </w:r>
      <w:r>
        <w:rPr>
          <w:w w:val="101"/>
        </w:rPr>
        <w:t>〔</w:t>
      </w:r>
      <w:r>
        <w:rPr>
          <w:rFonts w:ascii="Times New Roman" w:hAnsi="Times New Roman" w:cs="Times New Roman" w:eastAsia="Times New Roman" w:hint="default"/>
          <w:w w:val="101"/>
        </w:rPr>
        <w:t>20</w:t>
      </w:r>
      <w:r>
        <w:rPr>
          <w:rFonts w:ascii="Times New Roman" w:hAnsi="Times New Roman" w:cs="Times New Roman" w:eastAsia="Times New Roman" w:hint="default"/>
          <w:spacing w:val="-5"/>
          <w:w w:val="101"/>
        </w:rPr>
        <w:t>1</w:t>
      </w:r>
      <w:r>
        <w:rPr>
          <w:rFonts w:ascii="Times New Roman" w:hAnsi="Times New Roman" w:cs="Times New Roman" w:eastAsia="Times New Roman" w:hint="default"/>
          <w:spacing w:val="-1"/>
          <w:w w:val="101"/>
        </w:rPr>
        <w:t>7</w:t>
      </w:r>
      <w:r>
        <w:rPr>
          <w:w w:val="101"/>
        </w:rPr>
        <w:t>〕</w:t>
      </w:r>
      <w:r>
        <w:rPr/>
      </w:r>
    </w:p>
    <w:p>
      <w:pPr>
        <w:spacing w:line="240" w:lineRule="auto" w:before="7"/>
        <w:rPr>
          <w:rFonts w:ascii="宋体" w:hAnsi="宋体" w:cs="宋体" w:eastAsia="宋体" w:hint="default"/>
          <w:sz w:val="16"/>
          <w:szCs w:val="16"/>
        </w:rPr>
      </w:pPr>
    </w:p>
    <w:p>
      <w:pPr>
        <w:pStyle w:val="BodyText"/>
        <w:spacing w:line="240" w:lineRule="auto"/>
        <w:ind w:right="0"/>
        <w:jc w:val="left"/>
      </w:pPr>
      <w:r>
        <w:rPr>
          <w:rFonts w:ascii="Times New Roman" w:hAnsi="Times New Roman" w:cs="Times New Roman" w:eastAsia="Times New Roman" w:hint="default"/>
          <w:w w:val="101"/>
        </w:rPr>
        <w:t>7</w:t>
      </w:r>
      <w:r>
        <w:rPr>
          <w:rFonts w:ascii="Times New Roman" w:hAnsi="Times New Roman" w:cs="Times New Roman" w:eastAsia="Times New Roman" w:hint="default"/>
          <w:spacing w:val="-7"/>
        </w:rPr>
        <w:t> </w:t>
      </w:r>
      <w:r>
        <w:rPr>
          <w:w w:val="101"/>
        </w:rPr>
        <w:t>号</w:t>
      </w:r>
      <w:r>
        <w:rPr>
          <w:spacing w:val="-96"/>
          <w:w w:val="101"/>
        </w:rPr>
        <w:t>）</w:t>
      </w:r>
      <w:r>
        <w:rPr>
          <w:spacing w:val="-92"/>
          <w:w w:val="101"/>
        </w:rPr>
        <w:t>、</w:t>
      </w:r>
      <w:r>
        <w:rPr>
          <w:spacing w:val="-5"/>
          <w:w w:val="101"/>
        </w:rPr>
        <w:t>《</w:t>
      </w:r>
      <w:r>
        <w:rPr>
          <w:w w:val="101"/>
        </w:rPr>
        <w:t>企</w:t>
      </w:r>
      <w:r>
        <w:rPr>
          <w:spacing w:val="-5"/>
          <w:w w:val="101"/>
        </w:rPr>
        <w:t>业</w:t>
      </w:r>
      <w:r>
        <w:rPr>
          <w:w w:val="101"/>
        </w:rPr>
        <w:t>会</w:t>
      </w:r>
      <w:r>
        <w:rPr>
          <w:spacing w:val="-5"/>
          <w:w w:val="101"/>
        </w:rPr>
        <w:t>计</w:t>
      </w:r>
      <w:r>
        <w:rPr>
          <w:w w:val="101"/>
        </w:rPr>
        <w:t>准则第</w:t>
      </w:r>
      <w:r>
        <w:rPr>
          <w:spacing w:val="-52"/>
        </w:rPr>
        <w:t> </w:t>
      </w:r>
      <w:r>
        <w:rPr>
          <w:rFonts w:ascii="Times New Roman" w:hAnsi="Times New Roman" w:cs="Times New Roman" w:eastAsia="Times New Roman" w:hint="default"/>
          <w:w w:val="101"/>
        </w:rPr>
        <w:t>23</w:t>
      </w:r>
      <w:r>
        <w:rPr>
          <w:rFonts w:ascii="Times New Roman" w:hAnsi="Times New Roman" w:cs="Times New Roman" w:eastAsia="Times New Roman" w:hint="default"/>
          <w:spacing w:val="-11"/>
        </w:rPr>
        <w:t> </w:t>
      </w:r>
      <w:r>
        <w:rPr>
          <w:w w:val="101"/>
        </w:rPr>
        <w:t>号</w:t>
      </w:r>
      <w:r>
        <w:rPr>
          <w:rFonts w:ascii="Times New Roman" w:hAnsi="Times New Roman" w:cs="Times New Roman" w:eastAsia="Times New Roman" w:hint="default"/>
          <w:spacing w:val="-5"/>
          <w:w w:val="101"/>
        </w:rPr>
        <w:t>—</w:t>
      </w:r>
      <w:r>
        <w:rPr>
          <w:rFonts w:ascii="Times New Roman" w:hAnsi="Times New Roman" w:cs="Times New Roman" w:eastAsia="Times New Roman" w:hint="default"/>
          <w:w w:val="101"/>
        </w:rPr>
        <w:t>—</w:t>
      </w:r>
      <w:r>
        <w:rPr>
          <w:spacing w:val="-5"/>
          <w:w w:val="101"/>
        </w:rPr>
        <w:t>金</w:t>
      </w:r>
      <w:r>
        <w:rPr>
          <w:w w:val="101"/>
        </w:rPr>
        <w:t>融</w:t>
      </w:r>
      <w:r>
        <w:rPr>
          <w:spacing w:val="-5"/>
          <w:w w:val="101"/>
        </w:rPr>
        <w:t>资</w:t>
      </w:r>
      <w:r>
        <w:rPr>
          <w:w w:val="101"/>
        </w:rPr>
        <w:t>产</w:t>
      </w:r>
      <w:r>
        <w:rPr>
          <w:spacing w:val="-5"/>
          <w:w w:val="101"/>
        </w:rPr>
        <w:t>转</w:t>
      </w:r>
      <w:r>
        <w:rPr>
          <w:w w:val="101"/>
        </w:rPr>
        <w:t>移</w:t>
      </w:r>
      <w:r>
        <w:rPr>
          <w:spacing w:val="-5"/>
          <w:w w:val="101"/>
        </w:rPr>
        <w:t>（</w:t>
      </w:r>
      <w:r>
        <w:rPr>
          <w:rFonts w:ascii="Times New Roman" w:hAnsi="Times New Roman" w:cs="Times New Roman" w:eastAsia="Times New Roman" w:hint="default"/>
          <w:w w:val="101"/>
        </w:rPr>
        <w:t>20</w:t>
      </w:r>
      <w:r>
        <w:rPr>
          <w:rFonts w:ascii="Times New Roman" w:hAnsi="Times New Roman" w:cs="Times New Roman" w:eastAsia="Times New Roman" w:hint="default"/>
          <w:spacing w:val="-5"/>
          <w:w w:val="101"/>
        </w:rPr>
        <w:t>1</w:t>
      </w:r>
      <w:r>
        <w:rPr>
          <w:rFonts w:ascii="Times New Roman" w:hAnsi="Times New Roman" w:cs="Times New Roman" w:eastAsia="Times New Roman" w:hint="default"/>
          <w:w w:val="101"/>
        </w:rPr>
        <w:t>7</w:t>
      </w:r>
      <w:r>
        <w:rPr>
          <w:rFonts w:ascii="Times New Roman" w:hAnsi="Times New Roman" w:cs="Times New Roman" w:eastAsia="Times New Roman" w:hint="default"/>
          <w:spacing w:val="-7"/>
        </w:rPr>
        <w:t> </w:t>
      </w:r>
      <w:r>
        <w:rPr>
          <w:spacing w:val="-5"/>
          <w:w w:val="101"/>
        </w:rPr>
        <w:t>年修</w:t>
      </w:r>
      <w:r>
        <w:rPr>
          <w:w w:val="101"/>
        </w:rPr>
        <w:t>订</w:t>
      </w:r>
      <w:r>
        <w:rPr>
          <w:spacing w:val="-92"/>
          <w:w w:val="101"/>
        </w:rPr>
        <w:t>）</w:t>
      </w:r>
      <w:r>
        <w:rPr>
          <w:spacing w:val="-96"/>
          <w:w w:val="101"/>
        </w:rPr>
        <w:t>》</w:t>
      </w:r>
      <w:r>
        <w:rPr>
          <w:w w:val="101"/>
        </w:rPr>
        <w:t>（</w:t>
      </w:r>
      <w:r>
        <w:rPr>
          <w:spacing w:val="-5"/>
          <w:w w:val="101"/>
        </w:rPr>
        <w:t>财</w:t>
      </w:r>
      <w:r>
        <w:rPr>
          <w:w w:val="101"/>
        </w:rPr>
        <w:t>会〔</w:t>
      </w:r>
      <w:r>
        <w:rPr>
          <w:rFonts w:ascii="Times New Roman" w:hAnsi="Times New Roman" w:cs="Times New Roman" w:eastAsia="Times New Roman" w:hint="default"/>
          <w:spacing w:val="-5"/>
          <w:w w:val="101"/>
        </w:rPr>
        <w:t>2</w:t>
      </w:r>
      <w:r>
        <w:rPr>
          <w:rFonts w:ascii="Times New Roman" w:hAnsi="Times New Roman" w:cs="Times New Roman" w:eastAsia="Times New Roman" w:hint="default"/>
          <w:w w:val="101"/>
        </w:rPr>
        <w:t>01</w:t>
      </w:r>
      <w:r>
        <w:rPr>
          <w:rFonts w:ascii="Times New Roman" w:hAnsi="Times New Roman" w:cs="Times New Roman" w:eastAsia="Times New Roman" w:hint="default"/>
          <w:spacing w:val="-5"/>
          <w:w w:val="101"/>
        </w:rPr>
        <w:t>7</w:t>
      </w:r>
      <w:r>
        <w:rPr>
          <w:w w:val="101"/>
        </w:rPr>
        <w:t>〕</w:t>
      </w:r>
      <w:r>
        <w:rPr>
          <w:rFonts w:ascii="Times New Roman" w:hAnsi="Times New Roman" w:cs="Times New Roman" w:eastAsia="Times New Roman" w:hint="default"/>
          <w:w w:val="101"/>
        </w:rPr>
        <w:t>8</w:t>
      </w:r>
      <w:r>
        <w:rPr>
          <w:rFonts w:ascii="Times New Roman" w:hAnsi="Times New Roman" w:cs="Times New Roman" w:eastAsia="Times New Roman" w:hint="default"/>
          <w:spacing w:val="-12"/>
        </w:rPr>
        <w:t> </w:t>
      </w:r>
      <w:r>
        <w:rPr>
          <w:w w:val="101"/>
        </w:rPr>
        <w:t>号</w:t>
      </w:r>
      <w:r>
        <w:rPr>
          <w:spacing w:val="-92"/>
          <w:w w:val="101"/>
        </w:rPr>
        <w:t>）</w:t>
      </w:r>
      <w:r>
        <w:rPr>
          <w:spacing w:val="-96"/>
          <w:w w:val="101"/>
        </w:rPr>
        <w:t>、</w:t>
      </w:r>
      <w:r>
        <w:rPr>
          <w:w w:val="101"/>
        </w:rPr>
        <w:t>《</w:t>
      </w:r>
      <w:r>
        <w:rPr>
          <w:spacing w:val="-5"/>
          <w:w w:val="101"/>
        </w:rPr>
        <w:t>企</w:t>
      </w:r>
      <w:r>
        <w:rPr>
          <w:w w:val="101"/>
        </w:rPr>
        <w:t>业</w:t>
      </w:r>
      <w:r>
        <w:rPr>
          <w:spacing w:val="-5"/>
          <w:w w:val="101"/>
        </w:rPr>
        <w:t>会</w:t>
      </w:r>
      <w:r>
        <w:rPr>
          <w:w w:val="101"/>
        </w:rPr>
        <w:t>计</w:t>
      </w:r>
      <w:r>
        <w:rPr>
          <w:spacing w:val="-5"/>
          <w:w w:val="101"/>
        </w:rPr>
        <w:t>准</w:t>
      </w:r>
      <w:r>
        <w:rPr>
          <w:w w:val="101"/>
        </w:rPr>
        <w:t>则第</w:t>
      </w:r>
      <w:r>
        <w:rPr>
          <w:spacing w:val="-47"/>
        </w:rPr>
        <w:t> </w:t>
      </w:r>
      <w:r>
        <w:rPr>
          <w:rFonts w:ascii="Times New Roman" w:hAnsi="Times New Roman" w:cs="Times New Roman" w:eastAsia="Times New Roman" w:hint="default"/>
          <w:spacing w:val="-5"/>
          <w:w w:val="101"/>
        </w:rPr>
        <w:t>2</w:t>
      </w:r>
      <w:r>
        <w:rPr>
          <w:rFonts w:ascii="Times New Roman" w:hAnsi="Times New Roman" w:cs="Times New Roman" w:eastAsia="Times New Roman" w:hint="default"/>
          <w:w w:val="101"/>
        </w:rPr>
        <w:t>4</w:t>
      </w:r>
      <w:r>
        <w:rPr>
          <w:rFonts w:ascii="Times New Roman" w:hAnsi="Times New Roman" w:cs="Times New Roman" w:eastAsia="Times New Roman" w:hint="default"/>
          <w:spacing w:val="-7"/>
        </w:rPr>
        <w:t> </w:t>
      </w:r>
      <w:r>
        <w:rPr>
          <w:spacing w:val="-5"/>
          <w:w w:val="101"/>
        </w:rPr>
        <w:t>号</w:t>
      </w:r>
      <w:r>
        <w:rPr>
          <w:rFonts w:ascii="Times New Roman" w:hAnsi="Times New Roman" w:cs="Times New Roman" w:eastAsia="Times New Roman" w:hint="default"/>
          <w:w w:val="101"/>
        </w:rPr>
        <w:t>—</w:t>
      </w:r>
      <w:r>
        <w:rPr>
          <w:rFonts w:ascii="Times New Roman" w:hAnsi="Times New Roman" w:cs="Times New Roman" w:eastAsia="Times New Roman" w:hint="default"/>
          <w:spacing w:val="-5"/>
          <w:w w:val="101"/>
        </w:rPr>
        <w:t>—</w:t>
      </w:r>
      <w:r>
        <w:rPr>
          <w:w w:val="101"/>
        </w:rPr>
        <w:t>套</w:t>
      </w:r>
      <w:r>
        <w:rPr>
          <w:spacing w:val="-5"/>
          <w:w w:val="101"/>
        </w:rPr>
        <w:t>期</w:t>
      </w:r>
      <w:r>
        <w:rPr>
          <w:w w:val="101"/>
        </w:rPr>
        <w:t>会</w:t>
      </w:r>
      <w:r>
        <w:rPr/>
      </w:r>
    </w:p>
    <w:p>
      <w:pPr>
        <w:spacing w:line="240" w:lineRule="auto" w:before="12"/>
        <w:rPr>
          <w:rFonts w:ascii="宋体" w:hAnsi="宋体" w:cs="宋体" w:eastAsia="宋体" w:hint="default"/>
          <w:sz w:val="16"/>
          <w:szCs w:val="16"/>
        </w:rPr>
      </w:pPr>
    </w:p>
    <w:p>
      <w:pPr>
        <w:pStyle w:val="BodyText"/>
        <w:spacing w:line="240" w:lineRule="auto"/>
        <w:ind w:right="0"/>
        <w:jc w:val="left"/>
      </w:pPr>
      <w:r>
        <w:rPr>
          <w:w w:val="101"/>
        </w:rPr>
        <w:t>计（</w:t>
      </w:r>
      <w:r>
        <w:rPr>
          <w:rFonts w:ascii="Times New Roman" w:hAnsi="Times New Roman" w:cs="Times New Roman" w:eastAsia="Times New Roman" w:hint="default"/>
          <w:spacing w:val="-5"/>
          <w:w w:val="101"/>
        </w:rPr>
        <w:t>2</w:t>
      </w:r>
      <w:r>
        <w:rPr>
          <w:rFonts w:ascii="Times New Roman" w:hAnsi="Times New Roman" w:cs="Times New Roman" w:eastAsia="Times New Roman" w:hint="default"/>
          <w:w w:val="101"/>
        </w:rPr>
        <w:t>0</w:t>
      </w:r>
      <w:r>
        <w:rPr>
          <w:rFonts w:ascii="Times New Roman" w:hAnsi="Times New Roman" w:cs="Times New Roman" w:eastAsia="Times New Roman" w:hint="default"/>
          <w:spacing w:val="-5"/>
          <w:w w:val="101"/>
        </w:rPr>
        <w:t>1</w:t>
      </w:r>
      <w:r>
        <w:rPr>
          <w:rFonts w:ascii="Times New Roman" w:hAnsi="Times New Roman" w:cs="Times New Roman" w:eastAsia="Times New Roman" w:hint="default"/>
          <w:w w:val="101"/>
        </w:rPr>
        <w:t>7</w:t>
      </w:r>
      <w:r>
        <w:rPr>
          <w:rFonts w:ascii="Times New Roman" w:hAnsi="Times New Roman" w:cs="Times New Roman" w:eastAsia="Times New Roman" w:hint="default"/>
          <w:spacing w:val="-7"/>
        </w:rPr>
        <w:t> </w:t>
      </w:r>
      <w:r>
        <w:rPr>
          <w:spacing w:val="-5"/>
          <w:w w:val="101"/>
        </w:rPr>
        <w:t>年</w:t>
      </w:r>
      <w:r>
        <w:rPr>
          <w:w w:val="101"/>
        </w:rPr>
        <w:t>修订</w:t>
      </w:r>
      <w:r>
        <w:rPr>
          <w:spacing w:val="-96"/>
          <w:w w:val="101"/>
        </w:rPr>
        <w:t>）</w:t>
      </w:r>
      <w:r>
        <w:rPr>
          <w:spacing w:val="-92"/>
          <w:w w:val="101"/>
        </w:rPr>
        <w:t>》</w:t>
      </w:r>
      <w:r>
        <w:rPr>
          <w:spacing w:val="-5"/>
          <w:w w:val="101"/>
        </w:rPr>
        <w:t>（</w:t>
      </w:r>
      <w:r>
        <w:rPr>
          <w:w w:val="101"/>
        </w:rPr>
        <w:t>财</w:t>
      </w:r>
      <w:r>
        <w:rPr>
          <w:spacing w:val="-5"/>
          <w:w w:val="101"/>
        </w:rPr>
        <w:t>会</w:t>
      </w:r>
      <w:r>
        <w:rPr>
          <w:w w:val="101"/>
        </w:rPr>
        <w:t>〔</w:t>
      </w:r>
      <w:r>
        <w:rPr>
          <w:rFonts w:ascii="Times New Roman" w:hAnsi="Times New Roman" w:cs="Times New Roman" w:eastAsia="Times New Roman" w:hint="default"/>
          <w:w w:val="101"/>
        </w:rPr>
        <w:t>20</w:t>
      </w:r>
      <w:r>
        <w:rPr>
          <w:rFonts w:ascii="Times New Roman" w:hAnsi="Times New Roman" w:cs="Times New Roman" w:eastAsia="Times New Roman" w:hint="default"/>
          <w:spacing w:val="-5"/>
          <w:w w:val="101"/>
        </w:rPr>
        <w:t>1</w:t>
      </w:r>
      <w:r>
        <w:rPr>
          <w:rFonts w:ascii="Times New Roman" w:hAnsi="Times New Roman" w:cs="Times New Roman" w:eastAsia="Times New Roman" w:hint="default"/>
          <w:spacing w:val="-1"/>
          <w:w w:val="101"/>
        </w:rPr>
        <w:t>7</w:t>
      </w:r>
      <w:r>
        <w:rPr>
          <w:spacing w:val="-5"/>
          <w:w w:val="101"/>
        </w:rPr>
        <w:t>〕</w:t>
      </w:r>
      <w:r>
        <w:rPr>
          <w:rFonts w:ascii="Times New Roman" w:hAnsi="Times New Roman" w:cs="Times New Roman" w:eastAsia="Times New Roman" w:hint="default"/>
          <w:w w:val="101"/>
        </w:rPr>
        <w:t>9</w:t>
      </w:r>
      <w:r>
        <w:rPr>
          <w:rFonts w:ascii="Times New Roman" w:hAnsi="Times New Roman" w:cs="Times New Roman" w:eastAsia="Times New Roman" w:hint="default"/>
          <w:spacing w:val="-7"/>
        </w:rPr>
        <w:t> </w:t>
      </w:r>
      <w:r>
        <w:rPr>
          <w:spacing w:val="-5"/>
          <w:w w:val="101"/>
        </w:rPr>
        <w:t>号</w:t>
      </w:r>
      <w:r>
        <w:rPr>
          <w:spacing w:val="-92"/>
          <w:w w:val="101"/>
        </w:rPr>
        <w:t>）</w:t>
      </w:r>
      <w:r>
        <w:rPr>
          <w:w w:val="101"/>
        </w:rPr>
        <w:t>，于</w:t>
      </w:r>
      <w:r>
        <w:rPr>
          <w:spacing w:val="-47"/>
        </w:rPr>
        <w:t> </w:t>
      </w:r>
      <w:r>
        <w:rPr>
          <w:rFonts w:ascii="Times New Roman" w:hAnsi="Times New Roman" w:cs="Times New Roman" w:eastAsia="Times New Roman" w:hint="default"/>
          <w:spacing w:val="-5"/>
          <w:w w:val="101"/>
        </w:rPr>
        <w:t>2</w:t>
      </w:r>
      <w:r>
        <w:rPr>
          <w:rFonts w:ascii="Times New Roman" w:hAnsi="Times New Roman" w:cs="Times New Roman" w:eastAsia="Times New Roman" w:hint="default"/>
          <w:w w:val="101"/>
        </w:rPr>
        <w:t>0</w:t>
      </w:r>
      <w:r>
        <w:rPr>
          <w:rFonts w:ascii="Times New Roman" w:hAnsi="Times New Roman" w:cs="Times New Roman" w:eastAsia="Times New Roman" w:hint="default"/>
          <w:spacing w:val="-5"/>
          <w:w w:val="101"/>
        </w:rPr>
        <w:t>1</w:t>
      </w:r>
      <w:r>
        <w:rPr>
          <w:rFonts w:ascii="Times New Roman" w:hAnsi="Times New Roman" w:cs="Times New Roman" w:eastAsia="Times New Roman" w:hint="default"/>
          <w:w w:val="101"/>
        </w:rPr>
        <w:t>7</w:t>
      </w:r>
      <w:r>
        <w:rPr>
          <w:rFonts w:ascii="Times New Roman" w:hAnsi="Times New Roman" w:cs="Times New Roman" w:eastAsia="Times New Roman" w:hint="default"/>
          <w:spacing w:val="-7"/>
        </w:rPr>
        <w:t> </w:t>
      </w:r>
      <w:r>
        <w:rPr>
          <w:w w:val="101"/>
        </w:rPr>
        <w:t>年</w:t>
      </w:r>
      <w:r>
        <w:rPr>
          <w:spacing w:val="-52"/>
        </w:rPr>
        <w:t> </w:t>
      </w:r>
      <w:r>
        <w:rPr>
          <w:rFonts w:ascii="Times New Roman" w:hAnsi="Times New Roman" w:cs="Times New Roman" w:eastAsia="Times New Roman" w:hint="default"/>
          <w:w w:val="101"/>
        </w:rPr>
        <w:t>5</w:t>
      </w:r>
      <w:r>
        <w:rPr>
          <w:rFonts w:ascii="Times New Roman" w:hAnsi="Times New Roman" w:cs="Times New Roman" w:eastAsia="Times New Roman" w:hint="default"/>
          <w:spacing w:val="-7"/>
        </w:rPr>
        <w:t> </w:t>
      </w:r>
      <w:r>
        <w:rPr>
          <w:w w:val="101"/>
        </w:rPr>
        <w:t>月</w:t>
      </w:r>
      <w:r>
        <w:rPr>
          <w:spacing w:val="-47"/>
        </w:rPr>
        <w:t> </w:t>
      </w:r>
      <w:r>
        <w:rPr>
          <w:rFonts w:ascii="Times New Roman" w:hAnsi="Times New Roman" w:cs="Times New Roman" w:eastAsia="Times New Roman" w:hint="default"/>
          <w:w w:val="101"/>
        </w:rPr>
        <w:t>2</w:t>
      </w:r>
      <w:r>
        <w:rPr>
          <w:rFonts w:ascii="Times New Roman" w:hAnsi="Times New Roman" w:cs="Times New Roman" w:eastAsia="Times New Roman" w:hint="default"/>
          <w:spacing w:val="-11"/>
        </w:rPr>
        <w:t> </w:t>
      </w:r>
      <w:r>
        <w:rPr>
          <w:spacing w:val="-5"/>
          <w:w w:val="101"/>
        </w:rPr>
        <w:t>日</w:t>
      </w:r>
      <w:r>
        <w:rPr>
          <w:w w:val="101"/>
        </w:rPr>
        <w:t>发</w:t>
      </w:r>
      <w:r>
        <w:rPr>
          <w:spacing w:val="-5"/>
          <w:w w:val="101"/>
        </w:rPr>
        <w:t>布</w:t>
      </w:r>
      <w:r>
        <w:rPr>
          <w:w w:val="101"/>
        </w:rPr>
        <w:t>了</w:t>
      </w:r>
      <w:r>
        <w:rPr>
          <w:spacing w:val="-5"/>
          <w:w w:val="101"/>
        </w:rPr>
        <w:t>《</w:t>
      </w:r>
      <w:r>
        <w:rPr>
          <w:w w:val="101"/>
        </w:rPr>
        <w:t>企</w:t>
      </w:r>
      <w:r>
        <w:rPr>
          <w:spacing w:val="-5"/>
          <w:w w:val="101"/>
        </w:rPr>
        <w:t>业</w:t>
      </w:r>
      <w:r>
        <w:rPr>
          <w:w w:val="101"/>
        </w:rPr>
        <w:t>会</w:t>
      </w:r>
      <w:r>
        <w:rPr>
          <w:spacing w:val="-5"/>
          <w:w w:val="101"/>
        </w:rPr>
        <w:t>计</w:t>
      </w:r>
      <w:r>
        <w:rPr>
          <w:w w:val="101"/>
        </w:rPr>
        <w:t>准则第</w:t>
      </w:r>
      <w:r>
        <w:rPr>
          <w:spacing w:val="-47"/>
        </w:rPr>
        <w:t> </w:t>
      </w:r>
      <w:r>
        <w:rPr>
          <w:rFonts w:ascii="Times New Roman" w:hAnsi="Times New Roman" w:cs="Times New Roman" w:eastAsia="Times New Roman" w:hint="default"/>
          <w:spacing w:val="-5"/>
          <w:w w:val="101"/>
        </w:rPr>
        <w:t>3</w:t>
      </w:r>
      <w:r>
        <w:rPr>
          <w:rFonts w:ascii="Times New Roman" w:hAnsi="Times New Roman" w:cs="Times New Roman" w:eastAsia="Times New Roman" w:hint="default"/>
          <w:w w:val="101"/>
        </w:rPr>
        <w:t>7</w:t>
      </w:r>
      <w:r>
        <w:rPr>
          <w:rFonts w:ascii="Times New Roman" w:hAnsi="Times New Roman" w:cs="Times New Roman" w:eastAsia="Times New Roman" w:hint="default"/>
          <w:spacing w:val="-11"/>
        </w:rPr>
        <w:t> </w:t>
      </w:r>
      <w:r>
        <w:rPr>
          <w:w w:val="101"/>
        </w:rPr>
        <w:t>号</w:t>
      </w:r>
      <w:r>
        <w:rPr>
          <w:rFonts w:ascii="Times New Roman" w:hAnsi="Times New Roman" w:cs="Times New Roman" w:eastAsia="Times New Roman" w:hint="default"/>
          <w:spacing w:val="-5"/>
          <w:w w:val="101"/>
        </w:rPr>
        <w:t>—</w:t>
      </w:r>
      <w:r>
        <w:rPr>
          <w:rFonts w:ascii="Times New Roman" w:hAnsi="Times New Roman" w:cs="Times New Roman" w:eastAsia="Times New Roman" w:hint="default"/>
          <w:w w:val="101"/>
        </w:rPr>
        <w:t>—</w:t>
      </w:r>
      <w:r>
        <w:rPr>
          <w:spacing w:val="-5"/>
          <w:w w:val="101"/>
        </w:rPr>
        <w:t>金</w:t>
      </w:r>
      <w:r>
        <w:rPr>
          <w:w w:val="101"/>
        </w:rPr>
        <w:t>融</w:t>
      </w:r>
      <w:r>
        <w:rPr>
          <w:spacing w:val="-5"/>
          <w:w w:val="101"/>
        </w:rPr>
        <w:t>工</w:t>
      </w:r>
      <w:r>
        <w:rPr>
          <w:w w:val="101"/>
        </w:rPr>
        <w:t>具</w:t>
      </w:r>
      <w:r>
        <w:rPr>
          <w:spacing w:val="-5"/>
          <w:w w:val="101"/>
        </w:rPr>
        <w:t>列</w:t>
      </w:r>
      <w:r>
        <w:rPr>
          <w:w w:val="101"/>
        </w:rPr>
        <w:t>报（</w:t>
      </w:r>
      <w:r>
        <w:rPr>
          <w:rFonts w:ascii="Times New Roman" w:hAnsi="Times New Roman" w:cs="Times New Roman" w:eastAsia="Times New Roman" w:hint="default"/>
          <w:spacing w:val="-5"/>
          <w:w w:val="101"/>
        </w:rPr>
        <w:t>2</w:t>
      </w:r>
      <w:r>
        <w:rPr>
          <w:rFonts w:ascii="Times New Roman" w:hAnsi="Times New Roman" w:cs="Times New Roman" w:eastAsia="Times New Roman" w:hint="default"/>
          <w:w w:val="101"/>
        </w:rPr>
        <w:t>0</w:t>
      </w:r>
      <w:r>
        <w:rPr>
          <w:rFonts w:ascii="Times New Roman" w:hAnsi="Times New Roman" w:cs="Times New Roman" w:eastAsia="Times New Roman" w:hint="default"/>
          <w:spacing w:val="-5"/>
          <w:w w:val="101"/>
        </w:rPr>
        <w:t>1</w:t>
      </w:r>
      <w:r>
        <w:rPr>
          <w:rFonts w:ascii="Times New Roman" w:hAnsi="Times New Roman" w:cs="Times New Roman" w:eastAsia="Times New Roman" w:hint="default"/>
          <w:w w:val="101"/>
        </w:rPr>
        <w:t>7</w:t>
      </w:r>
      <w:r>
        <w:rPr>
          <w:rFonts w:ascii="Times New Roman" w:hAnsi="Times New Roman" w:cs="Times New Roman" w:eastAsia="Times New Roman" w:hint="default"/>
          <w:spacing w:val="-7"/>
        </w:rPr>
        <w:t> </w:t>
      </w:r>
      <w:r>
        <w:rPr>
          <w:spacing w:val="-5"/>
          <w:w w:val="101"/>
        </w:rPr>
        <w:t>年修</w:t>
      </w:r>
      <w:r>
        <w:rPr/>
      </w:r>
    </w:p>
    <w:p>
      <w:pPr>
        <w:spacing w:line="240" w:lineRule="auto" w:before="7"/>
        <w:rPr>
          <w:rFonts w:ascii="宋体" w:hAnsi="宋体" w:cs="宋体" w:eastAsia="宋体" w:hint="default"/>
          <w:sz w:val="16"/>
          <w:szCs w:val="16"/>
        </w:rPr>
      </w:pPr>
    </w:p>
    <w:p>
      <w:pPr>
        <w:pStyle w:val="BodyText"/>
        <w:spacing w:line="240" w:lineRule="auto"/>
        <w:ind w:right="0"/>
        <w:jc w:val="left"/>
      </w:pPr>
      <w:r>
        <w:rPr>
          <w:w w:val="101"/>
        </w:rPr>
        <w:t>订</w:t>
      </w:r>
      <w:r>
        <w:rPr>
          <w:spacing w:val="-92"/>
          <w:w w:val="101"/>
        </w:rPr>
        <w:t>）</w:t>
      </w:r>
      <w:r>
        <w:rPr>
          <w:spacing w:val="-96"/>
          <w:w w:val="101"/>
        </w:rPr>
        <w:t>》</w:t>
      </w:r>
      <w:r>
        <w:rPr>
          <w:w w:val="101"/>
        </w:rPr>
        <w:t>（</w:t>
      </w:r>
      <w:r>
        <w:rPr>
          <w:spacing w:val="-5"/>
          <w:w w:val="101"/>
        </w:rPr>
        <w:t>财</w:t>
      </w:r>
      <w:r>
        <w:rPr>
          <w:w w:val="101"/>
        </w:rPr>
        <w:t>会〔</w:t>
      </w:r>
      <w:r>
        <w:rPr>
          <w:rFonts w:ascii="Times New Roman" w:hAnsi="Times New Roman" w:cs="Times New Roman" w:eastAsia="Times New Roman" w:hint="default"/>
          <w:spacing w:val="-5"/>
          <w:w w:val="101"/>
        </w:rPr>
        <w:t>2</w:t>
      </w:r>
      <w:r>
        <w:rPr>
          <w:rFonts w:ascii="Times New Roman" w:hAnsi="Times New Roman" w:cs="Times New Roman" w:eastAsia="Times New Roman" w:hint="default"/>
          <w:w w:val="101"/>
        </w:rPr>
        <w:t>01</w:t>
      </w:r>
      <w:r>
        <w:rPr>
          <w:rFonts w:ascii="Times New Roman" w:hAnsi="Times New Roman" w:cs="Times New Roman" w:eastAsia="Times New Roman" w:hint="default"/>
          <w:spacing w:val="-5"/>
          <w:w w:val="101"/>
        </w:rPr>
        <w:t>7</w:t>
      </w:r>
      <w:r>
        <w:rPr>
          <w:w w:val="101"/>
        </w:rPr>
        <w:t>〕</w:t>
      </w:r>
      <w:r>
        <w:rPr>
          <w:rFonts w:ascii="Times New Roman" w:hAnsi="Times New Roman" w:cs="Times New Roman" w:eastAsia="Times New Roman" w:hint="default"/>
          <w:spacing w:val="-5"/>
          <w:w w:val="101"/>
        </w:rPr>
        <w:t>1</w:t>
      </w:r>
      <w:r>
        <w:rPr>
          <w:rFonts w:ascii="Times New Roman" w:hAnsi="Times New Roman" w:cs="Times New Roman" w:eastAsia="Times New Roman" w:hint="default"/>
          <w:w w:val="101"/>
        </w:rPr>
        <w:t>4</w:t>
      </w:r>
      <w:r>
        <w:rPr>
          <w:rFonts w:ascii="Times New Roman" w:hAnsi="Times New Roman" w:cs="Times New Roman" w:eastAsia="Times New Roman" w:hint="default"/>
          <w:spacing w:val="-7"/>
        </w:rPr>
        <w:t> </w:t>
      </w:r>
      <w:r>
        <w:rPr>
          <w:w w:val="101"/>
        </w:rPr>
        <w:t>号</w:t>
      </w:r>
      <w:r>
        <w:rPr>
          <w:spacing w:val="-96"/>
          <w:w w:val="101"/>
        </w:rPr>
        <w:t>）</w:t>
      </w:r>
      <w:r>
        <w:rPr>
          <w:w w:val="101"/>
        </w:rPr>
        <w:t>（</w:t>
      </w:r>
      <w:r>
        <w:rPr>
          <w:spacing w:val="-5"/>
          <w:w w:val="101"/>
        </w:rPr>
        <w:t>上</w:t>
      </w:r>
      <w:r>
        <w:rPr>
          <w:w w:val="101"/>
        </w:rPr>
        <w:t>述</w:t>
      </w:r>
      <w:r>
        <w:rPr>
          <w:spacing w:val="-5"/>
          <w:w w:val="101"/>
        </w:rPr>
        <w:t>准</w:t>
      </w:r>
      <w:r>
        <w:rPr>
          <w:w w:val="101"/>
        </w:rPr>
        <w:t>则</w:t>
      </w:r>
      <w:r>
        <w:rPr>
          <w:spacing w:val="-5"/>
          <w:w w:val="101"/>
        </w:rPr>
        <w:t>以</w:t>
      </w:r>
      <w:r>
        <w:rPr>
          <w:w w:val="101"/>
        </w:rPr>
        <w:t>下</w:t>
      </w:r>
      <w:r>
        <w:rPr>
          <w:spacing w:val="-5"/>
          <w:w w:val="101"/>
        </w:rPr>
        <w:t>统</w:t>
      </w:r>
      <w:r>
        <w:rPr>
          <w:w w:val="101"/>
        </w:rPr>
        <w:t>称</w:t>
      </w:r>
      <w:r>
        <w:rPr>
          <w:rFonts w:ascii="Times New Roman" w:hAnsi="Times New Roman" w:cs="Times New Roman" w:eastAsia="Times New Roman" w:hint="default"/>
          <w:spacing w:val="-5"/>
          <w:w w:val="101"/>
        </w:rPr>
        <w:t>“</w:t>
      </w:r>
      <w:r>
        <w:rPr>
          <w:w w:val="101"/>
        </w:rPr>
        <w:t>新</w:t>
      </w:r>
      <w:r>
        <w:rPr>
          <w:spacing w:val="-5"/>
          <w:w w:val="101"/>
        </w:rPr>
        <w:t>金</w:t>
      </w:r>
      <w:r>
        <w:rPr>
          <w:w w:val="101"/>
        </w:rPr>
        <w:t>融</w:t>
      </w:r>
      <w:r>
        <w:rPr>
          <w:spacing w:val="-5"/>
          <w:w w:val="101"/>
        </w:rPr>
        <w:t>工</w:t>
      </w:r>
      <w:r>
        <w:rPr>
          <w:w w:val="101"/>
        </w:rPr>
        <w:t>具</w:t>
      </w:r>
      <w:r>
        <w:rPr>
          <w:spacing w:val="-5"/>
          <w:w w:val="101"/>
        </w:rPr>
        <w:t>准</w:t>
      </w:r>
      <w:r>
        <w:rPr>
          <w:w w:val="101"/>
        </w:rPr>
        <w:t>则</w:t>
      </w:r>
      <w:r>
        <w:rPr>
          <w:rFonts w:ascii="Times New Roman" w:hAnsi="Times New Roman" w:cs="Times New Roman" w:eastAsia="Times New Roman" w:hint="default"/>
          <w:w w:val="101"/>
        </w:rPr>
        <w:t>”</w:t>
      </w:r>
      <w:r>
        <w:rPr>
          <w:spacing w:val="-96"/>
          <w:w w:val="101"/>
        </w:rPr>
        <w:t>）</w:t>
      </w:r>
      <w:r>
        <w:rPr>
          <w:w w:val="101"/>
        </w:rPr>
        <w:t>，</w:t>
      </w:r>
      <w:r>
        <w:rPr>
          <w:spacing w:val="-5"/>
          <w:w w:val="101"/>
        </w:rPr>
        <w:t>并</w:t>
      </w:r>
      <w:r>
        <w:rPr>
          <w:w w:val="101"/>
        </w:rPr>
        <w:t>要</w:t>
      </w:r>
      <w:r>
        <w:rPr>
          <w:spacing w:val="-5"/>
          <w:w w:val="101"/>
        </w:rPr>
        <w:t>求</w:t>
      </w:r>
      <w:r>
        <w:rPr>
          <w:w w:val="101"/>
        </w:rPr>
        <w:t>境</w:t>
      </w:r>
      <w:r>
        <w:rPr>
          <w:spacing w:val="-5"/>
          <w:w w:val="101"/>
        </w:rPr>
        <w:t>内</w:t>
      </w:r>
      <w:r>
        <w:rPr>
          <w:w w:val="101"/>
        </w:rPr>
        <w:t>上</w:t>
      </w:r>
      <w:r>
        <w:rPr>
          <w:spacing w:val="-5"/>
          <w:w w:val="101"/>
        </w:rPr>
        <w:t>市</w:t>
      </w:r>
      <w:r>
        <w:rPr>
          <w:w w:val="101"/>
        </w:rPr>
        <w:t>公司自</w:t>
      </w:r>
      <w:r>
        <w:rPr>
          <w:spacing w:val="-51"/>
        </w:rPr>
        <w:t> </w:t>
      </w:r>
      <w:r>
        <w:rPr>
          <w:rFonts w:ascii="Times New Roman" w:hAnsi="Times New Roman" w:cs="Times New Roman" w:eastAsia="Times New Roman" w:hint="default"/>
          <w:w w:val="101"/>
        </w:rPr>
        <w:t>20</w:t>
      </w:r>
      <w:r>
        <w:rPr>
          <w:rFonts w:ascii="Times New Roman" w:hAnsi="Times New Roman" w:cs="Times New Roman" w:eastAsia="Times New Roman" w:hint="default"/>
          <w:spacing w:val="-5"/>
          <w:w w:val="101"/>
        </w:rPr>
        <w:t>1</w:t>
      </w:r>
      <w:r>
        <w:rPr>
          <w:rFonts w:ascii="Times New Roman" w:hAnsi="Times New Roman" w:cs="Times New Roman" w:eastAsia="Times New Roman" w:hint="default"/>
          <w:w w:val="101"/>
        </w:rPr>
        <w:t>9</w:t>
      </w:r>
      <w:r>
        <w:rPr>
          <w:rFonts w:ascii="Times New Roman" w:hAnsi="Times New Roman" w:cs="Times New Roman" w:eastAsia="Times New Roman" w:hint="default"/>
          <w:spacing w:val="-7"/>
        </w:rPr>
        <w:t> </w:t>
      </w:r>
      <w:r>
        <w:rPr>
          <w:w w:val="101"/>
        </w:rPr>
        <w:t>年</w:t>
      </w:r>
      <w:r>
        <w:rPr>
          <w:spacing w:val="-52"/>
        </w:rPr>
        <w:t> </w:t>
      </w:r>
      <w:r>
        <w:rPr>
          <w:rFonts w:ascii="Times New Roman" w:hAnsi="Times New Roman" w:cs="Times New Roman" w:eastAsia="Times New Roman" w:hint="default"/>
          <w:w w:val="101"/>
        </w:rPr>
        <w:t>1</w:t>
      </w:r>
      <w:r>
        <w:rPr>
          <w:rFonts w:ascii="Times New Roman" w:hAnsi="Times New Roman" w:cs="Times New Roman" w:eastAsia="Times New Roman" w:hint="default"/>
          <w:spacing w:val="-7"/>
        </w:rPr>
        <w:t> </w:t>
      </w:r>
      <w:r>
        <w:rPr>
          <w:w w:val="101"/>
        </w:rPr>
        <w:t>月</w:t>
      </w:r>
      <w:r>
        <w:rPr>
          <w:spacing w:val="-52"/>
        </w:rPr>
        <w:t> </w:t>
      </w:r>
      <w:r>
        <w:rPr>
          <w:rFonts w:ascii="Times New Roman" w:hAnsi="Times New Roman" w:cs="Times New Roman" w:eastAsia="Times New Roman" w:hint="default"/>
          <w:w w:val="101"/>
        </w:rPr>
        <w:t>1</w:t>
      </w:r>
      <w:r>
        <w:rPr>
          <w:rFonts w:ascii="Times New Roman" w:hAnsi="Times New Roman" w:cs="Times New Roman" w:eastAsia="Times New Roman" w:hint="default"/>
          <w:spacing w:val="-7"/>
        </w:rPr>
        <w:t> </w:t>
      </w:r>
      <w:r>
        <w:rPr>
          <w:spacing w:val="-5"/>
          <w:w w:val="101"/>
        </w:rPr>
        <w:t>日</w:t>
      </w:r>
      <w:r>
        <w:rPr>
          <w:w w:val="101"/>
        </w:rPr>
        <w:t>起</w:t>
      </w:r>
      <w:r>
        <w:rPr>
          <w:spacing w:val="-5"/>
          <w:w w:val="101"/>
        </w:rPr>
        <w:t>施</w:t>
      </w:r>
      <w:r>
        <w:rPr>
          <w:w w:val="101"/>
        </w:rPr>
        <w:t>行。</w:t>
      </w:r>
      <w:r>
        <w:rPr/>
      </w:r>
    </w:p>
    <w:p>
      <w:pPr>
        <w:spacing w:line="240" w:lineRule="auto" w:before="12"/>
        <w:rPr>
          <w:rFonts w:ascii="宋体" w:hAnsi="宋体" w:cs="宋体" w:eastAsia="宋体" w:hint="default"/>
          <w:sz w:val="16"/>
          <w:szCs w:val="16"/>
        </w:rPr>
      </w:pPr>
    </w:p>
    <w:p>
      <w:pPr>
        <w:pStyle w:val="BodyText"/>
        <w:spacing w:line="240" w:lineRule="auto"/>
        <w:ind w:left="513" w:right="0"/>
        <w:jc w:val="left"/>
        <w:rPr>
          <w:rFonts w:ascii="Times New Roman" w:hAnsi="Times New Roman" w:cs="Times New Roman" w:eastAsia="Times New Roman" w:hint="default"/>
        </w:rPr>
      </w:pPr>
      <w:r>
        <w:rPr>
          <w:rFonts w:ascii="Times New Roman" w:hAnsi="Times New Roman" w:cs="Times New Roman" w:eastAsia="Times New Roman" w:hint="default"/>
          <w:w w:val="101"/>
        </w:rPr>
        <w:t>2019</w:t>
      </w:r>
      <w:r>
        <w:rPr>
          <w:rFonts w:ascii="Times New Roman" w:hAnsi="Times New Roman" w:cs="Times New Roman" w:eastAsia="Times New Roman" w:hint="default"/>
          <w:spacing w:val="-11"/>
        </w:rPr>
        <w:t> </w:t>
      </w:r>
      <w:r>
        <w:rPr>
          <w:w w:val="101"/>
        </w:rPr>
        <w:t>年</w:t>
      </w:r>
      <w:r>
        <w:rPr>
          <w:spacing w:val="-47"/>
        </w:rPr>
        <w:t> </w:t>
      </w:r>
      <w:r>
        <w:rPr>
          <w:rFonts w:ascii="Times New Roman" w:hAnsi="Times New Roman" w:cs="Times New Roman" w:eastAsia="Times New Roman" w:hint="default"/>
          <w:w w:val="101"/>
        </w:rPr>
        <w:t>4</w:t>
      </w:r>
      <w:r>
        <w:rPr>
          <w:rFonts w:ascii="Times New Roman" w:hAnsi="Times New Roman" w:cs="Times New Roman" w:eastAsia="Times New Roman" w:hint="default"/>
          <w:spacing w:val="-7"/>
        </w:rPr>
        <w:t> </w:t>
      </w:r>
      <w:r>
        <w:rPr>
          <w:w w:val="101"/>
        </w:rPr>
        <w:t>月</w:t>
      </w:r>
      <w:r>
        <w:rPr>
          <w:spacing w:val="-52"/>
        </w:rPr>
        <w:t> </w:t>
      </w:r>
      <w:r>
        <w:rPr>
          <w:rFonts w:ascii="Times New Roman" w:hAnsi="Times New Roman" w:cs="Times New Roman" w:eastAsia="Times New Roman" w:hint="default"/>
          <w:w w:val="101"/>
        </w:rPr>
        <w:t>22</w:t>
      </w:r>
      <w:r>
        <w:rPr>
          <w:rFonts w:ascii="Times New Roman" w:hAnsi="Times New Roman" w:cs="Times New Roman" w:eastAsia="Times New Roman" w:hint="default"/>
          <w:spacing w:val="-12"/>
        </w:rPr>
        <w:t> </w:t>
      </w:r>
      <w:r>
        <w:rPr>
          <w:spacing w:val="-5"/>
          <w:w w:val="101"/>
        </w:rPr>
        <w:t>日</w:t>
      </w:r>
      <w:r>
        <w:rPr>
          <w:w w:val="101"/>
        </w:rPr>
        <w:t>，</w:t>
      </w:r>
      <w:r>
        <w:rPr>
          <w:spacing w:val="-5"/>
          <w:w w:val="101"/>
        </w:rPr>
        <w:t>公</w:t>
      </w:r>
      <w:r>
        <w:rPr>
          <w:w w:val="101"/>
        </w:rPr>
        <w:t>司</w:t>
      </w:r>
      <w:r>
        <w:rPr>
          <w:spacing w:val="-5"/>
          <w:w w:val="101"/>
        </w:rPr>
        <w:t>召</w:t>
      </w:r>
      <w:r>
        <w:rPr>
          <w:w w:val="101"/>
        </w:rPr>
        <w:t>开</w:t>
      </w:r>
      <w:r>
        <w:rPr>
          <w:spacing w:val="-5"/>
          <w:w w:val="101"/>
        </w:rPr>
        <w:t>第</w:t>
      </w:r>
      <w:r>
        <w:rPr>
          <w:w w:val="101"/>
        </w:rPr>
        <w:t>四</w:t>
      </w:r>
      <w:r>
        <w:rPr>
          <w:spacing w:val="-5"/>
          <w:w w:val="101"/>
        </w:rPr>
        <w:t>届</w:t>
      </w:r>
      <w:r>
        <w:rPr>
          <w:w w:val="101"/>
        </w:rPr>
        <w:t>董</w:t>
      </w:r>
      <w:r>
        <w:rPr>
          <w:spacing w:val="-5"/>
          <w:w w:val="101"/>
        </w:rPr>
        <w:t>事</w:t>
      </w:r>
      <w:r>
        <w:rPr>
          <w:w w:val="101"/>
        </w:rPr>
        <w:t>会</w:t>
      </w:r>
      <w:r>
        <w:rPr>
          <w:spacing w:val="-5"/>
          <w:w w:val="101"/>
        </w:rPr>
        <w:t>第</w:t>
      </w:r>
      <w:r>
        <w:rPr>
          <w:w w:val="101"/>
        </w:rPr>
        <w:t>十</w:t>
      </w:r>
      <w:r>
        <w:rPr>
          <w:spacing w:val="-5"/>
          <w:w w:val="101"/>
        </w:rPr>
        <w:t>六</w:t>
      </w:r>
      <w:r>
        <w:rPr>
          <w:w w:val="101"/>
        </w:rPr>
        <w:t>次</w:t>
      </w:r>
      <w:r>
        <w:rPr>
          <w:spacing w:val="-5"/>
          <w:w w:val="101"/>
        </w:rPr>
        <w:t>会</w:t>
      </w:r>
      <w:r>
        <w:rPr>
          <w:w w:val="101"/>
        </w:rPr>
        <w:t>议</w:t>
      </w:r>
      <w:r>
        <w:rPr>
          <w:spacing w:val="-5"/>
          <w:w w:val="101"/>
        </w:rPr>
        <w:t>审议</w:t>
      </w:r>
      <w:r>
        <w:rPr>
          <w:w w:val="101"/>
        </w:rPr>
        <w:t>通</w:t>
      </w:r>
      <w:r>
        <w:rPr>
          <w:spacing w:val="-5"/>
          <w:w w:val="101"/>
        </w:rPr>
        <w:t>过</w:t>
      </w:r>
      <w:r>
        <w:rPr>
          <w:w w:val="101"/>
        </w:rPr>
        <w:t>了</w:t>
      </w:r>
      <w:r>
        <w:rPr>
          <w:spacing w:val="-5"/>
          <w:w w:val="101"/>
        </w:rPr>
        <w:t>《</w:t>
      </w:r>
      <w:r>
        <w:rPr>
          <w:w w:val="101"/>
        </w:rPr>
        <w:t>关</w:t>
      </w:r>
      <w:r>
        <w:rPr>
          <w:spacing w:val="-5"/>
          <w:w w:val="101"/>
        </w:rPr>
        <w:t>于</w:t>
      </w:r>
      <w:r>
        <w:rPr>
          <w:w w:val="101"/>
        </w:rPr>
        <w:t>会</w:t>
      </w:r>
      <w:r>
        <w:rPr>
          <w:spacing w:val="-5"/>
          <w:w w:val="101"/>
        </w:rPr>
        <w:t>计</w:t>
      </w:r>
      <w:r>
        <w:rPr>
          <w:w w:val="101"/>
        </w:rPr>
        <w:t>政</w:t>
      </w:r>
      <w:r>
        <w:rPr>
          <w:spacing w:val="-5"/>
          <w:w w:val="101"/>
        </w:rPr>
        <w:t>策</w:t>
      </w:r>
      <w:r>
        <w:rPr>
          <w:w w:val="101"/>
        </w:rPr>
        <w:t>变</w:t>
      </w:r>
      <w:r>
        <w:rPr>
          <w:spacing w:val="-5"/>
          <w:w w:val="101"/>
        </w:rPr>
        <w:t>更</w:t>
      </w:r>
      <w:r>
        <w:rPr>
          <w:w w:val="101"/>
        </w:rPr>
        <w:t>的</w:t>
      </w:r>
      <w:r>
        <w:rPr>
          <w:spacing w:val="-5"/>
          <w:w w:val="101"/>
        </w:rPr>
        <w:t>议</w:t>
      </w:r>
      <w:r>
        <w:rPr>
          <w:w w:val="101"/>
        </w:rPr>
        <w:t>案</w:t>
      </w:r>
      <w:r>
        <w:rPr>
          <w:spacing w:val="-92"/>
          <w:w w:val="101"/>
        </w:rPr>
        <w:t>》</w:t>
      </w:r>
      <w:r>
        <w:rPr>
          <w:spacing w:val="-5"/>
          <w:w w:val="101"/>
        </w:rPr>
        <w:t>，</w:t>
      </w:r>
      <w:r>
        <w:rPr>
          <w:w w:val="101"/>
        </w:rPr>
        <w:t>同</w:t>
      </w:r>
      <w:r>
        <w:rPr>
          <w:spacing w:val="-5"/>
          <w:w w:val="101"/>
        </w:rPr>
        <w:t>意</w:t>
      </w:r>
      <w:r>
        <w:rPr>
          <w:w w:val="101"/>
        </w:rPr>
        <w:t>公司</w:t>
      </w:r>
      <w:r>
        <w:rPr>
          <w:spacing w:val="-46"/>
        </w:rPr>
        <w:t> </w:t>
      </w:r>
      <w:r>
        <w:rPr>
          <w:rFonts w:ascii="Times New Roman" w:hAnsi="Times New Roman" w:cs="Times New Roman" w:eastAsia="Times New Roman" w:hint="default"/>
          <w:spacing w:val="-5"/>
          <w:w w:val="101"/>
        </w:rPr>
        <w:t>2</w:t>
      </w:r>
      <w:r>
        <w:rPr>
          <w:rFonts w:ascii="Times New Roman" w:hAnsi="Times New Roman" w:cs="Times New Roman" w:eastAsia="Times New Roman" w:hint="default"/>
          <w:w w:val="101"/>
        </w:rPr>
        <w:t>019</w:t>
      </w:r>
      <w:r>
        <w:rPr>
          <w:rFonts w:ascii="Times New Roman" w:hAnsi="Times New Roman" w:cs="Times New Roman" w:eastAsia="Times New Roman" w:hint="default"/>
          <w:spacing w:val="-12"/>
        </w:rPr>
        <w:t> </w:t>
      </w:r>
      <w:r>
        <w:rPr>
          <w:w w:val="101"/>
        </w:rPr>
        <w:t>年</w:t>
      </w:r>
      <w:r>
        <w:rPr>
          <w:spacing w:val="-47"/>
        </w:rPr>
        <w:t> </w:t>
      </w:r>
      <w:r>
        <w:rPr>
          <w:rFonts w:ascii="Times New Roman" w:hAnsi="Times New Roman" w:cs="Times New Roman" w:eastAsia="Times New Roman" w:hint="default"/>
          <w:w w:val="101"/>
        </w:rPr>
        <w:t>1</w:t>
      </w:r>
      <w:r>
        <w:rPr>
          <w:rFonts w:ascii="Times New Roman" w:hAnsi="Times New Roman" w:cs="Times New Roman" w:eastAsia="Times New Roman" w:hint="default"/>
        </w:rPr>
      </w:r>
    </w:p>
    <w:p>
      <w:pPr>
        <w:spacing w:line="240" w:lineRule="auto" w:before="10"/>
        <w:rPr>
          <w:rFonts w:ascii="Times New Roman" w:hAnsi="Times New Roman" w:cs="Times New Roman" w:eastAsia="Times New Roman" w:hint="default"/>
          <w:sz w:val="18"/>
          <w:szCs w:val="18"/>
        </w:rPr>
      </w:pPr>
    </w:p>
    <w:p>
      <w:pPr>
        <w:pStyle w:val="BodyText"/>
        <w:spacing w:line="240" w:lineRule="auto"/>
        <w:ind w:right="0"/>
        <w:jc w:val="left"/>
      </w:pPr>
      <w:r>
        <w:rPr/>
        <w:t>月 </w:t>
      </w:r>
      <w:r>
        <w:rPr>
          <w:rFonts w:ascii="Times New Roman" w:hAnsi="Times New Roman" w:cs="Times New Roman" w:eastAsia="Times New Roman" w:hint="default"/>
        </w:rPr>
        <w:t>1 </w:t>
      </w:r>
      <w:r>
        <w:rPr>
          <w:rFonts w:ascii="Times New Roman" w:hAnsi="Times New Roman" w:cs="Times New Roman" w:eastAsia="Times New Roman" w:hint="default"/>
          <w:spacing w:val="21"/>
        </w:rPr>
        <w:t> </w:t>
      </w:r>
      <w:r>
        <w:rPr>
          <w:spacing w:val="-3"/>
        </w:rPr>
        <w:t>日起执行上述新金融工具准则，并依据上述新金融工具准则的规定对相关会计政策进行变更。</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3"/>
          <w:szCs w:val="13"/>
        </w:rPr>
      </w:pPr>
    </w:p>
    <w:p>
      <w:pPr>
        <w:pStyle w:val="Heading3"/>
        <w:spacing w:line="240" w:lineRule="auto"/>
        <w:ind w:right="0"/>
        <w:jc w:val="left"/>
        <w:rPr>
          <w:b w:val="0"/>
          <w:bCs w:val="0"/>
        </w:rPr>
      </w:pPr>
      <w:bookmarkStart w:name="（4）2019年起执行新金融工具准则或新租赁准则追溯调整前期比较数据说明" w:id="221"/>
      <w:bookmarkEnd w:id="221"/>
      <w:r>
        <w:rPr>
          <w:b w:val="0"/>
          <w:bCs w:val="0"/>
        </w:rPr>
      </w:r>
      <w:r>
        <w:rPr/>
        <w:t>（</w:t>
      </w:r>
      <w:r>
        <w:rPr>
          <w:rFonts w:ascii="Times New Roman" w:hAnsi="Times New Roman" w:cs="Times New Roman" w:eastAsia="Times New Roman" w:hint="default"/>
        </w:rPr>
        <w:t>4</w:t>
      </w:r>
      <w:r>
        <w:rPr/>
        <w:t>）</w:t>
      </w:r>
      <w:r>
        <w:rPr>
          <w:rFonts w:ascii="Times New Roman" w:hAnsi="Times New Roman" w:cs="Times New Roman" w:eastAsia="Times New Roman" w:hint="default"/>
        </w:rPr>
        <w:t>2019</w:t>
      </w:r>
      <w:r>
        <w:rPr>
          <w:rFonts w:ascii="Times New Roman" w:hAnsi="Times New Roman" w:cs="Times New Roman" w:eastAsia="Times New Roman" w:hint="default"/>
          <w:spacing w:val="3"/>
        </w:rPr>
        <w:t> </w:t>
      </w:r>
      <w:r>
        <w:rPr/>
        <w:t>年起执行新金融工具准则或新租赁准则追溯调整前期比较数据说明</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9"/>
        <w:rPr>
          <w:rFonts w:ascii="宋体" w:hAnsi="宋体" w:cs="宋体" w:eastAsia="宋体" w:hint="default"/>
          <w:sz w:val="13"/>
          <w:szCs w:val="13"/>
        </w:rPr>
      </w:pPr>
    </w:p>
    <w:p>
      <w:pPr>
        <w:pStyle w:val="BodyText"/>
        <w:spacing w:line="240" w:lineRule="auto"/>
        <w:ind w:left="513" w:right="0"/>
        <w:jc w:val="left"/>
      </w:pPr>
      <w:r>
        <w:rPr>
          <w:spacing w:val="-3"/>
        </w:rPr>
        <w:t>①本公司金融资产在首次执行日按照修订前后金融工具确认计量准则的规定进行分类和计量结果对比如下：</w:t>
      </w:r>
    </w:p>
    <w:p>
      <w:pPr>
        <w:spacing w:line="240" w:lineRule="auto" w:before="12"/>
        <w:rPr>
          <w:rFonts w:ascii="宋体" w:hAnsi="宋体" w:cs="宋体" w:eastAsia="宋体" w:hint="default"/>
          <w:sz w:val="10"/>
          <w:szCs w:val="10"/>
        </w:rPr>
      </w:pPr>
    </w:p>
    <w:tbl>
      <w:tblPr>
        <w:tblW w:w="0" w:type="auto"/>
        <w:jc w:val="left"/>
        <w:tblInd w:w="134" w:type="dxa"/>
        <w:tblLayout w:type="fixed"/>
        <w:tblCellMar>
          <w:top w:w="0" w:type="dxa"/>
          <w:left w:w="0" w:type="dxa"/>
          <w:bottom w:w="0" w:type="dxa"/>
          <w:right w:w="0" w:type="dxa"/>
        </w:tblCellMar>
        <w:tblLook w:val="01E0"/>
      </w:tblPr>
      <w:tblGrid>
        <w:gridCol w:w="1618"/>
        <w:gridCol w:w="2252"/>
        <w:gridCol w:w="1772"/>
        <w:gridCol w:w="2252"/>
        <w:gridCol w:w="1767"/>
      </w:tblGrid>
      <w:tr>
        <w:trPr>
          <w:trHeight w:val="346" w:hRule="exact"/>
        </w:trPr>
        <w:tc>
          <w:tcPr>
            <w:tcW w:w="1618" w:type="dxa"/>
            <w:vMerge w:val="restart"/>
            <w:tcBorders>
              <w:top w:val="single" w:sz="6" w:space="0" w:color="000000"/>
              <w:left w:val="single" w:sz="6" w:space="0" w:color="000000"/>
              <w:right w:val="single" w:sz="6" w:space="0" w:color="000000"/>
            </w:tcBorders>
            <w:shd w:val="clear" w:color="auto" w:fill="D9D9D9"/>
          </w:tcPr>
          <w:p>
            <w:pPr>
              <w:pStyle w:val="TableParagraph"/>
              <w:spacing w:line="240" w:lineRule="auto" w:before="20"/>
              <w:ind w:left="263" w:right="0"/>
              <w:jc w:val="left"/>
              <w:rPr>
                <w:rFonts w:ascii="宋体" w:hAnsi="宋体" w:cs="宋体" w:eastAsia="宋体" w:hint="default"/>
                <w:sz w:val="18"/>
                <w:szCs w:val="18"/>
              </w:rPr>
            </w:pPr>
            <w:r>
              <w:rPr>
                <w:rFonts w:ascii="宋体" w:hAnsi="宋体" w:cs="宋体" w:eastAsia="宋体" w:hint="default"/>
                <w:sz w:val="18"/>
                <w:szCs w:val="18"/>
              </w:rPr>
              <w:t>金融资产类别</w:t>
            </w:r>
          </w:p>
        </w:tc>
        <w:tc>
          <w:tcPr>
            <w:tcW w:w="4024" w:type="dxa"/>
            <w:gridSpan w:val="2"/>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744" w:right="0"/>
              <w:jc w:val="left"/>
              <w:rPr>
                <w:rFonts w:ascii="宋体" w:hAnsi="宋体" w:cs="宋体" w:eastAsia="宋体" w:hint="default"/>
                <w:sz w:val="18"/>
                <w:szCs w:val="18"/>
              </w:rPr>
            </w:pPr>
            <w:r>
              <w:rPr>
                <w:rFonts w:ascii="宋体" w:hAnsi="宋体" w:cs="宋体" w:eastAsia="宋体" w:hint="default"/>
                <w:spacing w:val="-3"/>
                <w:sz w:val="18"/>
                <w:szCs w:val="18"/>
              </w:rPr>
              <w:t>修订前的金融工具确认计量准则</w:t>
            </w:r>
          </w:p>
        </w:tc>
        <w:tc>
          <w:tcPr>
            <w:tcW w:w="4020" w:type="dxa"/>
            <w:gridSpan w:val="2"/>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744" w:right="0"/>
              <w:jc w:val="left"/>
              <w:rPr>
                <w:rFonts w:ascii="宋体" w:hAnsi="宋体" w:cs="宋体" w:eastAsia="宋体" w:hint="default"/>
                <w:sz w:val="18"/>
                <w:szCs w:val="18"/>
              </w:rPr>
            </w:pPr>
            <w:r>
              <w:rPr>
                <w:rFonts w:ascii="宋体" w:hAnsi="宋体" w:cs="宋体" w:eastAsia="宋体" w:hint="default"/>
                <w:spacing w:val="-3"/>
                <w:sz w:val="18"/>
                <w:szCs w:val="18"/>
              </w:rPr>
              <w:t>修订后的金融工具确认计量准则</w:t>
            </w:r>
          </w:p>
        </w:tc>
      </w:tr>
      <w:tr>
        <w:trPr>
          <w:trHeight w:val="346" w:hRule="exact"/>
        </w:trPr>
        <w:tc>
          <w:tcPr>
            <w:tcW w:w="1618" w:type="dxa"/>
            <w:vMerge/>
            <w:tcBorders>
              <w:left w:val="single" w:sz="6" w:space="0" w:color="000000"/>
              <w:bottom w:val="single" w:sz="6" w:space="0" w:color="000000"/>
              <w:right w:val="single" w:sz="6" w:space="0" w:color="000000"/>
            </w:tcBorders>
            <w:shd w:val="clear" w:color="auto" w:fill="D9D9D9"/>
          </w:tcPr>
          <w:p>
            <w:pPr/>
          </w:p>
        </w:tc>
        <w:tc>
          <w:tcPr>
            <w:tcW w:w="225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计量类别</w:t>
            </w:r>
          </w:p>
        </w:tc>
        <w:tc>
          <w:tcPr>
            <w:tcW w:w="177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51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225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计量类别</w:t>
            </w:r>
          </w:p>
        </w:tc>
        <w:tc>
          <w:tcPr>
            <w:tcW w:w="176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518"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350" w:hRule="exact"/>
        </w:trPr>
        <w:tc>
          <w:tcPr>
            <w:tcW w:w="16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2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4" w:right="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摊余成本</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贷款和应收款项</w:t>
            </w:r>
            <w:r>
              <w:rPr>
                <w:rFonts w:ascii="Times New Roman" w:hAnsi="Times New Roman" w:cs="Times New Roman" w:eastAsia="Times New Roman" w:hint="default"/>
                <w:spacing w:val="-3"/>
                <w:sz w:val="18"/>
                <w:szCs w:val="18"/>
              </w:rPr>
              <w:t>)</w:t>
            </w:r>
          </w:p>
        </w:tc>
        <w:tc>
          <w:tcPr>
            <w:tcW w:w="17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right="-5"/>
              <w:jc w:val="right"/>
              <w:rPr>
                <w:rFonts w:ascii="Times New Roman" w:hAnsi="Times New Roman" w:cs="Times New Roman" w:eastAsia="Times New Roman" w:hint="default"/>
                <w:sz w:val="18"/>
                <w:szCs w:val="18"/>
              </w:rPr>
            </w:pPr>
            <w:r>
              <w:rPr>
                <w:rFonts w:ascii="Times New Roman"/>
                <w:spacing w:val="-1"/>
                <w:sz w:val="18"/>
              </w:rPr>
              <w:t>389,798,968.49</w:t>
            </w:r>
          </w:p>
        </w:tc>
        <w:tc>
          <w:tcPr>
            <w:tcW w:w="22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4"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7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right="-4"/>
              <w:jc w:val="right"/>
              <w:rPr>
                <w:rFonts w:ascii="Times New Roman" w:hAnsi="Times New Roman" w:cs="Times New Roman" w:eastAsia="Times New Roman" w:hint="default"/>
                <w:sz w:val="18"/>
                <w:szCs w:val="18"/>
              </w:rPr>
            </w:pPr>
            <w:r>
              <w:rPr>
                <w:rFonts w:ascii="Times New Roman"/>
                <w:spacing w:val="-1"/>
                <w:sz w:val="18"/>
              </w:rPr>
              <w:t>390,114,584.93</w:t>
            </w:r>
          </w:p>
        </w:tc>
      </w:tr>
      <w:tr>
        <w:trPr>
          <w:trHeight w:val="346" w:hRule="exact"/>
        </w:trPr>
        <w:tc>
          <w:tcPr>
            <w:tcW w:w="1618"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应收款项</w:t>
            </w:r>
          </w:p>
        </w:tc>
        <w:tc>
          <w:tcPr>
            <w:tcW w:w="2252"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 w:right="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摊余成本</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贷款和应收款项</w:t>
            </w:r>
            <w:r>
              <w:rPr>
                <w:rFonts w:ascii="Times New Roman" w:hAnsi="Times New Roman" w:cs="Times New Roman" w:eastAsia="Times New Roman" w:hint="default"/>
                <w:spacing w:val="-3"/>
                <w:sz w:val="18"/>
                <w:szCs w:val="18"/>
              </w:rPr>
              <w:t>)</w:t>
            </w:r>
          </w:p>
        </w:tc>
        <w:tc>
          <w:tcPr>
            <w:tcW w:w="1772"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33" w:right="-5"/>
              <w:jc w:val="left"/>
              <w:rPr>
                <w:rFonts w:ascii="Times New Roman" w:hAnsi="Times New Roman" w:cs="Times New Roman" w:eastAsia="Times New Roman" w:hint="default"/>
                <w:sz w:val="18"/>
                <w:szCs w:val="18"/>
              </w:rPr>
            </w:pPr>
            <w:r>
              <w:rPr>
                <w:rFonts w:ascii="Times New Roman"/>
                <w:spacing w:val="-1"/>
                <w:sz w:val="18"/>
              </w:rPr>
              <w:t>430,989,262.32</w:t>
            </w:r>
          </w:p>
        </w:tc>
        <w:tc>
          <w:tcPr>
            <w:tcW w:w="22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7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4"/>
              <w:jc w:val="right"/>
              <w:rPr>
                <w:rFonts w:ascii="Times New Roman" w:hAnsi="Times New Roman" w:cs="Times New Roman" w:eastAsia="Times New Roman" w:hint="default"/>
                <w:sz w:val="18"/>
                <w:szCs w:val="18"/>
              </w:rPr>
            </w:pPr>
            <w:r>
              <w:rPr>
                <w:rFonts w:ascii="Times New Roman"/>
                <w:spacing w:val="-1"/>
                <w:sz w:val="18"/>
              </w:rPr>
              <w:t>428,053,768.03</w:t>
            </w:r>
          </w:p>
        </w:tc>
      </w:tr>
      <w:tr>
        <w:trPr>
          <w:trHeight w:val="658" w:hRule="exact"/>
        </w:trPr>
        <w:tc>
          <w:tcPr>
            <w:tcW w:w="1618" w:type="dxa"/>
            <w:vMerge/>
            <w:tcBorders>
              <w:left w:val="single" w:sz="6" w:space="0" w:color="000000"/>
              <w:right w:val="single" w:sz="6" w:space="0" w:color="000000"/>
            </w:tcBorders>
          </w:tcPr>
          <w:p>
            <w:pPr/>
          </w:p>
        </w:tc>
        <w:tc>
          <w:tcPr>
            <w:tcW w:w="2252" w:type="dxa"/>
            <w:vMerge/>
            <w:tcBorders>
              <w:left w:val="single" w:sz="6" w:space="0" w:color="000000"/>
              <w:right w:val="single" w:sz="6" w:space="0" w:color="000000"/>
            </w:tcBorders>
          </w:tcPr>
          <w:p>
            <w:pPr/>
          </w:p>
        </w:tc>
        <w:tc>
          <w:tcPr>
            <w:tcW w:w="1772" w:type="dxa"/>
            <w:vMerge/>
            <w:tcBorders>
              <w:left w:val="single" w:sz="6" w:space="0" w:color="000000"/>
              <w:right w:val="single" w:sz="6" w:space="0" w:color="000000"/>
            </w:tcBorders>
          </w:tcPr>
          <w:p>
            <w:pPr/>
          </w:p>
        </w:tc>
        <w:tc>
          <w:tcPr>
            <w:tcW w:w="225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4" w:right="-9"/>
              <w:jc w:val="left"/>
              <w:rPr>
                <w:rFonts w:ascii="Times New Roman" w:hAnsi="Times New Roman" w:cs="Times New Roman" w:eastAsia="Times New Roman" w:hint="default"/>
                <w:sz w:val="18"/>
                <w:szCs w:val="18"/>
              </w:rPr>
            </w:pPr>
            <w:r>
              <w:rPr>
                <w:rFonts w:ascii="宋体" w:hAnsi="宋体" w:cs="宋体" w:eastAsia="宋体" w:hint="default"/>
                <w:spacing w:val="2"/>
                <w:sz w:val="18"/>
                <w:szCs w:val="18"/>
              </w:rPr>
              <w:t>以公允价值计量且其变动计</w:t>
            </w:r>
            <w:r>
              <w:rPr>
                <w:rFonts w:ascii="宋体" w:hAnsi="宋体" w:cs="宋体" w:eastAsia="宋体" w:hint="default"/>
                <w:spacing w:val="-42"/>
                <w:sz w:val="18"/>
                <w:szCs w:val="18"/>
              </w:rPr>
              <w:t> </w:t>
            </w:r>
            <w:r>
              <w:rPr>
                <w:rFonts w:ascii="宋体" w:hAnsi="宋体" w:cs="宋体" w:eastAsia="宋体" w:hint="default"/>
                <w:spacing w:val="-42"/>
                <w:sz w:val="18"/>
                <w:szCs w:val="18"/>
              </w:rPr>
            </w:r>
            <w:r>
              <w:rPr>
                <w:rFonts w:ascii="宋体" w:hAnsi="宋体" w:cs="宋体" w:eastAsia="宋体" w:hint="default"/>
                <w:spacing w:val="-3"/>
                <w:sz w:val="18"/>
                <w:szCs w:val="18"/>
              </w:rPr>
              <w:t>入当期损益</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准则要求</w:t>
            </w:r>
            <w:r>
              <w:rPr>
                <w:rFonts w:ascii="Times New Roman" w:hAnsi="Times New Roman" w:cs="Times New Roman" w:eastAsia="Times New Roman" w:hint="default"/>
                <w:spacing w:val="-3"/>
                <w:sz w:val="18"/>
                <w:szCs w:val="18"/>
              </w:rPr>
              <w:t>)</w:t>
            </w:r>
          </w:p>
        </w:tc>
        <w:tc>
          <w:tcPr>
            <w:tcW w:w="17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4"/>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r>
      <w:tr>
        <w:trPr>
          <w:trHeight w:val="662" w:hRule="exact"/>
        </w:trPr>
        <w:tc>
          <w:tcPr>
            <w:tcW w:w="1618" w:type="dxa"/>
            <w:vMerge/>
            <w:tcBorders>
              <w:left w:val="single" w:sz="6" w:space="0" w:color="000000"/>
              <w:bottom w:val="single" w:sz="6" w:space="0" w:color="000000"/>
              <w:right w:val="single" w:sz="6" w:space="0" w:color="000000"/>
            </w:tcBorders>
          </w:tcPr>
          <w:p>
            <w:pPr/>
          </w:p>
        </w:tc>
        <w:tc>
          <w:tcPr>
            <w:tcW w:w="2252" w:type="dxa"/>
            <w:vMerge/>
            <w:tcBorders>
              <w:left w:val="single" w:sz="6" w:space="0" w:color="000000"/>
              <w:bottom w:val="single" w:sz="6" w:space="0" w:color="000000"/>
              <w:right w:val="single" w:sz="6" w:space="0" w:color="000000"/>
            </w:tcBorders>
          </w:tcPr>
          <w:p>
            <w:pPr/>
          </w:p>
        </w:tc>
        <w:tc>
          <w:tcPr>
            <w:tcW w:w="1772" w:type="dxa"/>
            <w:vMerge/>
            <w:tcBorders>
              <w:left w:val="single" w:sz="6" w:space="0" w:color="000000"/>
              <w:bottom w:val="single" w:sz="6" w:space="0" w:color="000000"/>
              <w:right w:val="single" w:sz="6" w:space="0" w:color="000000"/>
            </w:tcBorders>
          </w:tcPr>
          <w:p>
            <w:pPr/>
          </w:p>
        </w:tc>
        <w:tc>
          <w:tcPr>
            <w:tcW w:w="225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5"/>
              <w:ind w:left="4" w:right="-9"/>
              <w:jc w:val="left"/>
              <w:rPr>
                <w:rFonts w:ascii="Times New Roman" w:hAnsi="Times New Roman" w:cs="Times New Roman" w:eastAsia="Times New Roman" w:hint="default"/>
                <w:sz w:val="18"/>
                <w:szCs w:val="18"/>
              </w:rPr>
            </w:pPr>
            <w:r>
              <w:rPr>
                <w:rFonts w:ascii="宋体" w:hAnsi="宋体" w:cs="宋体" w:eastAsia="宋体" w:hint="default"/>
                <w:spacing w:val="2"/>
                <w:sz w:val="18"/>
                <w:szCs w:val="18"/>
              </w:rPr>
              <w:t>以公允价值计量且其变动计</w:t>
            </w:r>
            <w:r>
              <w:rPr>
                <w:rFonts w:ascii="宋体" w:hAnsi="宋体" w:cs="宋体" w:eastAsia="宋体" w:hint="default"/>
                <w:spacing w:val="-42"/>
                <w:sz w:val="18"/>
                <w:szCs w:val="18"/>
              </w:rPr>
              <w:t> </w:t>
            </w:r>
            <w:r>
              <w:rPr>
                <w:rFonts w:ascii="宋体" w:hAnsi="宋体" w:cs="宋体" w:eastAsia="宋体" w:hint="default"/>
                <w:spacing w:val="-42"/>
                <w:sz w:val="18"/>
                <w:szCs w:val="18"/>
              </w:rPr>
            </w:r>
            <w:r>
              <w:rPr>
                <w:rFonts w:ascii="宋体" w:hAnsi="宋体" w:cs="宋体" w:eastAsia="宋体" w:hint="default"/>
                <w:spacing w:val="-3"/>
                <w:sz w:val="18"/>
                <w:szCs w:val="18"/>
              </w:rPr>
              <w:t>入其他综合收益</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准则要求</w:t>
            </w:r>
            <w:r>
              <w:rPr>
                <w:rFonts w:ascii="Times New Roman" w:hAnsi="Times New Roman" w:cs="Times New Roman" w:eastAsia="Times New Roman" w:hint="default"/>
                <w:spacing w:val="-3"/>
                <w:sz w:val="18"/>
                <w:szCs w:val="18"/>
              </w:rPr>
              <w:t>)</w:t>
            </w:r>
          </w:p>
        </w:tc>
        <w:tc>
          <w:tcPr>
            <w:tcW w:w="17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4"/>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r>
      <w:tr>
        <w:trPr>
          <w:trHeight w:val="658" w:hRule="exact"/>
        </w:trPr>
        <w:tc>
          <w:tcPr>
            <w:tcW w:w="16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pacing w:val="-3"/>
                <w:sz w:val="18"/>
                <w:szCs w:val="18"/>
              </w:rPr>
              <w:t>交易性金融资产</w:t>
            </w:r>
          </w:p>
        </w:tc>
        <w:tc>
          <w:tcPr>
            <w:tcW w:w="2252"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20"/>
              <w:ind w:left="4" w:right="-9"/>
              <w:jc w:val="left"/>
              <w:rPr>
                <w:rFonts w:ascii="Times New Roman" w:hAnsi="Times New Roman" w:cs="Times New Roman" w:eastAsia="Times New Roman" w:hint="default"/>
                <w:sz w:val="18"/>
                <w:szCs w:val="18"/>
              </w:rPr>
            </w:pPr>
            <w:r>
              <w:rPr>
                <w:rFonts w:ascii="宋体" w:hAnsi="宋体" w:cs="宋体" w:eastAsia="宋体" w:hint="default"/>
                <w:spacing w:val="2"/>
                <w:sz w:val="18"/>
                <w:szCs w:val="18"/>
              </w:rPr>
              <w:t>以公允价值计量且其变动计</w:t>
            </w:r>
            <w:r>
              <w:rPr>
                <w:rFonts w:ascii="宋体" w:hAnsi="宋体" w:cs="宋体" w:eastAsia="宋体" w:hint="default"/>
                <w:spacing w:val="-42"/>
                <w:sz w:val="18"/>
                <w:szCs w:val="18"/>
              </w:rPr>
              <w:t> </w:t>
            </w:r>
            <w:r>
              <w:rPr>
                <w:rFonts w:ascii="宋体" w:hAnsi="宋体" w:cs="宋体" w:eastAsia="宋体" w:hint="default"/>
                <w:spacing w:val="-42"/>
                <w:sz w:val="18"/>
                <w:szCs w:val="18"/>
              </w:rPr>
            </w:r>
            <w:r>
              <w:rPr>
                <w:rFonts w:ascii="宋体" w:hAnsi="宋体" w:cs="宋体" w:eastAsia="宋体" w:hint="default"/>
                <w:sz w:val="18"/>
                <w:szCs w:val="18"/>
              </w:rPr>
              <w:t>入当期损益</w:t>
            </w:r>
            <w:r>
              <w:rPr>
                <w:rFonts w:ascii="Times New Roman" w:hAnsi="Times New Roman" w:cs="Times New Roman" w:eastAsia="Times New Roman" w:hint="default"/>
                <w:sz w:val="18"/>
                <w:szCs w:val="18"/>
              </w:rPr>
              <w:t>(</w:t>
            </w:r>
            <w:r>
              <w:rPr>
                <w:rFonts w:ascii="宋体" w:hAnsi="宋体" w:cs="宋体" w:eastAsia="宋体" w:hint="default"/>
                <w:sz w:val="18"/>
                <w:szCs w:val="18"/>
              </w:rPr>
              <w:t>交易性</w:t>
            </w:r>
            <w:r>
              <w:rPr>
                <w:rFonts w:ascii="Times New Roman" w:hAnsi="Times New Roman" w:cs="Times New Roman" w:eastAsia="Times New Roman" w:hint="default"/>
                <w:sz w:val="18"/>
                <w:szCs w:val="18"/>
              </w:rPr>
              <w:t>)</w:t>
            </w:r>
          </w:p>
        </w:tc>
        <w:tc>
          <w:tcPr>
            <w:tcW w:w="17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4"/>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2252"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20"/>
              <w:ind w:left="4" w:right="-9"/>
              <w:jc w:val="left"/>
              <w:rPr>
                <w:rFonts w:ascii="Times New Roman" w:hAnsi="Times New Roman" w:cs="Times New Roman" w:eastAsia="Times New Roman" w:hint="default"/>
                <w:sz w:val="18"/>
                <w:szCs w:val="18"/>
              </w:rPr>
            </w:pPr>
            <w:r>
              <w:rPr>
                <w:rFonts w:ascii="宋体" w:hAnsi="宋体" w:cs="宋体" w:eastAsia="宋体" w:hint="default"/>
                <w:spacing w:val="2"/>
                <w:sz w:val="18"/>
                <w:szCs w:val="18"/>
              </w:rPr>
              <w:t>以公允价值计量且其变动计</w:t>
            </w:r>
            <w:r>
              <w:rPr>
                <w:rFonts w:ascii="宋体" w:hAnsi="宋体" w:cs="宋体" w:eastAsia="宋体" w:hint="default"/>
                <w:spacing w:val="-42"/>
                <w:sz w:val="18"/>
                <w:szCs w:val="18"/>
              </w:rPr>
              <w:t> </w:t>
            </w:r>
            <w:r>
              <w:rPr>
                <w:rFonts w:ascii="宋体" w:hAnsi="宋体" w:cs="宋体" w:eastAsia="宋体" w:hint="default"/>
                <w:spacing w:val="-42"/>
                <w:sz w:val="18"/>
                <w:szCs w:val="18"/>
              </w:rPr>
            </w:r>
            <w:r>
              <w:rPr>
                <w:rFonts w:ascii="宋体" w:hAnsi="宋体" w:cs="宋体" w:eastAsia="宋体" w:hint="default"/>
                <w:spacing w:val="-3"/>
                <w:sz w:val="18"/>
                <w:szCs w:val="18"/>
              </w:rPr>
              <w:t>入当期损益</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准则要求</w:t>
            </w:r>
            <w:r>
              <w:rPr>
                <w:rFonts w:ascii="Times New Roman" w:hAnsi="Times New Roman" w:cs="Times New Roman" w:eastAsia="Times New Roman" w:hint="default"/>
                <w:spacing w:val="-3"/>
                <w:sz w:val="18"/>
                <w:szCs w:val="18"/>
              </w:rPr>
              <w:t>)</w:t>
            </w:r>
          </w:p>
        </w:tc>
        <w:tc>
          <w:tcPr>
            <w:tcW w:w="17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4"/>
              <w:jc w:val="right"/>
              <w:rPr>
                <w:rFonts w:ascii="Times New Roman" w:hAnsi="Times New Roman" w:cs="Times New Roman" w:eastAsia="Times New Roman" w:hint="default"/>
                <w:sz w:val="18"/>
                <w:szCs w:val="18"/>
              </w:rPr>
            </w:pPr>
            <w:r>
              <w:rPr>
                <w:rFonts w:ascii="Times New Roman"/>
                <w:spacing w:val="-1"/>
                <w:sz w:val="18"/>
              </w:rPr>
              <w:t>67,000,000.00</w:t>
            </w:r>
          </w:p>
        </w:tc>
      </w:tr>
      <w:tr>
        <w:trPr>
          <w:trHeight w:val="346" w:hRule="exact"/>
        </w:trPr>
        <w:tc>
          <w:tcPr>
            <w:tcW w:w="1618" w:type="dxa"/>
            <w:vMerge w:val="restart"/>
            <w:tcBorders>
              <w:top w:val="single" w:sz="6" w:space="0" w:color="000000"/>
              <w:left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证券投资</w:t>
            </w:r>
          </w:p>
        </w:tc>
        <w:tc>
          <w:tcPr>
            <w:tcW w:w="22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摊余成本</w:t>
            </w:r>
            <w:r>
              <w:rPr>
                <w:rFonts w:ascii="宋体" w:hAnsi="宋体" w:cs="宋体" w:eastAsia="宋体" w:hint="default"/>
                <w:sz w:val="18"/>
                <w:szCs w:val="18"/>
              </w:rPr>
              <w:t>(</w:t>
            </w:r>
            <w:r>
              <w:rPr>
                <w:rFonts w:ascii="宋体" w:hAnsi="宋体" w:cs="宋体" w:eastAsia="宋体" w:hint="default"/>
                <w:sz w:val="18"/>
                <w:szCs w:val="18"/>
              </w:rPr>
              <w:t>持有至到期</w:t>
            </w:r>
            <w:r>
              <w:rPr>
                <w:rFonts w:ascii="宋体" w:hAnsi="宋体" w:cs="宋体" w:eastAsia="宋体" w:hint="default"/>
                <w:sz w:val="18"/>
                <w:szCs w:val="18"/>
              </w:rPr>
              <w:t>)</w:t>
            </w:r>
          </w:p>
        </w:tc>
        <w:tc>
          <w:tcPr>
            <w:tcW w:w="17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5"/>
              <w:jc w:val="right"/>
              <w:rPr>
                <w:rFonts w:ascii="Times New Roman" w:hAnsi="Times New Roman" w:cs="Times New Roman" w:eastAsia="Times New Roman" w:hint="default"/>
                <w:sz w:val="18"/>
                <w:szCs w:val="18"/>
              </w:rPr>
            </w:pPr>
            <w:r>
              <w:rPr>
                <w:rFonts w:ascii="Times New Roman"/>
                <w:spacing w:val="-1"/>
                <w:sz w:val="18"/>
              </w:rPr>
              <w:t>67,000,000.00</w:t>
            </w:r>
          </w:p>
        </w:tc>
        <w:tc>
          <w:tcPr>
            <w:tcW w:w="22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7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4"/>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r>
      <w:tr>
        <w:trPr>
          <w:trHeight w:val="350" w:hRule="exact"/>
        </w:trPr>
        <w:tc>
          <w:tcPr>
            <w:tcW w:w="1618" w:type="dxa"/>
            <w:vMerge/>
            <w:tcBorders>
              <w:left w:val="single" w:sz="6" w:space="0" w:color="000000"/>
              <w:bottom w:val="single" w:sz="6" w:space="0" w:color="000000"/>
              <w:right w:val="single" w:sz="6" w:space="0" w:color="000000"/>
            </w:tcBorders>
          </w:tcPr>
          <w:p>
            <w:pPr/>
          </w:p>
        </w:tc>
        <w:tc>
          <w:tcPr>
            <w:tcW w:w="22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9"/>
              <w:jc w:val="left"/>
              <w:rPr>
                <w:rFonts w:ascii="宋体" w:hAnsi="宋体" w:cs="宋体" w:eastAsia="宋体" w:hint="default"/>
                <w:sz w:val="18"/>
                <w:szCs w:val="18"/>
              </w:rPr>
            </w:pPr>
            <w:r>
              <w:rPr>
                <w:rFonts w:ascii="宋体" w:hAnsi="宋体" w:cs="宋体" w:eastAsia="宋体" w:hint="default"/>
                <w:spacing w:val="2"/>
                <w:sz w:val="18"/>
                <w:szCs w:val="18"/>
              </w:rPr>
              <w:t>以公允价值计量且其变动计</w:t>
            </w:r>
            <w:r>
              <w:rPr>
                <w:rFonts w:ascii="宋体" w:hAnsi="宋体" w:cs="宋体" w:eastAsia="宋体" w:hint="default"/>
                <w:sz w:val="18"/>
                <w:szCs w:val="18"/>
              </w:rPr>
            </w:r>
          </w:p>
        </w:tc>
        <w:tc>
          <w:tcPr>
            <w:tcW w:w="1772" w:type="dxa"/>
            <w:tcBorders>
              <w:top w:val="single" w:sz="6" w:space="0" w:color="000000"/>
              <w:left w:val="single" w:sz="6" w:space="0" w:color="000000"/>
              <w:bottom w:val="single" w:sz="6" w:space="0" w:color="000000"/>
              <w:right w:val="single" w:sz="6" w:space="0" w:color="000000"/>
            </w:tcBorders>
          </w:tcPr>
          <w:p>
            <w:pPr/>
          </w:p>
        </w:tc>
        <w:tc>
          <w:tcPr>
            <w:tcW w:w="2252" w:type="dxa"/>
            <w:tcBorders>
              <w:top w:val="single" w:sz="6" w:space="0" w:color="000000"/>
              <w:left w:val="single" w:sz="6" w:space="0" w:color="000000"/>
              <w:bottom w:val="single" w:sz="6" w:space="0" w:color="000000"/>
              <w:right w:val="single" w:sz="6" w:space="0" w:color="000000"/>
            </w:tcBorders>
          </w:tcPr>
          <w:p>
            <w:pPr/>
          </w:p>
        </w:tc>
        <w:tc>
          <w:tcPr>
            <w:tcW w:w="1767"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40"/>
          <w:pgMar w:header="871" w:footer="1186" w:top="1100" w:bottom="1380" w:left="980" w:right="0"/>
        </w:sectPr>
      </w:pPr>
    </w:p>
    <w:p>
      <w:pPr>
        <w:spacing w:line="240" w:lineRule="auto" w:before="8"/>
        <w:rPr>
          <w:rFonts w:ascii="宋体" w:hAnsi="宋体" w:cs="宋体" w:eastAsia="宋体" w:hint="default"/>
          <w:sz w:val="24"/>
          <w:szCs w:val="24"/>
        </w:rPr>
      </w:pPr>
    </w:p>
    <w:tbl>
      <w:tblPr>
        <w:tblW w:w="0" w:type="auto"/>
        <w:jc w:val="left"/>
        <w:tblInd w:w="134" w:type="dxa"/>
        <w:tblLayout w:type="fixed"/>
        <w:tblCellMar>
          <w:top w:w="0" w:type="dxa"/>
          <w:left w:w="0" w:type="dxa"/>
          <w:bottom w:w="0" w:type="dxa"/>
          <w:right w:w="0" w:type="dxa"/>
        </w:tblCellMar>
        <w:tblLook w:val="01E0"/>
      </w:tblPr>
      <w:tblGrid>
        <w:gridCol w:w="1618"/>
        <w:gridCol w:w="2252"/>
        <w:gridCol w:w="1772"/>
        <w:gridCol w:w="2252"/>
        <w:gridCol w:w="1771"/>
      </w:tblGrid>
      <w:tr>
        <w:trPr>
          <w:trHeight w:val="658" w:hRule="exact"/>
        </w:trPr>
        <w:tc>
          <w:tcPr>
            <w:tcW w:w="1618" w:type="dxa"/>
            <w:vMerge w:val="restart"/>
            <w:tcBorders>
              <w:top w:val="single" w:sz="6" w:space="0" w:color="000000"/>
              <w:left w:val="single" w:sz="6" w:space="0" w:color="000000"/>
              <w:right w:val="single" w:sz="6" w:space="0" w:color="000000"/>
            </w:tcBorders>
          </w:tcPr>
          <w:p>
            <w:pPr/>
          </w:p>
        </w:tc>
        <w:tc>
          <w:tcPr>
            <w:tcW w:w="2252" w:type="dxa"/>
            <w:vMerge w:val="restart"/>
            <w:tcBorders>
              <w:top w:val="single" w:sz="6" w:space="0" w:color="000000"/>
              <w:left w:val="single" w:sz="6" w:space="0" w:color="000000"/>
              <w:right w:val="single" w:sz="6" w:space="0" w:color="000000"/>
            </w:tcBorders>
          </w:tcPr>
          <w:p>
            <w:pPr>
              <w:pStyle w:val="TableParagraph"/>
              <w:spacing w:line="300" w:lineRule="auto" w:before="20"/>
              <w:ind w:left="4" w:right="-5"/>
              <w:jc w:val="left"/>
              <w:rPr>
                <w:rFonts w:ascii="Times New Roman" w:hAnsi="Times New Roman" w:cs="Times New Roman" w:eastAsia="Times New Roman" w:hint="default"/>
                <w:sz w:val="18"/>
                <w:szCs w:val="18"/>
              </w:rPr>
            </w:pPr>
            <w:r>
              <w:rPr>
                <w:rFonts w:ascii="宋体" w:hAnsi="宋体" w:cs="宋体" w:eastAsia="宋体" w:hint="default"/>
                <w:spacing w:val="-2"/>
                <w:sz w:val="18"/>
                <w:szCs w:val="18"/>
              </w:rPr>
              <w:t>入其他综合收益</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可供出售类</w:t>
            </w:r>
            <w:r>
              <w:rPr>
                <w:rFonts w:ascii="宋体" w:hAnsi="宋体" w:cs="宋体" w:eastAsia="宋体" w:hint="default"/>
                <w:spacing w:val="-49"/>
                <w:sz w:val="18"/>
                <w:szCs w:val="18"/>
              </w:rPr>
              <w:t> </w:t>
            </w:r>
            <w:r>
              <w:rPr>
                <w:rFonts w:ascii="宋体" w:hAnsi="宋体" w:cs="宋体" w:eastAsia="宋体" w:hint="default"/>
                <w:spacing w:val="-49"/>
                <w:sz w:val="18"/>
                <w:szCs w:val="18"/>
              </w:rPr>
            </w:r>
            <w:r>
              <w:rPr>
                <w:rFonts w:ascii="宋体" w:hAnsi="宋体" w:cs="宋体" w:eastAsia="宋体" w:hint="default"/>
                <w:sz w:val="18"/>
                <w:szCs w:val="18"/>
              </w:rPr>
              <w:t>权益工具</w:t>
            </w:r>
            <w:r>
              <w:rPr>
                <w:rFonts w:ascii="Times New Roman" w:hAnsi="Times New Roman" w:cs="Times New Roman" w:eastAsia="Times New Roman" w:hint="default"/>
                <w:sz w:val="18"/>
                <w:szCs w:val="18"/>
              </w:rPr>
              <w:t>)</w:t>
            </w:r>
          </w:p>
        </w:tc>
        <w:tc>
          <w:tcPr>
            <w:tcW w:w="1772"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3"/>
                <w:szCs w:val="23"/>
              </w:rPr>
            </w:pPr>
          </w:p>
          <w:p>
            <w:pPr>
              <w:pStyle w:val="TableParagraph"/>
              <w:spacing w:line="240" w:lineRule="auto"/>
              <w:ind w:left="811" w:right="-5"/>
              <w:jc w:val="left"/>
              <w:rPr>
                <w:rFonts w:ascii="Times New Roman" w:hAnsi="Times New Roman" w:cs="Times New Roman" w:eastAsia="Times New Roman" w:hint="default"/>
                <w:sz w:val="18"/>
                <w:szCs w:val="18"/>
              </w:rPr>
            </w:pPr>
            <w:r>
              <w:rPr>
                <w:rFonts w:ascii="Times New Roman"/>
                <w:sz w:val="18"/>
              </w:rPr>
              <w:t>3,000,000.00</w:t>
            </w:r>
          </w:p>
        </w:tc>
        <w:tc>
          <w:tcPr>
            <w:tcW w:w="225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4" w:right="-9"/>
              <w:jc w:val="left"/>
              <w:rPr>
                <w:rFonts w:ascii="Times New Roman" w:hAnsi="Times New Roman" w:cs="Times New Roman" w:eastAsia="Times New Roman" w:hint="default"/>
                <w:sz w:val="18"/>
                <w:szCs w:val="18"/>
              </w:rPr>
            </w:pPr>
            <w:r>
              <w:rPr>
                <w:rFonts w:ascii="宋体" w:hAnsi="宋体" w:cs="宋体" w:eastAsia="宋体" w:hint="default"/>
                <w:spacing w:val="2"/>
                <w:sz w:val="18"/>
                <w:szCs w:val="18"/>
              </w:rPr>
              <w:t>以公允价值计量且其变动计</w:t>
            </w:r>
            <w:r>
              <w:rPr>
                <w:rFonts w:ascii="宋体" w:hAnsi="宋体" w:cs="宋体" w:eastAsia="宋体" w:hint="default"/>
                <w:spacing w:val="-42"/>
                <w:sz w:val="18"/>
                <w:szCs w:val="18"/>
              </w:rPr>
              <w:t> </w:t>
            </w:r>
            <w:r>
              <w:rPr>
                <w:rFonts w:ascii="宋体" w:hAnsi="宋体" w:cs="宋体" w:eastAsia="宋体" w:hint="default"/>
                <w:spacing w:val="-42"/>
                <w:sz w:val="18"/>
                <w:szCs w:val="18"/>
              </w:rPr>
            </w:r>
            <w:r>
              <w:rPr>
                <w:rFonts w:ascii="宋体" w:hAnsi="宋体" w:cs="宋体" w:eastAsia="宋体" w:hint="default"/>
                <w:spacing w:val="-3"/>
                <w:sz w:val="18"/>
                <w:szCs w:val="18"/>
              </w:rPr>
              <w:t>入其他综合收益</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指定</w:t>
            </w:r>
            <w:r>
              <w:rPr>
                <w:rFonts w:ascii="Times New Roman" w:hAnsi="Times New Roman" w:cs="Times New Roman" w:eastAsia="Times New Roman" w:hint="default"/>
                <w:spacing w:val="-3"/>
                <w:sz w:val="18"/>
                <w:szCs w:val="18"/>
              </w:rPr>
              <w:t>)</w:t>
            </w:r>
          </w:p>
        </w:tc>
        <w:tc>
          <w:tcPr>
            <w:tcW w:w="17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
                <w:sz w:val="18"/>
              </w:rPr>
              <w:t>30,000,000.00</w:t>
            </w:r>
          </w:p>
        </w:tc>
      </w:tr>
      <w:tr>
        <w:trPr>
          <w:trHeight w:val="663" w:hRule="exact"/>
        </w:trPr>
        <w:tc>
          <w:tcPr>
            <w:tcW w:w="1618" w:type="dxa"/>
            <w:vMerge/>
            <w:tcBorders>
              <w:left w:val="single" w:sz="6" w:space="0" w:color="000000"/>
              <w:bottom w:val="single" w:sz="6" w:space="0" w:color="000000"/>
              <w:right w:val="single" w:sz="6" w:space="0" w:color="000000"/>
            </w:tcBorders>
          </w:tcPr>
          <w:p>
            <w:pPr/>
          </w:p>
        </w:tc>
        <w:tc>
          <w:tcPr>
            <w:tcW w:w="2252" w:type="dxa"/>
            <w:vMerge/>
            <w:tcBorders>
              <w:left w:val="single" w:sz="6" w:space="0" w:color="000000"/>
              <w:bottom w:val="single" w:sz="6" w:space="0" w:color="000000"/>
              <w:right w:val="single" w:sz="6" w:space="0" w:color="000000"/>
            </w:tcBorders>
          </w:tcPr>
          <w:p>
            <w:pPr/>
          </w:p>
        </w:tc>
        <w:tc>
          <w:tcPr>
            <w:tcW w:w="1772" w:type="dxa"/>
            <w:vMerge/>
            <w:tcBorders>
              <w:left w:val="single" w:sz="6" w:space="0" w:color="000000"/>
              <w:bottom w:val="single" w:sz="6" w:space="0" w:color="000000"/>
              <w:right w:val="single" w:sz="6" w:space="0" w:color="000000"/>
            </w:tcBorders>
          </w:tcPr>
          <w:p>
            <w:pPr/>
          </w:p>
        </w:tc>
        <w:tc>
          <w:tcPr>
            <w:tcW w:w="2252"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20"/>
              <w:ind w:left="4" w:right="-9"/>
              <w:jc w:val="left"/>
              <w:rPr>
                <w:rFonts w:ascii="Times New Roman" w:hAnsi="Times New Roman" w:cs="Times New Roman" w:eastAsia="Times New Roman" w:hint="default"/>
                <w:sz w:val="18"/>
                <w:szCs w:val="18"/>
              </w:rPr>
            </w:pPr>
            <w:r>
              <w:rPr>
                <w:rFonts w:ascii="宋体" w:hAnsi="宋体" w:cs="宋体" w:eastAsia="宋体" w:hint="default"/>
                <w:spacing w:val="2"/>
                <w:sz w:val="18"/>
                <w:szCs w:val="18"/>
              </w:rPr>
              <w:t>以公允价值计量且其变动计</w:t>
            </w:r>
            <w:r>
              <w:rPr>
                <w:rFonts w:ascii="宋体" w:hAnsi="宋体" w:cs="宋体" w:eastAsia="宋体" w:hint="default"/>
                <w:spacing w:val="-42"/>
                <w:sz w:val="18"/>
                <w:szCs w:val="18"/>
              </w:rPr>
              <w:t> </w:t>
            </w:r>
            <w:r>
              <w:rPr>
                <w:rFonts w:ascii="宋体" w:hAnsi="宋体" w:cs="宋体" w:eastAsia="宋体" w:hint="default"/>
                <w:spacing w:val="-42"/>
                <w:sz w:val="18"/>
                <w:szCs w:val="18"/>
              </w:rPr>
            </w:r>
            <w:r>
              <w:rPr>
                <w:rFonts w:ascii="宋体" w:hAnsi="宋体" w:cs="宋体" w:eastAsia="宋体" w:hint="default"/>
                <w:spacing w:val="-3"/>
                <w:sz w:val="18"/>
                <w:szCs w:val="18"/>
              </w:rPr>
              <w:t>入当期损益</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准则要求</w:t>
            </w:r>
            <w:r>
              <w:rPr>
                <w:rFonts w:ascii="Times New Roman" w:hAnsi="Times New Roman" w:cs="Times New Roman" w:eastAsia="Times New Roman" w:hint="default"/>
                <w:spacing w:val="-3"/>
                <w:sz w:val="18"/>
                <w:szCs w:val="18"/>
              </w:rPr>
              <w:t>)</w:t>
            </w:r>
          </w:p>
        </w:tc>
        <w:tc>
          <w:tcPr>
            <w:tcW w:w="17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r>
    </w:tbl>
    <w:p>
      <w:pPr>
        <w:pStyle w:val="BodyText"/>
        <w:spacing w:line="475" w:lineRule="auto" w:before="92"/>
        <w:ind w:right="1029" w:firstLine="360"/>
        <w:jc w:val="left"/>
      </w:pPr>
      <w:r>
        <w:rPr/>
        <w:pict>
          <v:shape style="position:absolute;margin-left:55.703999pt;margin-top:46.791759pt;width:484.2pt;height:571.65pt;mso-position-horizontal-relative:page;mso-position-vertical-relative:paragraph;z-index:167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257"/>
                    <w:gridCol w:w="2093"/>
                    <w:gridCol w:w="1772"/>
                    <w:gridCol w:w="1633"/>
                    <w:gridCol w:w="1907"/>
                  </w:tblGrid>
                  <w:tr>
                    <w:trPr>
                      <w:trHeight w:val="970" w:hRule="exact"/>
                    </w:trPr>
                    <w:tc>
                      <w:tcPr>
                        <w:tcW w:w="225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14"/>
                            <w:sz w:val="18"/>
                            <w:szCs w:val="18"/>
                          </w:rPr>
                          <w:t> </w:t>
                        </w:r>
                        <w:r>
                          <w:rPr>
                            <w:rFonts w:ascii="宋体" w:hAnsi="宋体" w:cs="宋体" w:eastAsia="宋体" w:hint="default"/>
                            <w:sz w:val="18"/>
                            <w:szCs w:val="18"/>
                          </w:rPr>
                          <w:t>目</w:t>
                        </w:r>
                      </w:p>
                    </w:tc>
                    <w:tc>
                      <w:tcPr>
                        <w:tcW w:w="209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319" w:lineRule="auto" w:before="20"/>
                          <w:ind w:left="321" w:right="310"/>
                          <w:jc w:val="center"/>
                          <w:rPr>
                            <w:rFonts w:ascii="Times New Roman" w:hAnsi="Times New Roman" w:cs="Times New Roman" w:eastAsia="Times New Roman" w:hint="default"/>
                            <w:sz w:val="18"/>
                            <w:szCs w:val="18"/>
                          </w:rPr>
                        </w:pPr>
                        <w:r>
                          <w:rPr>
                            <w:rFonts w:ascii="宋体" w:hAnsi="宋体" w:cs="宋体" w:eastAsia="宋体" w:hint="default"/>
                            <w:spacing w:val="-2"/>
                            <w:sz w:val="18"/>
                            <w:szCs w:val="18"/>
                          </w:rPr>
                          <w:t>按原金融工具准则</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3"/>
                            <w:sz w:val="18"/>
                            <w:szCs w:val="18"/>
                          </w:rPr>
                          <w:t>列示的账面价值</w:t>
                        </w:r>
                        <w:r>
                          <w:rPr>
                            <w:rFonts w:ascii="宋体" w:hAnsi="宋体" w:cs="宋体" w:eastAsia="宋体" w:hint="default"/>
                            <w:w w:val="101"/>
                            <w:sz w:val="18"/>
                            <w:szCs w:val="18"/>
                          </w:rPr>
                          <w:t> </w:t>
                        </w: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r>
                          <w:rPr>
                            <w:rFonts w:ascii="Times New Roman" w:hAnsi="Times New Roman" w:cs="Times New Roman" w:eastAsia="Times New Roman" w:hint="default"/>
                            <w:sz w:val="18"/>
                            <w:szCs w:val="18"/>
                          </w:rPr>
                          <w:t>)</w:t>
                        </w:r>
                      </w:p>
                    </w:tc>
                    <w:tc>
                      <w:tcPr>
                        <w:tcW w:w="177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重分类</w:t>
                        </w:r>
                      </w:p>
                    </w:tc>
                    <w:tc>
                      <w:tcPr>
                        <w:tcW w:w="163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left="446" w:right="0"/>
                          <w:jc w:val="left"/>
                          <w:rPr>
                            <w:rFonts w:ascii="宋体" w:hAnsi="宋体" w:cs="宋体" w:eastAsia="宋体" w:hint="default"/>
                            <w:sz w:val="18"/>
                            <w:szCs w:val="18"/>
                          </w:rPr>
                        </w:pPr>
                        <w:r>
                          <w:rPr>
                            <w:rFonts w:ascii="宋体" w:hAnsi="宋体" w:cs="宋体" w:eastAsia="宋体" w:hint="default"/>
                            <w:sz w:val="18"/>
                            <w:szCs w:val="18"/>
                          </w:rPr>
                          <w:t>重新计量</w:t>
                        </w:r>
                      </w:p>
                    </w:tc>
                    <w:tc>
                      <w:tcPr>
                        <w:tcW w:w="190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319" w:lineRule="auto" w:before="20"/>
                          <w:ind w:left="225" w:right="219"/>
                          <w:jc w:val="center"/>
                          <w:rPr>
                            <w:rFonts w:ascii="Times New Roman" w:hAnsi="Times New Roman" w:cs="Times New Roman" w:eastAsia="Times New Roman" w:hint="default"/>
                            <w:sz w:val="18"/>
                            <w:szCs w:val="18"/>
                          </w:rPr>
                        </w:pPr>
                        <w:r>
                          <w:rPr>
                            <w:rFonts w:ascii="宋体" w:hAnsi="宋体" w:cs="宋体" w:eastAsia="宋体" w:hint="default"/>
                            <w:spacing w:val="-2"/>
                            <w:sz w:val="18"/>
                            <w:szCs w:val="18"/>
                          </w:rPr>
                          <w:t>按新金融工具准则</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3"/>
                            <w:sz w:val="18"/>
                            <w:szCs w:val="18"/>
                          </w:rPr>
                          <w:t>列示的账面价值</w:t>
                        </w:r>
                        <w:r>
                          <w:rPr>
                            <w:rFonts w:ascii="宋体" w:hAnsi="宋体" w:cs="宋体" w:eastAsia="宋体" w:hint="default"/>
                            <w:w w:val="101"/>
                            <w:sz w:val="18"/>
                            <w:szCs w:val="18"/>
                          </w:rPr>
                          <w:t> </w:t>
                        </w: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w:t>
                        </w:r>
                        <w:r>
                          <w:rPr>
                            <w:rFonts w:ascii="Times New Roman" w:hAnsi="Times New Roman" w:cs="Times New Roman" w:eastAsia="Times New Roman" w:hint="default"/>
                            <w:sz w:val="18"/>
                            <w:szCs w:val="18"/>
                          </w:rPr>
                          <w:t>)</w:t>
                        </w:r>
                      </w:p>
                    </w:tc>
                  </w:tr>
                  <w:tr>
                    <w:trPr>
                      <w:trHeight w:val="346" w:hRule="exact"/>
                    </w:trPr>
                    <w:tc>
                      <w:tcPr>
                        <w:tcW w:w="9662" w:type="dxa"/>
                        <w:gridSpan w:val="5"/>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摊余成本</w:t>
                        </w:r>
                      </w:p>
                    </w:tc>
                  </w:tr>
                  <w:tr>
                    <w:trPr>
                      <w:trHeight w:val="350" w:hRule="exact"/>
                    </w:trPr>
                    <w:tc>
                      <w:tcPr>
                        <w:tcW w:w="22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093" w:type="dxa"/>
                        <w:tcBorders>
                          <w:top w:val="single" w:sz="6" w:space="0" w:color="000000"/>
                          <w:left w:val="single" w:sz="6" w:space="0" w:color="000000"/>
                          <w:bottom w:val="single" w:sz="6" w:space="0" w:color="000000"/>
                          <w:right w:val="single" w:sz="6" w:space="0" w:color="000000"/>
                        </w:tcBorders>
                      </w:tcPr>
                      <w:p>
                        <w:pPr/>
                      </w:p>
                    </w:tc>
                    <w:tc>
                      <w:tcPr>
                        <w:tcW w:w="1772" w:type="dxa"/>
                        <w:tcBorders>
                          <w:top w:val="single" w:sz="6" w:space="0" w:color="000000"/>
                          <w:left w:val="single" w:sz="6" w:space="0" w:color="000000"/>
                          <w:bottom w:val="single" w:sz="6" w:space="0" w:color="000000"/>
                          <w:right w:val="single" w:sz="6" w:space="0" w:color="000000"/>
                        </w:tcBorders>
                      </w:tcPr>
                      <w:p>
                        <w:pPr/>
                      </w:p>
                    </w:tc>
                    <w:tc>
                      <w:tcPr>
                        <w:tcW w:w="1633" w:type="dxa"/>
                        <w:tcBorders>
                          <w:top w:val="single" w:sz="6" w:space="0" w:color="000000"/>
                          <w:left w:val="single" w:sz="6" w:space="0" w:color="000000"/>
                          <w:bottom w:val="single" w:sz="6" w:space="0" w:color="000000"/>
                          <w:right w:val="single" w:sz="6" w:space="0" w:color="000000"/>
                        </w:tcBorders>
                      </w:tcPr>
                      <w:p>
                        <w:pPr/>
                      </w:p>
                    </w:tc>
                    <w:tc>
                      <w:tcPr>
                        <w:tcW w:w="1907" w:type="dxa"/>
                        <w:tcBorders>
                          <w:top w:val="single" w:sz="6" w:space="0" w:color="000000"/>
                          <w:left w:val="single" w:sz="6" w:space="0" w:color="000000"/>
                          <w:bottom w:val="single" w:sz="6" w:space="0" w:color="000000"/>
                          <w:right w:val="single" w:sz="6" w:space="0" w:color="000000"/>
                        </w:tcBorders>
                      </w:tcPr>
                      <w:p>
                        <w:pPr/>
                      </w:p>
                    </w:tc>
                  </w:tr>
                  <w:tr>
                    <w:trPr>
                      <w:trHeight w:val="658" w:hRule="exact"/>
                    </w:trPr>
                    <w:tc>
                      <w:tcPr>
                        <w:tcW w:w="2257"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0"/>
                          <w:ind w:left="4" w:right="-4"/>
                          <w:jc w:val="left"/>
                          <w:rPr>
                            <w:rFonts w:ascii="宋体" w:hAnsi="宋体" w:cs="宋体" w:eastAsia="宋体" w:hint="default"/>
                            <w:sz w:val="18"/>
                            <w:szCs w:val="18"/>
                          </w:rPr>
                        </w:pPr>
                        <w:r>
                          <w:rPr>
                            <w:rFonts w:ascii="宋体" w:hAnsi="宋体" w:cs="宋体" w:eastAsia="宋体" w:hint="default"/>
                            <w:spacing w:val="3"/>
                            <w:sz w:val="18"/>
                            <w:szCs w:val="18"/>
                          </w:rPr>
                          <w:t>按原</w:t>
                        </w:r>
                        <w:r>
                          <w:rPr>
                            <w:rFonts w:ascii="Times New Roman" w:hAnsi="Times New Roman" w:cs="Times New Roman" w:eastAsia="Times New Roman" w:hint="default"/>
                            <w:spacing w:val="3"/>
                            <w:sz w:val="18"/>
                            <w:szCs w:val="18"/>
                          </w:rPr>
                          <w:t>CAS22</w:t>
                        </w:r>
                        <w:r>
                          <w:rPr>
                            <w:rFonts w:ascii="宋体" w:hAnsi="宋体" w:cs="宋体" w:eastAsia="宋体" w:hint="default"/>
                            <w:spacing w:val="3"/>
                            <w:sz w:val="18"/>
                            <w:szCs w:val="18"/>
                          </w:rPr>
                          <w:t>列示的余额和按</w:t>
                        </w:r>
                        <w:r>
                          <w:rPr>
                            <w:rFonts w:ascii="宋体" w:hAnsi="宋体" w:cs="宋体" w:eastAsia="宋体" w:hint="default"/>
                            <w:spacing w:val="-47"/>
                            <w:sz w:val="18"/>
                            <w:szCs w:val="18"/>
                          </w:rPr>
                          <w:t> </w:t>
                        </w:r>
                        <w:r>
                          <w:rPr>
                            <w:rFonts w:ascii="宋体" w:hAnsi="宋体" w:cs="宋体" w:eastAsia="宋体" w:hint="default"/>
                            <w:spacing w:val="-47"/>
                            <w:sz w:val="18"/>
                            <w:szCs w:val="18"/>
                          </w:rPr>
                        </w:r>
                        <w:r>
                          <w:rPr>
                            <w:rFonts w:ascii="宋体" w:hAnsi="宋体" w:cs="宋体" w:eastAsia="宋体" w:hint="default"/>
                            <w:sz w:val="18"/>
                            <w:szCs w:val="18"/>
                          </w:rPr>
                          <w:t>新</w:t>
                        </w:r>
                        <w:r>
                          <w:rPr>
                            <w:rFonts w:ascii="Times New Roman" w:hAnsi="Times New Roman" w:cs="Times New Roman" w:eastAsia="Times New Roman" w:hint="default"/>
                            <w:sz w:val="18"/>
                            <w:szCs w:val="18"/>
                          </w:rPr>
                          <w:t>CAS22</w:t>
                        </w:r>
                        <w:r>
                          <w:rPr>
                            <w:rFonts w:ascii="宋体" w:hAnsi="宋体" w:cs="宋体" w:eastAsia="宋体" w:hint="default"/>
                            <w:sz w:val="18"/>
                            <w:szCs w:val="18"/>
                          </w:rPr>
                          <w:t>列示的余额</w:t>
                        </w:r>
                      </w:p>
                    </w:tc>
                    <w:tc>
                      <w:tcPr>
                        <w:tcW w:w="20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4"/>
                          <w:jc w:val="right"/>
                          <w:rPr>
                            <w:rFonts w:ascii="Times New Roman" w:hAnsi="Times New Roman" w:cs="Times New Roman" w:eastAsia="Times New Roman" w:hint="default"/>
                            <w:sz w:val="18"/>
                            <w:szCs w:val="18"/>
                          </w:rPr>
                        </w:pPr>
                        <w:r>
                          <w:rPr>
                            <w:rFonts w:ascii="Times New Roman"/>
                            <w:spacing w:val="-1"/>
                            <w:sz w:val="18"/>
                          </w:rPr>
                          <w:t>389,798,968.49</w:t>
                        </w:r>
                      </w:p>
                    </w:tc>
                    <w:tc>
                      <w:tcPr>
                        <w:tcW w:w="17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5"/>
                          <w:jc w:val="right"/>
                          <w:rPr>
                            <w:rFonts w:ascii="Times New Roman" w:hAnsi="Times New Roman" w:cs="Times New Roman" w:eastAsia="Times New Roman" w:hint="default"/>
                            <w:sz w:val="18"/>
                            <w:szCs w:val="18"/>
                          </w:rPr>
                        </w:pPr>
                        <w:r>
                          <w:rPr>
                            <w:rFonts w:ascii="Times New Roman"/>
                            <w:spacing w:val="-1"/>
                            <w:sz w:val="18"/>
                          </w:rPr>
                          <w:t>315,616.44</w:t>
                        </w:r>
                      </w:p>
                    </w:tc>
                    <w:tc>
                      <w:tcPr>
                        <w:tcW w:w="1633" w:type="dxa"/>
                        <w:tcBorders>
                          <w:top w:val="single" w:sz="6" w:space="0" w:color="000000"/>
                          <w:left w:val="single" w:sz="6" w:space="0" w:color="000000"/>
                          <w:bottom w:val="single" w:sz="6" w:space="0" w:color="000000"/>
                          <w:right w:val="single" w:sz="6" w:space="0" w:color="000000"/>
                        </w:tcBorders>
                      </w:tcPr>
                      <w:p>
                        <w:pP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4"/>
                          <w:jc w:val="right"/>
                          <w:rPr>
                            <w:rFonts w:ascii="Times New Roman" w:hAnsi="Times New Roman" w:cs="Times New Roman" w:eastAsia="Times New Roman" w:hint="default"/>
                            <w:sz w:val="18"/>
                            <w:szCs w:val="18"/>
                          </w:rPr>
                        </w:pPr>
                        <w:r>
                          <w:rPr>
                            <w:rFonts w:ascii="Times New Roman"/>
                            <w:spacing w:val="-1"/>
                            <w:sz w:val="18"/>
                          </w:rPr>
                          <w:t>390,114,584.93</w:t>
                        </w:r>
                      </w:p>
                    </w:tc>
                  </w:tr>
                  <w:tr>
                    <w:trPr>
                      <w:trHeight w:val="346" w:hRule="exact"/>
                    </w:trPr>
                    <w:tc>
                      <w:tcPr>
                        <w:tcW w:w="2257" w:type="dxa"/>
                        <w:tcBorders>
                          <w:top w:val="single" w:sz="6" w:space="0" w:color="000000"/>
                          <w:left w:val="single" w:sz="6" w:space="0" w:color="000000"/>
                          <w:bottom w:val="single" w:sz="6" w:space="0" w:color="000000"/>
                          <w:right w:val="single" w:sz="6" w:space="0" w:color="000000"/>
                        </w:tcBorders>
                      </w:tcPr>
                      <w:p>
                        <w:pPr/>
                      </w:p>
                    </w:tc>
                    <w:tc>
                      <w:tcPr>
                        <w:tcW w:w="2093" w:type="dxa"/>
                        <w:tcBorders>
                          <w:top w:val="single" w:sz="6" w:space="0" w:color="000000"/>
                          <w:left w:val="single" w:sz="6" w:space="0" w:color="000000"/>
                          <w:bottom w:val="single" w:sz="6" w:space="0" w:color="000000"/>
                          <w:right w:val="single" w:sz="6" w:space="0" w:color="000000"/>
                        </w:tcBorders>
                      </w:tcPr>
                      <w:p>
                        <w:pPr/>
                      </w:p>
                    </w:tc>
                    <w:tc>
                      <w:tcPr>
                        <w:tcW w:w="1772" w:type="dxa"/>
                        <w:tcBorders>
                          <w:top w:val="single" w:sz="6" w:space="0" w:color="000000"/>
                          <w:left w:val="single" w:sz="6" w:space="0" w:color="000000"/>
                          <w:bottom w:val="single" w:sz="6" w:space="0" w:color="000000"/>
                          <w:right w:val="single" w:sz="6" w:space="0" w:color="000000"/>
                        </w:tcBorders>
                      </w:tcPr>
                      <w:p>
                        <w:pPr/>
                      </w:p>
                    </w:tc>
                    <w:tc>
                      <w:tcPr>
                        <w:tcW w:w="1633" w:type="dxa"/>
                        <w:tcBorders>
                          <w:top w:val="single" w:sz="6" w:space="0" w:color="000000"/>
                          <w:left w:val="single" w:sz="6" w:space="0" w:color="000000"/>
                          <w:bottom w:val="single" w:sz="6" w:space="0" w:color="000000"/>
                          <w:right w:val="single" w:sz="6" w:space="0" w:color="000000"/>
                        </w:tcBorders>
                      </w:tcPr>
                      <w:p>
                        <w:pPr/>
                      </w:p>
                    </w:tc>
                    <w:tc>
                      <w:tcPr>
                        <w:tcW w:w="1907" w:type="dxa"/>
                        <w:tcBorders>
                          <w:top w:val="single" w:sz="6" w:space="0" w:color="000000"/>
                          <w:left w:val="single" w:sz="6" w:space="0" w:color="000000"/>
                          <w:bottom w:val="single" w:sz="6" w:space="0" w:color="000000"/>
                          <w:right w:val="single" w:sz="6" w:space="0" w:color="000000"/>
                        </w:tcBorders>
                      </w:tcPr>
                      <w:p>
                        <w:pPr/>
                      </w:p>
                    </w:tc>
                  </w:tr>
                  <w:tr>
                    <w:trPr>
                      <w:trHeight w:val="346" w:hRule="exact"/>
                    </w:trPr>
                    <w:tc>
                      <w:tcPr>
                        <w:tcW w:w="22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应收款项</w:t>
                        </w:r>
                      </w:p>
                    </w:tc>
                    <w:tc>
                      <w:tcPr>
                        <w:tcW w:w="2093" w:type="dxa"/>
                        <w:tcBorders>
                          <w:top w:val="single" w:sz="6" w:space="0" w:color="000000"/>
                          <w:left w:val="single" w:sz="6" w:space="0" w:color="000000"/>
                          <w:bottom w:val="single" w:sz="6" w:space="0" w:color="000000"/>
                          <w:right w:val="single" w:sz="6" w:space="0" w:color="000000"/>
                        </w:tcBorders>
                      </w:tcPr>
                      <w:p>
                        <w:pPr/>
                      </w:p>
                    </w:tc>
                    <w:tc>
                      <w:tcPr>
                        <w:tcW w:w="1772" w:type="dxa"/>
                        <w:tcBorders>
                          <w:top w:val="single" w:sz="6" w:space="0" w:color="000000"/>
                          <w:left w:val="single" w:sz="6" w:space="0" w:color="000000"/>
                          <w:bottom w:val="single" w:sz="6" w:space="0" w:color="000000"/>
                          <w:right w:val="single" w:sz="6" w:space="0" w:color="000000"/>
                        </w:tcBorders>
                      </w:tcPr>
                      <w:p>
                        <w:pPr/>
                      </w:p>
                    </w:tc>
                    <w:tc>
                      <w:tcPr>
                        <w:tcW w:w="1633" w:type="dxa"/>
                        <w:tcBorders>
                          <w:top w:val="single" w:sz="6" w:space="0" w:color="000000"/>
                          <w:left w:val="single" w:sz="6" w:space="0" w:color="000000"/>
                          <w:bottom w:val="single" w:sz="6" w:space="0" w:color="000000"/>
                          <w:right w:val="single" w:sz="6" w:space="0" w:color="000000"/>
                        </w:tcBorders>
                      </w:tcPr>
                      <w:p>
                        <w:pPr/>
                      </w:p>
                    </w:tc>
                    <w:tc>
                      <w:tcPr>
                        <w:tcW w:w="1907" w:type="dxa"/>
                        <w:tcBorders>
                          <w:top w:val="single" w:sz="6" w:space="0" w:color="000000"/>
                          <w:left w:val="single" w:sz="6" w:space="0" w:color="000000"/>
                          <w:bottom w:val="single" w:sz="6" w:space="0" w:color="000000"/>
                          <w:right w:val="single" w:sz="6" w:space="0" w:color="000000"/>
                        </w:tcBorders>
                      </w:tcPr>
                      <w:p>
                        <w:pPr/>
                      </w:p>
                    </w:tc>
                  </w:tr>
                  <w:tr>
                    <w:trPr>
                      <w:trHeight w:val="350" w:hRule="exact"/>
                    </w:trPr>
                    <w:tc>
                      <w:tcPr>
                        <w:tcW w:w="22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4" w:right="0"/>
                          <w:jc w:val="left"/>
                          <w:rPr>
                            <w:rFonts w:ascii="宋体" w:hAnsi="宋体" w:cs="宋体" w:eastAsia="宋体" w:hint="default"/>
                            <w:sz w:val="18"/>
                            <w:szCs w:val="18"/>
                          </w:rPr>
                        </w:pPr>
                        <w:r>
                          <w:rPr>
                            <w:rFonts w:ascii="宋体" w:hAnsi="宋体" w:cs="宋体" w:eastAsia="宋体" w:hint="default"/>
                            <w:sz w:val="18"/>
                            <w:szCs w:val="18"/>
                          </w:rPr>
                          <w:t>按原</w:t>
                        </w:r>
                        <w:r>
                          <w:rPr>
                            <w:rFonts w:ascii="Times New Roman" w:hAnsi="Times New Roman" w:cs="Times New Roman" w:eastAsia="Times New Roman" w:hint="default"/>
                            <w:sz w:val="18"/>
                            <w:szCs w:val="18"/>
                          </w:rPr>
                          <w:t>CAS22</w:t>
                        </w:r>
                        <w:r>
                          <w:rPr>
                            <w:rFonts w:ascii="宋体" w:hAnsi="宋体" w:cs="宋体" w:eastAsia="宋体" w:hint="default"/>
                            <w:sz w:val="18"/>
                            <w:szCs w:val="18"/>
                          </w:rPr>
                          <w:t>列示的余额</w:t>
                        </w:r>
                      </w:p>
                    </w:tc>
                    <w:tc>
                      <w:tcPr>
                        <w:tcW w:w="20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right="-4"/>
                          <w:jc w:val="right"/>
                          <w:rPr>
                            <w:rFonts w:ascii="Times New Roman" w:hAnsi="Times New Roman" w:cs="Times New Roman" w:eastAsia="Times New Roman" w:hint="default"/>
                            <w:sz w:val="18"/>
                            <w:szCs w:val="18"/>
                          </w:rPr>
                        </w:pPr>
                        <w:r>
                          <w:rPr>
                            <w:rFonts w:ascii="Times New Roman"/>
                            <w:spacing w:val="-1"/>
                            <w:sz w:val="18"/>
                          </w:rPr>
                          <w:t>430,989,262.32</w:t>
                        </w:r>
                      </w:p>
                    </w:tc>
                    <w:tc>
                      <w:tcPr>
                        <w:tcW w:w="1772" w:type="dxa"/>
                        <w:tcBorders>
                          <w:top w:val="single" w:sz="6" w:space="0" w:color="000000"/>
                          <w:left w:val="single" w:sz="6" w:space="0" w:color="000000"/>
                          <w:bottom w:val="single" w:sz="6" w:space="0" w:color="000000"/>
                          <w:right w:val="single" w:sz="6" w:space="0" w:color="000000"/>
                        </w:tcBorders>
                      </w:tcPr>
                      <w:p>
                        <w:pPr/>
                      </w:p>
                    </w:tc>
                    <w:tc>
                      <w:tcPr>
                        <w:tcW w:w="1633" w:type="dxa"/>
                        <w:tcBorders>
                          <w:top w:val="single" w:sz="6" w:space="0" w:color="000000"/>
                          <w:left w:val="single" w:sz="6" w:space="0" w:color="000000"/>
                          <w:bottom w:val="single" w:sz="6" w:space="0" w:color="000000"/>
                          <w:right w:val="single" w:sz="6" w:space="0" w:color="000000"/>
                        </w:tcBorders>
                      </w:tcPr>
                      <w:p>
                        <w:pPr/>
                      </w:p>
                    </w:tc>
                    <w:tc>
                      <w:tcPr>
                        <w:tcW w:w="1907" w:type="dxa"/>
                        <w:tcBorders>
                          <w:top w:val="single" w:sz="6" w:space="0" w:color="000000"/>
                          <w:left w:val="single" w:sz="6" w:space="0" w:color="000000"/>
                          <w:bottom w:val="single" w:sz="6" w:space="0" w:color="000000"/>
                          <w:right w:val="single" w:sz="6" w:space="0" w:color="000000"/>
                        </w:tcBorders>
                      </w:tcPr>
                      <w:p>
                        <w:pPr/>
                      </w:p>
                    </w:tc>
                  </w:tr>
                  <w:tr>
                    <w:trPr>
                      <w:trHeight w:val="658" w:hRule="exact"/>
                    </w:trPr>
                    <w:tc>
                      <w:tcPr>
                        <w:tcW w:w="2257"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20"/>
                          <w:ind w:left="4" w:right="-9"/>
                          <w:jc w:val="left"/>
                          <w:rPr>
                            <w:rFonts w:ascii="宋体" w:hAnsi="宋体" w:cs="宋体" w:eastAsia="宋体" w:hint="default"/>
                            <w:sz w:val="18"/>
                            <w:szCs w:val="18"/>
                          </w:rPr>
                        </w:pPr>
                        <w:r>
                          <w:rPr>
                            <w:rFonts w:ascii="宋体" w:hAnsi="宋体" w:cs="宋体" w:eastAsia="宋体" w:hint="default"/>
                            <w:spacing w:val="3"/>
                            <w:sz w:val="18"/>
                            <w:szCs w:val="18"/>
                          </w:rPr>
                          <w:t>重新计量：预期信用损失准</w:t>
                        </w:r>
                        <w:r>
                          <w:rPr>
                            <w:rFonts w:ascii="宋体" w:hAnsi="宋体" w:cs="宋体" w:eastAsia="宋体" w:hint="default"/>
                            <w:spacing w:val="-50"/>
                            <w:sz w:val="18"/>
                            <w:szCs w:val="18"/>
                          </w:rPr>
                          <w:t> </w:t>
                        </w:r>
                        <w:r>
                          <w:rPr>
                            <w:rFonts w:ascii="宋体" w:hAnsi="宋体" w:cs="宋体" w:eastAsia="宋体" w:hint="default"/>
                            <w:sz w:val="18"/>
                            <w:szCs w:val="18"/>
                          </w:rPr>
                          <w:t>备</w:t>
                        </w:r>
                      </w:p>
                    </w:tc>
                    <w:tc>
                      <w:tcPr>
                        <w:tcW w:w="2093" w:type="dxa"/>
                        <w:tcBorders>
                          <w:top w:val="single" w:sz="6" w:space="0" w:color="000000"/>
                          <w:left w:val="single" w:sz="6" w:space="0" w:color="000000"/>
                          <w:bottom w:val="single" w:sz="6" w:space="0" w:color="000000"/>
                          <w:right w:val="single" w:sz="6" w:space="0" w:color="000000"/>
                        </w:tcBorders>
                      </w:tcPr>
                      <w:p>
                        <w:pPr/>
                      </w:p>
                    </w:tc>
                    <w:tc>
                      <w:tcPr>
                        <w:tcW w:w="1772" w:type="dxa"/>
                        <w:tcBorders>
                          <w:top w:val="single" w:sz="6" w:space="0" w:color="000000"/>
                          <w:left w:val="single" w:sz="6" w:space="0" w:color="000000"/>
                          <w:bottom w:val="single" w:sz="6" w:space="0" w:color="000000"/>
                          <w:right w:val="single" w:sz="6" w:space="0" w:color="000000"/>
                        </w:tcBorders>
                      </w:tcPr>
                      <w:p>
                        <w:pPr/>
                      </w:p>
                    </w:tc>
                    <w:tc>
                      <w:tcPr>
                        <w:tcW w:w="16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
                            <w:sz w:val="18"/>
                          </w:rPr>
                          <w:t>-2,935,494.29</w:t>
                        </w:r>
                      </w:p>
                    </w:tc>
                    <w:tc>
                      <w:tcPr>
                        <w:tcW w:w="1907" w:type="dxa"/>
                        <w:tcBorders>
                          <w:top w:val="single" w:sz="6" w:space="0" w:color="000000"/>
                          <w:left w:val="single" w:sz="6" w:space="0" w:color="000000"/>
                          <w:bottom w:val="single" w:sz="6" w:space="0" w:color="000000"/>
                          <w:right w:val="single" w:sz="6" w:space="0" w:color="000000"/>
                        </w:tcBorders>
                      </w:tcPr>
                      <w:p>
                        <w:pPr/>
                      </w:p>
                    </w:tc>
                  </w:tr>
                  <w:tr>
                    <w:trPr>
                      <w:trHeight w:val="346" w:hRule="exact"/>
                    </w:trPr>
                    <w:tc>
                      <w:tcPr>
                        <w:tcW w:w="22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按新</w:t>
                        </w:r>
                        <w:r>
                          <w:rPr>
                            <w:rFonts w:ascii="Times New Roman" w:hAnsi="Times New Roman" w:cs="Times New Roman" w:eastAsia="Times New Roman" w:hint="default"/>
                            <w:sz w:val="18"/>
                            <w:szCs w:val="18"/>
                          </w:rPr>
                          <w:t>CAS22</w:t>
                        </w:r>
                        <w:r>
                          <w:rPr>
                            <w:rFonts w:ascii="宋体" w:hAnsi="宋体" w:cs="宋体" w:eastAsia="宋体" w:hint="default"/>
                            <w:sz w:val="18"/>
                            <w:szCs w:val="18"/>
                          </w:rPr>
                          <w:t>列示的余额</w:t>
                        </w:r>
                      </w:p>
                    </w:tc>
                    <w:tc>
                      <w:tcPr>
                        <w:tcW w:w="2093" w:type="dxa"/>
                        <w:tcBorders>
                          <w:top w:val="single" w:sz="6" w:space="0" w:color="000000"/>
                          <w:left w:val="single" w:sz="6" w:space="0" w:color="000000"/>
                          <w:bottom w:val="single" w:sz="6" w:space="0" w:color="000000"/>
                          <w:right w:val="single" w:sz="6" w:space="0" w:color="000000"/>
                        </w:tcBorders>
                      </w:tcPr>
                      <w:p>
                        <w:pPr/>
                      </w:p>
                    </w:tc>
                    <w:tc>
                      <w:tcPr>
                        <w:tcW w:w="1772" w:type="dxa"/>
                        <w:tcBorders>
                          <w:top w:val="single" w:sz="6" w:space="0" w:color="000000"/>
                          <w:left w:val="single" w:sz="6" w:space="0" w:color="000000"/>
                          <w:bottom w:val="single" w:sz="6" w:space="0" w:color="000000"/>
                          <w:right w:val="single" w:sz="6" w:space="0" w:color="000000"/>
                        </w:tcBorders>
                      </w:tcPr>
                      <w:p>
                        <w:pPr/>
                      </w:p>
                    </w:tc>
                    <w:tc>
                      <w:tcPr>
                        <w:tcW w:w="1633" w:type="dxa"/>
                        <w:tcBorders>
                          <w:top w:val="single" w:sz="6" w:space="0" w:color="000000"/>
                          <w:left w:val="single" w:sz="6" w:space="0" w:color="000000"/>
                          <w:bottom w:val="single" w:sz="6" w:space="0" w:color="000000"/>
                          <w:right w:val="single" w:sz="6" w:space="0" w:color="000000"/>
                        </w:tcBorders>
                      </w:tcPr>
                      <w:p>
                        <w:pP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4"/>
                          <w:jc w:val="right"/>
                          <w:rPr>
                            <w:rFonts w:ascii="Times New Roman" w:hAnsi="Times New Roman" w:cs="Times New Roman" w:eastAsia="Times New Roman" w:hint="default"/>
                            <w:sz w:val="18"/>
                            <w:szCs w:val="18"/>
                          </w:rPr>
                        </w:pPr>
                        <w:r>
                          <w:rPr>
                            <w:rFonts w:ascii="Times New Roman"/>
                            <w:spacing w:val="-1"/>
                            <w:sz w:val="18"/>
                          </w:rPr>
                          <w:t>428,053,768.03</w:t>
                        </w:r>
                      </w:p>
                    </w:tc>
                  </w:tr>
                  <w:tr>
                    <w:trPr>
                      <w:trHeight w:val="350" w:hRule="exact"/>
                    </w:trPr>
                    <w:tc>
                      <w:tcPr>
                        <w:tcW w:w="2257" w:type="dxa"/>
                        <w:tcBorders>
                          <w:top w:val="single" w:sz="6" w:space="0" w:color="000000"/>
                          <w:left w:val="single" w:sz="6" w:space="0" w:color="000000"/>
                          <w:bottom w:val="single" w:sz="6" w:space="0" w:color="000000"/>
                          <w:right w:val="single" w:sz="6" w:space="0" w:color="000000"/>
                        </w:tcBorders>
                      </w:tcPr>
                      <w:p>
                        <w:pPr/>
                      </w:p>
                    </w:tc>
                    <w:tc>
                      <w:tcPr>
                        <w:tcW w:w="2093" w:type="dxa"/>
                        <w:tcBorders>
                          <w:top w:val="single" w:sz="6" w:space="0" w:color="000000"/>
                          <w:left w:val="single" w:sz="6" w:space="0" w:color="000000"/>
                          <w:bottom w:val="single" w:sz="6" w:space="0" w:color="000000"/>
                          <w:right w:val="single" w:sz="6" w:space="0" w:color="000000"/>
                        </w:tcBorders>
                      </w:tcPr>
                      <w:p>
                        <w:pPr/>
                      </w:p>
                    </w:tc>
                    <w:tc>
                      <w:tcPr>
                        <w:tcW w:w="1772" w:type="dxa"/>
                        <w:tcBorders>
                          <w:top w:val="single" w:sz="6" w:space="0" w:color="000000"/>
                          <w:left w:val="single" w:sz="6" w:space="0" w:color="000000"/>
                          <w:bottom w:val="single" w:sz="6" w:space="0" w:color="000000"/>
                          <w:right w:val="single" w:sz="6" w:space="0" w:color="000000"/>
                        </w:tcBorders>
                      </w:tcPr>
                      <w:p>
                        <w:pPr/>
                      </w:p>
                    </w:tc>
                    <w:tc>
                      <w:tcPr>
                        <w:tcW w:w="1633" w:type="dxa"/>
                        <w:tcBorders>
                          <w:top w:val="single" w:sz="6" w:space="0" w:color="000000"/>
                          <w:left w:val="single" w:sz="6" w:space="0" w:color="000000"/>
                          <w:bottom w:val="single" w:sz="6" w:space="0" w:color="000000"/>
                          <w:right w:val="single" w:sz="6" w:space="0" w:color="000000"/>
                        </w:tcBorders>
                      </w:tcPr>
                      <w:p>
                        <w:pPr/>
                      </w:p>
                    </w:tc>
                    <w:tc>
                      <w:tcPr>
                        <w:tcW w:w="1907" w:type="dxa"/>
                        <w:tcBorders>
                          <w:top w:val="single" w:sz="6" w:space="0" w:color="000000"/>
                          <w:left w:val="single" w:sz="6" w:space="0" w:color="000000"/>
                          <w:bottom w:val="single" w:sz="6" w:space="0" w:color="000000"/>
                          <w:right w:val="single" w:sz="6" w:space="0" w:color="000000"/>
                        </w:tcBorders>
                      </w:tcPr>
                      <w:p>
                        <w:pPr/>
                      </w:p>
                    </w:tc>
                  </w:tr>
                  <w:tr>
                    <w:trPr>
                      <w:trHeight w:val="346" w:hRule="exact"/>
                    </w:trPr>
                    <w:tc>
                      <w:tcPr>
                        <w:tcW w:w="22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证券投资</w:t>
                        </w:r>
                        <w:r>
                          <w:rPr>
                            <w:rFonts w:ascii="Times New Roman" w:hAnsi="Times New Roman" w:cs="Times New Roman" w:eastAsia="Times New Roman" w:hint="default"/>
                            <w:sz w:val="18"/>
                            <w:szCs w:val="18"/>
                          </w:rPr>
                          <w:t>——</w:t>
                        </w:r>
                        <w:r>
                          <w:rPr>
                            <w:rFonts w:ascii="宋体" w:hAnsi="宋体" w:cs="宋体" w:eastAsia="宋体" w:hint="default"/>
                            <w:sz w:val="18"/>
                            <w:szCs w:val="18"/>
                          </w:rPr>
                          <w:t>摊余成本</w:t>
                        </w:r>
                      </w:p>
                    </w:tc>
                    <w:tc>
                      <w:tcPr>
                        <w:tcW w:w="2093" w:type="dxa"/>
                        <w:tcBorders>
                          <w:top w:val="single" w:sz="6" w:space="0" w:color="000000"/>
                          <w:left w:val="single" w:sz="6" w:space="0" w:color="000000"/>
                          <w:bottom w:val="single" w:sz="6" w:space="0" w:color="000000"/>
                          <w:right w:val="single" w:sz="6" w:space="0" w:color="000000"/>
                        </w:tcBorders>
                      </w:tcPr>
                      <w:p>
                        <w:pPr/>
                      </w:p>
                    </w:tc>
                    <w:tc>
                      <w:tcPr>
                        <w:tcW w:w="1772" w:type="dxa"/>
                        <w:tcBorders>
                          <w:top w:val="single" w:sz="6" w:space="0" w:color="000000"/>
                          <w:left w:val="single" w:sz="6" w:space="0" w:color="000000"/>
                          <w:bottom w:val="single" w:sz="6" w:space="0" w:color="000000"/>
                          <w:right w:val="single" w:sz="6" w:space="0" w:color="000000"/>
                        </w:tcBorders>
                      </w:tcPr>
                      <w:p>
                        <w:pPr/>
                      </w:p>
                    </w:tc>
                    <w:tc>
                      <w:tcPr>
                        <w:tcW w:w="1633" w:type="dxa"/>
                        <w:tcBorders>
                          <w:top w:val="single" w:sz="6" w:space="0" w:color="000000"/>
                          <w:left w:val="single" w:sz="6" w:space="0" w:color="000000"/>
                          <w:bottom w:val="single" w:sz="6" w:space="0" w:color="000000"/>
                          <w:right w:val="single" w:sz="6" w:space="0" w:color="000000"/>
                        </w:tcBorders>
                      </w:tcPr>
                      <w:p>
                        <w:pPr/>
                      </w:p>
                    </w:tc>
                    <w:tc>
                      <w:tcPr>
                        <w:tcW w:w="1907" w:type="dxa"/>
                        <w:tcBorders>
                          <w:top w:val="single" w:sz="6" w:space="0" w:color="000000"/>
                          <w:left w:val="single" w:sz="6" w:space="0" w:color="000000"/>
                          <w:bottom w:val="single" w:sz="6" w:space="0" w:color="000000"/>
                          <w:right w:val="single" w:sz="6" w:space="0" w:color="000000"/>
                        </w:tcBorders>
                      </w:tcPr>
                      <w:p>
                        <w:pPr/>
                      </w:p>
                    </w:tc>
                  </w:tr>
                  <w:tr>
                    <w:trPr>
                      <w:trHeight w:val="346" w:hRule="exact"/>
                    </w:trPr>
                    <w:tc>
                      <w:tcPr>
                        <w:tcW w:w="22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按原</w:t>
                        </w:r>
                        <w:r>
                          <w:rPr>
                            <w:rFonts w:ascii="Times New Roman" w:hAnsi="Times New Roman" w:cs="Times New Roman" w:eastAsia="Times New Roman" w:hint="default"/>
                            <w:sz w:val="18"/>
                            <w:szCs w:val="18"/>
                          </w:rPr>
                          <w:t>CAS22</w:t>
                        </w:r>
                        <w:r>
                          <w:rPr>
                            <w:rFonts w:ascii="宋体" w:hAnsi="宋体" w:cs="宋体" w:eastAsia="宋体" w:hint="default"/>
                            <w:sz w:val="18"/>
                            <w:szCs w:val="18"/>
                          </w:rPr>
                          <w:t>列示的余额</w:t>
                        </w:r>
                      </w:p>
                    </w:tc>
                    <w:tc>
                      <w:tcPr>
                        <w:tcW w:w="20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5"/>
                          <w:jc w:val="right"/>
                          <w:rPr>
                            <w:rFonts w:ascii="Times New Roman" w:hAnsi="Times New Roman" w:cs="Times New Roman" w:eastAsia="Times New Roman" w:hint="default"/>
                            <w:sz w:val="18"/>
                            <w:szCs w:val="18"/>
                          </w:rPr>
                        </w:pPr>
                        <w:r>
                          <w:rPr>
                            <w:rFonts w:ascii="Times New Roman"/>
                            <w:spacing w:val="-1"/>
                            <w:sz w:val="18"/>
                          </w:rPr>
                          <w:t>67,000,000.00</w:t>
                        </w:r>
                      </w:p>
                    </w:tc>
                    <w:tc>
                      <w:tcPr>
                        <w:tcW w:w="1772" w:type="dxa"/>
                        <w:tcBorders>
                          <w:top w:val="single" w:sz="6" w:space="0" w:color="000000"/>
                          <w:left w:val="single" w:sz="6" w:space="0" w:color="000000"/>
                          <w:bottom w:val="single" w:sz="6" w:space="0" w:color="000000"/>
                          <w:right w:val="single" w:sz="6" w:space="0" w:color="000000"/>
                        </w:tcBorders>
                      </w:tcPr>
                      <w:p>
                        <w:pPr/>
                      </w:p>
                    </w:tc>
                    <w:tc>
                      <w:tcPr>
                        <w:tcW w:w="1633" w:type="dxa"/>
                        <w:tcBorders>
                          <w:top w:val="single" w:sz="6" w:space="0" w:color="000000"/>
                          <w:left w:val="single" w:sz="6" w:space="0" w:color="000000"/>
                          <w:bottom w:val="single" w:sz="6" w:space="0" w:color="000000"/>
                          <w:right w:val="single" w:sz="6" w:space="0" w:color="000000"/>
                        </w:tcBorders>
                      </w:tcPr>
                      <w:p>
                        <w:pPr/>
                      </w:p>
                    </w:tc>
                    <w:tc>
                      <w:tcPr>
                        <w:tcW w:w="1907" w:type="dxa"/>
                        <w:tcBorders>
                          <w:top w:val="single" w:sz="6" w:space="0" w:color="000000"/>
                          <w:left w:val="single" w:sz="6" w:space="0" w:color="000000"/>
                          <w:bottom w:val="single" w:sz="6" w:space="0" w:color="000000"/>
                          <w:right w:val="single" w:sz="6" w:space="0" w:color="000000"/>
                        </w:tcBorders>
                      </w:tcPr>
                      <w:p>
                        <w:pPr/>
                      </w:p>
                    </w:tc>
                  </w:tr>
                  <w:tr>
                    <w:trPr>
                      <w:trHeight w:val="970" w:hRule="exact"/>
                    </w:trPr>
                    <w:tc>
                      <w:tcPr>
                        <w:tcW w:w="2257" w:type="dxa"/>
                        <w:tcBorders>
                          <w:top w:val="single" w:sz="6" w:space="0" w:color="000000"/>
                          <w:left w:val="single" w:sz="6" w:space="0" w:color="000000"/>
                          <w:bottom w:val="single" w:sz="6" w:space="0" w:color="000000"/>
                          <w:right w:val="single" w:sz="6" w:space="0" w:color="000000"/>
                        </w:tcBorders>
                      </w:tcPr>
                      <w:p>
                        <w:pPr>
                          <w:pStyle w:val="TableParagraph"/>
                          <w:spacing w:line="328" w:lineRule="auto" w:before="20"/>
                          <w:ind w:left="4" w:right="-9"/>
                          <w:jc w:val="both"/>
                          <w:rPr>
                            <w:rFonts w:ascii="Times New Roman" w:hAnsi="Times New Roman" w:cs="Times New Roman" w:eastAsia="Times New Roman" w:hint="default"/>
                            <w:sz w:val="18"/>
                            <w:szCs w:val="18"/>
                          </w:rPr>
                        </w:pPr>
                        <w:r>
                          <w:rPr>
                            <w:rFonts w:ascii="宋体" w:hAnsi="宋体" w:cs="宋体" w:eastAsia="宋体" w:hint="default"/>
                            <w:spacing w:val="3"/>
                            <w:sz w:val="18"/>
                            <w:szCs w:val="18"/>
                          </w:rPr>
                          <w:t>减：转出至以公允价值计量</w:t>
                        </w:r>
                        <w:r>
                          <w:rPr>
                            <w:rFonts w:ascii="宋体" w:hAnsi="宋体" w:cs="宋体" w:eastAsia="宋体" w:hint="default"/>
                            <w:spacing w:val="-50"/>
                            <w:sz w:val="18"/>
                            <w:szCs w:val="18"/>
                          </w:rPr>
                          <w:t> </w:t>
                        </w:r>
                        <w:r>
                          <w:rPr>
                            <w:rFonts w:ascii="宋体" w:hAnsi="宋体" w:cs="宋体" w:eastAsia="宋体" w:hint="default"/>
                            <w:spacing w:val="12"/>
                            <w:sz w:val="18"/>
                            <w:szCs w:val="18"/>
                          </w:rPr>
                          <w:t>且其变动计入当期损益</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新</w:t>
                        </w:r>
                        <w:r>
                          <w:rPr>
                            <w:rFonts w:ascii="宋体" w:hAnsi="宋体" w:cs="宋体" w:eastAsia="宋体" w:hint="default"/>
                            <w:spacing w:val="-81"/>
                            <w:sz w:val="18"/>
                            <w:szCs w:val="18"/>
                          </w:rPr>
                          <w:t> </w:t>
                        </w:r>
                        <w:r>
                          <w:rPr>
                            <w:rFonts w:ascii="Times New Roman" w:hAnsi="Times New Roman" w:cs="Times New Roman" w:eastAsia="Times New Roman" w:hint="default"/>
                            <w:sz w:val="18"/>
                            <w:szCs w:val="18"/>
                          </w:rPr>
                          <w:t>CAS22)</w:t>
                        </w:r>
                      </w:p>
                    </w:tc>
                    <w:tc>
                      <w:tcPr>
                        <w:tcW w:w="2093" w:type="dxa"/>
                        <w:tcBorders>
                          <w:top w:val="single" w:sz="6" w:space="0" w:color="000000"/>
                          <w:left w:val="single" w:sz="6" w:space="0" w:color="000000"/>
                          <w:bottom w:val="single" w:sz="6" w:space="0" w:color="000000"/>
                          <w:right w:val="single" w:sz="6" w:space="0" w:color="000000"/>
                        </w:tcBorders>
                      </w:tcPr>
                      <w:p>
                        <w:pPr/>
                      </w:p>
                    </w:tc>
                    <w:tc>
                      <w:tcPr>
                        <w:tcW w:w="17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9"/>
                          <w:ind w:right="-5"/>
                          <w:jc w:val="right"/>
                          <w:rPr>
                            <w:rFonts w:ascii="Times New Roman" w:hAnsi="Times New Roman" w:cs="Times New Roman" w:eastAsia="Times New Roman" w:hint="default"/>
                            <w:sz w:val="18"/>
                            <w:szCs w:val="18"/>
                          </w:rPr>
                        </w:pPr>
                        <w:r>
                          <w:rPr>
                            <w:rFonts w:ascii="Times New Roman"/>
                            <w:spacing w:val="-1"/>
                            <w:sz w:val="18"/>
                          </w:rPr>
                          <w:t>-67,000,000.00</w:t>
                        </w:r>
                      </w:p>
                    </w:tc>
                    <w:tc>
                      <w:tcPr>
                        <w:tcW w:w="1633" w:type="dxa"/>
                        <w:tcBorders>
                          <w:top w:val="single" w:sz="6" w:space="0" w:color="000000"/>
                          <w:left w:val="single" w:sz="6" w:space="0" w:color="000000"/>
                          <w:bottom w:val="single" w:sz="6" w:space="0" w:color="000000"/>
                          <w:right w:val="single" w:sz="6" w:space="0" w:color="000000"/>
                        </w:tcBorders>
                      </w:tcPr>
                      <w:p>
                        <w:pPr/>
                      </w:p>
                    </w:tc>
                    <w:tc>
                      <w:tcPr>
                        <w:tcW w:w="1907" w:type="dxa"/>
                        <w:tcBorders>
                          <w:top w:val="single" w:sz="6" w:space="0" w:color="000000"/>
                          <w:left w:val="single" w:sz="6" w:space="0" w:color="000000"/>
                          <w:bottom w:val="single" w:sz="6" w:space="0" w:color="000000"/>
                          <w:right w:val="single" w:sz="6" w:space="0" w:color="000000"/>
                        </w:tcBorders>
                      </w:tcPr>
                      <w:p>
                        <w:pPr/>
                      </w:p>
                    </w:tc>
                  </w:tr>
                  <w:tr>
                    <w:trPr>
                      <w:trHeight w:val="350" w:hRule="exact"/>
                    </w:trPr>
                    <w:tc>
                      <w:tcPr>
                        <w:tcW w:w="22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4" w:right="0"/>
                          <w:jc w:val="left"/>
                          <w:rPr>
                            <w:rFonts w:ascii="宋体" w:hAnsi="宋体" w:cs="宋体" w:eastAsia="宋体" w:hint="default"/>
                            <w:sz w:val="18"/>
                            <w:szCs w:val="18"/>
                          </w:rPr>
                        </w:pPr>
                        <w:r>
                          <w:rPr>
                            <w:rFonts w:ascii="宋体" w:hAnsi="宋体" w:cs="宋体" w:eastAsia="宋体" w:hint="default"/>
                            <w:sz w:val="18"/>
                            <w:szCs w:val="18"/>
                          </w:rPr>
                          <w:t>按新</w:t>
                        </w:r>
                        <w:r>
                          <w:rPr>
                            <w:rFonts w:ascii="Times New Roman" w:hAnsi="Times New Roman" w:cs="Times New Roman" w:eastAsia="Times New Roman" w:hint="default"/>
                            <w:sz w:val="18"/>
                            <w:szCs w:val="18"/>
                          </w:rPr>
                          <w:t>CAS22</w:t>
                        </w:r>
                        <w:r>
                          <w:rPr>
                            <w:rFonts w:ascii="宋体" w:hAnsi="宋体" w:cs="宋体" w:eastAsia="宋体" w:hint="default"/>
                            <w:sz w:val="18"/>
                            <w:szCs w:val="18"/>
                          </w:rPr>
                          <w:t>列示的余额</w:t>
                        </w:r>
                      </w:p>
                    </w:tc>
                    <w:tc>
                      <w:tcPr>
                        <w:tcW w:w="2093" w:type="dxa"/>
                        <w:tcBorders>
                          <w:top w:val="single" w:sz="6" w:space="0" w:color="000000"/>
                          <w:left w:val="single" w:sz="6" w:space="0" w:color="000000"/>
                          <w:bottom w:val="single" w:sz="6" w:space="0" w:color="000000"/>
                          <w:right w:val="single" w:sz="6" w:space="0" w:color="000000"/>
                        </w:tcBorders>
                      </w:tcPr>
                      <w:p>
                        <w:pPr/>
                      </w:p>
                    </w:tc>
                    <w:tc>
                      <w:tcPr>
                        <w:tcW w:w="1772" w:type="dxa"/>
                        <w:tcBorders>
                          <w:top w:val="single" w:sz="6" w:space="0" w:color="000000"/>
                          <w:left w:val="single" w:sz="6" w:space="0" w:color="000000"/>
                          <w:bottom w:val="single" w:sz="6" w:space="0" w:color="000000"/>
                          <w:right w:val="single" w:sz="6" w:space="0" w:color="000000"/>
                        </w:tcBorders>
                      </w:tcPr>
                      <w:p>
                        <w:pPr/>
                      </w:p>
                    </w:tc>
                    <w:tc>
                      <w:tcPr>
                        <w:tcW w:w="1633" w:type="dxa"/>
                        <w:tcBorders>
                          <w:top w:val="single" w:sz="6" w:space="0" w:color="000000"/>
                          <w:left w:val="single" w:sz="6" w:space="0" w:color="000000"/>
                          <w:bottom w:val="single" w:sz="6" w:space="0" w:color="000000"/>
                          <w:right w:val="single" w:sz="6" w:space="0" w:color="000000"/>
                        </w:tcBorders>
                      </w:tcPr>
                      <w:p>
                        <w:pP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right="-4"/>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r>
                  <w:tr>
                    <w:trPr>
                      <w:trHeight w:val="658" w:hRule="exact"/>
                    </w:trPr>
                    <w:tc>
                      <w:tcPr>
                        <w:tcW w:w="2257"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20"/>
                          <w:ind w:left="4" w:right="-9"/>
                          <w:jc w:val="left"/>
                          <w:rPr>
                            <w:rFonts w:ascii="宋体" w:hAnsi="宋体" w:cs="宋体" w:eastAsia="宋体" w:hint="default"/>
                            <w:sz w:val="18"/>
                            <w:szCs w:val="18"/>
                          </w:rPr>
                        </w:pPr>
                        <w:r>
                          <w:rPr>
                            <w:rFonts w:ascii="宋体" w:hAnsi="宋体" w:cs="宋体" w:eastAsia="宋体" w:hint="default"/>
                            <w:spacing w:val="3"/>
                            <w:sz w:val="18"/>
                            <w:szCs w:val="18"/>
                          </w:rPr>
                          <w:t>以摊余成本计量的总金融资</w:t>
                        </w:r>
                        <w:r>
                          <w:rPr>
                            <w:rFonts w:ascii="宋体" w:hAnsi="宋体" w:cs="宋体" w:eastAsia="宋体" w:hint="default"/>
                            <w:spacing w:val="-50"/>
                            <w:sz w:val="18"/>
                            <w:szCs w:val="18"/>
                          </w:rPr>
                          <w:t> </w:t>
                        </w:r>
                        <w:r>
                          <w:rPr>
                            <w:rFonts w:ascii="宋体" w:hAnsi="宋体" w:cs="宋体" w:eastAsia="宋体" w:hint="default"/>
                            <w:sz w:val="18"/>
                            <w:szCs w:val="18"/>
                          </w:rPr>
                          <w:t>产</w:t>
                        </w:r>
                      </w:p>
                    </w:tc>
                    <w:tc>
                      <w:tcPr>
                        <w:tcW w:w="20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4"/>
                          <w:jc w:val="right"/>
                          <w:rPr>
                            <w:rFonts w:ascii="Times New Roman" w:hAnsi="Times New Roman" w:cs="Times New Roman" w:eastAsia="Times New Roman" w:hint="default"/>
                            <w:sz w:val="18"/>
                            <w:szCs w:val="18"/>
                          </w:rPr>
                        </w:pPr>
                        <w:r>
                          <w:rPr>
                            <w:rFonts w:ascii="Times New Roman"/>
                            <w:spacing w:val="-1"/>
                            <w:sz w:val="18"/>
                          </w:rPr>
                          <w:t>887,788,230.81</w:t>
                        </w:r>
                      </w:p>
                    </w:tc>
                    <w:tc>
                      <w:tcPr>
                        <w:tcW w:w="17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5"/>
                          <w:jc w:val="right"/>
                          <w:rPr>
                            <w:rFonts w:ascii="Times New Roman" w:hAnsi="Times New Roman" w:cs="Times New Roman" w:eastAsia="Times New Roman" w:hint="default"/>
                            <w:sz w:val="18"/>
                            <w:szCs w:val="18"/>
                          </w:rPr>
                        </w:pPr>
                        <w:r>
                          <w:rPr>
                            <w:rFonts w:ascii="Times New Roman"/>
                            <w:spacing w:val="-1"/>
                            <w:sz w:val="18"/>
                          </w:rPr>
                          <w:t>-66,684,383.56</w:t>
                        </w:r>
                      </w:p>
                    </w:tc>
                    <w:tc>
                      <w:tcPr>
                        <w:tcW w:w="16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
                            <w:sz w:val="18"/>
                          </w:rPr>
                          <w:t>-2,935,494.29</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4"/>
                          <w:jc w:val="right"/>
                          <w:rPr>
                            <w:rFonts w:ascii="Times New Roman" w:hAnsi="Times New Roman" w:cs="Times New Roman" w:eastAsia="Times New Roman" w:hint="default"/>
                            <w:sz w:val="18"/>
                            <w:szCs w:val="18"/>
                          </w:rPr>
                        </w:pPr>
                        <w:r>
                          <w:rPr>
                            <w:rFonts w:ascii="Times New Roman"/>
                            <w:spacing w:val="-1"/>
                            <w:sz w:val="18"/>
                          </w:rPr>
                          <w:t>818,168,352.96</w:t>
                        </w:r>
                      </w:p>
                    </w:tc>
                  </w:tr>
                  <w:tr>
                    <w:trPr>
                      <w:trHeight w:val="346" w:hRule="exact"/>
                    </w:trPr>
                    <w:tc>
                      <w:tcPr>
                        <w:tcW w:w="2257" w:type="dxa"/>
                        <w:tcBorders>
                          <w:top w:val="single" w:sz="6" w:space="0" w:color="000000"/>
                          <w:left w:val="single" w:sz="6" w:space="0" w:color="000000"/>
                          <w:bottom w:val="single" w:sz="6" w:space="0" w:color="000000"/>
                          <w:right w:val="single" w:sz="6" w:space="0" w:color="000000"/>
                        </w:tcBorders>
                      </w:tcPr>
                      <w:p>
                        <w:pPr/>
                      </w:p>
                    </w:tc>
                    <w:tc>
                      <w:tcPr>
                        <w:tcW w:w="2093" w:type="dxa"/>
                        <w:tcBorders>
                          <w:top w:val="single" w:sz="6" w:space="0" w:color="000000"/>
                          <w:left w:val="single" w:sz="6" w:space="0" w:color="000000"/>
                          <w:bottom w:val="single" w:sz="6" w:space="0" w:color="000000"/>
                          <w:right w:val="single" w:sz="6" w:space="0" w:color="000000"/>
                        </w:tcBorders>
                      </w:tcPr>
                      <w:p>
                        <w:pPr/>
                      </w:p>
                    </w:tc>
                    <w:tc>
                      <w:tcPr>
                        <w:tcW w:w="1772" w:type="dxa"/>
                        <w:tcBorders>
                          <w:top w:val="single" w:sz="6" w:space="0" w:color="000000"/>
                          <w:left w:val="single" w:sz="6" w:space="0" w:color="000000"/>
                          <w:bottom w:val="single" w:sz="6" w:space="0" w:color="000000"/>
                          <w:right w:val="single" w:sz="6" w:space="0" w:color="000000"/>
                        </w:tcBorders>
                      </w:tcPr>
                      <w:p>
                        <w:pPr/>
                      </w:p>
                    </w:tc>
                    <w:tc>
                      <w:tcPr>
                        <w:tcW w:w="1633" w:type="dxa"/>
                        <w:tcBorders>
                          <w:top w:val="single" w:sz="6" w:space="0" w:color="000000"/>
                          <w:left w:val="single" w:sz="6" w:space="0" w:color="000000"/>
                          <w:bottom w:val="single" w:sz="6" w:space="0" w:color="000000"/>
                          <w:right w:val="single" w:sz="6" w:space="0" w:color="000000"/>
                        </w:tcBorders>
                      </w:tcPr>
                      <w:p>
                        <w:pPr/>
                      </w:p>
                    </w:tc>
                    <w:tc>
                      <w:tcPr>
                        <w:tcW w:w="1907" w:type="dxa"/>
                        <w:tcBorders>
                          <w:top w:val="single" w:sz="6" w:space="0" w:color="000000"/>
                          <w:left w:val="single" w:sz="6" w:space="0" w:color="000000"/>
                          <w:bottom w:val="single" w:sz="6" w:space="0" w:color="000000"/>
                          <w:right w:val="single" w:sz="6" w:space="0" w:color="000000"/>
                        </w:tcBorders>
                      </w:tcPr>
                      <w:p>
                        <w:pPr/>
                      </w:p>
                    </w:tc>
                  </w:tr>
                  <w:tr>
                    <w:trPr>
                      <w:trHeight w:val="350" w:hRule="exact"/>
                    </w:trPr>
                    <w:tc>
                      <w:tcPr>
                        <w:tcW w:w="9662" w:type="dxa"/>
                        <w:gridSpan w:val="5"/>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4" w:right="0"/>
                          <w:jc w:val="left"/>
                          <w:rPr>
                            <w:rFonts w:ascii="宋体" w:hAnsi="宋体" w:cs="宋体" w:eastAsia="宋体" w:hint="default"/>
                            <w:sz w:val="18"/>
                            <w:szCs w:val="18"/>
                          </w:rPr>
                        </w:pPr>
                        <w:r>
                          <w:rPr>
                            <w:rFonts w:ascii="宋体" w:hAnsi="宋体" w:cs="宋体" w:eastAsia="宋体" w:hint="default"/>
                            <w:spacing w:val="-3"/>
                            <w:sz w:val="18"/>
                            <w:szCs w:val="18"/>
                          </w:rPr>
                          <w:t>以公允价值计量且其变动计入当期损益</w:t>
                        </w:r>
                      </w:p>
                    </w:tc>
                  </w:tr>
                  <w:tr>
                    <w:trPr>
                      <w:trHeight w:val="346" w:hRule="exact"/>
                    </w:trPr>
                    <w:tc>
                      <w:tcPr>
                        <w:tcW w:w="22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pacing w:val="-3"/>
                            <w:sz w:val="18"/>
                            <w:szCs w:val="18"/>
                          </w:rPr>
                          <w:t>交易性金融资产</w:t>
                        </w:r>
                      </w:p>
                    </w:tc>
                    <w:tc>
                      <w:tcPr>
                        <w:tcW w:w="2093" w:type="dxa"/>
                        <w:tcBorders>
                          <w:top w:val="single" w:sz="6" w:space="0" w:color="000000"/>
                          <w:left w:val="single" w:sz="6" w:space="0" w:color="000000"/>
                          <w:bottom w:val="single" w:sz="6" w:space="0" w:color="000000"/>
                          <w:right w:val="single" w:sz="6" w:space="0" w:color="000000"/>
                        </w:tcBorders>
                      </w:tcPr>
                      <w:p>
                        <w:pPr/>
                      </w:p>
                    </w:tc>
                    <w:tc>
                      <w:tcPr>
                        <w:tcW w:w="1772" w:type="dxa"/>
                        <w:tcBorders>
                          <w:top w:val="single" w:sz="6" w:space="0" w:color="000000"/>
                          <w:left w:val="single" w:sz="6" w:space="0" w:color="000000"/>
                          <w:bottom w:val="single" w:sz="6" w:space="0" w:color="000000"/>
                          <w:right w:val="single" w:sz="6" w:space="0" w:color="000000"/>
                        </w:tcBorders>
                      </w:tcPr>
                      <w:p>
                        <w:pPr/>
                      </w:p>
                    </w:tc>
                    <w:tc>
                      <w:tcPr>
                        <w:tcW w:w="1633" w:type="dxa"/>
                        <w:tcBorders>
                          <w:top w:val="single" w:sz="6" w:space="0" w:color="000000"/>
                          <w:left w:val="single" w:sz="6" w:space="0" w:color="000000"/>
                          <w:bottom w:val="single" w:sz="6" w:space="0" w:color="000000"/>
                          <w:right w:val="single" w:sz="6" w:space="0" w:color="000000"/>
                        </w:tcBorders>
                      </w:tcPr>
                      <w:p>
                        <w:pPr/>
                      </w:p>
                    </w:tc>
                    <w:tc>
                      <w:tcPr>
                        <w:tcW w:w="1907" w:type="dxa"/>
                        <w:tcBorders>
                          <w:top w:val="single" w:sz="6" w:space="0" w:color="000000"/>
                          <w:left w:val="single" w:sz="6" w:space="0" w:color="000000"/>
                          <w:bottom w:val="single" w:sz="6" w:space="0" w:color="000000"/>
                          <w:right w:val="single" w:sz="6" w:space="0" w:color="000000"/>
                        </w:tcBorders>
                      </w:tcPr>
                      <w:p>
                        <w:pPr/>
                      </w:p>
                    </w:tc>
                  </w:tr>
                  <w:tr>
                    <w:trPr>
                      <w:trHeight w:val="658" w:hRule="exact"/>
                    </w:trPr>
                    <w:tc>
                      <w:tcPr>
                        <w:tcW w:w="2257"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0"/>
                          <w:ind w:left="4" w:right="-4"/>
                          <w:jc w:val="left"/>
                          <w:rPr>
                            <w:rFonts w:ascii="宋体" w:hAnsi="宋体" w:cs="宋体" w:eastAsia="宋体" w:hint="default"/>
                            <w:sz w:val="18"/>
                            <w:szCs w:val="18"/>
                          </w:rPr>
                        </w:pPr>
                        <w:r>
                          <w:rPr>
                            <w:rFonts w:ascii="宋体" w:hAnsi="宋体" w:cs="宋体" w:eastAsia="宋体" w:hint="default"/>
                            <w:spacing w:val="3"/>
                            <w:sz w:val="18"/>
                            <w:szCs w:val="18"/>
                          </w:rPr>
                          <w:t>按原</w:t>
                        </w:r>
                        <w:r>
                          <w:rPr>
                            <w:rFonts w:ascii="Times New Roman" w:hAnsi="Times New Roman" w:cs="Times New Roman" w:eastAsia="Times New Roman" w:hint="default"/>
                            <w:spacing w:val="3"/>
                            <w:sz w:val="18"/>
                            <w:szCs w:val="18"/>
                          </w:rPr>
                          <w:t>CAS22</w:t>
                        </w:r>
                        <w:r>
                          <w:rPr>
                            <w:rFonts w:ascii="宋体" w:hAnsi="宋体" w:cs="宋体" w:eastAsia="宋体" w:hint="default"/>
                            <w:spacing w:val="3"/>
                            <w:sz w:val="18"/>
                            <w:szCs w:val="18"/>
                          </w:rPr>
                          <w:t>列示的余额和按</w:t>
                        </w:r>
                        <w:r>
                          <w:rPr>
                            <w:rFonts w:ascii="宋体" w:hAnsi="宋体" w:cs="宋体" w:eastAsia="宋体" w:hint="default"/>
                            <w:spacing w:val="-47"/>
                            <w:sz w:val="18"/>
                            <w:szCs w:val="18"/>
                          </w:rPr>
                          <w:t> </w:t>
                        </w:r>
                        <w:r>
                          <w:rPr>
                            <w:rFonts w:ascii="宋体" w:hAnsi="宋体" w:cs="宋体" w:eastAsia="宋体" w:hint="default"/>
                            <w:spacing w:val="-47"/>
                            <w:sz w:val="18"/>
                            <w:szCs w:val="18"/>
                          </w:rPr>
                        </w:r>
                        <w:r>
                          <w:rPr>
                            <w:rFonts w:ascii="宋体" w:hAnsi="宋体" w:cs="宋体" w:eastAsia="宋体" w:hint="default"/>
                            <w:sz w:val="18"/>
                            <w:szCs w:val="18"/>
                          </w:rPr>
                          <w:t>新</w:t>
                        </w:r>
                        <w:r>
                          <w:rPr>
                            <w:rFonts w:ascii="Times New Roman" w:hAnsi="Times New Roman" w:cs="Times New Roman" w:eastAsia="Times New Roman" w:hint="default"/>
                            <w:sz w:val="18"/>
                            <w:szCs w:val="18"/>
                          </w:rPr>
                          <w:t>CAS22</w:t>
                        </w:r>
                        <w:r>
                          <w:rPr>
                            <w:rFonts w:ascii="宋体" w:hAnsi="宋体" w:cs="宋体" w:eastAsia="宋体" w:hint="default"/>
                            <w:sz w:val="18"/>
                            <w:szCs w:val="18"/>
                          </w:rPr>
                          <w:t>列示的余额</w:t>
                        </w:r>
                      </w:p>
                    </w:tc>
                    <w:tc>
                      <w:tcPr>
                        <w:tcW w:w="20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4"/>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772" w:type="dxa"/>
                        <w:tcBorders>
                          <w:top w:val="single" w:sz="6" w:space="0" w:color="000000"/>
                          <w:left w:val="single" w:sz="6" w:space="0" w:color="000000"/>
                          <w:bottom w:val="single" w:sz="6" w:space="0" w:color="000000"/>
                          <w:right w:val="single" w:sz="6" w:space="0" w:color="000000"/>
                        </w:tcBorders>
                      </w:tcPr>
                      <w:p>
                        <w:pPr/>
                      </w:p>
                    </w:tc>
                    <w:tc>
                      <w:tcPr>
                        <w:tcW w:w="1633" w:type="dxa"/>
                        <w:tcBorders>
                          <w:top w:val="single" w:sz="6" w:space="0" w:color="000000"/>
                          <w:left w:val="single" w:sz="6" w:space="0" w:color="000000"/>
                          <w:bottom w:val="single" w:sz="6" w:space="0" w:color="000000"/>
                          <w:right w:val="single" w:sz="6" w:space="0" w:color="000000"/>
                        </w:tcBorders>
                      </w:tcPr>
                      <w:p>
                        <w:pP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4"/>
                          <w:jc w:val="right"/>
                          <w:rPr>
                            <w:rFonts w:ascii="Times New Roman" w:hAnsi="Times New Roman" w:cs="Times New Roman" w:eastAsia="Times New Roman" w:hint="default"/>
                            <w:sz w:val="18"/>
                            <w:szCs w:val="18"/>
                          </w:rPr>
                        </w:pPr>
                        <w:r>
                          <w:rPr>
                            <w:rFonts w:ascii="Times New Roman"/>
                            <w:spacing w:val="-1"/>
                            <w:sz w:val="18"/>
                          </w:rPr>
                          <w:t>67,000,000.00</w:t>
                        </w:r>
                      </w:p>
                    </w:tc>
                  </w:tr>
                  <w:tr>
                    <w:trPr>
                      <w:trHeight w:val="662" w:hRule="exact"/>
                    </w:trPr>
                    <w:tc>
                      <w:tcPr>
                        <w:tcW w:w="225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4" w:right="-9"/>
                          <w:jc w:val="left"/>
                          <w:rPr>
                            <w:rFonts w:ascii="宋体" w:hAnsi="宋体" w:cs="宋体" w:eastAsia="宋体" w:hint="default"/>
                            <w:sz w:val="18"/>
                            <w:szCs w:val="18"/>
                          </w:rPr>
                        </w:pPr>
                        <w:r>
                          <w:rPr>
                            <w:rFonts w:ascii="宋体" w:hAnsi="宋体" w:cs="宋体" w:eastAsia="宋体" w:hint="default"/>
                            <w:spacing w:val="3"/>
                            <w:sz w:val="18"/>
                            <w:szCs w:val="18"/>
                          </w:rPr>
                          <w:t>以公允价值计量且其变动计</w:t>
                        </w:r>
                        <w:r>
                          <w:rPr>
                            <w:rFonts w:ascii="宋体" w:hAnsi="宋体" w:cs="宋体" w:eastAsia="宋体" w:hint="default"/>
                            <w:spacing w:val="-50"/>
                            <w:sz w:val="18"/>
                            <w:szCs w:val="18"/>
                          </w:rPr>
                          <w:t> </w:t>
                        </w:r>
                        <w:r>
                          <w:rPr>
                            <w:rFonts w:ascii="宋体" w:hAnsi="宋体" w:cs="宋体" w:eastAsia="宋体" w:hint="default"/>
                            <w:spacing w:val="-3"/>
                            <w:sz w:val="18"/>
                            <w:szCs w:val="18"/>
                          </w:rPr>
                          <w:t>入当期损益的总金融资产</w:t>
                        </w:r>
                      </w:p>
                    </w:tc>
                    <w:tc>
                      <w:tcPr>
                        <w:tcW w:w="2093" w:type="dxa"/>
                        <w:tcBorders>
                          <w:top w:val="single" w:sz="6" w:space="0" w:color="000000"/>
                          <w:left w:val="single" w:sz="6" w:space="0" w:color="000000"/>
                          <w:bottom w:val="single" w:sz="6" w:space="0" w:color="000000"/>
                          <w:right w:val="single" w:sz="6" w:space="0" w:color="000000"/>
                        </w:tcBorders>
                      </w:tcPr>
                      <w:p>
                        <w:pPr/>
                      </w:p>
                    </w:tc>
                    <w:tc>
                      <w:tcPr>
                        <w:tcW w:w="1772" w:type="dxa"/>
                        <w:tcBorders>
                          <w:top w:val="single" w:sz="6" w:space="0" w:color="000000"/>
                          <w:left w:val="single" w:sz="6" w:space="0" w:color="000000"/>
                          <w:bottom w:val="single" w:sz="6" w:space="0" w:color="000000"/>
                          <w:right w:val="single" w:sz="6" w:space="0" w:color="000000"/>
                        </w:tcBorders>
                      </w:tcPr>
                      <w:p>
                        <w:pPr/>
                      </w:p>
                    </w:tc>
                    <w:tc>
                      <w:tcPr>
                        <w:tcW w:w="1633" w:type="dxa"/>
                        <w:tcBorders>
                          <w:top w:val="single" w:sz="6" w:space="0" w:color="000000"/>
                          <w:left w:val="single" w:sz="6" w:space="0" w:color="000000"/>
                          <w:bottom w:val="single" w:sz="6" w:space="0" w:color="000000"/>
                          <w:right w:val="single" w:sz="6" w:space="0" w:color="000000"/>
                        </w:tcBorders>
                      </w:tcPr>
                      <w:p>
                        <w:pP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4"/>
                          <w:jc w:val="right"/>
                          <w:rPr>
                            <w:rFonts w:ascii="Times New Roman" w:hAnsi="Times New Roman" w:cs="Times New Roman" w:eastAsia="Times New Roman" w:hint="default"/>
                            <w:sz w:val="18"/>
                            <w:szCs w:val="18"/>
                          </w:rPr>
                        </w:pPr>
                        <w:r>
                          <w:rPr>
                            <w:rFonts w:ascii="Times New Roman"/>
                            <w:spacing w:val="-1"/>
                            <w:sz w:val="18"/>
                          </w:rPr>
                          <w:t>67,000,000.00</w:t>
                        </w:r>
                      </w:p>
                    </w:tc>
                  </w:tr>
                  <w:tr>
                    <w:trPr>
                      <w:trHeight w:val="346" w:hRule="exact"/>
                    </w:trPr>
                    <w:tc>
                      <w:tcPr>
                        <w:tcW w:w="9662" w:type="dxa"/>
                        <w:gridSpan w:val="5"/>
                        <w:tcBorders>
                          <w:top w:val="single" w:sz="6" w:space="0" w:color="000000"/>
                          <w:left w:val="single" w:sz="6" w:space="0" w:color="000000"/>
                          <w:bottom w:val="single" w:sz="6" w:space="0" w:color="000000"/>
                          <w:right w:val="single" w:sz="6" w:space="0" w:color="000000"/>
                        </w:tcBorders>
                      </w:tcPr>
                      <w:p>
                        <w:pPr/>
                      </w:p>
                    </w:tc>
                  </w:tr>
                  <w:tr>
                    <w:trPr>
                      <w:trHeight w:val="346" w:hRule="exact"/>
                    </w:trPr>
                    <w:tc>
                      <w:tcPr>
                        <w:tcW w:w="9662" w:type="dxa"/>
                        <w:gridSpan w:val="5"/>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pacing w:val="-3"/>
                            <w:sz w:val="18"/>
                            <w:szCs w:val="18"/>
                          </w:rPr>
                          <w:t>以公允价值计量且其变动计入其他综合收益</w:t>
                        </w:r>
                      </w:p>
                    </w:tc>
                  </w:tr>
                  <w:tr>
                    <w:trPr>
                      <w:trHeight w:val="975" w:hRule="exact"/>
                    </w:trPr>
                    <w:tc>
                      <w:tcPr>
                        <w:tcW w:w="2257" w:type="dxa"/>
                        <w:tcBorders>
                          <w:top w:val="single" w:sz="6" w:space="0" w:color="000000"/>
                          <w:left w:val="single" w:sz="6" w:space="0" w:color="000000"/>
                          <w:bottom w:val="single" w:sz="6" w:space="0" w:color="000000"/>
                          <w:right w:val="single" w:sz="6" w:space="0" w:color="000000"/>
                        </w:tcBorders>
                      </w:tcPr>
                      <w:p>
                        <w:pPr>
                          <w:pStyle w:val="TableParagraph"/>
                          <w:spacing w:line="309" w:lineRule="auto" w:before="20"/>
                          <w:ind w:left="4" w:right="-9"/>
                          <w:jc w:val="both"/>
                          <w:rPr>
                            <w:rFonts w:ascii="Times New Roman" w:hAnsi="Times New Roman" w:cs="Times New Roman" w:eastAsia="Times New Roman" w:hint="default"/>
                            <w:sz w:val="18"/>
                            <w:szCs w:val="18"/>
                          </w:rPr>
                        </w:pPr>
                        <w:r>
                          <w:rPr>
                            <w:rFonts w:ascii="宋体" w:hAnsi="宋体" w:cs="宋体" w:eastAsia="宋体" w:hint="default"/>
                            <w:spacing w:val="3"/>
                            <w:sz w:val="18"/>
                            <w:szCs w:val="18"/>
                          </w:rPr>
                          <w:t>证券投资</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以公允价值计</w:t>
                        </w:r>
                        <w:r>
                          <w:rPr>
                            <w:rFonts w:ascii="宋体" w:hAnsi="宋体" w:cs="宋体" w:eastAsia="宋体" w:hint="default"/>
                            <w:spacing w:val="-52"/>
                            <w:sz w:val="18"/>
                            <w:szCs w:val="18"/>
                          </w:rPr>
                          <w:t> </w:t>
                        </w:r>
                        <w:r>
                          <w:rPr>
                            <w:rFonts w:ascii="宋体" w:hAnsi="宋体" w:cs="宋体" w:eastAsia="宋体" w:hint="default"/>
                            <w:spacing w:val="-52"/>
                            <w:sz w:val="18"/>
                            <w:szCs w:val="18"/>
                          </w:rPr>
                        </w:r>
                        <w:r>
                          <w:rPr>
                            <w:rFonts w:ascii="宋体" w:hAnsi="宋体" w:cs="宋体" w:eastAsia="宋体" w:hint="default"/>
                            <w:spacing w:val="3"/>
                            <w:sz w:val="18"/>
                            <w:szCs w:val="18"/>
                          </w:rPr>
                          <w:t>量且其变动计入其他综合收</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pacing w:val="-3"/>
                            <w:sz w:val="18"/>
                            <w:szCs w:val="18"/>
                          </w:rPr>
                          <w:t>益</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权益工具投资</w:t>
                        </w:r>
                        <w:r>
                          <w:rPr>
                            <w:rFonts w:ascii="Times New Roman" w:hAnsi="Times New Roman" w:cs="Times New Roman" w:eastAsia="Times New Roman" w:hint="default"/>
                            <w:spacing w:val="-3"/>
                            <w:sz w:val="18"/>
                            <w:szCs w:val="18"/>
                          </w:rPr>
                          <w:t>)</w:t>
                        </w:r>
                      </w:p>
                    </w:tc>
                    <w:tc>
                      <w:tcPr>
                        <w:tcW w:w="2093" w:type="dxa"/>
                        <w:tcBorders>
                          <w:top w:val="single" w:sz="6" w:space="0" w:color="000000"/>
                          <w:left w:val="single" w:sz="6" w:space="0" w:color="000000"/>
                          <w:bottom w:val="single" w:sz="6" w:space="0" w:color="000000"/>
                          <w:right w:val="single" w:sz="6" w:space="0" w:color="000000"/>
                        </w:tcBorders>
                      </w:tcPr>
                      <w:p>
                        <w:pPr/>
                      </w:p>
                    </w:tc>
                    <w:tc>
                      <w:tcPr>
                        <w:tcW w:w="1772" w:type="dxa"/>
                        <w:tcBorders>
                          <w:top w:val="single" w:sz="6" w:space="0" w:color="000000"/>
                          <w:left w:val="single" w:sz="6" w:space="0" w:color="000000"/>
                          <w:bottom w:val="single" w:sz="6" w:space="0" w:color="000000"/>
                          <w:right w:val="single" w:sz="6" w:space="0" w:color="000000"/>
                        </w:tcBorders>
                      </w:tcPr>
                      <w:p>
                        <w:pPr/>
                      </w:p>
                    </w:tc>
                    <w:tc>
                      <w:tcPr>
                        <w:tcW w:w="1633" w:type="dxa"/>
                        <w:tcBorders>
                          <w:top w:val="single" w:sz="6" w:space="0" w:color="000000"/>
                          <w:left w:val="single" w:sz="6" w:space="0" w:color="000000"/>
                          <w:bottom w:val="single" w:sz="6" w:space="0" w:color="000000"/>
                          <w:right w:val="single" w:sz="6" w:space="0" w:color="000000"/>
                        </w:tcBorders>
                      </w:tcPr>
                      <w:p>
                        <w:pPr/>
                      </w:p>
                    </w:tc>
                    <w:tc>
                      <w:tcPr>
                        <w:tcW w:w="1907" w:type="dxa"/>
                        <w:tcBorders>
                          <w:top w:val="single" w:sz="6" w:space="0" w:color="000000"/>
                          <w:left w:val="single" w:sz="6" w:space="0" w:color="000000"/>
                          <w:bottom w:val="single" w:sz="6" w:space="0" w:color="000000"/>
                          <w:right w:val="single" w:sz="6" w:space="0" w:color="000000"/>
                        </w:tcBorders>
                      </w:tcPr>
                      <w:p>
                        <w:pPr/>
                      </w:p>
                    </w:tc>
                  </w:tr>
                </w:tbl>
                <w:p>
                  <w:pPr/>
                </w:p>
              </w:txbxContent>
            </v:textbox>
            <w10:wrap type="none"/>
          </v:shape>
        </w:pict>
      </w:r>
      <w:r>
        <w:rPr/>
        <w:t>②</w:t>
      </w:r>
      <w:r>
        <w:rPr>
          <w:spacing w:val="36"/>
        </w:rPr>
        <w:t> </w:t>
      </w:r>
      <w:r>
        <w:rPr>
          <w:spacing w:val="-3"/>
        </w:rPr>
        <w:t>本公司金融资产在首次执行日原账面价值调整为按照修订后金融工具确认计量准则的规定进行分类和计量的新账面</w:t>
      </w:r>
      <w:r>
        <w:rPr>
          <w:w w:val="101"/>
        </w:rPr>
        <w:t> </w:t>
      </w:r>
      <w:r>
        <w:rPr>
          <w:spacing w:val="-3"/>
        </w:rPr>
        <w:t>价值的调节表：</w:t>
      </w:r>
    </w:p>
    <w:p>
      <w:pPr>
        <w:spacing w:after="0" w:line="475" w:lineRule="auto"/>
        <w:jc w:val="left"/>
        <w:sectPr>
          <w:pgSz w:w="11910" w:h="16840"/>
          <w:pgMar w:header="871" w:footer="1186" w:top="1100" w:bottom="1380" w:left="980" w:right="0"/>
        </w:sectPr>
      </w:pPr>
    </w:p>
    <w:p>
      <w:pPr>
        <w:spacing w:line="240" w:lineRule="auto" w:before="8"/>
        <w:rPr>
          <w:rFonts w:ascii="宋体" w:hAnsi="宋体" w:cs="宋体" w:eastAsia="宋体" w:hint="default"/>
          <w:sz w:val="24"/>
          <w:szCs w:val="24"/>
        </w:rPr>
      </w:pPr>
    </w:p>
    <w:tbl>
      <w:tblPr>
        <w:tblW w:w="0" w:type="auto"/>
        <w:jc w:val="left"/>
        <w:tblInd w:w="134" w:type="dxa"/>
        <w:tblLayout w:type="fixed"/>
        <w:tblCellMar>
          <w:top w:w="0" w:type="dxa"/>
          <w:left w:w="0" w:type="dxa"/>
          <w:bottom w:w="0" w:type="dxa"/>
          <w:right w:w="0" w:type="dxa"/>
        </w:tblCellMar>
        <w:tblLook w:val="01E0"/>
      </w:tblPr>
      <w:tblGrid>
        <w:gridCol w:w="2257"/>
        <w:gridCol w:w="2093"/>
        <w:gridCol w:w="1772"/>
        <w:gridCol w:w="1633"/>
        <w:gridCol w:w="1907"/>
      </w:tblGrid>
      <w:tr>
        <w:trPr>
          <w:trHeight w:val="346" w:hRule="exact"/>
        </w:trPr>
        <w:tc>
          <w:tcPr>
            <w:tcW w:w="22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按原</w:t>
            </w:r>
            <w:r>
              <w:rPr>
                <w:rFonts w:ascii="Times New Roman" w:hAnsi="Times New Roman" w:cs="Times New Roman" w:eastAsia="Times New Roman" w:hint="default"/>
                <w:sz w:val="18"/>
                <w:szCs w:val="18"/>
              </w:rPr>
              <w:t>CAS22</w:t>
            </w:r>
            <w:r>
              <w:rPr>
                <w:rFonts w:ascii="宋体" w:hAnsi="宋体" w:cs="宋体" w:eastAsia="宋体" w:hint="default"/>
                <w:sz w:val="18"/>
                <w:szCs w:val="18"/>
              </w:rPr>
              <w:t>列示的余额</w:t>
            </w:r>
          </w:p>
        </w:tc>
        <w:tc>
          <w:tcPr>
            <w:tcW w:w="2093" w:type="dxa"/>
            <w:tcBorders>
              <w:top w:val="single" w:sz="6" w:space="0" w:color="000000"/>
              <w:left w:val="single" w:sz="6" w:space="0" w:color="000000"/>
              <w:bottom w:val="single" w:sz="6" w:space="0" w:color="000000"/>
              <w:right w:val="single" w:sz="6" w:space="0" w:color="000000"/>
            </w:tcBorders>
          </w:tcPr>
          <w:p>
            <w:pPr/>
          </w:p>
        </w:tc>
        <w:tc>
          <w:tcPr>
            <w:tcW w:w="1772" w:type="dxa"/>
            <w:tcBorders>
              <w:top w:val="single" w:sz="6" w:space="0" w:color="000000"/>
              <w:left w:val="single" w:sz="6" w:space="0" w:color="000000"/>
              <w:bottom w:val="single" w:sz="6" w:space="0" w:color="000000"/>
              <w:right w:val="single" w:sz="6" w:space="0" w:color="000000"/>
            </w:tcBorders>
          </w:tcPr>
          <w:p>
            <w:pPr/>
          </w:p>
        </w:tc>
        <w:tc>
          <w:tcPr>
            <w:tcW w:w="1633" w:type="dxa"/>
            <w:tcBorders>
              <w:top w:val="single" w:sz="6" w:space="0" w:color="000000"/>
              <w:left w:val="single" w:sz="6" w:space="0" w:color="000000"/>
              <w:bottom w:val="single" w:sz="6" w:space="0" w:color="000000"/>
              <w:right w:val="single" w:sz="6" w:space="0" w:color="000000"/>
            </w:tcBorders>
          </w:tcPr>
          <w:p>
            <w:pPr/>
          </w:p>
        </w:tc>
        <w:tc>
          <w:tcPr>
            <w:tcW w:w="1907" w:type="dxa"/>
            <w:tcBorders>
              <w:top w:val="single" w:sz="6" w:space="0" w:color="000000"/>
              <w:left w:val="single" w:sz="6" w:space="0" w:color="000000"/>
              <w:bottom w:val="single" w:sz="6" w:space="0" w:color="000000"/>
              <w:right w:val="single" w:sz="6" w:space="0" w:color="000000"/>
            </w:tcBorders>
          </w:tcPr>
          <w:p>
            <w:pPr/>
          </w:p>
        </w:tc>
      </w:tr>
      <w:tr>
        <w:trPr>
          <w:trHeight w:val="662" w:hRule="exact"/>
        </w:trPr>
        <w:tc>
          <w:tcPr>
            <w:tcW w:w="2257"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0"/>
              <w:ind w:left="4" w:right="-3"/>
              <w:jc w:val="left"/>
              <w:rPr>
                <w:rFonts w:ascii="宋体" w:hAnsi="宋体" w:cs="宋体" w:eastAsia="宋体" w:hint="default"/>
                <w:sz w:val="18"/>
                <w:szCs w:val="18"/>
              </w:rPr>
            </w:pPr>
            <w:r>
              <w:rPr>
                <w:rFonts w:ascii="宋体" w:hAnsi="宋体" w:cs="宋体" w:eastAsia="宋体" w:hint="default"/>
                <w:spacing w:val="-4"/>
                <w:sz w:val="18"/>
                <w:szCs w:val="18"/>
              </w:rPr>
              <w:t>加：自可供出售类</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原</w:t>
            </w:r>
            <w:r>
              <w:rPr>
                <w:rFonts w:ascii="Times New Roman" w:hAnsi="Times New Roman" w:cs="Times New Roman" w:eastAsia="Times New Roman" w:hint="default"/>
                <w:spacing w:val="-4"/>
                <w:sz w:val="18"/>
                <w:szCs w:val="18"/>
              </w:rPr>
              <w:t>CAS22)</w:t>
            </w:r>
            <w:r>
              <w:rPr>
                <w:rFonts w:ascii="Times New Roman" w:hAnsi="Times New Roman" w:cs="Times New Roman" w:eastAsia="Times New Roman" w:hint="default"/>
                <w:spacing w:val="-14"/>
                <w:sz w:val="18"/>
                <w:szCs w:val="18"/>
              </w:rPr>
              <w:t> </w:t>
            </w:r>
            <w:r>
              <w:rPr>
                <w:rFonts w:ascii="Times New Roman" w:hAnsi="Times New Roman" w:cs="Times New Roman" w:eastAsia="Times New Roman" w:hint="default"/>
                <w:spacing w:val="-14"/>
                <w:sz w:val="18"/>
                <w:szCs w:val="18"/>
              </w:rPr>
            </w:r>
            <w:r>
              <w:rPr>
                <w:rFonts w:ascii="宋体" w:hAnsi="宋体" w:cs="宋体" w:eastAsia="宋体" w:hint="default"/>
                <w:sz w:val="18"/>
                <w:szCs w:val="18"/>
              </w:rPr>
              <w:t>转入</w:t>
            </w:r>
            <w:r>
              <w:rPr>
                <w:rFonts w:ascii="Times New Roman" w:hAnsi="Times New Roman" w:cs="Times New Roman" w:eastAsia="Times New Roman" w:hint="default"/>
                <w:sz w:val="18"/>
                <w:szCs w:val="18"/>
              </w:rPr>
              <w:t>——</w:t>
            </w:r>
            <w:r>
              <w:rPr>
                <w:rFonts w:ascii="宋体" w:hAnsi="宋体" w:cs="宋体" w:eastAsia="宋体" w:hint="default"/>
                <w:sz w:val="18"/>
                <w:szCs w:val="18"/>
              </w:rPr>
              <w:t>指定</w:t>
            </w:r>
          </w:p>
        </w:tc>
        <w:tc>
          <w:tcPr>
            <w:tcW w:w="2093" w:type="dxa"/>
            <w:tcBorders>
              <w:top w:val="single" w:sz="6" w:space="0" w:color="000000"/>
              <w:left w:val="single" w:sz="6" w:space="0" w:color="000000"/>
              <w:bottom w:val="single" w:sz="6" w:space="0" w:color="000000"/>
              <w:right w:val="single" w:sz="6" w:space="0" w:color="000000"/>
            </w:tcBorders>
          </w:tcPr>
          <w:p>
            <w:pPr/>
          </w:p>
        </w:tc>
        <w:tc>
          <w:tcPr>
            <w:tcW w:w="17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4"/>
              <w:jc w:val="right"/>
              <w:rPr>
                <w:rFonts w:ascii="Times New Roman" w:hAnsi="Times New Roman" w:cs="Times New Roman" w:eastAsia="Times New Roman" w:hint="default"/>
                <w:sz w:val="18"/>
                <w:szCs w:val="18"/>
              </w:rPr>
            </w:pPr>
            <w:r>
              <w:rPr>
                <w:rFonts w:ascii="Times New Roman"/>
                <w:spacing w:val="-1"/>
                <w:sz w:val="18"/>
              </w:rPr>
              <w:t>30,000,000.00</w:t>
            </w:r>
          </w:p>
        </w:tc>
        <w:tc>
          <w:tcPr>
            <w:tcW w:w="1633" w:type="dxa"/>
            <w:tcBorders>
              <w:top w:val="single" w:sz="6" w:space="0" w:color="000000"/>
              <w:left w:val="single" w:sz="6" w:space="0" w:color="000000"/>
              <w:bottom w:val="single" w:sz="6" w:space="0" w:color="000000"/>
              <w:right w:val="single" w:sz="6" w:space="0" w:color="000000"/>
            </w:tcBorders>
          </w:tcPr>
          <w:p>
            <w:pPr/>
          </w:p>
        </w:tc>
        <w:tc>
          <w:tcPr>
            <w:tcW w:w="1907" w:type="dxa"/>
            <w:tcBorders>
              <w:top w:val="single" w:sz="6" w:space="0" w:color="000000"/>
              <w:left w:val="single" w:sz="6" w:space="0" w:color="000000"/>
              <w:bottom w:val="single" w:sz="6" w:space="0" w:color="000000"/>
              <w:right w:val="single" w:sz="6" w:space="0" w:color="000000"/>
            </w:tcBorders>
          </w:tcPr>
          <w:p>
            <w:pPr/>
          </w:p>
        </w:tc>
      </w:tr>
      <w:tr>
        <w:trPr>
          <w:trHeight w:val="346" w:hRule="exact"/>
        </w:trPr>
        <w:tc>
          <w:tcPr>
            <w:tcW w:w="22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按新</w:t>
            </w:r>
            <w:r>
              <w:rPr>
                <w:rFonts w:ascii="Times New Roman" w:hAnsi="Times New Roman" w:cs="Times New Roman" w:eastAsia="Times New Roman" w:hint="default"/>
                <w:sz w:val="18"/>
                <w:szCs w:val="18"/>
              </w:rPr>
              <w:t>CAS22</w:t>
            </w:r>
            <w:r>
              <w:rPr>
                <w:rFonts w:ascii="宋体" w:hAnsi="宋体" w:cs="宋体" w:eastAsia="宋体" w:hint="default"/>
                <w:sz w:val="18"/>
                <w:szCs w:val="18"/>
              </w:rPr>
              <w:t>列示的余额</w:t>
            </w:r>
          </w:p>
        </w:tc>
        <w:tc>
          <w:tcPr>
            <w:tcW w:w="2093" w:type="dxa"/>
            <w:tcBorders>
              <w:top w:val="single" w:sz="6" w:space="0" w:color="000000"/>
              <w:left w:val="single" w:sz="6" w:space="0" w:color="000000"/>
              <w:bottom w:val="single" w:sz="6" w:space="0" w:color="000000"/>
              <w:right w:val="single" w:sz="6" w:space="0" w:color="000000"/>
            </w:tcBorders>
          </w:tcPr>
          <w:p>
            <w:pPr/>
          </w:p>
        </w:tc>
        <w:tc>
          <w:tcPr>
            <w:tcW w:w="1772" w:type="dxa"/>
            <w:tcBorders>
              <w:top w:val="single" w:sz="6" w:space="0" w:color="000000"/>
              <w:left w:val="single" w:sz="6" w:space="0" w:color="000000"/>
              <w:bottom w:val="single" w:sz="6" w:space="0" w:color="000000"/>
              <w:right w:val="single" w:sz="6" w:space="0" w:color="000000"/>
            </w:tcBorders>
          </w:tcPr>
          <w:p>
            <w:pPr/>
          </w:p>
        </w:tc>
        <w:tc>
          <w:tcPr>
            <w:tcW w:w="1633" w:type="dxa"/>
            <w:tcBorders>
              <w:top w:val="single" w:sz="6" w:space="0" w:color="000000"/>
              <w:left w:val="single" w:sz="6" w:space="0" w:color="000000"/>
              <w:bottom w:val="single" w:sz="6" w:space="0" w:color="000000"/>
              <w:right w:val="single" w:sz="6" w:space="0" w:color="000000"/>
            </w:tcBorders>
          </w:tcPr>
          <w:p>
            <w:pP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4"/>
              <w:jc w:val="right"/>
              <w:rPr>
                <w:rFonts w:ascii="Times New Roman" w:hAnsi="Times New Roman" w:cs="Times New Roman" w:eastAsia="Times New Roman" w:hint="default"/>
                <w:sz w:val="18"/>
                <w:szCs w:val="18"/>
              </w:rPr>
            </w:pPr>
            <w:r>
              <w:rPr>
                <w:rFonts w:ascii="Times New Roman"/>
                <w:spacing w:val="-1"/>
                <w:sz w:val="18"/>
              </w:rPr>
              <w:t>30,000,000.00</w:t>
            </w:r>
          </w:p>
        </w:tc>
      </w:tr>
      <w:tr>
        <w:trPr>
          <w:trHeight w:val="346" w:hRule="exact"/>
        </w:trPr>
        <w:tc>
          <w:tcPr>
            <w:tcW w:w="2257" w:type="dxa"/>
            <w:tcBorders>
              <w:top w:val="single" w:sz="6" w:space="0" w:color="000000"/>
              <w:left w:val="single" w:sz="6" w:space="0" w:color="000000"/>
              <w:bottom w:val="single" w:sz="6" w:space="0" w:color="000000"/>
              <w:right w:val="single" w:sz="6" w:space="0" w:color="000000"/>
            </w:tcBorders>
          </w:tcPr>
          <w:p>
            <w:pPr/>
          </w:p>
        </w:tc>
        <w:tc>
          <w:tcPr>
            <w:tcW w:w="2093" w:type="dxa"/>
            <w:tcBorders>
              <w:top w:val="single" w:sz="6" w:space="0" w:color="000000"/>
              <w:left w:val="single" w:sz="6" w:space="0" w:color="000000"/>
              <w:bottom w:val="single" w:sz="6" w:space="0" w:color="000000"/>
              <w:right w:val="single" w:sz="6" w:space="0" w:color="000000"/>
            </w:tcBorders>
          </w:tcPr>
          <w:p>
            <w:pPr/>
          </w:p>
        </w:tc>
        <w:tc>
          <w:tcPr>
            <w:tcW w:w="1772" w:type="dxa"/>
            <w:tcBorders>
              <w:top w:val="single" w:sz="6" w:space="0" w:color="000000"/>
              <w:left w:val="single" w:sz="6" w:space="0" w:color="000000"/>
              <w:bottom w:val="single" w:sz="6" w:space="0" w:color="000000"/>
              <w:right w:val="single" w:sz="6" w:space="0" w:color="000000"/>
            </w:tcBorders>
          </w:tcPr>
          <w:p>
            <w:pPr/>
          </w:p>
        </w:tc>
        <w:tc>
          <w:tcPr>
            <w:tcW w:w="1633" w:type="dxa"/>
            <w:tcBorders>
              <w:top w:val="single" w:sz="6" w:space="0" w:color="000000"/>
              <w:left w:val="single" w:sz="6" w:space="0" w:color="000000"/>
              <w:bottom w:val="single" w:sz="6" w:space="0" w:color="000000"/>
              <w:right w:val="single" w:sz="6" w:space="0" w:color="000000"/>
            </w:tcBorders>
          </w:tcPr>
          <w:p>
            <w:pPr/>
          </w:p>
        </w:tc>
        <w:tc>
          <w:tcPr>
            <w:tcW w:w="1907" w:type="dxa"/>
            <w:tcBorders>
              <w:top w:val="single" w:sz="6" w:space="0" w:color="000000"/>
              <w:left w:val="single" w:sz="6" w:space="0" w:color="000000"/>
              <w:bottom w:val="single" w:sz="6" w:space="0" w:color="000000"/>
              <w:right w:val="single" w:sz="6" w:space="0" w:color="000000"/>
            </w:tcBorders>
          </w:tcPr>
          <w:p>
            <w:pPr/>
          </w:p>
        </w:tc>
      </w:tr>
      <w:tr>
        <w:trPr>
          <w:trHeight w:val="658" w:hRule="exact"/>
        </w:trPr>
        <w:tc>
          <w:tcPr>
            <w:tcW w:w="2257"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0"/>
              <w:ind w:left="4" w:right="-4"/>
              <w:jc w:val="left"/>
              <w:rPr>
                <w:rFonts w:ascii="宋体" w:hAnsi="宋体" w:cs="宋体" w:eastAsia="宋体" w:hint="default"/>
                <w:sz w:val="18"/>
                <w:szCs w:val="18"/>
              </w:rPr>
            </w:pPr>
            <w:r>
              <w:rPr>
                <w:rFonts w:ascii="宋体" w:hAnsi="宋体" w:cs="宋体" w:eastAsia="宋体" w:hint="default"/>
                <w:spacing w:val="3"/>
                <w:sz w:val="18"/>
                <w:szCs w:val="18"/>
              </w:rPr>
              <w:t>证券投资</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可供出售金融</w:t>
            </w:r>
            <w:r>
              <w:rPr>
                <w:rFonts w:ascii="宋体" w:hAnsi="宋体" w:cs="宋体" w:eastAsia="宋体" w:hint="default"/>
                <w:spacing w:val="-52"/>
                <w:sz w:val="18"/>
                <w:szCs w:val="18"/>
              </w:rPr>
              <w:t> </w:t>
            </w:r>
            <w:r>
              <w:rPr>
                <w:rFonts w:ascii="宋体" w:hAnsi="宋体" w:cs="宋体" w:eastAsia="宋体" w:hint="default"/>
                <w:spacing w:val="-52"/>
                <w:sz w:val="18"/>
                <w:szCs w:val="18"/>
              </w:rPr>
            </w:r>
            <w:r>
              <w:rPr>
                <w:rFonts w:ascii="宋体" w:hAnsi="宋体" w:cs="宋体" w:eastAsia="宋体" w:hint="default"/>
                <w:sz w:val="18"/>
                <w:szCs w:val="18"/>
              </w:rPr>
              <w:t>资产</w:t>
            </w:r>
          </w:p>
        </w:tc>
        <w:tc>
          <w:tcPr>
            <w:tcW w:w="2093" w:type="dxa"/>
            <w:tcBorders>
              <w:top w:val="single" w:sz="6" w:space="0" w:color="000000"/>
              <w:left w:val="single" w:sz="6" w:space="0" w:color="000000"/>
              <w:bottom w:val="single" w:sz="6" w:space="0" w:color="000000"/>
              <w:right w:val="single" w:sz="6" w:space="0" w:color="000000"/>
            </w:tcBorders>
          </w:tcPr>
          <w:p>
            <w:pPr/>
          </w:p>
        </w:tc>
        <w:tc>
          <w:tcPr>
            <w:tcW w:w="1772" w:type="dxa"/>
            <w:tcBorders>
              <w:top w:val="single" w:sz="6" w:space="0" w:color="000000"/>
              <w:left w:val="single" w:sz="6" w:space="0" w:color="000000"/>
              <w:bottom w:val="single" w:sz="6" w:space="0" w:color="000000"/>
              <w:right w:val="single" w:sz="6" w:space="0" w:color="000000"/>
            </w:tcBorders>
          </w:tcPr>
          <w:p>
            <w:pPr/>
          </w:p>
        </w:tc>
        <w:tc>
          <w:tcPr>
            <w:tcW w:w="1633" w:type="dxa"/>
            <w:tcBorders>
              <w:top w:val="single" w:sz="6" w:space="0" w:color="000000"/>
              <w:left w:val="single" w:sz="6" w:space="0" w:color="000000"/>
              <w:bottom w:val="single" w:sz="6" w:space="0" w:color="000000"/>
              <w:right w:val="single" w:sz="6" w:space="0" w:color="000000"/>
            </w:tcBorders>
          </w:tcPr>
          <w:p>
            <w:pPr/>
          </w:p>
        </w:tc>
        <w:tc>
          <w:tcPr>
            <w:tcW w:w="1907" w:type="dxa"/>
            <w:tcBorders>
              <w:top w:val="single" w:sz="6" w:space="0" w:color="000000"/>
              <w:left w:val="single" w:sz="6" w:space="0" w:color="000000"/>
              <w:bottom w:val="single" w:sz="6" w:space="0" w:color="000000"/>
              <w:right w:val="single" w:sz="6" w:space="0" w:color="000000"/>
            </w:tcBorders>
          </w:tcPr>
          <w:p>
            <w:pPr/>
          </w:p>
        </w:tc>
      </w:tr>
      <w:tr>
        <w:trPr>
          <w:trHeight w:val="350" w:hRule="exact"/>
        </w:trPr>
        <w:tc>
          <w:tcPr>
            <w:tcW w:w="22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4" w:right="0"/>
              <w:jc w:val="left"/>
              <w:rPr>
                <w:rFonts w:ascii="宋体" w:hAnsi="宋体" w:cs="宋体" w:eastAsia="宋体" w:hint="default"/>
                <w:sz w:val="18"/>
                <w:szCs w:val="18"/>
              </w:rPr>
            </w:pPr>
            <w:r>
              <w:rPr>
                <w:rFonts w:ascii="宋体" w:hAnsi="宋体" w:cs="宋体" w:eastAsia="宋体" w:hint="default"/>
                <w:sz w:val="18"/>
                <w:szCs w:val="18"/>
              </w:rPr>
              <w:t>按原</w:t>
            </w:r>
            <w:r>
              <w:rPr>
                <w:rFonts w:ascii="Times New Roman" w:hAnsi="Times New Roman" w:cs="Times New Roman" w:eastAsia="Times New Roman" w:hint="default"/>
                <w:sz w:val="18"/>
                <w:szCs w:val="18"/>
              </w:rPr>
              <w:t>CAS22</w:t>
            </w:r>
            <w:r>
              <w:rPr>
                <w:rFonts w:ascii="宋体" w:hAnsi="宋体" w:cs="宋体" w:eastAsia="宋体" w:hint="default"/>
                <w:sz w:val="18"/>
                <w:szCs w:val="18"/>
              </w:rPr>
              <w:t>列示的余额</w:t>
            </w:r>
          </w:p>
        </w:tc>
        <w:tc>
          <w:tcPr>
            <w:tcW w:w="20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right="-5"/>
              <w:jc w:val="right"/>
              <w:rPr>
                <w:rFonts w:ascii="Times New Roman" w:hAnsi="Times New Roman" w:cs="Times New Roman" w:eastAsia="Times New Roman" w:hint="default"/>
                <w:sz w:val="18"/>
                <w:szCs w:val="18"/>
              </w:rPr>
            </w:pPr>
            <w:r>
              <w:rPr>
                <w:rFonts w:ascii="Times New Roman"/>
                <w:spacing w:val="-1"/>
                <w:sz w:val="18"/>
              </w:rPr>
              <w:t>30,000,000.00</w:t>
            </w:r>
          </w:p>
        </w:tc>
        <w:tc>
          <w:tcPr>
            <w:tcW w:w="1772" w:type="dxa"/>
            <w:tcBorders>
              <w:top w:val="single" w:sz="6" w:space="0" w:color="000000"/>
              <w:left w:val="single" w:sz="6" w:space="0" w:color="000000"/>
              <w:bottom w:val="single" w:sz="6" w:space="0" w:color="000000"/>
              <w:right w:val="single" w:sz="6" w:space="0" w:color="000000"/>
            </w:tcBorders>
          </w:tcPr>
          <w:p>
            <w:pPr/>
          </w:p>
        </w:tc>
        <w:tc>
          <w:tcPr>
            <w:tcW w:w="1633" w:type="dxa"/>
            <w:tcBorders>
              <w:top w:val="single" w:sz="6" w:space="0" w:color="000000"/>
              <w:left w:val="single" w:sz="6" w:space="0" w:color="000000"/>
              <w:bottom w:val="single" w:sz="6" w:space="0" w:color="000000"/>
              <w:right w:val="single" w:sz="6" w:space="0" w:color="000000"/>
            </w:tcBorders>
          </w:tcPr>
          <w:p>
            <w:pPr/>
          </w:p>
        </w:tc>
        <w:tc>
          <w:tcPr>
            <w:tcW w:w="1907" w:type="dxa"/>
            <w:tcBorders>
              <w:top w:val="single" w:sz="6" w:space="0" w:color="000000"/>
              <w:left w:val="single" w:sz="6" w:space="0" w:color="000000"/>
              <w:bottom w:val="single" w:sz="6" w:space="0" w:color="000000"/>
              <w:right w:val="single" w:sz="6" w:space="0" w:color="000000"/>
            </w:tcBorders>
          </w:tcPr>
          <w:p>
            <w:pPr/>
          </w:p>
        </w:tc>
      </w:tr>
      <w:tr>
        <w:trPr>
          <w:trHeight w:val="970" w:hRule="exact"/>
        </w:trPr>
        <w:tc>
          <w:tcPr>
            <w:tcW w:w="225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4" w:right="-9"/>
              <w:jc w:val="left"/>
              <w:rPr>
                <w:rFonts w:ascii="宋体" w:hAnsi="宋体" w:cs="宋体" w:eastAsia="宋体" w:hint="default"/>
                <w:sz w:val="18"/>
                <w:szCs w:val="18"/>
              </w:rPr>
            </w:pPr>
            <w:r>
              <w:rPr>
                <w:rFonts w:ascii="宋体" w:hAnsi="宋体" w:cs="宋体" w:eastAsia="宋体" w:hint="default"/>
                <w:spacing w:val="3"/>
                <w:sz w:val="18"/>
                <w:szCs w:val="18"/>
              </w:rPr>
              <w:t>减：转出至以公允价值计量</w:t>
            </w:r>
            <w:r>
              <w:rPr>
                <w:rFonts w:ascii="宋体" w:hAnsi="宋体" w:cs="宋体" w:eastAsia="宋体" w:hint="default"/>
                <w:spacing w:val="-50"/>
                <w:sz w:val="18"/>
                <w:szCs w:val="18"/>
              </w:rPr>
              <w:t> </w:t>
            </w:r>
            <w:r>
              <w:rPr>
                <w:rFonts w:ascii="宋体" w:hAnsi="宋体" w:cs="宋体" w:eastAsia="宋体" w:hint="default"/>
                <w:spacing w:val="3"/>
                <w:sz w:val="18"/>
                <w:szCs w:val="18"/>
              </w:rPr>
              <w:t>且其变动计入其他综合收益</w:t>
            </w:r>
            <w:r>
              <w:rPr>
                <w:rFonts w:ascii="宋体" w:hAnsi="宋体" w:cs="宋体" w:eastAsia="宋体" w:hint="default"/>
                <w:sz w:val="18"/>
                <w:szCs w:val="18"/>
              </w:rPr>
            </w:r>
          </w:p>
          <w:p>
            <w:pPr>
              <w:pStyle w:val="TableParagraph"/>
              <w:spacing w:line="240" w:lineRule="auto" w:before="19"/>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权益工具投资</w:t>
            </w:r>
          </w:p>
        </w:tc>
        <w:tc>
          <w:tcPr>
            <w:tcW w:w="2093" w:type="dxa"/>
            <w:tcBorders>
              <w:top w:val="single" w:sz="6" w:space="0" w:color="000000"/>
              <w:left w:val="single" w:sz="6" w:space="0" w:color="000000"/>
              <w:bottom w:val="single" w:sz="6" w:space="0" w:color="000000"/>
              <w:right w:val="single" w:sz="6" w:space="0" w:color="000000"/>
            </w:tcBorders>
          </w:tcPr>
          <w:p>
            <w:pPr/>
          </w:p>
        </w:tc>
        <w:tc>
          <w:tcPr>
            <w:tcW w:w="17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9"/>
              <w:ind w:right="-5"/>
              <w:jc w:val="right"/>
              <w:rPr>
                <w:rFonts w:ascii="Times New Roman" w:hAnsi="Times New Roman" w:cs="Times New Roman" w:eastAsia="Times New Roman" w:hint="default"/>
                <w:sz w:val="18"/>
                <w:szCs w:val="18"/>
              </w:rPr>
            </w:pPr>
            <w:r>
              <w:rPr>
                <w:rFonts w:ascii="Times New Roman"/>
                <w:spacing w:val="-1"/>
                <w:sz w:val="18"/>
              </w:rPr>
              <w:t>-30,000,000.00</w:t>
            </w:r>
          </w:p>
        </w:tc>
        <w:tc>
          <w:tcPr>
            <w:tcW w:w="1633" w:type="dxa"/>
            <w:tcBorders>
              <w:top w:val="single" w:sz="6" w:space="0" w:color="000000"/>
              <w:left w:val="single" w:sz="6" w:space="0" w:color="000000"/>
              <w:bottom w:val="single" w:sz="6" w:space="0" w:color="000000"/>
              <w:right w:val="single" w:sz="6" w:space="0" w:color="000000"/>
            </w:tcBorders>
          </w:tcPr>
          <w:p>
            <w:pPr/>
          </w:p>
        </w:tc>
        <w:tc>
          <w:tcPr>
            <w:tcW w:w="1907" w:type="dxa"/>
            <w:tcBorders>
              <w:top w:val="single" w:sz="6" w:space="0" w:color="000000"/>
              <w:left w:val="single" w:sz="6" w:space="0" w:color="000000"/>
              <w:bottom w:val="single" w:sz="6" w:space="0" w:color="000000"/>
              <w:right w:val="single" w:sz="6" w:space="0" w:color="000000"/>
            </w:tcBorders>
          </w:tcPr>
          <w:p>
            <w:pPr/>
          </w:p>
        </w:tc>
      </w:tr>
      <w:tr>
        <w:trPr>
          <w:trHeight w:val="346" w:hRule="exact"/>
        </w:trPr>
        <w:tc>
          <w:tcPr>
            <w:tcW w:w="22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按新</w:t>
            </w:r>
            <w:r>
              <w:rPr>
                <w:rFonts w:ascii="Times New Roman" w:hAnsi="Times New Roman" w:cs="Times New Roman" w:eastAsia="Times New Roman" w:hint="default"/>
                <w:sz w:val="18"/>
                <w:szCs w:val="18"/>
              </w:rPr>
              <w:t>CAS22</w:t>
            </w:r>
            <w:r>
              <w:rPr>
                <w:rFonts w:ascii="宋体" w:hAnsi="宋体" w:cs="宋体" w:eastAsia="宋体" w:hint="default"/>
                <w:sz w:val="18"/>
                <w:szCs w:val="18"/>
              </w:rPr>
              <w:t>列示的余额</w:t>
            </w:r>
          </w:p>
        </w:tc>
        <w:tc>
          <w:tcPr>
            <w:tcW w:w="2093" w:type="dxa"/>
            <w:tcBorders>
              <w:top w:val="single" w:sz="6" w:space="0" w:color="000000"/>
              <w:left w:val="single" w:sz="6" w:space="0" w:color="000000"/>
              <w:bottom w:val="single" w:sz="6" w:space="0" w:color="000000"/>
              <w:right w:val="single" w:sz="6" w:space="0" w:color="000000"/>
            </w:tcBorders>
          </w:tcPr>
          <w:p>
            <w:pPr/>
          </w:p>
        </w:tc>
        <w:tc>
          <w:tcPr>
            <w:tcW w:w="1772" w:type="dxa"/>
            <w:tcBorders>
              <w:top w:val="single" w:sz="6" w:space="0" w:color="000000"/>
              <w:left w:val="single" w:sz="6" w:space="0" w:color="000000"/>
              <w:bottom w:val="single" w:sz="6" w:space="0" w:color="000000"/>
              <w:right w:val="single" w:sz="6" w:space="0" w:color="000000"/>
            </w:tcBorders>
          </w:tcPr>
          <w:p>
            <w:pPr/>
          </w:p>
        </w:tc>
        <w:tc>
          <w:tcPr>
            <w:tcW w:w="1633" w:type="dxa"/>
            <w:tcBorders>
              <w:top w:val="single" w:sz="6" w:space="0" w:color="000000"/>
              <w:left w:val="single" w:sz="6" w:space="0" w:color="000000"/>
              <w:bottom w:val="single" w:sz="6" w:space="0" w:color="000000"/>
              <w:right w:val="single" w:sz="6" w:space="0" w:color="000000"/>
            </w:tcBorders>
          </w:tcPr>
          <w:p>
            <w:pPr/>
          </w:p>
        </w:tc>
        <w:tc>
          <w:tcPr>
            <w:tcW w:w="1907" w:type="dxa"/>
            <w:tcBorders>
              <w:top w:val="single" w:sz="6" w:space="0" w:color="000000"/>
              <w:left w:val="single" w:sz="6" w:space="0" w:color="000000"/>
              <w:bottom w:val="single" w:sz="6" w:space="0" w:color="000000"/>
              <w:right w:val="single" w:sz="6" w:space="0" w:color="000000"/>
            </w:tcBorders>
          </w:tcPr>
          <w:p>
            <w:pPr/>
          </w:p>
        </w:tc>
      </w:tr>
      <w:tr>
        <w:trPr>
          <w:trHeight w:val="975" w:hRule="exact"/>
        </w:trPr>
        <w:tc>
          <w:tcPr>
            <w:tcW w:w="2257"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25"/>
              <w:ind w:left="4" w:right="-9"/>
              <w:jc w:val="both"/>
              <w:rPr>
                <w:rFonts w:ascii="宋体" w:hAnsi="宋体" w:cs="宋体" w:eastAsia="宋体" w:hint="default"/>
                <w:sz w:val="18"/>
                <w:szCs w:val="18"/>
              </w:rPr>
            </w:pPr>
            <w:r>
              <w:rPr>
                <w:rFonts w:ascii="宋体" w:hAnsi="宋体" w:cs="宋体" w:eastAsia="宋体" w:hint="default"/>
                <w:spacing w:val="3"/>
                <w:sz w:val="18"/>
                <w:szCs w:val="18"/>
              </w:rPr>
              <w:t>以公允价值计量且其变动计</w:t>
            </w:r>
            <w:r>
              <w:rPr>
                <w:rFonts w:ascii="宋体" w:hAnsi="宋体" w:cs="宋体" w:eastAsia="宋体" w:hint="default"/>
                <w:spacing w:val="-50"/>
                <w:sz w:val="18"/>
                <w:szCs w:val="18"/>
              </w:rPr>
              <w:t> </w:t>
            </w:r>
            <w:r>
              <w:rPr>
                <w:rFonts w:ascii="宋体" w:hAnsi="宋体" w:cs="宋体" w:eastAsia="宋体" w:hint="default"/>
                <w:spacing w:val="3"/>
                <w:sz w:val="18"/>
                <w:szCs w:val="18"/>
              </w:rPr>
              <w:t>入其他综合收益的总金融资</w:t>
            </w:r>
            <w:r>
              <w:rPr>
                <w:rFonts w:ascii="宋体" w:hAnsi="宋体" w:cs="宋体" w:eastAsia="宋体" w:hint="default"/>
                <w:spacing w:val="-50"/>
                <w:sz w:val="18"/>
                <w:szCs w:val="18"/>
              </w:rPr>
              <w:t> </w:t>
            </w:r>
            <w:r>
              <w:rPr>
                <w:rFonts w:ascii="宋体" w:hAnsi="宋体" w:cs="宋体" w:eastAsia="宋体" w:hint="default"/>
                <w:sz w:val="18"/>
                <w:szCs w:val="18"/>
              </w:rPr>
              <w:t>产</w:t>
            </w:r>
          </w:p>
        </w:tc>
        <w:tc>
          <w:tcPr>
            <w:tcW w:w="20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4"/>
              <w:ind w:right="-5"/>
              <w:jc w:val="right"/>
              <w:rPr>
                <w:rFonts w:ascii="Times New Roman" w:hAnsi="Times New Roman" w:cs="Times New Roman" w:eastAsia="Times New Roman" w:hint="default"/>
                <w:sz w:val="18"/>
                <w:szCs w:val="18"/>
              </w:rPr>
            </w:pPr>
            <w:r>
              <w:rPr>
                <w:rFonts w:ascii="Times New Roman"/>
                <w:spacing w:val="-1"/>
                <w:sz w:val="18"/>
              </w:rPr>
              <w:t>30,000,000.00</w:t>
            </w:r>
          </w:p>
        </w:tc>
        <w:tc>
          <w:tcPr>
            <w:tcW w:w="1772" w:type="dxa"/>
            <w:tcBorders>
              <w:top w:val="single" w:sz="6" w:space="0" w:color="000000"/>
              <w:left w:val="single" w:sz="6" w:space="0" w:color="000000"/>
              <w:bottom w:val="single" w:sz="6" w:space="0" w:color="000000"/>
              <w:right w:val="single" w:sz="6" w:space="0" w:color="000000"/>
            </w:tcBorders>
          </w:tcPr>
          <w:p>
            <w:pPr/>
          </w:p>
        </w:tc>
        <w:tc>
          <w:tcPr>
            <w:tcW w:w="1633" w:type="dxa"/>
            <w:tcBorders>
              <w:top w:val="single" w:sz="6" w:space="0" w:color="000000"/>
              <w:left w:val="single" w:sz="6" w:space="0" w:color="000000"/>
              <w:bottom w:val="single" w:sz="6" w:space="0" w:color="000000"/>
              <w:right w:val="single" w:sz="6" w:space="0" w:color="000000"/>
            </w:tcBorders>
          </w:tcPr>
          <w:p>
            <w:pP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4"/>
              <w:ind w:right="-4"/>
              <w:jc w:val="right"/>
              <w:rPr>
                <w:rFonts w:ascii="Times New Roman" w:hAnsi="Times New Roman" w:cs="Times New Roman" w:eastAsia="Times New Roman" w:hint="default"/>
                <w:sz w:val="18"/>
                <w:szCs w:val="18"/>
              </w:rPr>
            </w:pPr>
            <w:r>
              <w:rPr>
                <w:rFonts w:ascii="Times New Roman"/>
                <w:spacing w:val="-1"/>
                <w:sz w:val="18"/>
              </w:rPr>
              <w:t>30,000,000.00</w:t>
            </w:r>
          </w:p>
        </w:tc>
      </w:tr>
    </w:tbl>
    <w:p>
      <w:pPr>
        <w:pStyle w:val="BodyText"/>
        <w:spacing w:line="475" w:lineRule="auto" w:before="92"/>
        <w:ind w:right="1029" w:firstLine="360"/>
        <w:jc w:val="left"/>
      </w:pPr>
      <w:r>
        <w:rPr/>
        <w:pict>
          <v:shape style="position:absolute;margin-left:55.703999pt;margin-top:46.791733pt;width:484.2pt;height:101.35pt;mso-position-horizontal-relative:page;mso-position-vertical-relative:paragraph;z-index:169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161"/>
                    <w:gridCol w:w="2041"/>
                    <w:gridCol w:w="1594"/>
                    <w:gridCol w:w="1705"/>
                    <w:gridCol w:w="2161"/>
                  </w:tblGrid>
                  <w:tr>
                    <w:trPr>
                      <w:trHeight w:val="970" w:hRule="exact"/>
                    </w:trPr>
                    <w:tc>
                      <w:tcPr>
                        <w:tcW w:w="216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left="715" w:right="0"/>
                          <w:jc w:val="left"/>
                          <w:rPr>
                            <w:rFonts w:ascii="宋体" w:hAnsi="宋体" w:cs="宋体" w:eastAsia="宋体" w:hint="default"/>
                            <w:sz w:val="18"/>
                            <w:szCs w:val="18"/>
                          </w:rPr>
                        </w:pPr>
                        <w:r>
                          <w:rPr>
                            <w:rFonts w:ascii="宋体" w:hAnsi="宋体" w:cs="宋体" w:eastAsia="宋体" w:hint="default"/>
                            <w:sz w:val="18"/>
                            <w:szCs w:val="18"/>
                          </w:rPr>
                          <w:t>计量类别</w:t>
                        </w:r>
                      </w:p>
                    </w:tc>
                    <w:tc>
                      <w:tcPr>
                        <w:tcW w:w="204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9"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 </w:t>
                        </w:r>
                        <w:r>
                          <w:rPr>
                            <w:rFonts w:ascii="Times New Roman" w:hAnsi="Times New Roman" w:cs="Times New Roman" w:eastAsia="Times New Roman" w:hint="default"/>
                            <w:sz w:val="18"/>
                            <w:szCs w:val="18"/>
                          </w:rPr>
                          <w:t>12 </w:t>
                        </w:r>
                        <w:r>
                          <w:rPr>
                            <w:rFonts w:ascii="宋体" w:hAnsi="宋体" w:cs="宋体" w:eastAsia="宋体" w:hint="default"/>
                            <w:sz w:val="18"/>
                            <w:szCs w:val="18"/>
                          </w:rPr>
                          <w:t>月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4"/>
                            <w:sz w:val="18"/>
                            <w:szCs w:val="18"/>
                          </w:rPr>
                          <w:t> </w:t>
                        </w:r>
                        <w:r>
                          <w:rPr>
                            <w:rFonts w:ascii="宋体" w:hAnsi="宋体" w:cs="宋体" w:eastAsia="宋体" w:hint="default"/>
                            <w:sz w:val="18"/>
                            <w:szCs w:val="18"/>
                          </w:rPr>
                          <w:t>日</w:t>
                        </w:r>
                      </w:p>
                      <w:p>
                        <w:pPr>
                          <w:pStyle w:val="TableParagraph"/>
                          <w:spacing w:line="240" w:lineRule="auto" w:before="63"/>
                          <w:ind w:left="4" w:right="0"/>
                          <w:jc w:val="center"/>
                          <w:rPr>
                            <w:rFonts w:ascii="宋体" w:hAnsi="宋体" w:cs="宋体" w:eastAsia="宋体" w:hint="default"/>
                            <w:sz w:val="18"/>
                            <w:szCs w:val="18"/>
                          </w:rPr>
                        </w:pPr>
                        <w:r>
                          <w:rPr>
                            <w:rFonts w:ascii="宋体" w:hAnsi="宋体" w:cs="宋体" w:eastAsia="宋体" w:hint="default"/>
                            <w:spacing w:val="-3"/>
                            <w:sz w:val="18"/>
                            <w:szCs w:val="18"/>
                          </w:rPr>
                          <w:t>计提的减值准备</w:t>
                        </w:r>
                      </w:p>
                      <w:p>
                        <w:pPr>
                          <w:pStyle w:val="TableParagraph"/>
                          <w:spacing w:line="240" w:lineRule="auto" w:before="76"/>
                          <w:ind w:left="9" w:right="0"/>
                          <w:jc w:val="center"/>
                          <w:rPr>
                            <w:rFonts w:ascii="宋体" w:hAnsi="宋体" w:cs="宋体" w:eastAsia="宋体" w:hint="default"/>
                            <w:sz w:val="18"/>
                            <w:szCs w:val="18"/>
                          </w:rPr>
                        </w:pPr>
                        <w:r>
                          <w:rPr>
                            <w:rFonts w:ascii="宋体" w:hAnsi="宋体" w:cs="宋体" w:eastAsia="宋体" w:hint="default"/>
                            <w:spacing w:val="-3"/>
                            <w:sz w:val="18"/>
                            <w:szCs w:val="18"/>
                          </w:rPr>
                          <w:t>（原金融工具准则）</w:t>
                        </w:r>
                      </w:p>
                    </w:tc>
                    <w:tc>
                      <w:tcPr>
                        <w:tcW w:w="159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重分类</w:t>
                        </w:r>
                      </w:p>
                    </w:tc>
                    <w:tc>
                      <w:tcPr>
                        <w:tcW w:w="170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left="485" w:right="0"/>
                          <w:jc w:val="left"/>
                          <w:rPr>
                            <w:rFonts w:ascii="宋体" w:hAnsi="宋体" w:cs="宋体" w:eastAsia="宋体" w:hint="default"/>
                            <w:sz w:val="18"/>
                            <w:szCs w:val="18"/>
                          </w:rPr>
                        </w:pPr>
                        <w:r>
                          <w:rPr>
                            <w:rFonts w:ascii="宋体" w:hAnsi="宋体" w:cs="宋体" w:eastAsia="宋体" w:hint="default"/>
                            <w:sz w:val="18"/>
                            <w:szCs w:val="18"/>
                          </w:rPr>
                          <w:t>重新计量</w:t>
                        </w:r>
                      </w:p>
                    </w:tc>
                    <w:tc>
                      <w:tcPr>
                        <w:tcW w:w="216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300" w:lineRule="auto" w:before="20"/>
                          <w:ind w:left="446" w:right="435" w:firstLine="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 </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宋体" w:hAnsi="宋体" w:cs="宋体" w:eastAsia="宋体" w:hint="default"/>
                            <w:spacing w:val="-28"/>
                            <w:sz w:val="18"/>
                            <w:szCs w:val="18"/>
                          </w:rPr>
                          <w:t> </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日</w:t>
                        </w:r>
                        <w:r>
                          <w:rPr>
                            <w:rFonts w:ascii="宋体" w:hAnsi="宋体" w:cs="宋体" w:eastAsia="宋体" w:hint="default"/>
                            <w:w w:val="101"/>
                            <w:sz w:val="18"/>
                            <w:szCs w:val="18"/>
                          </w:rPr>
                          <w:t> </w:t>
                        </w:r>
                        <w:r>
                          <w:rPr>
                            <w:rFonts w:ascii="宋体" w:hAnsi="宋体" w:cs="宋体" w:eastAsia="宋体" w:hint="default"/>
                            <w:spacing w:val="-3"/>
                            <w:sz w:val="18"/>
                            <w:szCs w:val="18"/>
                          </w:rPr>
                          <w:t>计提的减值准备</w:t>
                        </w:r>
                      </w:p>
                      <w:p>
                        <w:pPr>
                          <w:pStyle w:val="TableParagraph"/>
                          <w:spacing w:line="240" w:lineRule="auto" w:before="31"/>
                          <w:ind w:left="13" w:right="0"/>
                          <w:jc w:val="center"/>
                          <w:rPr>
                            <w:rFonts w:ascii="宋体" w:hAnsi="宋体" w:cs="宋体" w:eastAsia="宋体" w:hint="default"/>
                            <w:sz w:val="18"/>
                            <w:szCs w:val="18"/>
                          </w:rPr>
                        </w:pPr>
                        <w:r>
                          <w:rPr>
                            <w:rFonts w:ascii="宋体" w:hAnsi="宋体" w:cs="宋体" w:eastAsia="宋体" w:hint="default"/>
                            <w:spacing w:val="-3"/>
                            <w:sz w:val="18"/>
                            <w:szCs w:val="18"/>
                          </w:rPr>
                          <w:t>（新金融工具准则）</w:t>
                        </w:r>
                      </w:p>
                    </w:tc>
                  </w:tr>
                  <w:tr>
                    <w:trPr>
                      <w:trHeight w:val="346" w:hRule="exact"/>
                    </w:trPr>
                    <w:tc>
                      <w:tcPr>
                        <w:tcW w:w="9662" w:type="dxa"/>
                        <w:gridSpan w:val="5"/>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pacing w:val="-3"/>
                            <w:sz w:val="18"/>
                            <w:szCs w:val="18"/>
                          </w:rPr>
                          <w:t>以摊余成本计量的金融资产</w:t>
                        </w:r>
                      </w:p>
                    </w:tc>
                  </w:tr>
                  <w:tr>
                    <w:trPr>
                      <w:trHeight w:val="350" w:hRule="exact"/>
                    </w:trPr>
                    <w:tc>
                      <w:tcPr>
                        <w:tcW w:w="21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4" w:right="0"/>
                          <w:jc w:val="left"/>
                          <w:rPr>
                            <w:rFonts w:ascii="宋体" w:hAnsi="宋体" w:cs="宋体" w:eastAsia="宋体" w:hint="default"/>
                            <w:sz w:val="18"/>
                            <w:szCs w:val="18"/>
                          </w:rPr>
                        </w:pPr>
                        <w:r>
                          <w:rPr>
                            <w:rFonts w:ascii="宋体" w:hAnsi="宋体" w:cs="宋体" w:eastAsia="宋体" w:hint="default"/>
                            <w:sz w:val="18"/>
                            <w:szCs w:val="18"/>
                          </w:rPr>
                          <w:t>应收账款减值准备</w:t>
                        </w:r>
                      </w:p>
                    </w:tc>
                    <w:tc>
                      <w:tcPr>
                        <w:tcW w:w="20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right="-4"/>
                          <w:jc w:val="right"/>
                          <w:rPr>
                            <w:rFonts w:ascii="Times New Roman" w:hAnsi="Times New Roman" w:cs="Times New Roman" w:eastAsia="Times New Roman" w:hint="default"/>
                            <w:sz w:val="18"/>
                            <w:szCs w:val="18"/>
                          </w:rPr>
                        </w:pPr>
                        <w:r>
                          <w:rPr>
                            <w:rFonts w:ascii="Times New Roman"/>
                            <w:spacing w:val="-1"/>
                            <w:sz w:val="18"/>
                          </w:rPr>
                          <w:t>38,439,843.77</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right="-4"/>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7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right="-4"/>
                          <w:jc w:val="right"/>
                          <w:rPr>
                            <w:rFonts w:ascii="Times New Roman" w:hAnsi="Times New Roman" w:cs="Times New Roman" w:eastAsia="Times New Roman" w:hint="default"/>
                            <w:sz w:val="18"/>
                            <w:szCs w:val="18"/>
                          </w:rPr>
                        </w:pPr>
                        <w:r>
                          <w:rPr>
                            <w:rFonts w:ascii="Times New Roman"/>
                            <w:spacing w:val="-1"/>
                            <w:sz w:val="18"/>
                          </w:rPr>
                          <w:t>4,809,549.56</w:t>
                        </w:r>
                      </w:p>
                    </w:tc>
                    <w:tc>
                      <w:tcPr>
                        <w:tcW w:w="21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right="-4"/>
                          <w:jc w:val="right"/>
                          <w:rPr>
                            <w:rFonts w:ascii="Times New Roman" w:hAnsi="Times New Roman" w:cs="Times New Roman" w:eastAsia="Times New Roman" w:hint="default"/>
                            <w:sz w:val="18"/>
                            <w:szCs w:val="18"/>
                          </w:rPr>
                        </w:pPr>
                        <w:r>
                          <w:rPr>
                            <w:rFonts w:ascii="Times New Roman"/>
                            <w:spacing w:val="-1"/>
                            <w:sz w:val="18"/>
                          </w:rPr>
                          <w:t>43,249,393.33</w:t>
                        </w:r>
                      </w:p>
                    </w:tc>
                  </w:tr>
                  <w:tr>
                    <w:trPr>
                      <w:trHeight w:val="346" w:hRule="exact"/>
                    </w:trPr>
                    <w:tc>
                      <w:tcPr>
                        <w:tcW w:w="21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pacing w:val="-3"/>
                            <w:sz w:val="18"/>
                            <w:szCs w:val="18"/>
                          </w:rPr>
                          <w:t>其他应收款减值准备</w:t>
                        </w:r>
                      </w:p>
                    </w:tc>
                    <w:tc>
                      <w:tcPr>
                        <w:tcW w:w="20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4"/>
                          <w:jc w:val="right"/>
                          <w:rPr>
                            <w:rFonts w:ascii="Times New Roman" w:hAnsi="Times New Roman" w:cs="Times New Roman" w:eastAsia="Times New Roman" w:hint="default"/>
                            <w:sz w:val="18"/>
                            <w:szCs w:val="18"/>
                          </w:rPr>
                        </w:pPr>
                        <w:r>
                          <w:rPr>
                            <w:rFonts w:ascii="Times New Roman"/>
                            <w:spacing w:val="-1"/>
                            <w:sz w:val="18"/>
                          </w:rPr>
                          <w:t>4,601,719.94</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4"/>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7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4"/>
                          <w:jc w:val="right"/>
                          <w:rPr>
                            <w:rFonts w:ascii="Times New Roman" w:hAnsi="Times New Roman" w:cs="Times New Roman" w:eastAsia="Times New Roman" w:hint="default"/>
                            <w:sz w:val="18"/>
                            <w:szCs w:val="18"/>
                          </w:rPr>
                        </w:pPr>
                        <w:r>
                          <w:rPr>
                            <w:rFonts w:ascii="Times New Roman"/>
                            <w:spacing w:val="-1"/>
                            <w:sz w:val="18"/>
                          </w:rPr>
                          <w:t>-2,189,671.71</w:t>
                        </w:r>
                      </w:p>
                    </w:tc>
                    <w:tc>
                      <w:tcPr>
                        <w:tcW w:w="21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4"/>
                          <w:jc w:val="right"/>
                          <w:rPr>
                            <w:rFonts w:ascii="Times New Roman" w:hAnsi="Times New Roman" w:cs="Times New Roman" w:eastAsia="Times New Roman" w:hint="default"/>
                            <w:sz w:val="18"/>
                            <w:szCs w:val="18"/>
                          </w:rPr>
                        </w:pPr>
                        <w:r>
                          <w:rPr>
                            <w:rFonts w:ascii="Times New Roman"/>
                            <w:spacing w:val="-1"/>
                            <w:sz w:val="18"/>
                          </w:rPr>
                          <w:t>2,412,048.23</w:t>
                        </w:r>
                      </w:p>
                    </w:tc>
                  </w:tr>
                </w:tbl>
                <w:p>
                  <w:pPr/>
                </w:p>
              </w:txbxContent>
            </v:textbox>
            <w10:wrap type="none"/>
          </v:shape>
        </w:pict>
      </w:r>
      <w:r>
        <w:rPr>
          <w:spacing w:val="-3"/>
        </w:rPr>
        <w:t>③本公司在首次执行日原金融资产减值准备期末金额调整为按照修订后金融工具准则的规定进行分类和计量的新损失</w:t>
      </w:r>
      <w:r>
        <w:rPr>
          <w:w w:val="101"/>
        </w:rPr>
        <w:t> </w:t>
      </w:r>
      <w:r>
        <w:rPr/>
        <w:t>准备调节表：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9"/>
          <w:szCs w:val="29"/>
        </w:rPr>
      </w:pPr>
    </w:p>
    <w:p>
      <w:pPr>
        <w:pStyle w:val="Heading2"/>
        <w:spacing w:line="240" w:lineRule="auto" w:before="26"/>
        <w:ind w:right="0"/>
        <w:jc w:val="left"/>
        <w:rPr>
          <w:b w:val="0"/>
          <w:bCs w:val="0"/>
        </w:rPr>
      </w:pPr>
      <w:bookmarkStart w:name="六、税项" w:id="222"/>
      <w:bookmarkEnd w:id="222"/>
      <w:r>
        <w:rPr>
          <w:b w:val="0"/>
          <w:bCs w:val="0"/>
        </w:rPr>
      </w:r>
      <w:r>
        <w:rPr/>
        <w:t>六、税项</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left"/>
        <w:rPr>
          <w:b w:val="0"/>
          <w:bCs w:val="0"/>
        </w:rPr>
      </w:pPr>
      <w:bookmarkStart w:name="1、主要税种及税率" w:id="223"/>
      <w:bookmarkEnd w:id="223"/>
      <w:r>
        <w:rPr>
          <w:b w:val="0"/>
          <w:bCs w:val="0"/>
        </w:rPr>
      </w:r>
      <w:r>
        <w:rPr>
          <w:rFonts w:ascii="Times New Roman" w:hAnsi="Times New Roman" w:cs="Times New Roman" w:eastAsia="Times New Roman" w:hint="default"/>
        </w:rPr>
        <w:t>1</w:t>
      </w:r>
      <w:r>
        <w:rPr/>
        <w:t>、主要税种及税率</w:t>
      </w:r>
      <w:r>
        <w:rPr>
          <w:b w:val="0"/>
          <w:bCs w:val="0"/>
        </w:rPr>
      </w:r>
    </w:p>
    <w:p>
      <w:pPr>
        <w:spacing w:line="240" w:lineRule="auto" w:before="12"/>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3167"/>
        <w:gridCol w:w="3203"/>
        <w:gridCol w:w="3193"/>
      </w:tblGrid>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 w:right="0"/>
              <w:jc w:val="center"/>
              <w:rPr>
                <w:rFonts w:ascii="宋体" w:hAnsi="宋体" w:cs="宋体" w:eastAsia="宋体" w:hint="default"/>
                <w:sz w:val="18"/>
                <w:szCs w:val="18"/>
              </w:rPr>
            </w:pPr>
            <w:r>
              <w:rPr>
                <w:rFonts w:ascii="宋体" w:hAnsi="宋体" w:cs="宋体" w:eastAsia="宋体" w:hint="default"/>
                <w:sz w:val="18"/>
                <w:szCs w:val="18"/>
              </w:rPr>
              <w:t>税种</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2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3"/>
              <w:ind w:left="26" w:right="0"/>
              <w:jc w:val="left"/>
              <w:rPr>
                <w:rFonts w:ascii="宋体" w:hAnsi="宋体" w:cs="宋体" w:eastAsia="宋体" w:hint="default"/>
                <w:sz w:val="18"/>
                <w:szCs w:val="18"/>
              </w:rPr>
            </w:pPr>
            <w:r>
              <w:rPr>
                <w:rFonts w:ascii="宋体" w:hAnsi="宋体" w:cs="宋体" w:eastAsia="宋体" w:hint="default"/>
                <w:spacing w:val="-3"/>
                <w:sz w:val="18"/>
                <w:szCs w:val="18"/>
              </w:rPr>
              <w:t>产品销售收入、服务收入</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16%</w:t>
            </w:r>
            <w:r>
              <w:rPr>
                <w:rFonts w:ascii="宋体" w:hAnsi="宋体" w:cs="宋体" w:eastAsia="宋体" w:hint="default"/>
                <w:sz w:val="18"/>
                <w:szCs w:val="18"/>
              </w:rPr>
              <w:t>、</w:t>
            </w:r>
            <w:r>
              <w:rPr>
                <w:rFonts w:ascii="Times New Roman" w:hAnsi="Times New Roman" w:cs="Times New Roman" w:eastAsia="Times New Roman" w:hint="default"/>
                <w:sz w:val="18"/>
                <w:szCs w:val="18"/>
              </w:rPr>
              <w:t>13%</w:t>
            </w:r>
            <w:r>
              <w:rPr>
                <w:rFonts w:ascii="宋体" w:hAnsi="宋体" w:cs="宋体" w:eastAsia="宋体" w:hint="default"/>
                <w:sz w:val="18"/>
                <w:szCs w:val="18"/>
              </w:rPr>
              <w:t>、</w:t>
            </w:r>
            <w:r>
              <w:rPr>
                <w:rFonts w:ascii="Times New Roman" w:hAnsi="Times New Roman" w:cs="Times New Roman" w:eastAsia="Times New Roman" w:hint="default"/>
                <w:sz w:val="18"/>
                <w:szCs w:val="18"/>
              </w:rPr>
              <w:t>6%</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p>
        </w:tc>
      </w:tr>
      <w:tr>
        <w:trPr>
          <w:trHeight w:val="398"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城市维护建设税</w:t>
            </w:r>
          </w:p>
        </w:tc>
        <w:tc>
          <w:tcPr>
            <w:tcW w:w="32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3"/>
              <w:ind w:left="26" w:right="0"/>
              <w:jc w:val="left"/>
              <w:rPr>
                <w:rFonts w:ascii="宋体" w:hAnsi="宋体" w:cs="宋体" w:eastAsia="宋体" w:hint="default"/>
                <w:sz w:val="18"/>
                <w:szCs w:val="18"/>
              </w:rPr>
            </w:pPr>
            <w:r>
              <w:rPr>
                <w:rFonts w:ascii="宋体" w:hAnsi="宋体" w:cs="宋体" w:eastAsia="宋体" w:hint="default"/>
                <w:sz w:val="18"/>
                <w:szCs w:val="18"/>
              </w:rPr>
              <w:t>应纳增值税额</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7%</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2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3"/>
              <w:ind w:left="26" w:right="0"/>
              <w:jc w:val="left"/>
              <w:rPr>
                <w:rFonts w:ascii="宋体" w:hAnsi="宋体" w:cs="宋体" w:eastAsia="宋体" w:hint="default"/>
                <w:sz w:val="18"/>
                <w:szCs w:val="18"/>
              </w:rPr>
            </w:pPr>
            <w:r>
              <w:rPr>
                <w:rFonts w:ascii="宋体" w:hAnsi="宋体" w:cs="宋体" w:eastAsia="宋体" w:hint="default"/>
                <w:sz w:val="18"/>
                <w:szCs w:val="18"/>
              </w:rPr>
              <w:t>应纳税所得额</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25%</w:t>
            </w:r>
            <w:r>
              <w:rPr>
                <w:rFonts w:ascii="宋体" w:hAnsi="宋体" w:cs="宋体" w:eastAsia="宋体" w:hint="default"/>
                <w:sz w:val="18"/>
                <w:szCs w:val="18"/>
              </w:rPr>
              <w:t>、</w:t>
            </w:r>
            <w:r>
              <w:rPr>
                <w:rFonts w:ascii="Times New Roman" w:hAnsi="Times New Roman" w:cs="Times New Roman" w:eastAsia="Times New Roman" w:hint="default"/>
                <w:sz w:val="18"/>
                <w:szCs w:val="18"/>
              </w:rPr>
              <w:t>20%</w:t>
            </w:r>
            <w:r>
              <w:rPr>
                <w:rFonts w:ascii="宋体" w:hAnsi="宋体" w:cs="宋体" w:eastAsia="宋体" w:hint="default"/>
                <w:sz w:val="18"/>
                <w:szCs w:val="18"/>
              </w:rPr>
              <w:t>、</w:t>
            </w:r>
            <w:r>
              <w:rPr>
                <w:rFonts w:ascii="Times New Roman" w:hAnsi="Times New Roman" w:cs="Times New Roman" w:eastAsia="Times New Roman" w:hint="default"/>
                <w:sz w:val="18"/>
                <w:szCs w:val="18"/>
              </w:rPr>
              <w:t>16.5%</w:t>
            </w:r>
            <w:r>
              <w:rPr>
                <w:rFonts w:ascii="宋体" w:hAnsi="宋体" w:cs="宋体" w:eastAsia="宋体" w:hint="default"/>
                <w:sz w:val="18"/>
                <w:szCs w:val="18"/>
              </w:rPr>
              <w:t>、</w:t>
            </w:r>
            <w:r>
              <w:rPr>
                <w:rFonts w:ascii="Times New Roman" w:hAnsi="Times New Roman" w:cs="Times New Roman" w:eastAsia="Times New Roman" w:hint="default"/>
                <w:sz w:val="18"/>
                <w:szCs w:val="18"/>
              </w:rPr>
              <w:t>15%</w:t>
            </w:r>
          </w:p>
        </w:tc>
      </w:tr>
      <w:tr>
        <w:trPr>
          <w:trHeight w:val="404" w:hRule="exact"/>
        </w:trPr>
        <w:tc>
          <w:tcPr>
            <w:tcW w:w="31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33" w:right="0"/>
              <w:jc w:val="left"/>
              <w:rPr>
                <w:rFonts w:ascii="宋体" w:hAnsi="宋体" w:cs="宋体" w:eastAsia="宋体" w:hint="default"/>
                <w:sz w:val="18"/>
                <w:szCs w:val="18"/>
              </w:rPr>
            </w:pPr>
            <w:r>
              <w:rPr>
                <w:rFonts w:ascii="宋体" w:hAnsi="宋体" w:cs="宋体" w:eastAsia="宋体" w:hint="default"/>
                <w:sz w:val="18"/>
                <w:szCs w:val="18"/>
              </w:rPr>
              <w:t>应纳增值税额</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3%</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地方教育费附加</w:t>
            </w:r>
          </w:p>
        </w:tc>
        <w:tc>
          <w:tcPr>
            <w:tcW w:w="3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33" w:right="0"/>
              <w:jc w:val="left"/>
              <w:rPr>
                <w:rFonts w:ascii="宋体" w:hAnsi="宋体" w:cs="宋体" w:eastAsia="宋体" w:hint="default"/>
                <w:sz w:val="18"/>
                <w:szCs w:val="18"/>
              </w:rPr>
            </w:pPr>
            <w:r>
              <w:rPr>
                <w:rFonts w:ascii="宋体" w:hAnsi="宋体" w:cs="宋体" w:eastAsia="宋体" w:hint="default"/>
                <w:sz w:val="18"/>
                <w:szCs w:val="18"/>
              </w:rPr>
              <w:t>应纳增值税额</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2%</w:t>
            </w:r>
          </w:p>
        </w:tc>
      </w:tr>
    </w:tbl>
    <w:p>
      <w:pPr>
        <w:pStyle w:val="BodyText"/>
        <w:spacing w:line="240" w:lineRule="auto" w:before="53"/>
        <w:ind w:right="0"/>
        <w:jc w:val="left"/>
      </w:pPr>
      <w:r>
        <w:rPr>
          <w:spacing w:val="-3"/>
        </w:rPr>
        <w:t>存在不同企业所得税税率纳税主体的，披露情况说明</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4783"/>
        <w:gridCol w:w="4787"/>
      </w:tblGrid>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8" w:right="0"/>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所得税税率</w:t>
            </w:r>
          </w:p>
        </w:tc>
      </w:tr>
      <w:tr>
        <w:trPr>
          <w:trHeight w:val="404"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pacing w:val="-3"/>
                <w:sz w:val="18"/>
                <w:szCs w:val="18"/>
              </w:rPr>
              <w:t>深圳市银之杰科技股份有限公司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15%</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北京亿美软通科技有限公司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15%</w:t>
            </w:r>
          </w:p>
        </w:tc>
      </w:tr>
      <w:tr>
        <w:trPr>
          <w:trHeight w:val="398"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安科创新（深圳）有限公司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15%</w:t>
            </w:r>
          </w:p>
        </w:tc>
      </w:tr>
    </w:tbl>
    <w:p>
      <w:pPr>
        <w:spacing w:after="0" w:line="240" w:lineRule="auto"/>
        <w:jc w:val="left"/>
        <w:rPr>
          <w:rFonts w:ascii="Times New Roman" w:hAnsi="Times New Roman" w:cs="Times New Roman" w:eastAsia="Times New Roman" w:hint="default"/>
          <w:sz w:val="18"/>
          <w:szCs w:val="18"/>
        </w:rPr>
        <w:sectPr>
          <w:pgSz w:w="11910" w:h="16840"/>
          <w:pgMar w:header="871" w:footer="1186" w:top="1100" w:bottom="1380" w:left="980" w:right="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4783"/>
        <w:gridCol w:w="4787"/>
      </w:tblGrid>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深圳市科安电子商务有限公司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398"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安科创新（香港）有限公司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16.5%</w:t>
            </w:r>
          </w:p>
        </w:tc>
      </w:tr>
      <w:tr>
        <w:trPr>
          <w:trHeight w:val="404"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3"/>
                <w:sz w:val="18"/>
                <w:szCs w:val="18"/>
              </w:rPr>
              <w:t>深圳银之杰智慧科技有限公司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3" w:right="0"/>
              <w:jc w:val="left"/>
              <w:rPr>
                <w:rFonts w:ascii="Times New Roman" w:hAnsi="Times New Roman" w:cs="Times New Roman" w:eastAsia="Times New Roman" w:hint="default"/>
                <w:sz w:val="18"/>
                <w:szCs w:val="18"/>
              </w:rPr>
            </w:pPr>
            <w:r>
              <w:rPr>
                <w:rFonts w:ascii="Times New Roman"/>
                <w:sz w:val="18"/>
              </w:rPr>
              <w:t>20%</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深圳市银之杰金融设备有限公司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深圳银之杰拓扑技术有限公司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398"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深圳银之杰资产管理有限公司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4"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3"/>
                <w:sz w:val="18"/>
                <w:szCs w:val="18"/>
              </w:rPr>
              <w:t>北京杰智融软件有限公司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3" w:right="0"/>
              <w:jc w:val="left"/>
              <w:rPr>
                <w:rFonts w:ascii="Times New Roman" w:hAnsi="Times New Roman" w:cs="Times New Roman" w:eastAsia="Times New Roman" w:hint="default"/>
                <w:sz w:val="18"/>
                <w:szCs w:val="18"/>
              </w:rPr>
            </w:pPr>
            <w:r>
              <w:rPr>
                <w:rFonts w:ascii="Times New Roman"/>
                <w:sz w:val="18"/>
              </w:rPr>
              <w:t>15%</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2、税收优惠" w:id="224"/>
      <w:bookmarkEnd w:id="224"/>
      <w:r>
        <w:rPr>
          <w:b w:val="0"/>
          <w:bCs w:val="0"/>
        </w:rPr>
      </w:r>
      <w:r>
        <w:rPr>
          <w:rFonts w:ascii="Times New Roman" w:hAnsi="Times New Roman" w:cs="Times New Roman" w:eastAsia="Times New Roman" w:hint="default"/>
        </w:rPr>
        <w:t>2</w:t>
      </w:r>
      <w:r>
        <w:rPr/>
        <w:t>、税收优惠</w:t>
      </w:r>
      <w:r>
        <w:rPr>
          <w:b w:val="0"/>
          <w:bCs w:val="0"/>
        </w:rPr>
      </w:r>
    </w:p>
    <w:p>
      <w:pPr>
        <w:spacing w:line="240" w:lineRule="auto" w:before="12"/>
        <w:rPr>
          <w:rFonts w:ascii="宋体" w:hAnsi="宋体" w:cs="宋体" w:eastAsia="宋体" w:hint="default"/>
          <w:b/>
          <w:bCs/>
          <w:sz w:val="32"/>
          <w:szCs w:val="32"/>
        </w:rPr>
      </w:pPr>
    </w:p>
    <w:p>
      <w:pPr>
        <w:pStyle w:val="BodyText"/>
        <w:spacing w:line="448" w:lineRule="auto"/>
        <w:ind w:left="513" w:right="2115"/>
        <w:jc w:val="left"/>
      </w:pPr>
      <w:r>
        <w:rPr>
          <w:rFonts w:ascii="Times New Roman" w:hAnsi="Times New Roman" w:cs="Times New Roman" w:eastAsia="Times New Roman" w:hint="default"/>
        </w:rPr>
        <w:t>(1)</w:t>
      </w:r>
      <w:r>
        <w:rPr/>
        <w:t>增值税及享受的税收优惠政策 </w:t>
      </w:r>
      <w:r>
        <w:rPr>
          <w:spacing w:val="-5"/>
        </w:rPr>
        <w:t>本公司及控股子公司，经税务机关核定为增值税一般纳税人。</w:t>
      </w:r>
      <w:r>
        <w:rPr>
          <w:spacing w:val="-6"/>
        </w:rPr>
        <w:t> </w:t>
      </w:r>
      <w:r>
        <w:rPr>
          <w:spacing w:val="-7"/>
        </w:rPr>
        <w:t>根据财政部、国家税务总局</w:t>
      </w:r>
      <w:r>
        <w:rPr>
          <w:spacing w:val="-34"/>
        </w:rPr>
        <w:t> </w:t>
      </w:r>
      <w:r>
        <w:rPr>
          <w:rFonts w:ascii="Times New Roman" w:hAnsi="Times New Roman" w:cs="Times New Roman" w:eastAsia="Times New Roman" w:hint="default"/>
          <w:spacing w:val="-4"/>
        </w:rPr>
        <w:t>2011</w:t>
      </w:r>
      <w:r>
        <w:rPr>
          <w:rFonts w:ascii="Times New Roman" w:hAnsi="Times New Roman" w:cs="Times New Roman" w:eastAsia="Times New Roman" w:hint="default"/>
          <w:spacing w:val="4"/>
        </w:rPr>
        <w:t> </w:t>
      </w:r>
      <w:r>
        <w:rPr/>
        <w:t>年</w:t>
      </w:r>
      <w:r>
        <w:rPr>
          <w:spacing w:val="-35"/>
        </w:rPr>
        <w:t> </w:t>
      </w:r>
      <w:r>
        <w:rPr>
          <w:rFonts w:ascii="Times New Roman" w:hAnsi="Times New Roman" w:cs="Times New Roman" w:eastAsia="Times New Roman" w:hint="default"/>
          <w:spacing w:val="-3"/>
        </w:rPr>
        <w:t>10</w:t>
      </w:r>
      <w:r>
        <w:rPr>
          <w:rFonts w:ascii="Times New Roman" w:hAnsi="Times New Roman" w:cs="Times New Roman" w:eastAsia="Times New Roman" w:hint="default"/>
          <w:spacing w:val="4"/>
        </w:rPr>
        <w:t> </w:t>
      </w:r>
      <w:r>
        <w:rPr/>
        <w:t>月</w:t>
      </w:r>
      <w:r>
        <w:rPr>
          <w:spacing w:val="-35"/>
        </w:rPr>
        <w:t> </w:t>
      </w:r>
      <w:r>
        <w:rPr>
          <w:rFonts w:ascii="Times New Roman" w:hAnsi="Times New Roman" w:cs="Times New Roman" w:eastAsia="Times New Roman" w:hint="default"/>
          <w:spacing w:val="-3"/>
        </w:rPr>
        <w:t>13</w:t>
      </w:r>
      <w:r>
        <w:rPr>
          <w:rFonts w:ascii="Times New Roman" w:hAnsi="Times New Roman" w:cs="Times New Roman" w:eastAsia="Times New Roman" w:hint="default"/>
          <w:spacing w:val="4"/>
        </w:rPr>
        <w:t> </w:t>
      </w:r>
      <w:r>
        <w:rPr>
          <w:spacing w:val="-12"/>
        </w:rPr>
        <w:t>日发布的《财</w:t>
      </w:r>
    </w:p>
    <w:p>
      <w:pPr>
        <w:pStyle w:val="BodyText"/>
        <w:spacing w:line="448" w:lineRule="auto" w:before="48"/>
        <w:ind w:right="1197"/>
        <w:jc w:val="left"/>
      </w:pPr>
      <w:r>
        <w:rPr>
          <w:spacing w:val="-5"/>
          <w:w w:val="101"/>
        </w:rPr>
        <w:t>政部、国家税务总局关于软件产品增值税政策的通知》（财税</w:t>
      </w:r>
      <w:r>
        <w:rPr>
          <w:rFonts w:ascii="Times New Roman" w:hAnsi="Times New Roman" w:cs="Times New Roman" w:eastAsia="Times New Roman" w:hint="default"/>
          <w:spacing w:val="-5"/>
          <w:w w:val="101"/>
        </w:rPr>
        <w:t>[2011]100</w:t>
      </w:r>
      <w:r>
        <w:rPr>
          <w:rFonts w:ascii="Times New Roman" w:hAnsi="Times New Roman" w:cs="Times New Roman" w:eastAsia="Times New Roman" w:hint="default"/>
          <w:spacing w:val="-12"/>
          <w:w w:val="101"/>
        </w:rPr>
        <w:t> </w:t>
      </w:r>
      <w:r>
        <w:rPr>
          <w:spacing w:val="-2"/>
          <w:w w:val="101"/>
        </w:rPr>
        <w:t>号文）的有关规定，自</w:t>
      </w:r>
      <w:r>
        <w:rPr>
          <w:spacing w:val="-47"/>
          <w:w w:val="101"/>
        </w:rPr>
        <w:t> </w:t>
      </w:r>
      <w:r>
        <w:rPr>
          <w:rFonts w:ascii="Times New Roman" w:hAnsi="Times New Roman" w:cs="Times New Roman" w:eastAsia="Times New Roman" w:hint="default"/>
          <w:spacing w:val="-4"/>
          <w:w w:val="101"/>
        </w:rPr>
        <w:t>2011</w:t>
      </w:r>
      <w:r>
        <w:rPr>
          <w:rFonts w:ascii="Times New Roman" w:hAnsi="Times New Roman" w:cs="Times New Roman" w:eastAsia="Times New Roman" w:hint="default"/>
          <w:spacing w:val="-7"/>
          <w:w w:val="101"/>
        </w:rPr>
        <w:t> </w:t>
      </w:r>
      <w:r>
        <w:rPr>
          <w:w w:val="101"/>
        </w:rPr>
        <w:t>年</w:t>
      </w:r>
      <w:r>
        <w:rPr>
          <w:spacing w:val="-52"/>
          <w:w w:val="101"/>
        </w:rPr>
        <w:t> </w:t>
      </w:r>
      <w:r>
        <w:rPr>
          <w:rFonts w:ascii="Times New Roman" w:hAnsi="Times New Roman" w:cs="Times New Roman" w:eastAsia="Times New Roman" w:hint="default"/>
          <w:w w:val="101"/>
        </w:rPr>
        <w:t>1</w:t>
      </w:r>
      <w:r>
        <w:rPr>
          <w:rFonts w:ascii="Times New Roman" w:hAnsi="Times New Roman" w:cs="Times New Roman" w:eastAsia="Times New Roman" w:hint="default"/>
          <w:spacing w:val="-7"/>
          <w:w w:val="101"/>
        </w:rPr>
        <w:t> </w:t>
      </w:r>
      <w:r>
        <w:rPr>
          <w:w w:val="101"/>
        </w:rPr>
        <w:t>月</w:t>
      </w:r>
      <w:r>
        <w:rPr>
          <w:spacing w:val="-47"/>
          <w:w w:val="101"/>
        </w:rPr>
        <w:t> </w:t>
      </w:r>
      <w:r>
        <w:rPr>
          <w:rFonts w:ascii="Times New Roman" w:hAnsi="Times New Roman" w:cs="Times New Roman" w:eastAsia="Times New Roman" w:hint="default"/>
          <w:w w:val="101"/>
        </w:rPr>
        <w:t>1</w:t>
      </w:r>
      <w:r>
        <w:rPr>
          <w:rFonts w:ascii="Times New Roman" w:hAnsi="Times New Roman" w:cs="Times New Roman" w:eastAsia="Times New Roman" w:hint="default"/>
          <w:spacing w:val="-12"/>
          <w:w w:val="101"/>
        </w:rPr>
        <w:t> </w:t>
      </w:r>
      <w:r>
        <w:rPr>
          <w:spacing w:val="-3"/>
          <w:w w:val="101"/>
        </w:rPr>
        <w:t>日起对增值税</w:t>
      </w:r>
      <w:r>
        <w:rPr>
          <w:w w:val="101"/>
        </w:rPr>
        <w:t> </w:t>
      </w:r>
      <w:r>
        <w:rPr>
          <w:spacing w:val="-3"/>
        </w:rPr>
        <w:t>一般纳税人销售其自行开发生产的软件产品，征收增值税后，对其增值税实际税负超过 </w:t>
      </w:r>
      <w:r>
        <w:rPr>
          <w:spacing w:val="21"/>
        </w:rPr>
        <w:t> </w:t>
      </w:r>
      <w:r>
        <w:rPr>
          <w:rFonts w:ascii="Times New Roman" w:hAnsi="Times New Roman" w:cs="Times New Roman" w:eastAsia="Times New Roman" w:hint="default"/>
          <w:spacing w:val="-3"/>
        </w:rPr>
        <w:t>3</w:t>
      </w:r>
      <w:r>
        <w:rPr>
          <w:spacing w:val="-3"/>
        </w:rPr>
        <w:t>％的部分实行即征即退政策。</w:t>
      </w:r>
    </w:p>
    <w:p>
      <w:pPr>
        <w:pStyle w:val="BodyText"/>
        <w:spacing w:line="448" w:lineRule="auto" w:before="48"/>
        <w:ind w:right="1123" w:firstLine="360"/>
        <w:jc w:val="both"/>
      </w:pPr>
      <w:r>
        <w:rPr>
          <w:spacing w:val="-3"/>
          <w:w w:val="101"/>
        </w:rPr>
        <w:t>根据财税</w:t>
      </w:r>
      <w:r>
        <w:rPr>
          <w:rFonts w:ascii="Times New Roman" w:hAnsi="Times New Roman" w:cs="Times New Roman" w:eastAsia="Times New Roman" w:hint="default"/>
          <w:spacing w:val="-3"/>
          <w:w w:val="101"/>
        </w:rPr>
        <w:t>[2011]131</w:t>
      </w:r>
      <w:r>
        <w:rPr>
          <w:rFonts w:ascii="Times New Roman" w:hAnsi="Times New Roman" w:cs="Times New Roman" w:eastAsia="Times New Roman" w:hint="default"/>
          <w:spacing w:val="7"/>
          <w:w w:val="101"/>
        </w:rPr>
        <w:t> </w:t>
      </w:r>
      <w:r>
        <w:rPr>
          <w:spacing w:val="-6"/>
          <w:w w:val="101"/>
        </w:rPr>
        <w:t>号《财政部、国家税务总局关于应税服务适用增值税零税率和免税政策的通知》，试点地区的单位和</w:t>
      </w:r>
      <w:r>
        <w:rPr>
          <w:w w:val="101"/>
        </w:rPr>
        <w:t> </w:t>
      </w:r>
      <w:r>
        <w:rPr>
          <w:spacing w:val="-3"/>
        </w:rPr>
        <w:t>个人提供适用零税率的应税服务，按月向主管退税的税务机关申报办理增值税免抵退税或免税手续。</w:t>
      </w:r>
    </w:p>
    <w:p>
      <w:pPr>
        <w:pStyle w:val="BodyText"/>
        <w:spacing w:line="463" w:lineRule="auto" w:before="78"/>
        <w:ind w:right="1128" w:firstLine="360"/>
        <w:jc w:val="both"/>
      </w:pPr>
      <w:r>
        <w:rPr>
          <w:spacing w:val="-5"/>
          <w:w w:val="101"/>
        </w:rPr>
        <w:t>根据《财政部、国家税务总局、海关总署关于深化增值税改革有关政策的公告》（财政部、国家税务总局、海关总署公</w:t>
      </w:r>
      <w:r>
        <w:rPr>
          <w:w w:val="101"/>
        </w:rPr>
        <w:t> </w:t>
      </w:r>
      <w:r>
        <w:rPr/>
        <w:t>告</w:t>
      </w:r>
      <w:r>
        <w:rPr>
          <w:rFonts w:ascii="Times New Roman" w:hAnsi="Times New Roman" w:cs="Times New Roman" w:eastAsia="Times New Roman" w:hint="default"/>
        </w:rPr>
        <w:t>[2019]39 </w:t>
      </w:r>
      <w:r>
        <w:rPr>
          <w:spacing w:val="-4"/>
        </w:rPr>
        <w:t>号）规定，本公司的全资子公司北京亿美软通科技有限公司、北京杰智融软件有限公司作为生产、生活性服务业</w:t>
      </w:r>
      <w:r>
        <w:rPr>
          <w:spacing w:val="-61"/>
        </w:rPr>
        <w:t> </w:t>
      </w:r>
      <w:r>
        <w:rPr>
          <w:spacing w:val="-61"/>
        </w:rPr>
      </w:r>
      <w:r>
        <w:rPr/>
        <w:t>纳税人，自</w:t>
      </w:r>
      <w:r>
        <w:rPr>
          <w:spacing w:val="-38"/>
        </w:rPr>
        <w:t> </w:t>
      </w:r>
      <w:r>
        <w:rPr>
          <w:rFonts w:ascii="Times New Roman" w:hAnsi="Times New Roman" w:cs="Times New Roman" w:eastAsia="Times New Roman" w:hint="default"/>
          <w:spacing w:val="-3"/>
        </w:rPr>
        <w:t>2019</w:t>
      </w:r>
      <w:r>
        <w:rPr>
          <w:rFonts w:ascii="Times New Roman" w:hAnsi="Times New Roman" w:cs="Times New Roman" w:eastAsia="Times New Roman" w:hint="default"/>
          <w:spacing w:val="1"/>
        </w:rPr>
        <w:t> </w:t>
      </w:r>
      <w:r>
        <w:rPr/>
        <w:t>年</w:t>
      </w:r>
      <w:r>
        <w:rPr>
          <w:spacing w:val="-44"/>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月</w:t>
      </w:r>
      <w:r>
        <w:rPr>
          <w:spacing w:val="-38"/>
        </w:rPr>
        <w:t> </w:t>
      </w:r>
      <w:r>
        <w:rPr>
          <w:rFonts w:ascii="Times New Roman" w:hAnsi="Times New Roman" w:cs="Times New Roman" w:eastAsia="Times New Roman" w:hint="default"/>
        </w:rPr>
        <w:t>1</w:t>
      </w:r>
      <w:r>
        <w:rPr>
          <w:rFonts w:ascii="Times New Roman" w:hAnsi="Times New Roman" w:cs="Times New Roman" w:eastAsia="Times New Roman" w:hint="default"/>
          <w:spacing w:val="-4"/>
        </w:rPr>
        <w:t> </w:t>
      </w:r>
      <w:r>
        <w:rPr/>
        <w:t>日至</w:t>
      </w:r>
      <w:r>
        <w:rPr>
          <w:spacing w:val="-38"/>
        </w:rPr>
        <w:t> </w:t>
      </w:r>
      <w:r>
        <w:rPr>
          <w:rFonts w:ascii="Times New Roman" w:hAnsi="Times New Roman" w:cs="Times New Roman" w:eastAsia="Times New Roman" w:hint="default"/>
          <w:spacing w:val="-3"/>
        </w:rPr>
        <w:t>2021</w:t>
      </w:r>
      <w:r>
        <w:rPr>
          <w:rFonts w:ascii="Times New Roman" w:hAnsi="Times New Roman" w:cs="Times New Roman" w:eastAsia="Times New Roman" w:hint="default"/>
          <w:spacing w:val="1"/>
        </w:rPr>
        <w:t> </w:t>
      </w:r>
      <w:r>
        <w:rPr/>
        <w:t>年</w:t>
      </w:r>
      <w:r>
        <w:rPr>
          <w:spacing w:val="-38"/>
        </w:rPr>
        <w:t> </w:t>
      </w:r>
      <w:r>
        <w:rPr>
          <w:rFonts w:ascii="Times New Roman" w:hAnsi="Times New Roman" w:cs="Times New Roman" w:eastAsia="Times New Roman" w:hint="default"/>
          <w:spacing w:val="-3"/>
        </w:rPr>
        <w:t>12</w:t>
      </w:r>
      <w:r>
        <w:rPr>
          <w:rFonts w:ascii="Times New Roman" w:hAnsi="Times New Roman" w:cs="Times New Roman" w:eastAsia="Times New Roman" w:hint="default"/>
          <w:spacing w:val="2"/>
        </w:rPr>
        <w:t> </w:t>
      </w:r>
      <w:r>
        <w:rPr/>
        <w:t>月</w:t>
      </w:r>
      <w:r>
        <w:rPr>
          <w:spacing w:val="-38"/>
        </w:rPr>
        <w:t> </w:t>
      </w:r>
      <w:r>
        <w:rPr>
          <w:rFonts w:ascii="Times New Roman" w:hAnsi="Times New Roman" w:cs="Times New Roman" w:eastAsia="Times New Roman" w:hint="default"/>
          <w:spacing w:val="-3"/>
        </w:rPr>
        <w:t>31</w:t>
      </w:r>
      <w:r>
        <w:rPr>
          <w:rFonts w:ascii="Times New Roman" w:hAnsi="Times New Roman" w:cs="Times New Roman" w:eastAsia="Times New Roman" w:hint="default"/>
          <w:spacing w:val="1"/>
        </w:rPr>
        <w:t> </w:t>
      </w:r>
      <w:r>
        <w:rPr>
          <w:spacing w:val="-3"/>
        </w:rPr>
        <w:t>日，按照当期可抵扣进项税额加计</w:t>
      </w:r>
      <w:r>
        <w:rPr>
          <w:spacing w:val="-38"/>
        </w:rPr>
        <w:t> </w:t>
      </w:r>
      <w:r>
        <w:rPr>
          <w:rFonts w:ascii="Times New Roman" w:hAnsi="Times New Roman" w:cs="Times New Roman" w:eastAsia="Times New Roman" w:hint="default"/>
          <w:spacing w:val="-3"/>
        </w:rPr>
        <w:t>10%</w:t>
      </w:r>
      <w:r>
        <w:rPr>
          <w:spacing w:val="-3"/>
        </w:rPr>
        <w:t>抵减应纳税额。</w:t>
      </w:r>
    </w:p>
    <w:p>
      <w:pPr>
        <w:pStyle w:val="BodyText"/>
        <w:spacing w:line="240" w:lineRule="auto" w:before="31"/>
        <w:ind w:left="513" w:right="0"/>
        <w:jc w:val="left"/>
      </w:pPr>
      <w:r>
        <w:rPr>
          <w:rFonts w:ascii="Times New Roman" w:hAnsi="Times New Roman" w:cs="Times New Roman" w:eastAsia="Times New Roman" w:hint="default"/>
          <w:spacing w:val="-3"/>
        </w:rPr>
        <w:t>(2)</w:t>
      </w:r>
      <w:r>
        <w:rPr>
          <w:spacing w:val="-3"/>
        </w:rPr>
        <w:t>企业所得税及享受的税收优惠政策</w:t>
      </w:r>
    </w:p>
    <w:p>
      <w:pPr>
        <w:spacing w:line="240" w:lineRule="auto" w:before="12"/>
        <w:rPr>
          <w:rFonts w:ascii="宋体" w:hAnsi="宋体" w:cs="宋体" w:eastAsia="宋体" w:hint="default"/>
          <w:sz w:val="16"/>
          <w:szCs w:val="16"/>
        </w:rPr>
      </w:pPr>
    </w:p>
    <w:p>
      <w:pPr>
        <w:pStyle w:val="BodyText"/>
        <w:spacing w:line="240" w:lineRule="auto"/>
        <w:ind w:left="513" w:right="0"/>
        <w:jc w:val="left"/>
      </w:pPr>
      <w:r>
        <w:rPr/>
        <w:t>①本公司于 </w:t>
      </w:r>
      <w:r>
        <w:rPr>
          <w:rFonts w:ascii="Times New Roman" w:hAnsi="Times New Roman" w:cs="Times New Roman" w:eastAsia="Times New Roman" w:hint="default"/>
          <w:spacing w:val="-3"/>
        </w:rPr>
        <w:t>2017 </w:t>
      </w:r>
      <w:r>
        <w:rPr/>
        <w:t>年 </w:t>
      </w:r>
      <w:r>
        <w:rPr>
          <w:rFonts w:ascii="Times New Roman" w:hAnsi="Times New Roman" w:cs="Times New Roman" w:eastAsia="Times New Roman" w:hint="default"/>
          <w:spacing w:val="-3"/>
        </w:rPr>
        <w:t>10 </w:t>
      </w:r>
      <w:r>
        <w:rPr/>
        <w:t>月 </w:t>
      </w:r>
      <w:r>
        <w:rPr>
          <w:rFonts w:ascii="Times New Roman" w:hAnsi="Times New Roman" w:cs="Times New Roman" w:eastAsia="Times New Roman" w:hint="default"/>
          <w:spacing w:val="-3"/>
        </w:rPr>
        <w:t>31</w:t>
      </w:r>
      <w:r>
        <w:rPr>
          <w:rFonts w:ascii="Times New Roman" w:hAnsi="Times New Roman" w:cs="Times New Roman" w:eastAsia="Times New Roman" w:hint="default"/>
          <w:spacing w:val="-20"/>
        </w:rPr>
        <w:t> </w:t>
      </w:r>
      <w:r>
        <w:rPr>
          <w:spacing w:val="-3"/>
        </w:rPr>
        <w:t>日通过高新技术企业重新认定，取得深圳市科技创新委员会、深圳市财政委员会、深圳市</w:t>
      </w:r>
    </w:p>
    <w:p>
      <w:pPr>
        <w:spacing w:line="240" w:lineRule="auto" w:before="7"/>
        <w:rPr>
          <w:rFonts w:ascii="宋体" w:hAnsi="宋体" w:cs="宋体" w:eastAsia="宋体" w:hint="default"/>
          <w:sz w:val="16"/>
          <w:szCs w:val="16"/>
        </w:rPr>
      </w:pPr>
    </w:p>
    <w:p>
      <w:pPr>
        <w:pStyle w:val="BodyText"/>
        <w:spacing w:line="453" w:lineRule="auto"/>
        <w:ind w:right="1122"/>
        <w:jc w:val="left"/>
      </w:pPr>
      <w:r>
        <w:rPr>
          <w:spacing w:val="-6"/>
          <w:w w:val="101"/>
        </w:rPr>
        <w:t>国家税务局、深圳市地方税务局联合下发的《高新技术企业证书》，有效期三年。根据相关规定，公司自</w:t>
      </w:r>
      <w:r>
        <w:rPr>
          <w:spacing w:val="-46"/>
          <w:w w:val="101"/>
        </w:rPr>
        <w:t> </w:t>
      </w:r>
      <w:r>
        <w:rPr>
          <w:rFonts w:ascii="Times New Roman" w:hAnsi="Times New Roman" w:cs="Times New Roman" w:eastAsia="Times New Roman" w:hint="default"/>
          <w:spacing w:val="-3"/>
          <w:w w:val="101"/>
        </w:rPr>
        <w:t>2017</w:t>
      </w:r>
      <w:r>
        <w:rPr>
          <w:rFonts w:ascii="Times New Roman" w:hAnsi="Times New Roman" w:cs="Times New Roman" w:eastAsia="Times New Roman" w:hint="default"/>
          <w:spacing w:val="-6"/>
          <w:w w:val="101"/>
        </w:rPr>
        <w:t> </w:t>
      </w:r>
      <w:r>
        <w:rPr>
          <w:spacing w:val="-3"/>
          <w:w w:val="101"/>
        </w:rPr>
        <w:t>年度起连续三</w:t>
      </w:r>
      <w:r>
        <w:rPr>
          <w:w w:val="101"/>
        </w:rPr>
        <w:t> </w:t>
      </w:r>
      <w:r>
        <w:rPr>
          <w:spacing w:val="-3"/>
        </w:rPr>
        <w:t>年内将继续享受高新技术企业的相关优惠政策，即按</w:t>
      </w:r>
      <w:r>
        <w:rPr>
          <w:spacing w:val="61"/>
        </w:rPr>
        <w:t> </w:t>
      </w:r>
      <w:r>
        <w:rPr>
          <w:rFonts w:ascii="Times New Roman" w:hAnsi="Times New Roman" w:cs="Times New Roman" w:eastAsia="Times New Roman" w:hint="default"/>
          <w:spacing w:val="-3"/>
        </w:rPr>
        <w:t>15%</w:t>
      </w:r>
      <w:r>
        <w:rPr>
          <w:spacing w:val="-3"/>
        </w:rPr>
        <w:t>的税率缴纳企业所得税。</w:t>
      </w:r>
    </w:p>
    <w:p>
      <w:pPr>
        <w:pStyle w:val="BodyText"/>
        <w:spacing w:line="463" w:lineRule="auto" w:before="39"/>
        <w:ind w:right="1122" w:firstLine="360"/>
        <w:jc w:val="both"/>
      </w:pPr>
      <w:r>
        <w:rPr>
          <w:spacing w:val="-3"/>
        </w:rPr>
        <w:t>②本公司的全资子公司北京亿美软通科技有限公司于</w:t>
      </w:r>
      <w:r>
        <w:rPr>
          <w:spacing w:val="-31"/>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2"/>
        </w:rPr>
        <w:t> </w:t>
      </w:r>
      <w:r>
        <w:rPr/>
        <w:t>年</w:t>
      </w:r>
      <w:r>
        <w:rPr>
          <w:spacing w:val="-25"/>
        </w:rPr>
        <w:t> </w:t>
      </w:r>
      <w:r>
        <w:rPr>
          <w:rFonts w:ascii="Times New Roman" w:hAnsi="Times New Roman" w:cs="Times New Roman" w:eastAsia="Times New Roman" w:hint="default"/>
          <w:spacing w:val="-3"/>
        </w:rPr>
        <w:t>10</w:t>
      </w:r>
      <w:r>
        <w:rPr>
          <w:rFonts w:ascii="Times New Roman" w:hAnsi="Times New Roman" w:cs="Times New Roman" w:eastAsia="Times New Roman" w:hint="default"/>
          <w:spacing w:val="12"/>
        </w:rPr>
        <w:t> </w:t>
      </w:r>
      <w:r>
        <w:rPr/>
        <w:t>月</w:t>
      </w:r>
      <w:r>
        <w:rPr>
          <w:spacing w:val="-25"/>
        </w:rPr>
        <w:t> </w:t>
      </w:r>
      <w:r>
        <w:rPr>
          <w:rFonts w:ascii="Times New Roman" w:hAnsi="Times New Roman" w:cs="Times New Roman" w:eastAsia="Times New Roman" w:hint="default"/>
          <w:spacing w:val="-3"/>
        </w:rPr>
        <w:t>25</w:t>
      </w:r>
      <w:r>
        <w:rPr>
          <w:rFonts w:ascii="Times New Roman" w:hAnsi="Times New Roman" w:cs="Times New Roman" w:eastAsia="Times New Roman" w:hint="default"/>
          <w:spacing w:val="12"/>
        </w:rPr>
        <w:t> </w:t>
      </w:r>
      <w:r>
        <w:rPr>
          <w:spacing w:val="-3"/>
        </w:rPr>
        <w:t>日通过高新技术企业重新认定，取得北京市科学</w:t>
      </w:r>
      <w:r>
        <w:rPr>
          <w:w w:val="101"/>
        </w:rPr>
        <w:t> </w:t>
      </w:r>
      <w:r>
        <w:rPr>
          <w:spacing w:val="-5"/>
          <w:w w:val="101"/>
        </w:rPr>
        <w:t>技术委员会、北京市财政委员会、北京市国家税务局、北京市地方税务局联合下发的《高新技术企业证书》，有效期三年。</w:t>
      </w:r>
      <w:r>
        <w:rPr>
          <w:spacing w:val="-44"/>
          <w:w w:val="101"/>
        </w:rPr>
        <w:t> </w:t>
      </w:r>
      <w:r>
        <w:rPr>
          <w:spacing w:val="-44"/>
          <w:w w:val="101"/>
        </w:rPr>
      </w:r>
      <w:r>
        <w:rPr>
          <w:spacing w:val="-11"/>
          <w:w w:val="101"/>
        </w:rPr>
        <w:t>根据相关规定，公司自</w:t>
      </w:r>
      <w:r>
        <w:rPr>
          <w:w w:val="101"/>
        </w:rPr>
        <w:t> </w:t>
      </w:r>
      <w:r>
        <w:rPr>
          <w:rFonts w:ascii="Times New Roman" w:hAnsi="Times New Roman" w:cs="Times New Roman" w:eastAsia="Times New Roman" w:hint="default"/>
          <w:spacing w:val="-3"/>
          <w:w w:val="101"/>
        </w:rPr>
        <w:t>2017</w:t>
      </w:r>
      <w:r>
        <w:rPr>
          <w:rFonts w:ascii="Times New Roman" w:hAnsi="Times New Roman" w:cs="Times New Roman" w:eastAsia="Times New Roman" w:hint="default"/>
          <w:w w:val="101"/>
        </w:rPr>
        <w:t> </w:t>
      </w:r>
      <w:r>
        <w:rPr>
          <w:spacing w:val="-6"/>
          <w:w w:val="101"/>
        </w:rPr>
        <w:t>年度起连续三年内将继续享受高新技术企业的相关优惠政策，即按</w:t>
      </w:r>
      <w:r>
        <w:rPr>
          <w:spacing w:val="-72"/>
          <w:w w:val="101"/>
        </w:rPr>
        <w:t> </w:t>
      </w:r>
      <w:r>
        <w:rPr>
          <w:rFonts w:ascii="Times New Roman" w:hAnsi="Times New Roman" w:cs="Times New Roman" w:eastAsia="Times New Roman" w:hint="default"/>
          <w:spacing w:val="-3"/>
          <w:w w:val="101"/>
        </w:rPr>
        <w:t>15%</w:t>
      </w:r>
      <w:r>
        <w:rPr>
          <w:spacing w:val="-3"/>
          <w:w w:val="101"/>
        </w:rPr>
        <w:t>的税率缴纳企业所得税。</w:t>
      </w:r>
      <w:r>
        <w:rPr>
          <w:spacing w:val="-3"/>
        </w:rPr>
      </w:r>
    </w:p>
    <w:p>
      <w:pPr>
        <w:pStyle w:val="BodyText"/>
        <w:spacing w:line="463" w:lineRule="auto" w:before="36"/>
        <w:ind w:right="1127" w:firstLine="360"/>
        <w:jc w:val="both"/>
      </w:pPr>
      <w:r>
        <w:rPr>
          <w:spacing w:val="-3"/>
        </w:rPr>
        <w:t>③本公司的控股子公司安科创新（深圳）有限公司于 </w:t>
      </w:r>
      <w:r>
        <w:rPr>
          <w:rFonts w:ascii="Times New Roman" w:hAnsi="Times New Roman" w:cs="Times New Roman" w:eastAsia="Times New Roman" w:hint="default"/>
        </w:rPr>
        <w:t>2017 </w:t>
      </w:r>
      <w:r>
        <w:rPr/>
        <w:t>年 </w:t>
      </w:r>
      <w:r>
        <w:rPr>
          <w:rFonts w:ascii="Times New Roman" w:hAnsi="Times New Roman" w:cs="Times New Roman" w:eastAsia="Times New Roman" w:hint="default"/>
        </w:rPr>
        <w:t>8 </w:t>
      </w:r>
      <w:r>
        <w:rPr/>
        <w:t>月 </w:t>
      </w:r>
      <w:r>
        <w:rPr>
          <w:rFonts w:ascii="Times New Roman" w:hAnsi="Times New Roman" w:cs="Times New Roman" w:eastAsia="Times New Roman" w:hint="default"/>
        </w:rPr>
        <w:t>17</w:t>
      </w:r>
      <w:r>
        <w:rPr>
          <w:rFonts w:ascii="Times New Roman" w:hAnsi="Times New Roman" w:cs="Times New Roman" w:eastAsia="Times New Roman" w:hint="default"/>
          <w:spacing w:val="-4"/>
        </w:rPr>
        <w:t> </w:t>
      </w:r>
      <w:r>
        <w:rPr>
          <w:spacing w:val="-3"/>
        </w:rPr>
        <w:t>日通过高新技术企业认定，取得深圳市科技创新</w:t>
      </w:r>
      <w:r>
        <w:rPr>
          <w:w w:val="101"/>
        </w:rPr>
        <w:t> </w:t>
      </w:r>
      <w:r>
        <w:rPr>
          <w:spacing w:val="-5"/>
          <w:w w:val="101"/>
        </w:rPr>
        <w:t>委员会、深圳市财政委员会、深圳市国家税务局、深圳市地方税务局联合下发的《高新技术企业证书》，有效期三年。根据</w:t>
      </w:r>
      <w:r>
        <w:rPr>
          <w:spacing w:val="-44"/>
          <w:w w:val="101"/>
        </w:rPr>
        <w:t> </w:t>
      </w:r>
      <w:r>
        <w:rPr>
          <w:spacing w:val="-44"/>
          <w:w w:val="101"/>
        </w:rPr>
      </w:r>
      <w:r>
        <w:rPr/>
        <w:t>相关规定，公司自 </w:t>
      </w:r>
      <w:r>
        <w:rPr>
          <w:rFonts w:ascii="Times New Roman" w:hAnsi="Times New Roman" w:cs="Times New Roman" w:eastAsia="Times New Roman" w:hint="default"/>
        </w:rPr>
        <w:t>2017 </w:t>
      </w:r>
      <w:r>
        <w:rPr>
          <w:spacing w:val="-3"/>
        </w:rPr>
        <w:t>年度起连续三年内享受高新技术企业的相关优惠政策，即按</w:t>
      </w:r>
      <w:r>
        <w:rPr>
          <w:spacing w:val="18"/>
        </w:rPr>
        <w:t> </w:t>
      </w:r>
      <w:r>
        <w:rPr>
          <w:rFonts w:ascii="Times New Roman" w:hAnsi="Times New Roman" w:cs="Times New Roman" w:eastAsia="Times New Roman" w:hint="default"/>
          <w:spacing w:val="-3"/>
        </w:rPr>
        <w:t>15%</w:t>
      </w:r>
      <w:r>
        <w:rPr>
          <w:spacing w:val="-3"/>
        </w:rPr>
        <w:t>的税率缴纳企业所得税。</w:t>
      </w:r>
    </w:p>
    <w:p>
      <w:pPr>
        <w:pStyle w:val="BodyText"/>
        <w:spacing w:line="240" w:lineRule="auto" w:before="31"/>
        <w:ind w:left="513" w:right="0"/>
        <w:jc w:val="left"/>
      </w:pPr>
      <w:r>
        <w:rPr>
          <w:spacing w:val="-3"/>
        </w:rPr>
        <w:t>④本公司的控股子公司北京杰智融软件有限公司于 </w:t>
      </w:r>
      <w:r>
        <w:rPr>
          <w:rFonts w:ascii="Times New Roman" w:hAnsi="Times New Roman" w:cs="Times New Roman" w:eastAsia="Times New Roman" w:hint="default"/>
        </w:rPr>
        <w:t>2019  </w:t>
      </w:r>
      <w:r>
        <w:rPr/>
        <w:t>年 </w:t>
      </w:r>
      <w:r>
        <w:rPr>
          <w:rFonts w:ascii="Times New Roman" w:hAnsi="Times New Roman" w:cs="Times New Roman" w:eastAsia="Times New Roman" w:hint="default"/>
          <w:spacing w:val="-3"/>
        </w:rPr>
        <w:t>12 </w:t>
      </w:r>
      <w:r>
        <w:rPr/>
        <w:t>月 </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spacing w:val="-3"/>
        </w:rPr>
        <w:t>日通过高新技术企业认定，取得北京市科学技术委</w:t>
      </w:r>
    </w:p>
    <w:p>
      <w:pPr>
        <w:pStyle w:val="BodyText"/>
        <w:spacing w:line="466" w:lineRule="exact" w:before="58"/>
        <w:ind w:right="1029"/>
        <w:jc w:val="left"/>
      </w:pPr>
      <w:r>
        <w:rPr>
          <w:spacing w:val="-5"/>
          <w:w w:val="101"/>
        </w:rPr>
        <w:t>员会、北京市财政局、北京市国家税务局北京市税务局联合下发的《高新技术企业证书》，有效期三年。根据相关规定，公</w:t>
      </w:r>
      <w:r>
        <w:rPr>
          <w:spacing w:val="-44"/>
          <w:w w:val="101"/>
        </w:rPr>
        <w:t> </w:t>
      </w:r>
      <w:r>
        <w:rPr>
          <w:spacing w:val="-44"/>
          <w:w w:val="101"/>
        </w:rPr>
      </w:r>
      <w:r>
        <w:rPr/>
        <w:t>司自 </w:t>
      </w:r>
      <w:r>
        <w:rPr>
          <w:rFonts w:ascii="Times New Roman" w:hAnsi="Times New Roman" w:cs="Times New Roman" w:eastAsia="Times New Roman" w:hint="default"/>
        </w:rPr>
        <w:t>2019  </w:t>
      </w:r>
      <w:r>
        <w:rPr>
          <w:spacing w:val="-3"/>
        </w:rPr>
        <w:t>年度起连续三年内享受高新技术企业的相关优惠政策，即按</w:t>
      </w:r>
      <w:r>
        <w:rPr>
          <w:spacing w:val="-21"/>
        </w:rPr>
        <w:t> </w:t>
      </w:r>
      <w:r>
        <w:rPr>
          <w:rFonts w:ascii="Times New Roman" w:hAnsi="Times New Roman" w:cs="Times New Roman" w:eastAsia="Times New Roman" w:hint="default"/>
          <w:spacing w:val="-3"/>
        </w:rPr>
        <w:t>15%</w:t>
      </w:r>
      <w:r>
        <w:rPr>
          <w:spacing w:val="-3"/>
        </w:rPr>
        <w:t>的税率缴纳企业所得税。</w:t>
      </w:r>
    </w:p>
    <w:p>
      <w:pPr>
        <w:spacing w:after="0" w:line="466" w:lineRule="exact"/>
        <w:jc w:val="left"/>
        <w:sectPr>
          <w:pgSz w:w="11910" w:h="16840"/>
          <w:pgMar w:header="871" w:footer="1186" w:top="1100" w:bottom="1380" w:left="980" w:right="0"/>
        </w:sectPr>
      </w:pPr>
    </w:p>
    <w:p>
      <w:pPr>
        <w:spacing w:line="240" w:lineRule="auto" w:before="1"/>
        <w:rPr>
          <w:rFonts w:ascii="宋体" w:hAnsi="宋体" w:cs="宋体" w:eastAsia="宋体" w:hint="default"/>
          <w:sz w:val="28"/>
          <w:szCs w:val="28"/>
        </w:rPr>
      </w:pPr>
    </w:p>
    <w:p>
      <w:pPr>
        <w:pStyle w:val="BodyText"/>
        <w:spacing w:line="240" w:lineRule="auto" w:before="46"/>
        <w:ind w:left="0" w:right="1189"/>
        <w:jc w:val="right"/>
      </w:pPr>
      <w:r>
        <w:rPr>
          <w:spacing w:val="-3"/>
        </w:rPr>
        <w:t>⑤本公司的全资子公司深圳银之杰智慧科技有限公司属于小型微利企业。根据财政部国家税务总局财税〔</w:t>
      </w:r>
      <w:r>
        <w:rPr>
          <w:rFonts w:ascii="Times New Roman" w:hAnsi="Times New Roman" w:cs="Times New Roman" w:eastAsia="Times New Roman" w:hint="default"/>
          <w:spacing w:val="-3"/>
        </w:rPr>
        <w:t>2017</w:t>
      </w:r>
      <w:r>
        <w:rPr>
          <w:spacing w:val="-3"/>
        </w:rPr>
        <w:t>〕</w:t>
      </w:r>
      <w:r>
        <w:rPr>
          <w:rFonts w:ascii="Times New Roman" w:hAnsi="Times New Roman" w:cs="Times New Roman" w:eastAsia="Times New Roman" w:hint="default"/>
          <w:spacing w:val="-3"/>
        </w:rPr>
        <w:t>76   </w:t>
      </w:r>
      <w:r>
        <w:rPr>
          <w:rFonts w:ascii="Times New Roman" w:hAnsi="Times New Roman" w:cs="Times New Roman" w:eastAsia="Times New Roman" w:hint="default"/>
          <w:spacing w:val="19"/>
        </w:rPr>
        <w:t> </w:t>
      </w:r>
      <w:r>
        <w:rPr/>
        <w:t>号</w:t>
      </w:r>
    </w:p>
    <w:p>
      <w:pPr>
        <w:spacing w:line="240" w:lineRule="auto" w:before="7"/>
        <w:rPr>
          <w:rFonts w:ascii="宋体" w:hAnsi="宋体" w:cs="宋体" w:eastAsia="宋体" w:hint="default"/>
          <w:sz w:val="16"/>
          <w:szCs w:val="16"/>
        </w:rPr>
      </w:pPr>
    </w:p>
    <w:p>
      <w:pPr>
        <w:pStyle w:val="BodyText"/>
        <w:spacing w:line="463" w:lineRule="auto"/>
        <w:ind w:right="1120"/>
        <w:jc w:val="left"/>
      </w:pPr>
      <w:r>
        <w:rPr>
          <w:spacing w:val="-8"/>
          <w:w w:val="101"/>
        </w:rPr>
        <w:t>《关于延续小微企业增值税政策的通知》、《关于进一步扩大小型微利企业所得税优惠政策范围的通知》，对小型微利企业年</w:t>
      </w:r>
      <w:r>
        <w:rPr>
          <w:spacing w:val="-57"/>
          <w:w w:val="101"/>
        </w:rPr>
        <w:t> </w:t>
      </w:r>
      <w:r>
        <w:rPr>
          <w:spacing w:val="-57"/>
          <w:w w:val="101"/>
        </w:rPr>
      </w:r>
      <w:r>
        <w:rPr/>
        <w:t>应纳税所得额不超过</w:t>
      </w:r>
      <w:r>
        <w:rPr>
          <w:spacing w:val="-27"/>
        </w:rPr>
        <w:t> </w:t>
      </w:r>
      <w:r>
        <w:rPr>
          <w:rFonts w:ascii="Times New Roman" w:hAnsi="Times New Roman" w:cs="Times New Roman" w:eastAsia="Times New Roman" w:hint="default"/>
        </w:rPr>
        <w:t>100</w:t>
      </w:r>
      <w:r>
        <w:rPr>
          <w:rFonts w:ascii="Times New Roman" w:hAnsi="Times New Roman" w:cs="Times New Roman" w:eastAsia="Times New Roman" w:hint="default"/>
          <w:spacing w:val="3"/>
        </w:rPr>
        <w:t> </w:t>
      </w:r>
      <w:r>
        <w:rPr/>
        <w:t>万元的部分，减按</w:t>
      </w:r>
      <w:r>
        <w:rPr>
          <w:spacing w:val="-26"/>
        </w:rPr>
        <w:t> </w:t>
      </w:r>
      <w:r>
        <w:rPr>
          <w:rFonts w:ascii="Times New Roman" w:hAnsi="Times New Roman" w:cs="Times New Roman" w:eastAsia="Times New Roman" w:hint="default"/>
          <w:spacing w:val="-3"/>
        </w:rPr>
        <w:t>25%</w:t>
      </w:r>
      <w:r>
        <w:rPr>
          <w:spacing w:val="-3"/>
        </w:rPr>
        <w:t>计入应纳税所得额，按</w:t>
      </w:r>
      <w:r>
        <w:rPr>
          <w:spacing w:val="-27"/>
        </w:rPr>
        <w:t> </w:t>
      </w:r>
      <w:r>
        <w:rPr>
          <w:rFonts w:ascii="Times New Roman" w:hAnsi="Times New Roman" w:cs="Times New Roman" w:eastAsia="Times New Roman" w:hint="default"/>
          <w:spacing w:val="-3"/>
        </w:rPr>
        <w:t>20%</w:t>
      </w:r>
      <w:r>
        <w:rPr>
          <w:spacing w:val="-3"/>
        </w:rPr>
        <w:t>的税率缴纳企业所得税；对年应纳税所得额超</w:t>
      </w:r>
      <w:r>
        <w:rPr>
          <w:spacing w:val="-51"/>
        </w:rPr>
        <w:t> </w:t>
      </w:r>
      <w:r>
        <w:rPr>
          <w:spacing w:val="-51"/>
        </w:rPr>
      </w:r>
      <w:r>
        <w:rPr/>
        <w:t>过</w:t>
      </w:r>
      <w:r>
        <w:rPr>
          <w:spacing w:val="-30"/>
        </w:rPr>
        <w:t> </w:t>
      </w:r>
      <w:r>
        <w:rPr>
          <w:rFonts w:ascii="Times New Roman" w:hAnsi="Times New Roman" w:cs="Times New Roman" w:eastAsia="Times New Roman" w:hint="default"/>
        </w:rPr>
        <w:t>100</w:t>
      </w:r>
      <w:r>
        <w:rPr>
          <w:rFonts w:ascii="Times New Roman" w:hAnsi="Times New Roman" w:cs="Times New Roman" w:eastAsia="Times New Roman" w:hint="default"/>
          <w:spacing w:val="1"/>
        </w:rPr>
        <w:t> </w:t>
      </w:r>
      <w:r>
        <w:rPr/>
        <w:t>万元但不超过</w:t>
      </w:r>
      <w:r>
        <w:rPr>
          <w:spacing w:val="-30"/>
        </w:rPr>
        <w:t> </w:t>
      </w:r>
      <w:r>
        <w:rPr>
          <w:rFonts w:ascii="Times New Roman" w:hAnsi="Times New Roman" w:cs="Times New Roman" w:eastAsia="Times New Roman" w:hint="default"/>
        </w:rPr>
        <w:t>300</w:t>
      </w:r>
      <w:r>
        <w:rPr>
          <w:rFonts w:ascii="Times New Roman" w:hAnsi="Times New Roman" w:cs="Times New Roman" w:eastAsia="Times New Roman" w:hint="default"/>
          <w:spacing w:val="1"/>
        </w:rPr>
        <w:t> </w:t>
      </w:r>
      <w:r>
        <w:rPr/>
        <w:t>万元的部分，减按</w:t>
      </w:r>
      <w:r>
        <w:rPr>
          <w:spacing w:val="-29"/>
        </w:rPr>
        <w:t> </w:t>
      </w:r>
      <w:r>
        <w:rPr>
          <w:rFonts w:ascii="Times New Roman" w:hAnsi="Times New Roman" w:cs="Times New Roman" w:eastAsia="Times New Roman" w:hint="default"/>
          <w:spacing w:val="-3"/>
        </w:rPr>
        <w:t>50%</w:t>
      </w:r>
      <w:r>
        <w:rPr>
          <w:spacing w:val="-3"/>
        </w:rPr>
        <w:t>计入应纳税所得额，按</w:t>
      </w:r>
      <w:r>
        <w:rPr>
          <w:spacing w:val="-30"/>
        </w:rPr>
        <w:t> </w:t>
      </w:r>
      <w:r>
        <w:rPr>
          <w:rFonts w:ascii="Times New Roman" w:hAnsi="Times New Roman" w:cs="Times New Roman" w:eastAsia="Times New Roman" w:hint="default"/>
          <w:spacing w:val="-3"/>
        </w:rPr>
        <w:t>20%</w:t>
      </w:r>
      <w:r>
        <w:rPr>
          <w:spacing w:val="-3"/>
        </w:rPr>
        <w:t>的税率缴纳企业所得税。</w:t>
      </w:r>
    </w:p>
    <w:p>
      <w:pPr>
        <w:spacing w:line="240" w:lineRule="auto" w:before="9"/>
        <w:rPr>
          <w:rFonts w:ascii="宋体" w:hAnsi="宋体" w:cs="宋体" w:eastAsia="宋体" w:hint="default"/>
          <w:sz w:val="17"/>
          <w:szCs w:val="17"/>
        </w:rPr>
      </w:pPr>
    </w:p>
    <w:p>
      <w:pPr>
        <w:pStyle w:val="Heading3"/>
        <w:spacing w:line="240" w:lineRule="auto"/>
        <w:ind w:right="0"/>
        <w:jc w:val="left"/>
        <w:rPr>
          <w:b w:val="0"/>
          <w:bCs w:val="0"/>
        </w:rPr>
      </w:pPr>
      <w:bookmarkStart w:name="3、其他" w:id="225"/>
      <w:bookmarkEnd w:id="225"/>
      <w:r>
        <w:rPr>
          <w:b w:val="0"/>
          <w:bCs w:val="0"/>
        </w:rPr>
      </w:r>
      <w:r>
        <w:rPr>
          <w:rFonts w:ascii="Times New Roman" w:hAnsi="Times New Roman" w:cs="Times New Roman" w:eastAsia="Times New Roman" w:hint="default"/>
        </w:rPr>
        <w:t>3</w:t>
      </w:r>
      <w:r>
        <w:rPr/>
        <w:t>、其他</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left="513" w:right="0"/>
        <w:jc w:val="left"/>
      </w:pPr>
      <w:r>
        <w:rPr/>
        <w:t>无。</w:t>
      </w:r>
    </w:p>
    <w:p>
      <w:pPr>
        <w:spacing w:line="240" w:lineRule="auto" w:before="9"/>
        <w:rPr>
          <w:rFonts w:ascii="宋体" w:hAnsi="宋体" w:cs="宋体" w:eastAsia="宋体" w:hint="default"/>
          <w:sz w:val="24"/>
          <w:szCs w:val="24"/>
        </w:rPr>
      </w:pPr>
    </w:p>
    <w:p>
      <w:pPr>
        <w:pStyle w:val="Heading2"/>
        <w:spacing w:line="240" w:lineRule="auto"/>
        <w:ind w:right="0"/>
        <w:jc w:val="left"/>
        <w:rPr>
          <w:b w:val="0"/>
          <w:bCs w:val="0"/>
        </w:rPr>
      </w:pPr>
      <w:bookmarkStart w:name="七、合并财务报表项目注释" w:id="226"/>
      <w:bookmarkEnd w:id="226"/>
      <w:r>
        <w:rPr>
          <w:b w:val="0"/>
          <w:bCs w:val="0"/>
        </w:rPr>
      </w:r>
      <w:r>
        <w:rPr/>
        <w:t>七、合并财务报表项目注释</w:t>
      </w:r>
      <w:r>
        <w:rPr>
          <w:b w:val="0"/>
          <w:bCs w:val="0"/>
        </w:rPr>
      </w:r>
    </w:p>
    <w:p>
      <w:pPr>
        <w:spacing w:line="240" w:lineRule="auto" w:before="3"/>
        <w:rPr>
          <w:rFonts w:ascii="宋体" w:hAnsi="宋体" w:cs="宋体" w:eastAsia="宋体" w:hint="default"/>
          <w:b/>
          <w:bCs/>
          <w:sz w:val="25"/>
          <w:szCs w:val="25"/>
        </w:rPr>
      </w:pPr>
    </w:p>
    <w:p>
      <w:pPr>
        <w:pStyle w:val="Heading3"/>
        <w:spacing w:line="240" w:lineRule="auto"/>
        <w:ind w:right="0"/>
        <w:jc w:val="left"/>
        <w:rPr>
          <w:b w:val="0"/>
          <w:bCs w:val="0"/>
        </w:rPr>
      </w:pPr>
      <w:bookmarkStart w:name="1、货币资金" w:id="227"/>
      <w:bookmarkEnd w:id="227"/>
      <w:r>
        <w:rPr>
          <w:b w:val="0"/>
          <w:bCs w:val="0"/>
        </w:rPr>
      </w:r>
      <w:r>
        <w:rPr>
          <w:rFonts w:ascii="Times New Roman" w:hAnsi="Times New Roman" w:cs="Times New Roman" w:eastAsia="Times New Roman" w:hint="default"/>
        </w:rPr>
        <w:t>1</w:t>
      </w:r>
      <w:r>
        <w:rPr/>
        <w:t>、货币资金</w:t>
      </w:r>
      <w:r>
        <w:rPr>
          <w:b w:val="0"/>
          <w:bCs w:val="0"/>
        </w:rPr>
      </w:r>
    </w:p>
    <w:p>
      <w:pPr>
        <w:spacing w:line="240" w:lineRule="auto" w:before="10"/>
        <w:rPr>
          <w:rFonts w:ascii="宋体" w:hAnsi="宋体" w:cs="宋体" w:eastAsia="宋体" w:hint="default"/>
          <w:b/>
          <w:bCs/>
          <w:sz w:val="26"/>
          <w:szCs w:val="26"/>
        </w:rPr>
      </w:pPr>
    </w:p>
    <w:p>
      <w:pPr>
        <w:pStyle w:val="BodyText"/>
        <w:spacing w:line="240" w:lineRule="auto"/>
        <w:ind w:left="0" w:right="1122"/>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3"/>
        <w:gridCol w:w="3193"/>
      </w:tblGrid>
      <w:tr>
        <w:trPr>
          <w:trHeight w:val="398"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2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234,702.18</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702,057.43</w:t>
            </w:r>
          </w:p>
        </w:tc>
      </w:tr>
      <w:tr>
        <w:trPr>
          <w:trHeight w:val="404"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2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262,448,825.14</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360,287,080.90</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2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19,508,577.39</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28,809,830.16</w:t>
            </w:r>
          </w:p>
        </w:tc>
      </w:tr>
      <w:tr>
        <w:trPr>
          <w:trHeight w:val="398"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未到期应收利息</w:t>
            </w:r>
          </w:p>
        </w:tc>
        <w:tc>
          <w:tcPr>
            <w:tcW w:w="3203" w:type="dxa"/>
            <w:tcBorders>
              <w:top w:val="single" w:sz="4" w:space="0" w:color="000000"/>
              <w:left w:val="single" w:sz="10" w:space="0" w:color="D2D2D2"/>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315,616.44</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282,192,104.71</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390,114,584.93</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94" w:right="0"/>
              <w:jc w:val="left"/>
              <w:rPr>
                <w:rFonts w:ascii="宋体" w:hAnsi="宋体" w:cs="宋体" w:eastAsia="宋体" w:hint="default"/>
                <w:sz w:val="18"/>
                <w:szCs w:val="18"/>
              </w:rPr>
            </w:pPr>
            <w:r>
              <w:rPr>
                <w:rFonts w:ascii="宋体" w:hAnsi="宋体" w:cs="宋体" w:eastAsia="宋体" w:hint="default"/>
                <w:spacing w:val="-3"/>
                <w:sz w:val="18"/>
                <w:szCs w:val="18"/>
              </w:rPr>
              <w:t>其中：存放在境外的款项总额</w:t>
            </w:r>
          </w:p>
        </w:tc>
        <w:tc>
          <w:tcPr>
            <w:tcW w:w="32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26,150,484.59</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32,008,454.75</w:t>
            </w:r>
          </w:p>
        </w:tc>
      </w:tr>
    </w:tbl>
    <w:p>
      <w:pPr>
        <w:pStyle w:val="BodyText"/>
        <w:spacing w:line="240" w:lineRule="auto" w:before="54"/>
        <w:ind w:right="0"/>
        <w:jc w:val="left"/>
      </w:pPr>
      <w:r>
        <w:rPr/>
        <w:t>其他说明</w:t>
      </w:r>
    </w:p>
    <w:p>
      <w:pPr>
        <w:spacing w:line="240" w:lineRule="auto" w:before="0"/>
        <w:rPr>
          <w:rFonts w:ascii="宋体" w:hAnsi="宋体" w:cs="宋体" w:eastAsia="宋体" w:hint="default"/>
          <w:sz w:val="15"/>
          <w:szCs w:val="15"/>
        </w:rPr>
      </w:pPr>
    </w:p>
    <w:p>
      <w:pPr>
        <w:pStyle w:val="BodyText"/>
        <w:spacing w:line="451" w:lineRule="auto"/>
        <w:ind w:right="1146" w:firstLine="360"/>
        <w:jc w:val="both"/>
      </w:pPr>
      <w:r>
        <w:rPr/>
        <w:t>其他货币资金中：</w:t>
      </w:r>
      <w:r>
        <w:rPr>
          <w:rFonts w:ascii="Times New Roman" w:hAnsi="Times New Roman" w:cs="Times New Roman" w:eastAsia="Times New Roman" w:hint="default"/>
        </w:rPr>
        <w:t>8,560,186.29 </w:t>
      </w:r>
      <w:r>
        <w:rPr>
          <w:spacing w:val="-3"/>
        </w:rPr>
        <w:t>元为本公司向银行申请开具承兑汇票保证金；</w:t>
      </w:r>
      <w:r>
        <w:rPr>
          <w:rFonts w:ascii="Times New Roman" w:hAnsi="Times New Roman" w:cs="Times New Roman" w:eastAsia="Times New Roman" w:hint="default"/>
          <w:spacing w:val="-3"/>
        </w:rPr>
        <w:t>665,508.00</w:t>
      </w:r>
      <w:r>
        <w:rPr>
          <w:rFonts w:ascii="Times New Roman" w:hAnsi="Times New Roman" w:cs="Times New Roman" w:eastAsia="Times New Roman" w:hint="default"/>
          <w:spacing w:val="2"/>
        </w:rPr>
        <w:t> </w:t>
      </w:r>
      <w:r>
        <w:rPr>
          <w:spacing w:val="-3"/>
        </w:rPr>
        <w:t>元系本公司向银行申请开具保</w:t>
      </w:r>
      <w:r>
        <w:rPr>
          <w:w w:val="101"/>
        </w:rPr>
        <w:t> </w:t>
      </w:r>
      <w:r>
        <w:rPr/>
        <w:t>函保证金；</w:t>
      </w:r>
      <w:r>
        <w:rPr>
          <w:rFonts w:ascii="Times New Roman" w:hAnsi="Times New Roman" w:cs="Times New Roman" w:eastAsia="Times New Roman" w:hint="default"/>
        </w:rPr>
        <w:t>2,092,860.00 </w:t>
      </w:r>
      <w:r>
        <w:rPr>
          <w:spacing w:val="-3"/>
        </w:rPr>
        <w:t>元系银行信用卡保证金；</w:t>
      </w:r>
      <w:r>
        <w:rPr>
          <w:rFonts w:ascii="Times New Roman" w:hAnsi="Times New Roman" w:cs="Times New Roman" w:eastAsia="Times New Roman" w:hint="default"/>
          <w:spacing w:val="-3"/>
        </w:rPr>
        <w:t>209,411.01 </w:t>
      </w:r>
      <w:r>
        <w:rPr/>
        <w:t>元系外汇保证金；</w:t>
      </w:r>
      <w:r>
        <w:rPr>
          <w:rFonts w:ascii="Times New Roman" w:hAnsi="Times New Roman" w:cs="Times New Roman" w:eastAsia="Times New Roman" w:hint="default"/>
        </w:rPr>
        <w:t>7,980,612.09 </w:t>
      </w:r>
      <w:r>
        <w:rPr>
          <w:spacing w:val="-3"/>
        </w:rPr>
        <w:t>元系通过在第三方平台（</w:t>
      </w:r>
      <w:r>
        <w:rPr>
          <w:rFonts w:ascii="Times New Roman" w:hAnsi="Times New Roman" w:cs="Times New Roman" w:eastAsia="Times New Roman" w:hint="default"/>
          <w:spacing w:val="-3"/>
        </w:rPr>
        <w:t>ebay</w:t>
      </w:r>
      <w:r>
        <w:rPr>
          <w:spacing w:val="-3"/>
        </w:rPr>
        <w:t>、</w:t>
      </w:r>
      <w:r>
        <w:rPr>
          <w:spacing w:val="-66"/>
        </w:rPr>
        <w:t> </w:t>
      </w:r>
      <w:r>
        <w:rPr>
          <w:spacing w:val="-3"/>
        </w:rPr>
        <w:t>支付宝等）开立的代收货款账户资金余额。</w:t>
      </w:r>
    </w:p>
    <w:p>
      <w:pPr>
        <w:pStyle w:val="BodyText"/>
        <w:spacing w:line="240" w:lineRule="auto" w:before="72"/>
        <w:ind w:left="513" w:right="0"/>
        <w:jc w:val="left"/>
      </w:pPr>
      <w:r>
        <w:rPr>
          <w:spacing w:val="-3"/>
        </w:rPr>
        <w:t>外币货币资金明细情况详见本附注七、</w:t>
      </w:r>
      <w:r>
        <w:rPr>
          <w:rFonts w:ascii="Times New Roman" w:hAnsi="Times New Roman" w:cs="Times New Roman" w:eastAsia="Times New Roman" w:hint="default"/>
          <w:spacing w:val="-3"/>
        </w:rPr>
        <w:t>53</w:t>
      </w:r>
      <w:r>
        <w:rPr>
          <w:rFonts w:ascii="Times New Roman" w:hAnsi="Times New Roman" w:cs="Times New Roman" w:eastAsia="Times New Roman" w:hint="default"/>
          <w:spacing w:val="-3"/>
        </w:rPr>
        <w:t>“</w:t>
      </w:r>
      <w:r>
        <w:rPr>
          <w:spacing w:val="-3"/>
        </w:rPr>
        <w:t>外币货币性项目</w:t>
      </w:r>
      <w:r>
        <w:rPr>
          <w:rFonts w:ascii="Times New Roman" w:hAnsi="Times New Roman" w:cs="Times New Roman" w:eastAsia="Times New Roman" w:hint="default"/>
          <w:spacing w:val="-3"/>
        </w:rPr>
        <w:t>”</w:t>
      </w:r>
      <w:r>
        <w:rPr>
          <w:spacing w:val="-3"/>
        </w:rPr>
        <w:t>之说明。</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3"/>
          <w:szCs w:val="13"/>
        </w:rPr>
      </w:pPr>
    </w:p>
    <w:p>
      <w:pPr>
        <w:pStyle w:val="Heading3"/>
        <w:spacing w:line="240" w:lineRule="auto"/>
        <w:ind w:right="0"/>
        <w:jc w:val="left"/>
        <w:rPr>
          <w:b w:val="0"/>
          <w:bCs w:val="0"/>
        </w:rPr>
      </w:pPr>
      <w:bookmarkStart w:name="2、交易性金融资产" w:id="228"/>
      <w:bookmarkEnd w:id="228"/>
      <w:r>
        <w:rPr>
          <w:b w:val="0"/>
          <w:bCs w:val="0"/>
        </w:rPr>
      </w:r>
      <w:r>
        <w:rPr>
          <w:rFonts w:ascii="Times New Roman" w:hAnsi="Times New Roman" w:cs="Times New Roman" w:eastAsia="Times New Roman" w:hint="default"/>
        </w:rPr>
        <w:t>2</w:t>
      </w:r>
      <w:r>
        <w:rPr/>
        <w:t>、交易性金融资产</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3"/>
        <w:gridCol w:w="3193"/>
      </w:tblGrid>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15"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 w:right="80"/>
              <w:jc w:val="left"/>
              <w:rPr>
                <w:rFonts w:ascii="宋体" w:hAnsi="宋体" w:cs="宋体" w:eastAsia="宋体" w:hint="default"/>
                <w:sz w:val="18"/>
                <w:szCs w:val="18"/>
              </w:rPr>
            </w:pPr>
            <w:r>
              <w:rPr>
                <w:rFonts w:ascii="宋体" w:hAnsi="宋体" w:cs="宋体" w:eastAsia="宋体" w:hint="default"/>
                <w:spacing w:val="-3"/>
                <w:sz w:val="18"/>
                <w:szCs w:val="18"/>
              </w:rPr>
              <w:t>以公允价值计量且其变动计入当期损益</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z w:val="18"/>
                <w:szCs w:val="18"/>
              </w:rPr>
              <w:t>的金融资产</w:t>
            </w:r>
          </w:p>
        </w:tc>
        <w:tc>
          <w:tcPr>
            <w:tcW w:w="32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60,000,000.00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67,000,000.00</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60,000,000.00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67,000,000.00</w:t>
            </w:r>
          </w:p>
        </w:tc>
      </w:tr>
    </w:tbl>
    <w:p>
      <w:pPr>
        <w:spacing w:after="0" w:line="240" w:lineRule="auto"/>
        <w:jc w:val="right"/>
        <w:rPr>
          <w:rFonts w:ascii="Times New Roman" w:hAnsi="Times New Roman" w:cs="Times New Roman" w:eastAsia="Times New Roman" w:hint="default"/>
          <w:sz w:val="18"/>
          <w:szCs w:val="18"/>
        </w:rPr>
        <w:sectPr>
          <w:pgSz w:w="11910" w:h="16840"/>
          <w:pgMar w:header="871" w:footer="1186" w:top="1100" w:bottom="1380" w:left="980" w:right="0"/>
        </w:sectPr>
      </w:pPr>
    </w:p>
    <w:p>
      <w:pPr>
        <w:spacing w:line="240" w:lineRule="auto" w:before="0"/>
        <w:rPr>
          <w:rFonts w:ascii="宋体" w:hAnsi="宋体" w:cs="宋体" w:eastAsia="宋体" w:hint="default"/>
          <w:sz w:val="21"/>
          <w:szCs w:val="21"/>
        </w:rPr>
      </w:pPr>
    </w:p>
    <w:p>
      <w:pPr>
        <w:pStyle w:val="Heading3"/>
        <w:spacing w:line="240" w:lineRule="auto" w:before="36"/>
        <w:ind w:right="0"/>
        <w:jc w:val="left"/>
        <w:rPr>
          <w:b w:val="0"/>
          <w:bCs w:val="0"/>
        </w:rPr>
      </w:pPr>
      <w:bookmarkStart w:name="3、应收账款" w:id="229"/>
      <w:bookmarkEnd w:id="229"/>
      <w:r>
        <w:rPr>
          <w:b w:val="0"/>
          <w:bCs w:val="0"/>
        </w:rPr>
      </w:r>
      <w:r>
        <w:rPr>
          <w:rFonts w:ascii="Times New Roman" w:hAnsi="Times New Roman" w:cs="Times New Roman" w:eastAsia="Times New Roman" w:hint="default"/>
        </w:rPr>
        <w:t>3</w:t>
      </w:r>
      <w:r>
        <w:rPr/>
        <w:t>、应收账款</w:t>
      </w:r>
      <w:r>
        <w:rPr>
          <w:b w:val="0"/>
          <w:bCs w:val="0"/>
        </w:rPr>
      </w:r>
    </w:p>
    <w:p>
      <w:pPr>
        <w:spacing w:line="240" w:lineRule="auto" w:before="5"/>
        <w:rPr>
          <w:rFonts w:ascii="宋体" w:hAnsi="宋体" w:cs="宋体" w:eastAsia="宋体" w:hint="default"/>
          <w:b/>
          <w:bCs/>
          <w:sz w:val="24"/>
          <w:szCs w:val="24"/>
        </w:rPr>
      </w:pPr>
    </w:p>
    <w:p>
      <w:pPr>
        <w:pStyle w:val="Heading3"/>
        <w:spacing w:line="240" w:lineRule="auto"/>
        <w:ind w:right="0"/>
        <w:jc w:val="left"/>
        <w:rPr>
          <w:b w:val="0"/>
          <w:bCs w:val="0"/>
        </w:rPr>
      </w:pPr>
      <w:bookmarkStart w:name="（1）应收账款分类披露" w:id="230"/>
      <w:bookmarkEnd w:id="230"/>
      <w:r>
        <w:rPr>
          <w:b w:val="0"/>
          <w:bCs w:val="0"/>
        </w:rPr>
      </w:r>
      <w:r>
        <w:rPr/>
        <w:t>（</w:t>
      </w:r>
      <w:r>
        <w:rPr>
          <w:rFonts w:ascii="Times New Roman" w:hAnsi="Times New Roman" w:cs="Times New Roman" w:eastAsia="Times New Roman" w:hint="default"/>
        </w:rPr>
        <w:t>1</w:t>
      </w:r>
      <w:r>
        <w:rPr/>
        <w:t>）应收账款分类披露</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613"/>
        <w:gridCol w:w="776"/>
        <w:gridCol w:w="758"/>
        <w:gridCol w:w="764"/>
        <w:gridCol w:w="764"/>
        <w:gridCol w:w="787"/>
        <w:gridCol w:w="778"/>
        <w:gridCol w:w="797"/>
        <w:gridCol w:w="797"/>
        <w:gridCol w:w="792"/>
        <w:gridCol w:w="931"/>
      </w:tblGrid>
      <w:tr>
        <w:trPr>
          <w:trHeight w:val="398" w:hRule="exact"/>
        </w:trPr>
        <w:tc>
          <w:tcPr>
            <w:tcW w:w="1613" w:type="dxa"/>
            <w:vMerge w:val="restart"/>
            <w:tcBorders>
              <w:top w:val="single" w:sz="4" w:space="0" w:color="000000"/>
              <w:left w:val="single" w:sz="4" w:space="0" w:color="000000"/>
              <w:right w:val="single" w:sz="4" w:space="0" w:color="000000"/>
            </w:tcBorders>
            <w:shd w:val="clear" w:color="auto" w:fill="D2D2D2"/>
          </w:tcPr>
          <w:p>
            <w:pPr/>
          </w:p>
        </w:tc>
        <w:tc>
          <w:tcPr>
            <w:tcW w:w="384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6"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3" w:hRule="exact"/>
        </w:trPr>
        <w:tc>
          <w:tcPr>
            <w:tcW w:w="1613" w:type="dxa"/>
            <w:vMerge/>
            <w:tcBorders>
              <w:left w:val="single" w:sz="4" w:space="0" w:color="000000"/>
              <w:bottom w:val="nil" w:sz="6" w:space="0" w:color="auto"/>
              <w:right w:val="single" w:sz="4" w:space="0" w:color="000000"/>
            </w:tcBorders>
            <w:shd w:val="clear" w:color="auto" w:fill="D2D2D2"/>
          </w:tcPr>
          <w:p>
            <w:pPr/>
          </w:p>
        </w:tc>
        <w:tc>
          <w:tcPr>
            <w:tcW w:w="153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41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7" w:type="dxa"/>
            <w:vMerge w:val="restart"/>
            <w:tcBorders>
              <w:top w:val="single" w:sz="4" w:space="0" w:color="000000"/>
              <w:left w:val="single" w:sz="4" w:space="0" w:color="000000"/>
              <w:right w:val="single" w:sz="4" w:space="0" w:color="000000"/>
            </w:tcBorders>
            <w:shd w:val="clear" w:color="auto" w:fill="D2D2D2"/>
          </w:tcPr>
          <w:p>
            <w:pPr/>
          </w:p>
        </w:tc>
        <w:tc>
          <w:tcPr>
            <w:tcW w:w="157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42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42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vMerge w:val="restart"/>
            <w:tcBorders>
              <w:top w:val="single" w:sz="4" w:space="0" w:color="000000"/>
              <w:left w:val="single" w:sz="4" w:space="0" w:color="000000"/>
              <w:right w:val="single" w:sz="4" w:space="0" w:color="000000"/>
            </w:tcBorders>
            <w:shd w:val="clear" w:color="auto" w:fill="D2D2D2"/>
          </w:tcPr>
          <w:p>
            <w:pPr/>
          </w:p>
        </w:tc>
      </w:tr>
      <w:tr>
        <w:trPr>
          <w:trHeight w:val="240" w:hRule="exact"/>
        </w:trPr>
        <w:tc>
          <w:tcPr>
            <w:tcW w:w="16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534" w:type="dxa"/>
            <w:gridSpan w:val="2"/>
            <w:vMerge/>
            <w:tcBorders>
              <w:left w:val="single" w:sz="4" w:space="0" w:color="000000"/>
              <w:bottom w:val="single" w:sz="4" w:space="0" w:color="000000"/>
              <w:right w:val="single" w:sz="4" w:space="0" w:color="000000"/>
            </w:tcBorders>
            <w:shd w:val="clear" w:color="auto" w:fill="D2D2D2"/>
          </w:tcPr>
          <w:p>
            <w:pPr/>
          </w:p>
        </w:tc>
        <w:tc>
          <w:tcPr>
            <w:tcW w:w="1527" w:type="dxa"/>
            <w:gridSpan w:val="2"/>
            <w:vMerge/>
            <w:tcBorders>
              <w:left w:val="single" w:sz="4" w:space="0" w:color="000000"/>
              <w:bottom w:val="single" w:sz="4" w:space="0" w:color="000000"/>
              <w:right w:val="single" w:sz="4" w:space="0" w:color="000000"/>
            </w:tcBorders>
            <w:shd w:val="clear" w:color="auto" w:fill="D2D2D2"/>
          </w:tcPr>
          <w:p>
            <w:pPr/>
          </w:p>
        </w:tc>
        <w:tc>
          <w:tcPr>
            <w:tcW w:w="787" w:type="dxa"/>
            <w:vMerge/>
            <w:tcBorders>
              <w:left w:val="single" w:sz="4" w:space="0" w:color="000000"/>
              <w:bottom w:val="nil" w:sz="6" w:space="0" w:color="auto"/>
              <w:right w:val="single" w:sz="4" w:space="0" w:color="000000"/>
            </w:tcBorders>
            <w:shd w:val="clear" w:color="auto" w:fill="D2D2D2"/>
          </w:tcPr>
          <w:p>
            <w:pPr/>
          </w:p>
        </w:tc>
        <w:tc>
          <w:tcPr>
            <w:tcW w:w="1575" w:type="dxa"/>
            <w:gridSpan w:val="2"/>
            <w:vMerge/>
            <w:tcBorders>
              <w:left w:val="single" w:sz="4" w:space="0" w:color="000000"/>
              <w:bottom w:val="single" w:sz="4" w:space="0" w:color="000000"/>
              <w:right w:val="single" w:sz="4" w:space="0" w:color="000000"/>
            </w:tcBorders>
            <w:shd w:val="clear" w:color="auto" w:fill="D2D2D2"/>
          </w:tcPr>
          <w:p>
            <w:pPr/>
          </w:p>
        </w:tc>
        <w:tc>
          <w:tcPr>
            <w:tcW w:w="1590" w:type="dxa"/>
            <w:gridSpan w:val="2"/>
            <w:vMerge/>
            <w:tcBorders>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1613" w:type="dxa"/>
            <w:vMerge/>
            <w:tcBorders>
              <w:left w:val="single" w:sz="4" w:space="0" w:color="000000"/>
              <w:bottom w:val="single" w:sz="4" w:space="0" w:color="FFFFFF"/>
              <w:right w:val="single" w:sz="4" w:space="0" w:color="000000"/>
            </w:tcBorders>
            <w:shd w:val="clear" w:color="auto" w:fill="D2D2D2"/>
          </w:tcPr>
          <w:p>
            <w:pPr/>
          </w:p>
        </w:tc>
        <w:tc>
          <w:tcPr>
            <w:tcW w:w="776"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58"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4"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4" w:type="dxa"/>
            <w:vMerge w:val="restart"/>
            <w:tcBorders>
              <w:top w:val="single" w:sz="4" w:space="0" w:color="000000"/>
              <w:left w:val="single" w:sz="4" w:space="0" w:color="000000"/>
              <w:right w:val="single" w:sz="4" w:space="0" w:color="000000"/>
            </w:tcBorders>
            <w:shd w:val="clear" w:color="auto" w:fill="D2D2D2"/>
          </w:tcPr>
          <w:p>
            <w:pPr>
              <w:pStyle w:val="TableParagraph"/>
              <w:spacing w:line="324" w:lineRule="auto" w:before="53"/>
              <w:ind w:left="287" w:right="103" w:hanging="183"/>
              <w:jc w:val="left"/>
              <w:rPr>
                <w:rFonts w:ascii="宋体" w:hAnsi="宋体" w:cs="宋体" w:eastAsia="宋体" w:hint="default"/>
                <w:sz w:val="18"/>
                <w:szCs w:val="18"/>
              </w:rPr>
            </w:pPr>
            <w:r>
              <w:rPr>
                <w:rFonts w:ascii="宋体" w:hAnsi="宋体" w:cs="宋体" w:eastAsia="宋体" w:hint="default"/>
                <w:sz w:val="18"/>
                <w:szCs w:val="18"/>
              </w:rPr>
              <w:t>计提比</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例</w:t>
            </w:r>
          </w:p>
        </w:tc>
        <w:tc>
          <w:tcPr>
            <w:tcW w:w="78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5"/>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778"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5"/>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4" w:hRule="exact"/>
        </w:trPr>
        <w:tc>
          <w:tcPr>
            <w:tcW w:w="1613" w:type="dxa"/>
            <w:vMerge w:val="restart"/>
            <w:tcBorders>
              <w:top w:val="single" w:sz="4" w:space="0" w:color="FFFFFF"/>
              <w:left w:val="single" w:sz="4" w:space="0" w:color="000000"/>
              <w:right w:val="single" w:sz="4" w:space="0" w:color="000000"/>
            </w:tcBorders>
            <w:shd w:val="clear" w:color="auto" w:fill="D2D2D2"/>
          </w:tcPr>
          <w:p>
            <w:pPr/>
          </w:p>
        </w:tc>
        <w:tc>
          <w:tcPr>
            <w:tcW w:w="776"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51"/>
              <w:ind w:left="208"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58"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51"/>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4"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51"/>
              <w:ind w:left="19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4" w:type="dxa"/>
            <w:vMerge/>
            <w:tcBorders>
              <w:left w:val="single" w:sz="4" w:space="0" w:color="000000"/>
              <w:right w:val="single" w:sz="4" w:space="0" w:color="000000"/>
            </w:tcBorders>
            <w:shd w:val="clear" w:color="auto" w:fill="D2D2D2"/>
          </w:tcPr>
          <w:p>
            <w:pPr/>
          </w:p>
        </w:tc>
        <w:tc>
          <w:tcPr>
            <w:tcW w:w="787" w:type="dxa"/>
            <w:vMerge/>
            <w:tcBorders>
              <w:left w:val="single" w:sz="4" w:space="0" w:color="000000"/>
              <w:bottom w:val="nil" w:sz="6" w:space="0" w:color="auto"/>
              <w:right w:val="single" w:sz="4" w:space="0" w:color="000000"/>
            </w:tcBorders>
            <w:shd w:val="clear" w:color="auto" w:fill="D2D2D2"/>
          </w:tcPr>
          <w:p>
            <w:pPr/>
          </w:p>
        </w:tc>
        <w:tc>
          <w:tcPr>
            <w:tcW w:w="77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6"/>
              <w:ind w:left="20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6"/>
              <w:ind w:left="211"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6"/>
              <w:ind w:left="21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6"/>
              <w:ind w:left="28"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13" w:type="dxa"/>
            <w:vMerge/>
            <w:tcBorders>
              <w:left w:val="single" w:sz="4" w:space="0" w:color="000000"/>
              <w:right w:val="single" w:sz="4" w:space="0" w:color="000000"/>
            </w:tcBorders>
            <w:shd w:val="clear" w:color="auto" w:fill="D2D2D2"/>
          </w:tcPr>
          <w:p>
            <w:pPr/>
          </w:p>
        </w:tc>
        <w:tc>
          <w:tcPr>
            <w:tcW w:w="776" w:type="dxa"/>
            <w:vMerge/>
            <w:tcBorders>
              <w:left w:val="single" w:sz="4" w:space="0" w:color="000000"/>
              <w:bottom w:val="nil" w:sz="6" w:space="0" w:color="auto"/>
              <w:right w:val="single" w:sz="4" w:space="0" w:color="000000"/>
            </w:tcBorders>
            <w:shd w:val="clear" w:color="auto" w:fill="D2D2D2"/>
          </w:tcPr>
          <w:p>
            <w:pPr/>
          </w:p>
        </w:tc>
        <w:tc>
          <w:tcPr>
            <w:tcW w:w="758" w:type="dxa"/>
            <w:vMerge/>
            <w:tcBorders>
              <w:left w:val="single" w:sz="4" w:space="0" w:color="000000"/>
              <w:bottom w:val="nil" w:sz="6" w:space="0" w:color="auto"/>
              <w:right w:val="single" w:sz="4" w:space="0" w:color="000000"/>
            </w:tcBorders>
            <w:shd w:val="clear" w:color="auto" w:fill="D2D2D2"/>
          </w:tcPr>
          <w:p>
            <w:pPr/>
          </w:p>
        </w:tc>
        <w:tc>
          <w:tcPr>
            <w:tcW w:w="764" w:type="dxa"/>
            <w:vMerge/>
            <w:tcBorders>
              <w:left w:val="single" w:sz="4" w:space="0" w:color="000000"/>
              <w:bottom w:val="nil" w:sz="6" w:space="0" w:color="auto"/>
              <w:right w:val="single" w:sz="4" w:space="0" w:color="000000"/>
            </w:tcBorders>
            <w:shd w:val="clear" w:color="auto" w:fill="D2D2D2"/>
          </w:tcPr>
          <w:p>
            <w:pPr/>
          </w:p>
        </w:tc>
        <w:tc>
          <w:tcPr>
            <w:tcW w:w="764" w:type="dxa"/>
            <w:vMerge/>
            <w:tcBorders>
              <w:left w:val="single" w:sz="4" w:space="0" w:color="000000"/>
              <w:right w:val="single" w:sz="4" w:space="0" w:color="000000"/>
            </w:tcBorders>
            <w:shd w:val="clear" w:color="auto" w:fill="D2D2D2"/>
          </w:tcPr>
          <w:p>
            <w:pPr/>
          </w:p>
        </w:tc>
        <w:tc>
          <w:tcPr>
            <w:tcW w:w="787" w:type="dxa"/>
            <w:vMerge w:val="restart"/>
            <w:tcBorders>
              <w:top w:val="nil" w:sz="6" w:space="0" w:color="auto"/>
              <w:left w:val="single" w:sz="4" w:space="0" w:color="000000"/>
              <w:right w:val="single" w:sz="4" w:space="0" w:color="000000"/>
            </w:tcBorders>
            <w:shd w:val="clear" w:color="auto" w:fill="D2D2D2"/>
          </w:tcPr>
          <w:p>
            <w:pPr/>
          </w:p>
        </w:tc>
        <w:tc>
          <w:tcPr>
            <w:tcW w:w="778"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792" w:type="dxa"/>
            <w:vMerge/>
            <w:tcBorders>
              <w:left w:val="single" w:sz="4" w:space="0" w:color="000000"/>
              <w:bottom w:val="nil" w:sz="6" w:space="0" w:color="auto"/>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
        </w:tc>
      </w:tr>
      <w:tr>
        <w:trPr>
          <w:trHeight w:val="158" w:hRule="exact"/>
        </w:trPr>
        <w:tc>
          <w:tcPr>
            <w:tcW w:w="1613" w:type="dxa"/>
            <w:vMerge/>
            <w:tcBorders>
              <w:left w:val="single" w:sz="4" w:space="0" w:color="000000"/>
              <w:bottom w:val="single" w:sz="4" w:space="0" w:color="000000"/>
              <w:right w:val="single" w:sz="4" w:space="0" w:color="000000"/>
            </w:tcBorders>
            <w:shd w:val="clear" w:color="auto" w:fill="D2D2D2"/>
          </w:tcPr>
          <w:p>
            <w:pPr/>
          </w:p>
        </w:tc>
        <w:tc>
          <w:tcPr>
            <w:tcW w:w="776" w:type="dxa"/>
            <w:tcBorders>
              <w:top w:val="nil" w:sz="6" w:space="0" w:color="auto"/>
              <w:left w:val="single" w:sz="4" w:space="0" w:color="000000"/>
              <w:bottom w:val="single" w:sz="4" w:space="0" w:color="000000"/>
              <w:right w:val="single" w:sz="4" w:space="0" w:color="000000"/>
            </w:tcBorders>
            <w:shd w:val="clear" w:color="auto" w:fill="D2D2D2"/>
          </w:tcPr>
          <w:p>
            <w:pPr/>
          </w:p>
        </w:tc>
        <w:tc>
          <w:tcPr>
            <w:tcW w:w="758" w:type="dxa"/>
            <w:tcBorders>
              <w:top w:val="nil" w:sz="6" w:space="0" w:color="auto"/>
              <w:left w:val="single" w:sz="4" w:space="0" w:color="000000"/>
              <w:bottom w:val="single" w:sz="4" w:space="0" w:color="000000"/>
              <w:right w:val="single" w:sz="4" w:space="0" w:color="000000"/>
            </w:tcBorders>
            <w:shd w:val="clear" w:color="auto" w:fill="D2D2D2"/>
          </w:tcPr>
          <w:p>
            <w:pPr/>
          </w:p>
        </w:tc>
        <w:tc>
          <w:tcPr>
            <w:tcW w:w="76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4" w:type="dxa"/>
            <w:vMerge/>
            <w:tcBorders>
              <w:left w:val="single" w:sz="4" w:space="0" w:color="000000"/>
              <w:bottom w:val="single" w:sz="4" w:space="0" w:color="000000"/>
              <w:right w:val="single" w:sz="4" w:space="0" w:color="000000"/>
            </w:tcBorders>
            <w:shd w:val="clear" w:color="auto" w:fill="D2D2D2"/>
          </w:tcPr>
          <w:p>
            <w:pPr/>
          </w:p>
        </w:tc>
        <w:tc>
          <w:tcPr>
            <w:tcW w:w="787" w:type="dxa"/>
            <w:vMerge/>
            <w:tcBorders>
              <w:left w:val="single" w:sz="4" w:space="0" w:color="000000"/>
              <w:bottom w:val="single" w:sz="4" w:space="0" w:color="000000"/>
              <w:right w:val="single" w:sz="4" w:space="0" w:color="000000"/>
            </w:tcBorders>
            <w:shd w:val="clear" w:color="auto" w:fill="D2D2D2"/>
          </w:tcPr>
          <w:p>
            <w:pPr/>
          </w:p>
        </w:tc>
        <w:tc>
          <w:tcPr>
            <w:tcW w:w="778"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single" w:sz="4" w:space="0" w:color="000000"/>
              <w:right w:val="single" w:sz="4" w:space="0" w:color="000000"/>
            </w:tcBorders>
            <w:shd w:val="clear" w:color="auto" w:fill="D2D2D2"/>
          </w:tcPr>
          <w:p>
            <w:pPr/>
          </w:p>
        </w:tc>
      </w:tr>
      <w:tr>
        <w:trPr>
          <w:trHeight w:val="715" w:hRule="exact"/>
        </w:trPr>
        <w:tc>
          <w:tcPr>
            <w:tcW w:w="16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11" w:right="144"/>
              <w:jc w:val="left"/>
              <w:rPr>
                <w:rFonts w:ascii="宋体" w:hAnsi="宋体" w:cs="宋体" w:eastAsia="宋体" w:hint="default"/>
                <w:sz w:val="18"/>
                <w:szCs w:val="18"/>
              </w:rPr>
            </w:pPr>
            <w:r>
              <w:rPr>
                <w:rFonts w:ascii="宋体" w:hAnsi="宋体" w:cs="宋体" w:eastAsia="宋体" w:hint="default"/>
                <w:spacing w:val="-2"/>
                <w:sz w:val="18"/>
                <w:szCs w:val="18"/>
              </w:rPr>
              <w:t>按单项计提坏账准</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备的应收账款</w:t>
            </w:r>
          </w:p>
        </w:tc>
        <w:tc>
          <w:tcPr>
            <w:tcW w:w="77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left="100" w:right="0"/>
              <w:jc w:val="left"/>
              <w:rPr>
                <w:rFonts w:ascii="Times New Roman" w:hAnsi="Times New Roman" w:cs="Times New Roman" w:eastAsia="Times New Roman" w:hint="default"/>
                <w:sz w:val="18"/>
                <w:szCs w:val="18"/>
              </w:rPr>
            </w:pPr>
            <w:r>
              <w:rPr>
                <w:rFonts w:ascii="Times New Roman"/>
                <w:sz w:val="18"/>
              </w:rPr>
              <w:t>4,149,99</w:t>
            </w:r>
          </w:p>
          <w:p>
            <w:pPr>
              <w:pStyle w:val="TableParagraph"/>
              <w:spacing w:line="240" w:lineRule="auto" w:before="110"/>
              <w:ind w:left="413" w:right="0"/>
              <w:jc w:val="left"/>
              <w:rPr>
                <w:rFonts w:ascii="Times New Roman" w:hAnsi="Times New Roman" w:cs="Times New Roman" w:eastAsia="Times New Roman" w:hint="default"/>
                <w:sz w:val="18"/>
                <w:szCs w:val="18"/>
              </w:rPr>
            </w:pPr>
            <w:r>
              <w:rPr>
                <w:rFonts w:ascii="Times New Roman"/>
                <w:sz w:val="18"/>
              </w:rPr>
              <w:t>1.86</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0.89%</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0" w:right="0"/>
              <w:jc w:val="left"/>
              <w:rPr>
                <w:rFonts w:ascii="Times New Roman" w:hAnsi="Times New Roman" w:cs="Times New Roman" w:eastAsia="Times New Roman" w:hint="default"/>
                <w:sz w:val="18"/>
                <w:szCs w:val="18"/>
              </w:rPr>
            </w:pPr>
            <w:r>
              <w:rPr>
                <w:rFonts w:ascii="Times New Roman"/>
                <w:sz w:val="18"/>
              </w:rPr>
              <w:t>4,149,99</w:t>
            </w:r>
          </w:p>
          <w:p>
            <w:pPr>
              <w:pStyle w:val="TableParagraph"/>
              <w:spacing w:line="240" w:lineRule="auto" w:before="110"/>
              <w:ind w:left="413" w:right="0"/>
              <w:jc w:val="left"/>
              <w:rPr>
                <w:rFonts w:ascii="Times New Roman" w:hAnsi="Times New Roman" w:cs="Times New Roman" w:eastAsia="Times New Roman" w:hint="default"/>
                <w:sz w:val="18"/>
                <w:szCs w:val="18"/>
              </w:rPr>
            </w:pPr>
            <w:r>
              <w:rPr>
                <w:rFonts w:ascii="Times New Roman"/>
                <w:sz w:val="18"/>
              </w:rPr>
              <w:t>1.86</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65" w:right="0"/>
              <w:jc w:val="center"/>
              <w:rPr>
                <w:rFonts w:ascii="Times New Roman" w:hAnsi="Times New Roman" w:cs="Times New Roman" w:eastAsia="Times New Roman" w:hint="default"/>
                <w:sz w:val="18"/>
                <w:szCs w:val="18"/>
              </w:rPr>
            </w:pPr>
            <w:r>
              <w:rPr>
                <w:rFonts w:ascii="Times New Roman"/>
                <w:sz w:val="18"/>
              </w:rPr>
              <w:t>100.00%</w:t>
            </w:r>
          </w:p>
        </w:tc>
        <w:tc>
          <w:tcPr>
            <w:tcW w:w="787"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6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 w:right="144"/>
              <w:jc w:val="left"/>
              <w:rPr>
                <w:rFonts w:ascii="宋体" w:hAnsi="宋体" w:cs="宋体" w:eastAsia="宋体" w:hint="default"/>
                <w:sz w:val="18"/>
                <w:szCs w:val="18"/>
              </w:rPr>
            </w:pPr>
            <w:r>
              <w:rPr>
                <w:rFonts w:ascii="宋体" w:hAnsi="宋体" w:cs="宋体" w:eastAsia="宋体" w:hint="default"/>
                <w:spacing w:val="-2"/>
                <w:sz w:val="18"/>
                <w:szCs w:val="18"/>
              </w:rPr>
              <w:t>按组合计提坏账准</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备的应收账款</w:t>
            </w:r>
          </w:p>
        </w:tc>
        <w:tc>
          <w:tcPr>
            <w:tcW w:w="77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left="78" w:right="0"/>
              <w:jc w:val="center"/>
              <w:rPr>
                <w:rFonts w:ascii="Times New Roman" w:hAnsi="Times New Roman" w:cs="Times New Roman" w:eastAsia="Times New Roman" w:hint="default"/>
                <w:sz w:val="18"/>
                <w:szCs w:val="18"/>
              </w:rPr>
            </w:pPr>
            <w:r>
              <w:rPr>
                <w:rFonts w:ascii="Times New Roman"/>
                <w:sz w:val="18"/>
              </w:rPr>
              <w:t>460,859,</w:t>
            </w:r>
          </w:p>
          <w:p>
            <w:pPr>
              <w:pStyle w:val="TableParagraph"/>
              <w:spacing w:line="240" w:lineRule="auto" w:before="105"/>
              <w:ind w:left="215" w:right="0"/>
              <w:jc w:val="center"/>
              <w:rPr>
                <w:rFonts w:ascii="Times New Roman" w:hAnsi="Times New Roman" w:cs="Times New Roman" w:eastAsia="Times New Roman" w:hint="default"/>
                <w:sz w:val="18"/>
                <w:szCs w:val="18"/>
              </w:rPr>
            </w:pPr>
            <w:r>
              <w:rPr>
                <w:rFonts w:ascii="Times New Roman"/>
                <w:sz w:val="18"/>
              </w:rPr>
              <w:t>523.36</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3"/>
                <w:sz w:val="18"/>
              </w:rPr>
              <w:t>99.11%</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0" w:right="0"/>
              <w:jc w:val="left"/>
              <w:rPr>
                <w:rFonts w:ascii="Times New Roman" w:hAnsi="Times New Roman" w:cs="Times New Roman" w:eastAsia="Times New Roman" w:hint="default"/>
                <w:sz w:val="18"/>
                <w:szCs w:val="18"/>
              </w:rPr>
            </w:pPr>
            <w:r>
              <w:rPr>
                <w:rFonts w:ascii="Times New Roman"/>
                <w:sz w:val="18"/>
              </w:rPr>
              <w:t>54,663,8</w:t>
            </w:r>
          </w:p>
          <w:p>
            <w:pPr>
              <w:pStyle w:val="TableParagraph"/>
              <w:spacing w:line="240" w:lineRule="auto" w:before="105"/>
              <w:ind w:left="326" w:right="0"/>
              <w:jc w:val="left"/>
              <w:rPr>
                <w:rFonts w:ascii="Times New Roman" w:hAnsi="Times New Roman" w:cs="Times New Roman" w:eastAsia="Times New Roman" w:hint="default"/>
                <w:sz w:val="18"/>
                <w:szCs w:val="18"/>
              </w:rPr>
            </w:pPr>
            <w:r>
              <w:rPr>
                <w:rFonts w:ascii="Times New Roman"/>
                <w:sz w:val="18"/>
              </w:rPr>
              <w:t>16.90</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61" w:right="0"/>
              <w:jc w:val="center"/>
              <w:rPr>
                <w:rFonts w:ascii="Times New Roman" w:hAnsi="Times New Roman" w:cs="Times New Roman" w:eastAsia="Times New Roman" w:hint="default"/>
                <w:sz w:val="18"/>
                <w:szCs w:val="18"/>
              </w:rPr>
            </w:pPr>
            <w:r>
              <w:rPr>
                <w:rFonts w:ascii="Times New Roman"/>
                <w:spacing w:val="-3"/>
                <w:sz w:val="18"/>
              </w:rPr>
              <w:t>11.86%</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8" w:right="0"/>
              <w:jc w:val="left"/>
              <w:rPr>
                <w:rFonts w:ascii="Times New Roman" w:hAnsi="Times New Roman" w:cs="Times New Roman" w:eastAsia="Times New Roman" w:hint="default"/>
                <w:sz w:val="18"/>
                <w:szCs w:val="18"/>
              </w:rPr>
            </w:pPr>
            <w:r>
              <w:rPr>
                <w:rFonts w:ascii="Times New Roman"/>
                <w:sz w:val="18"/>
              </w:rPr>
              <w:t>406,195,7</w:t>
            </w:r>
          </w:p>
          <w:p>
            <w:pPr>
              <w:pStyle w:val="TableParagraph"/>
              <w:spacing w:line="240" w:lineRule="auto" w:before="105"/>
              <w:ind w:left="355" w:right="0"/>
              <w:jc w:val="left"/>
              <w:rPr>
                <w:rFonts w:ascii="Times New Roman" w:hAnsi="Times New Roman" w:cs="Times New Roman" w:eastAsia="Times New Roman" w:hint="default"/>
                <w:sz w:val="18"/>
                <w:szCs w:val="18"/>
              </w:rPr>
            </w:pPr>
            <w:r>
              <w:rPr>
                <w:rFonts w:ascii="Times New Roman"/>
                <w:sz w:val="18"/>
              </w:rPr>
              <w:t>06.46</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425,532,7</w:t>
            </w:r>
          </w:p>
          <w:p>
            <w:pPr>
              <w:pStyle w:val="TableParagraph"/>
              <w:spacing w:line="240" w:lineRule="auto" w:before="105"/>
              <w:ind w:left="341" w:right="0"/>
              <w:jc w:val="left"/>
              <w:rPr>
                <w:rFonts w:ascii="Times New Roman" w:hAnsi="Times New Roman" w:cs="Times New Roman" w:eastAsia="Times New Roman" w:hint="default"/>
                <w:sz w:val="18"/>
                <w:szCs w:val="18"/>
              </w:rPr>
            </w:pPr>
            <w:r>
              <w:rPr>
                <w:rFonts w:ascii="Times New Roman"/>
                <w:sz w:val="18"/>
              </w:rPr>
              <w:t>03.64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20" w:right="0"/>
              <w:jc w:val="left"/>
              <w:rPr>
                <w:rFonts w:ascii="Times New Roman" w:hAnsi="Times New Roman" w:cs="Times New Roman" w:eastAsia="Times New Roman" w:hint="default"/>
                <w:sz w:val="18"/>
                <w:szCs w:val="18"/>
              </w:rPr>
            </w:pPr>
            <w:r>
              <w:rPr>
                <w:rFonts w:ascii="Times New Roman"/>
                <w:sz w:val="18"/>
              </w:rPr>
              <w:t>100.00%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8" w:right="0"/>
              <w:jc w:val="left"/>
              <w:rPr>
                <w:rFonts w:ascii="Times New Roman" w:hAnsi="Times New Roman" w:cs="Times New Roman" w:eastAsia="Times New Roman" w:hint="default"/>
                <w:sz w:val="18"/>
                <w:szCs w:val="18"/>
              </w:rPr>
            </w:pPr>
            <w:r>
              <w:rPr>
                <w:rFonts w:ascii="Times New Roman"/>
                <w:sz w:val="18"/>
              </w:rPr>
              <w:t>43,249,39</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3.33</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01" w:right="0"/>
              <w:jc w:val="left"/>
              <w:rPr>
                <w:rFonts w:ascii="Times New Roman" w:hAnsi="Times New Roman" w:cs="Times New Roman" w:eastAsia="Times New Roman" w:hint="default"/>
                <w:sz w:val="18"/>
                <w:szCs w:val="18"/>
              </w:rPr>
            </w:pPr>
            <w:r>
              <w:rPr>
                <w:rFonts w:ascii="Times New Roman"/>
                <w:sz w:val="18"/>
              </w:rPr>
              <w:t>10.16%</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91" w:right="0"/>
              <w:jc w:val="left"/>
              <w:rPr>
                <w:rFonts w:ascii="Times New Roman" w:hAnsi="Times New Roman" w:cs="Times New Roman" w:eastAsia="Times New Roman" w:hint="default"/>
                <w:sz w:val="18"/>
                <w:szCs w:val="18"/>
              </w:rPr>
            </w:pPr>
            <w:r>
              <w:rPr>
                <w:rFonts w:ascii="Times New Roman"/>
                <w:sz w:val="18"/>
              </w:rPr>
              <w:t>382,283,31</w:t>
            </w:r>
          </w:p>
          <w:p>
            <w:pPr>
              <w:pStyle w:val="TableParagraph"/>
              <w:spacing w:line="240" w:lineRule="auto" w:before="105"/>
              <w:ind w:left="585" w:right="0"/>
              <w:jc w:val="left"/>
              <w:rPr>
                <w:rFonts w:ascii="Times New Roman" w:hAnsi="Times New Roman" w:cs="Times New Roman" w:eastAsia="Times New Roman" w:hint="default"/>
                <w:sz w:val="18"/>
                <w:szCs w:val="18"/>
              </w:rPr>
            </w:pPr>
            <w:r>
              <w:rPr>
                <w:rFonts w:ascii="Times New Roman"/>
                <w:sz w:val="18"/>
              </w:rPr>
              <w:t>0.31</w:t>
            </w:r>
          </w:p>
        </w:tc>
      </w:tr>
      <w:tr>
        <w:trPr>
          <w:trHeight w:val="158" w:hRule="exact"/>
        </w:trPr>
        <w:tc>
          <w:tcPr>
            <w:tcW w:w="1613" w:type="dxa"/>
            <w:tcBorders>
              <w:top w:val="single" w:sz="4" w:space="0" w:color="000000"/>
              <w:left w:val="single" w:sz="4" w:space="0" w:color="000000"/>
              <w:bottom w:val="nil" w:sz="6" w:space="0" w:color="auto"/>
              <w:right w:val="single" w:sz="4" w:space="0" w:color="000000"/>
            </w:tcBorders>
            <w:shd w:val="clear" w:color="auto" w:fill="D2D2D2"/>
          </w:tcPr>
          <w:p>
            <w:pPr/>
          </w:p>
        </w:tc>
        <w:tc>
          <w:tcPr>
            <w:tcW w:w="776" w:type="dxa"/>
            <w:vMerge w:val="restart"/>
            <w:tcBorders>
              <w:top w:val="single" w:sz="4" w:space="0" w:color="000000"/>
              <w:left w:val="single" w:sz="13" w:space="0" w:color="D2D2D2"/>
              <w:right w:val="single" w:sz="4" w:space="0" w:color="000000"/>
            </w:tcBorders>
          </w:tcPr>
          <w:p>
            <w:pPr>
              <w:pStyle w:val="TableParagraph"/>
              <w:spacing w:line="240" w:lineRule="auto" w:before="96"/>
              <w:ind w:left="78" w:right="0"/>
              <w:jc w:val="center"/>
              <w:rPr>
                <w:rFonts w:ascii="Times New Roman" w:hAnsi="Times New Roman" w:cs="Times New Roman" w:eastAsia="Times New Roman" w:hint="default"/>
                <w:sz w:val="18"/>
                <w:szCs w:val="18"/>
              </w:rPr>
            </w:pPr>
            <w:r>
              <w:rPr>
                <w:rFonts w:ascii="Times New Roman"/>
                <w:sz w:val="18"/>
              </w:rPr>
              <w:t>465,009,</w:t>
            </w:r>
          </w:p>
          <w:p>
            <w:pPr>
              <w:pStyle w:val="TableParagraph"/>
              <w:spacing w:line="240" w:lineRule="auto" w:before="105"/>
              <w:ind w:left="215" w:right="0"/>
              <w:jc w:val="center"/>
              <w:rPr>
                <w:rFonts w:ascii="Times New Roman" w:hAnsi="Times New Roman" w:cs="Times New Roman" w:eastAsia="Times New Roman" w:hint="default"/>
                <w:sz w:val="18"/>
                <w:szCs w:val="18"/>
              </w:rPr>
            </w:pPr>
            <w:r>
              <w:rPr>
                <w:rFonts w:ascii="Times New Roman"/>
                <w:sz w:val="18"/>
              </w:rPr>
              <w:t>515.22</w:t>
            </w:r>
          </w:p>
        </w:tc>
        <w:tc>
          <w:tcPr>
            <w:tcW w:w="758"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100.00%</w:t>
            </w:r>
          </w:p>
        </w:tc>
        <w:tc>
          <w:tcPr>
            <w:tcW w:w="764" w:type="dxa"/>
            <w:vMerge w:val="restart"/>
            <w:tcBorders>
              <w:top w:val="single" w:sz="4" w:space="0" w:color="000000"/>
              <w:left w:val="single" w:sz="4" w:space="0" w:color="000000"/>
              <w:right w:val="single" w:sz="4" w:space="0" w:color="000000"/>
            </w:tcBorders>
          </w:tcPr>
          <w:p>
            <w:pPr>
              <w:pStyle w:val="TableParagraph"/>
              <w:spacing w:line="240" w:lineRule="auto" w:before="96"/>
              <w:ind w:left="100" w:right="0"/>
              <w:jc w:val="left"/>
              <w:rPr>
                <w:rFonts w:ascii="Times New Roman" w:hAnsi="Times New Roman" w:cs="Times New Roman" w:eastAsia="Times New Roman" w:hint="default"/>
                <w:sz w:val="18"/>
                <w:szCs w:val="18"/>
              </w:rPr>
            </w:pPr>
            <w:r>
              <w:rPr>
                <w:rFonts w:ascii="Times New Roman"/>
                <w:sz w:val="18"/>
              </w:rPr>
              <w:t>58,813,8</w:t>
            </w:r>
          </w:p>
          <w:p>
            <w:pPr>
              <w:pStyle w:val="TableParagraph"/>
              <w:spacing w:line="240" w:lineRule="auto" w:before="105"/>
              <w:ind w:left="326" w:right="0"/>
              <w:jc w:val="left"/>
              <w:rPr>
                <w:rFonts w:ascii="Times New Roman" w:hAnsi="Times New Roman" w:cs="Times New Roman" w:eastAsia="Times New Roman" w:hint="default"/>
                <w:sz w:val="18"/>
                <w:szCs w:val="18"/>
              </w:rPr>
            </w:pPr>
            <w:r>
              <w:rPr>
                <w:rFonts w:ascii="Times New Roman"/>
                <w:sz w:val="18"/>
              </w:rPr>
              <w:t>08.76</w:t>
            </w:r>
          </w:p>
        </w:tc>
        <w:tc>
          <w:tcPr>
            <w:tcW w:w="764"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72" w:right="0"/>
              <w:jc w:val="left"/>
              <w:rPr>
                <w:rFonts w:ascii="Times New Roman" w:hAnsi="Times New Roman" w:cs="Times New Roman" w:eastAsia="Times New Roman" w:hint="default"/>
                <w:sz w:val="18"/>
                <w:szCs w:val="18"/>
              </w:rPr>
            </w:pPr>
            <w:r>
              <w:rPr>
                <w:rFonts w:ascii="Times New Roman"/>
                <w:sz w:val="18"/>
              </w:rPr>
              <w:t>12.65%</w:t>
            </w:r>
          </w:p>
        </w:tc>
        <w:tc>
          <w:tcPr>
            <w:tcW w:w="787" w:type="dxa"/>
            <w:vMerge w:val="restart"/>
            <w:tcBorders>
              <w:top w:val="single" w:sz="4" w:space="0" w:color="000000"/>
              <w:left w:val="single" w:sz="4" w:space="0" w:color="000000"/>
              <w:right w:val="single" w:sz="4" w:space="0" w:color="000000"/>
            </w:tcBorders>
          </w:tcPr>
          <w:p>
            <w:pPr>
              <w:pStyle w:val="TableParagraph"/>
              <w:spacing w:line="240" w:lineRule="auto" w:before="96"/>
              <w:ind w:left="38" w:right="0"/>
              <w:jc w:val="left"/>
              <w:rPr>
                <w:rFonts w:ascii="Times New Roman" w:hAnsi="Times New Roman" w:cs="Times New Roman" w:eastAsia="Times New Roman" w:hint="default"/>
                <w:sz w:val="18"/>
                <w:szCs w:val="18"/>
              </w:rPr>
            </w:pPr>
            <w:r>
              <w:rPr>
                <w:rFonts w:ascii="Times New Roman"/>
                <w:sz w:val="18"/>
              </w:rPr>
              <w:t>406,195,7</w:t>
            </w:r>
          </w:p>
          <w:p>
            <w:pPr>
              <w:pStyle w:val="TableParagraph"/>
              <w:spacing w:line="240" w:lineRule="auto" w:before="105"/>
              <w:ind w:left="355" w:right="0"/>
              <w:jc w:val="left"/>
              <w:rPr>
                <w:rFonts w:ascii="Times New Roman" w:hAnsi="Times New Roman" w:cs="Times New Roman" w:eastAsia="Times New Roman" w:hint="default"/>
                <w:sz w:val="18"/>
                <w:szCs w:val="18"/>
              </w:rPr>
            </w:pPr>
            <w:r>
              <w:rPr>
                <w:rFonts w:ascii="Times New Roman"/>
                <w:sz w:val="18"/>
              </w:rPr>
              <w:t>06.46</w:t>
            </w:r>
          </w:p>
        </w:tc>
        <w:tc>
          <w:tcPr>
            <w:tcW w:w="778" w:type="dxa"/>
            <w:vMerge w:val="restart"/>
            <w:tcBorders>
              <w:top w:val="single" w:sz="4" w:space="0" w:color="000000"/>
              <w:left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425,532,7</w:t>
            </w:r>
          </w:p>
          <w:p>
            <w:pPr>
              <w:pStyle w:val="TableParagraph"/>
              <w:spacing w:line="240" w:lineRule="auto" w:before="105"/>
              <w:ind w:left="341" w:right="0"/>
              <w:jc w:val="left"/>
              <w:rPr>
                <w:rFonts w:ascii="Times New Roman" w:hAnsi="Times New Roman" w:cs="Times New Roman" w:eastAsia="Times New Roman" w:hint="default"/>
                <w:sz w:val="18"/>
                <w:szCs w:val="18"/>
              </w:rPr>
            </w:pPr>
            <w:r>
              <w:rPr>
                <w:rFonts w:ascii="Times New Roman"/>
                <w:sz w:val="18"/>
              </w:rPr>
              <w:t>03.64</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20" w:right="0"/>
              <w:jc w:val="left"/>
              <w:rPr>
                <w:rFonts w:ascii="Times New Roman" w:hAnsi="Times New Roman" w:cs="Times New Roman" w:eastAsia="Times New Roman" w:hint="default"/>
                <w:sz w:val="18"/>
                <w:szCs w:val="18"/>
              </w:rPr>
            </w:pPr>
            <w:r>
              <w:rPr>
                <w:rFonts w:ascii="Times New Roman"/>
                <w:sz w:val="18"/>
              </w:rPr>
              <w:t>100.00%</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6"/>
              <w:ind w:left="48" w:right="0"/>
              <w:jc w:val="left"/>
              <w:rPr>
                <w:rFonts w:ascii="Times New Roman" w:hAnsi="Times New Roman" w:cs="Times New Roman" w:eastAsia="Times New Roman" w:hint="default"/>
                <w:sz w:val="18"/>
                <w:szCs w:val="18"/>
              </w:rPr>
            </w:pPr>
            <w:r>
              <w:rPr>
                <w:rFonts w:ascii="Times New Roman"/>
                <w:sz w:val="18"/>
              </w:rPr>
              <w:t>43,249,39</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3.33</w:t>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01" w:right="0"/>
              <w:jc w:val="left"/>
              <w:rPr>
                <w:rFonts w:ascii="Times New Roman" w:hAnsi="Times New Roman" w:cs="Times New Roman" w:eastAsia="Times New Roman" w:hint="default"/>
                <w:sz w:val="18"/>
                <w:szCs w:val="18"/>
              </w:rPr>
            </w:pPr>
            <w:r>
              <w:rPr>
                <w:rFonts w:ascii="Times New Roman"/>
                <w:sz w:val="18"/>
              </w:rPr>
              <w:t>10.16%</w:t>
            </w:r>
          </w:p>
        </w:tc>
        <w:tc>
          <w:tcPr>
            <w:tcW w:w="931" w:type="dxa"/>
            <w:vMerge w:val="restart"/>
            <w:tcBorders>
              <w:top w:val="single" w:sz="4" w:space="0" w:color="000000"/>
              <w:left w:val="single" w:sz="4" w:space="0" w:color="000000"/>
              <w:right w:val="single" w:sz="4" w:space="0" w:color="000000"/>
            </w:tcBorders>
          </w:tcPr>
          <w:p>
            <w:pPr>
              <w:pStyle w:val="TableParagraph"/>
              <w:spacing w:line="240" w:lineRule="auto" w:before="96"/>
              <w:ind w:left="91" w:right="0"/>
              <w:jc w:val="left"/>
              <w:rPr>
                <w:rFonts w:ascii="Times New Roman" w:hAnsi="Times New Roman" w:cs="Times New Roman" w:eastAsia="Times New Roman" w:hint="default"/>
                <w:sz w:val="18"/>
                <w:szCs w:val="18"/>
              </w:rPr>
            </w:pPr>
            <w:r>
              <w:rPr>
                <w:rFonts w:ascii="Times New Roman"/>
                <w:sz w:val="18"/>
              </w:rPr>
              <w:t>382,283,31</w:t>
            </w:r>
          </w:p>
          <w:p>
            <w:pPr>
              <w:pStyle w:val="TableParagraph"/>
              <w:spacing w:line="240" w:lineRule="auto" w:before="105"/>
              <w:ind w:left="585" w:right="0"/>
              <w:jc w:val="left"/>
              <w:rPr>
                <w:rFonts w:ascii="Times New Roman" w:hAnsi="Times New Roman" w:cs="Times New Roman" w:eastAsia="Times New Roman" w:hint="default"/>
                <w:sz w:val="18"/>
                <w:szCs w:val="18"/>
              </w:rPr>
            </w:pPr>
            <w:r>
              <w:rPr>
                <w:rFonts w:ascii="Times New Roman"/>
                <w:sz w:val="18"/>
              </w:rPr>
              <w:t>0.31</w:t>
            </w:r>
          </w:p>
        </w:tc>
      </w:tr>
      <w:tr>
        <w:trPr>
          <w:trHeight w:val="394" w:hRule="exact"/>
        </w:trPr>
        <w:tc>
          <w:tcPr>
            <w:tcW w:w="161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6" w:type="dxa"/>
            <w:vMerge/>
            <w:tcBorders>
              <w:left w:val="single" w:sz="13" w:space="0" w:color="D2D2D2"/>
              <w:right w:val="single" w:sz="4" w:space="0" w:color="000000"/>
            </w:tcBorders>
          </w:tcPr>
          <w:p>
            <w:pPr/>
          </w:p>
        </w:tc>
        <w:tc>
          <w:tcPr>
            <w:tcW w:w="758" w:type="dxa"/>
            <w:vMerge/>
            <w:tcBorders>
              <w:left w:val="single" w:sz="4" w:space="0" w:color="000000"/>
              <w:right w:val="single" w:sz="4" w:space="0" w:color="000000"/>
            </w:tcBorders>
          </w:tcPr>
          <w:p>
            <w:pPr/>
          </w:p>
        </w:tc>
        <w:tc>
          <w:tcPr>
            <w:tcW w:w="764" w:type="dxa"/>
            <w:vMerge/>
            <w:tcBorders>
              <w:left w:val="single" w:sz="4" w:space="0" w:color="000000"/>
              <w:right w:val="single" w:sz="4" w:space="0" w:color="000000"/>
            </w:tcBorders>
          </w:tcPr>
          <w:p>
            <w:pPr/>
          </w:p>
        </w:tc>
        <w:tc>
          <w:tcPr>
            <w:tcW w:w="764" w:type="dxa"/>
            <w:vMerge/>
            <w:tcBorders>
              <w:left w:val="single" w:sz="4" w:space="0" w:color="000000"/>
              <w:right w:val="single" w:sz="4" w:space="0" w:color="000000"/>
            </w:tcBorders>
          </w:tcPr>
          <w:p>
            <w:pPr/>
          </w:p>
        </w:tc>
        <w:tc>
          <w:tcPr>
            <w:tcW w:w="787"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c>
          <w:tcPr>
            <w:tcW w:w="931" w:type="dxa"/>
            <w:vMerge/>
            <w:tcBorders>
              <w:left w:val="single" w:sz="4" w:space="0" w:color="000000"/>
              <w:right w:val="single" w:sz="4" w:space="0" w:color="000000"/>
            </w:tcBorders>
          </w:tcPr>
          <w:p>
            <w:pPr/>
          </w:p>
        </w:tc>
      </w:tr>
      <w:tr>
        <w:trPr>
          <w:trHeight w:val="158" w:hRule="exact"/>
        </w:trPr>
        <w:tc>
          <w:tcPr>
            <w:tcW w:w="1613" w:type="dxa"/>
            <w:tcBorders>
              <w:top w:val="nil" w:sz="6" w:space="0" w:color="auto"/>
              <w:left w:val="single" w:sz="4" w:space="0" w:color="000000"/>
              <w:bottom w:val="single" w:sz="4" w:space="0" w:color="000000"/>
              <w:right w:val="single" w:sz="4" w:space="0" w:color="000000"/>
            </w:tcBorders>
            <w:shd w:val="clear" w:color="auto" w:fill="D2D2D2"/>
          </w:tcPr>
          <w:p>
            <w:pPr/>
          </w:p>
        </w:tc>
        <w:tc>
          <w:tcPr>
            <w:tcW w:w="776" w:type="dxa"/>
            <w:vMerge/>
            <w:tcBorders>
              <w:left w:val="single" w:sz="13" w:space="0" w:color="D2D2D2"/>
              <w:bottom w:val="single" w:sz="4" w:space="0" w:color="000000"/>
              <w:right w:val="single" w:sz="4" w:space="0" w:color="000000"/>
            </w:tcBorders>
          </w:tcPr>
          <w:p>
            <w:pPr/>
          </w:p>
        </w:tc>
        <w:tc>
          <w:tcPr>
            <w:tcW w:w="758" w:type="dxa"/>
            <w:vMerge/>
            <w:tcBorders>
              <w:left w:val="single" w:sz="4" w:space="0" w:color="000000"/>
              <w:bottom w:val="single" w:sz="4" w:space="0" w:color="000000"/>
              <w:right w:val="single" w:sz="4" w:space="0" w:color="000000"/>
            </w:tcBorders>
          </w:tcPr>
          <w:p>
            <w:pPr/>
          </w:p>
        </w:tc>
        <w:tc>
          <w:tcPr>
            <w:tcW w:w="764" w:type="dxa"/>
            <w:vMerge/>
            <w:tcBorders>
              <w:left w:val="single" w:sz="4" w:space="0" w:color="000000"/>
              <w:bottom w:val="single" w:sz="4" w:space="0" w:color="000000"/>
              <w:right w:val="single" w:sz="4" w:space="0" w:color="000000"/>
            </w:tcBorders>
          </w:tcPr>
          <w:p>
            <w:pPr/>
          </w:p>
        </w:tc>
        <w:tc>
          <w:tcPr>
            <w:tcW w:w="764" w:type="dxa"/>
            <w:vMerge/>
            <w:tcBorders>
              <w:left w:val="single" w:sz="4" w:space="0" w:color="000000"/>
              <w:bottom w:val="single" w:sz="4" w:space="0" w:color="000000"/>
              <w:right w:val="single" w:sz="4" w:space="0" w:color="000000"/>
            </w:tcBorders>
          </w:tcPr>
          <w:p>
            <w:pPr/>
          </w:p>
        </w:tc>
        <w:tc>
          <w:tcPr>
            <w:tcW w:w="787" w:type="dxa"/>
            <w:vMerge/>
            <w:tcBorders>
              <w:left w:val="single" w:sz="4" w:space="0" w:color="000000"/>
              <w:bottom w:val="single" w:sz="4" w:space="0" w:color="000000"/>
              <w:right w:val="single" w:sz="4" w:space="0" w:color="000000"/>
            </w:tcBorders>
          </w:tcPr>
          <w:p>
            <w:pPr/>
          </w:p>
        </w:tc>
        <w:tc>
          <w:tcPr>
            <w:tcW w:w="77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c>
          <w:tcPr>
            <w:tcW w:w="931" w:type="dxa"/>
            <w:vMerge/>
            <w:tcBorders>
              <w:left w:val="single" w:sz="4" w:space="0" w:color="000000"/>
              <w:bottom w:val="single" w:sz="4" w:space="0" w:color="000000"/>
              <w:right w:val="single" w:sz="4" w:space="0" w:color="000000"/>
            </w:tcBorders>
          </w:tcPr>
          <w:p>
            <w:pPr/>
          </w:p>
        </w:tc>
      </w:tr>
    </w:tbl>
    <w:p>
      <w:pPr>
        <w:pStyle w:val="BodyText"/>
        <w:spacing w:line="240" w:lineRule="auto" w:before="53"/>
        <w:ind w:right="0"/>
        <w:jc w:val="left"/>
        <w:rPr>
          <w:rFonts w:ascii="Times New Roman" w:hAnsi="Times New Roman" w:cs="Times New Roman" w:eastAsia="Times New Roman" w:hint="default"/>
        </w:rPr>
      </w:pPr>
      <w:r>
        <w:rPr/>
        <w:t>按单项计提坏账准备：</w:t>
      </w:r>
      <w:r>
        <w:rPr>
          <w:rFonts w:ascii="Times New Roman" w:hAnsi="Times New Roman" w:cs="Times New Roman" w:eastAsia="Times New Roman" w:hint="default"/>
        </w:rPr>
        <w:t>4,149,991.86</w:t>
      </w:r>
    </w:p>
    <w:p>
      <w:pPr>
        <w:pStyle w:val="BodyText"/>
        <w:spacing w:line="240" w:lineRule="auto" w:before="106"/>
        <w:ind w:left="0" w:right="1122"/>
        <w:jc w:val="right"/>
      </w:pPr>
      <w:r>
        <w:rPr/>
        <w:t>单位：</w:t>
      </w:r>
      <w:r>
        <w:rPr>
          <w:spacing w:val="5"/>
        </w:rPr>
        <w:t> </w:t>
      </w:r>
      <w:r>
        <w:rPr/>
        <w:t>元</w:t>
      </w:r>
    </w:p>
    <w:p>
      <w:pPr>
        <w:spacing w:line="240" w:lineRule="auto" w:before="10"/>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16"/>
        <w:gridCol w:w="1916"/>
        <w:gridCol w:w="1911"/>
        <w:gridCol w:w="1916"/>
        <w:gridCol w:w="1916"/>
      </w:tblGrid>
      <w:tr>
        <w:trPr>
          <w:trHeight w:val="401" w:hRule="exact"/>
        </w:trPr>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765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916"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计提理由</w:t>
            </w:r>
          </w:p>
        </w:tc>
      </w:tr>
      <w:tr>
        <w:trPr>
          <w:trHeight w:val="715"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75"/>
              <w:jc w:val="left"/>
              <w:rPr>
                <w:rFonts w:ascii="宋体" w:hAnsi="宋体" w:cs="宋体" w:eastAsia="宋体" w:hint="default"/>
                <w:sz w:val="18"/>
                <w:szCs w:val="18"/>
              </w:rPr>
            </w:pPr>
            <w:r>
              <w:rPr>
                <w:rFonts w:ascii="宋体" w:hAnsi="宋体" w:cs="宋体" w:eastAsia="宋体" w:hint="default"/>
                <w:spacing w:val="-2"/>
                <w:sz w:val="18"/>
                <w:szCs w:val="18"/>
              </w:rPr>
              <w:t>北京东方车云信息技术</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3,366,626.00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3,366,626.00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2"/>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公司濒临破产</w:t>
            </w:r>
          </w:p>
        </w:tc>
      </w:tr>
      <w:tr>
        <w:trPr>
          <w:trHeight w:val="71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75"/>
              <w:jc w:val="left"/>
              <w:rPr>
                <w:rFonts w:ascii="宋体" w:hAnsi="宋体" w:cs="宋体" w:eastAsia="宋体" w:hint="default"/>
                <w:sz w:val="18"/>
                <w:szCs w:val="18"/>
              </w:rPr>
            </w:pPr>
            <w:r>
              <w:rPr>
                <w:rFonts w:ascii="宋体" w:hAnsi="宋体" w:cs="宋体" w:eastAsia="宋体" w:hint="default"/>
                <w:spacing w:val="-2"/>
                <w:sz w:val="18"/>
                <w:szCs w:val="18"/>
              </w:rPr>
              <w:t>深圳市分众信息咨询有</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783,365.86</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783,365.86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2"/>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无可执行财产</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4,149,991.86</w:t>
            </w:r>
          </w:p>
        </w:tc>
        <w:tc>
          <w:tcPr>
            <w:tcW w:w="1911"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pacing w:val="-1"/>
                <w:sz w:val="18"/>
              </w:rPr>
              <w:t>4,149,991.86</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0"/>
              <w:ind w:right="3"/>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0"/>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bl>
    <w:p>
      <w:pPr>
        <w:pStyle w:val="BodyText"/>
        <w:spacing w:line="240" w:lineRule="auto" w:before="53"/>
        <w:ind w:right="0"/>
        <w:jc w:val="left"/>
        <w:rPr>
          <w:rFonts w:ascii="Times New Roman" w:hAnsi="Times New Roman" w:cs="Times New Roman" w:eastAsia="Times New Roman" w:hint="default"/>
        </w:rPr>
      </w:pPr>
      <w:r>
        <w:rPr/>
        <w:t>按组合计提坏账准备：</w:t>
      </w:r>
      <w:r>
        <w:rPr>
          <w:rFonts w:ascii="Times New Roman" w:hAnsi="Times New Roman" w:cs="Times New Roman" w:eastAsia="Times New Roman" w:hint="default"/>
        </w:rPr>
        <w:t>54,663,816.90</w:t>
      </w:r>
    </w:p>
    <w:p>
      <w:pPr>
        <w:pStyle w:val="BodyText"/>
        <w:spacing w:line="240" w:lineRule="auto" w:before="10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391"/>
        <w:gridCol w:w="2396"/>
        <w:gridCol w:w="2391"/>
        <w:gridCol w:w="2391"/>
      </w:tblGrid>
      <w:tr>
        <w:trPr>
          <w:trHeight w:val="404" w:hRule="exact"/>
        </w:trPr>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717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2391" w:type="dxa"/>
            <w:vMerge/>
            <w:tcBorders>
              <w:left w:val="single" w:sz="4" w:space="0" w:color="000000"/>
              <w:bottom w:val="single" w:sz="4" w:space="0" w:color="000000"/>
              <w:right w:val="single" w:sz="4" w:space="0" w:color="000000"/>
            </w:tcBorders>
            <w:shd w:val="clear" w:color="auto" w:fill="D2D2D2"/>
          </w:tcPr>
          <w:p>
            <w:pP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715"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3"/>
              <w:ind w:left="24" w:right="56"/>
              <w:jc w:val="left"/>
              <w:rPr>
                <w:rFonts w:ascii="宋体" w:hAnsi="宋体" w:cs="宋体" w:eastAsia="宋体" w:hint="default"/>
                <w:sz w:val="18"/>
                <w:szCs w:val="18"/>
              </w:rPr>
            </w:pPr>
            <w:r>
              <w:rPr>
                <w:rFonts w:ascii="宋体" w:hAnsi="宋体" w:cs="宋体" w:eastAsia="宋体" w:hint="default"/>
                <w:sz w:val="18"/>
                <w:szCs w:val="18"/>
              </w:rPr>
              <w:t>组合</w:t>
            </w:r>
            <w:r>
              <w:rPr>
                <w:rFonts w:ascii="宋体" w:hAnsi="宋体" w:cs="宋体" w:eastAsia="宋体" w:hint="default"/>
                <w:spacing w:val="-18"/>
                <w:sz w:val="18"/>
                <w:szCs w:val="18"/>
              </w:rPr>
              <w:t> </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：金融信息化业务类款</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项</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210,755,828.00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29,753,822.76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14.12%</w:t>
            </w:r>
          </w:p>
        </w:tc>
      </w:tr>
      <w:tr>
        <w:trPr>
          <w:trHeight w:val="711"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3"/>
              <w:ind w:left="24" w:right="56"/>
              <w:jc w:val="left"/>
              <w:rPr>
                <w:rFonts w:ascii="宋体" w:hAnsi="宋体" w:cs="宋体" w:eastAsia="宋体" w:hint="default"/>
                <w:sz w:val="18"/>
                <w:szCs w:val="18"/>
              </w:rPr>
            </w:pPr>
            <w:r>
              <w:rPr>
                <w:rFonts w:ascii="宋体" w:hAnsi="宋体" w:cs="宋体" w:eastAsia="宋体" w:hint="default"/>
                <w:sz w:val="18"/>
                <w:szCs w:val="18"/>
              </w:rPr>
              <w:t>组合</w:t>
            </w:r>
            <w:r>
              <w:rPr>
                <w:rFonts w:ascii="宋体" w:hAnsi="宋体" w:cs="宋体" w:eastAsia="宋体" w:hint="default"/>
                <w:spacing w:val="-18"/>
                <w:sz w:val="18"/>
                <w:szCs w:val="18"/>
              </w:rPr>
              <w:t> </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：移动信息服务业务款</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项</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2"/>
                <w:sz w:val="18"/>
              </w:rPr>
              <w:t>234,118,554.72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24,223,325.28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3"/>
                <w:sz w:val="18"/>
              </w:rPr>
              <w:t>11.35%</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组合</w:t>
            </w:r>
            <w:r>
              <w:rPr>
                <w:rFonts w:ascii="宋体" w:hAnsi="宋体" w:cs="宋体" w:eastAsia="宋体" w:hint="default"/>
                <w:spacing w:val="-9"/>
                <w:sz w:val="18"/>
                <w:szCs w:val="18"/>
              </w:rPr>
              <w:t> </w:t>
            </w: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：电子商务业务类款项</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15,985,140.64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686,668.86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4.30%</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460,859,523.36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54,663,816.90</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bl>
    <w:p>
      <w:pPr>
        <w:pStyle w:val="BodyText"/>
        <w:spacing w:line="240" w:lineRule="auto" w:before="53"/>
        <w:ind w:right="0"/>
        <w:jc w:val="left"/>
      </w:pPr>
      <w:r>
        <w:rPr>
          <w:spacing w:val="-3"/>
        </w:rPr>
        <w:t>如是按照预期信用损失一般模型计提应收账款坏账准备，请参照其他应收款的披露方式披露坏账准备的相关信息：</w:t>
      </w:r>
    </w:p>
    <w:p>
      <w:pPr>
        <w:pStyle w:val="BodyText"/>
        <w:spacing w:line="338" w:lineRule="auto" w:before="120"/>
        <w:ind w:right="8838"/>
        <w:jc w:val="left"/>
      </w:pPr>
      <w:r>
        <w:rPr>
          <w:rFonts w:ascii="Times New Roman" w:hAnsi="Times New Roman" w:cs="Times New Roman" w:eastAsia="Times New Roman" w:hint="default"/>
        </w:rPr>
        <w:t>□ </w:t>
      </w:r>
      <w:r>
        <w:rPr/>
        <w:t>适用</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w:t>
      </w:r>
      <w:r>
        <w:rPr>
          <w:w w:val="101"/>
        </w:rPr>
        <w:t> </w:t>
      </w:r>
      <w:r>
        <w:rPr/>
        <w:t>按账龄披露</w:t>
      </w:r>
    </w:p>
    <w:p>
      <w:pPr>
        <w:pStyle w:val="BodyText"/>
        <w:spacing w:line="240" w:lineRule="auto" w:before="41"/>
        <w:ind w:left="0" w:right="1122"/>
        <w:jc w:val="right"/>
      </w:pPr>
      <w:r>
        <w:rPr/>
        <w:t>单位：</w:t>
      </w:r>
      <w:r>
        <w:rPr>
          <w:spacing w:val="5"/>
        </w:rPr>
        <w:t> </w:t>
      </w:r>
      <w:r>
        <w:rPr/>
        <w:t>元</w:t>
      </w:r>
    </w:p>
    <w:p>
      <w:pPr>
        <w:spacing w:after="0" w:line="240" w:lineRule="auto"/>
        <w:jc w:val="right"/>
        <w:sectPr>
          <w:pgSz w:w="11910" w:h="16840"/>
          <w:pgMar w:header="871" w:footer="1186" w:top="1100" w:bottom="1380" w:left="980" w:right="0"/>
        </w:sectPr>
      </w:pPr>
    </w:p>
    <w:p>
      <w:pPr>
        <w:spacing w:line="240" w:lineRule="auto" w:before="8"/>
        <w:rPr>
          <w:rFonts w:ascii="宋体" w:hAnsi="宋体" w:cs="宋体" w:eastAsia="宋体" w:hint="default"/>
          <w:sz w:val="24"/>
          <w:szCs w:val="24"/>
        </w:rPr>
      </w:pPr>
    </w:p>
    <w:tbl>
      <w:tblPr>
        <w:tblW w:w="0" w:type="auto"/>
        <w:jc w:val="left"/>
        <w:tblInd w:w="160" w:type="dxa"/>
        <w:tblLayout w:type="fixed"/>
        <w:tblCellMar>
          <w:top w:w="0" w:type="dxa"/>
          <w:left w:w="0" w:type="dxa"/>
          <w:bottom w:w="0" w:type="dxa"/>
          <w:right w:w="0" w:type="dxa"/>
        </w:tblCellMar>
        <w:tblLook w:val="01E0"/>
      </w:tblPr>
      <w:tblGrid>
        <w:gridCol w:w="4764"/>
        <w:gridCol w:w="4794"/>
      </w:tblGrid>
      <w:tr>
        <w:trPr>
          <w:trHeight w:val="403"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7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6" w:right="0"/>
              <w:jc w:val="center"/>
              <w:rPr>
                <w:rFonts w:ascii="宋体" w:hAnsi="宋体" w:cs="宋体" w:eastAsia="宋体" w:hint="default"/>
                <w:sz w:val="18"/>
                <w:szCs w:val="18"/>
              </w:rPr>
            </w:pPr>
            <w:r>
              <w:rPr>
                <w:rFonts w:ascii="宋体" w:hAnsi="宋体" w:cs="宋体" w:eastAsia="宋体" w:hint="default"/>
                <w:sz w:val="18"/>
                <w:szCs w:val="18"/>
              </w:rPr>
              <w:t>账面余额</w:t>
            </w:r>
          </w:p>
        </w:tc>
      </w:tr>
      <w:tr>
        <w:trPr>
          <w:trHeight w:val="401"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年以内（含</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pacing w:val="-5"/>
                <w:sz w:val="18"/>
                <w:szCs w:val="18"/>
              </w:rPr>
              <w:t>年）</w:t>
            </w:r>
            <w:r>
              <w:rPr>
                <w:rFonts w:ascii="宋体" w:hAnsi="宋体" w:cs="宋体" w:eastAsia="宋体" w:hint="default"/>
                <w:sz w:val="18"/>
                <w:szCs w:val="18"/>
              </w:rPr>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309,845,661.77</w:t>
            </w:r>
          </w:p>
        </w:tc>
      </w:tr>
      <w:tr>
        <w:trPr>
          <w:trHeight w:val="401"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年</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8"/>
              <w:ind w:right="12"/>
              <w:jc w:val="right"/>
              <w:rPr>
                <w:rFonts w:ascii="Times New Roman" w:hAnsi="Times New Roman" w:cs="Times New Roman" w:eastAsia="Times New Roman" w:hint="default"/>
                <w:sz w:val="18"/>
                <w:szCs w:val="18"/>
              </w:rPr>
            </w:pPr>
            <w:r>
              <w:rPr>
                <w:rFonts w:ascii="Times New Roman"/>
                <w:spacing w:val="-1"/>
                <w:sz w:val="18"/>
              </w:rPr>
              <w:t>93,794,651.75</w:t>
            </w:r>
          </w:p>
        </w:tc>
      </w:tr>
      <w:tr>
        <w:trPr>
          <w:trHeight w:val="403"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年</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25,398,808.46</w:t>
            </w:r>
          </w:p>
        </w:tc>
      </w:tr>
      <w:tr>
        <w:trPr>
          <w:trHeight w:val="403"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年以上</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35,970,393.24</w:t>
            </w:r>
          </w:p>
        </w:tc>
      </w:tr>
      <w:tr>
        <w:trPr>
          <w:trHeight w:val="401"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9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年</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22,834,585.38</w:t>
            </w:r>
          </w:p>
        </w:tc>
      </w:tr>
      <w:tr>
        <w:trPr>
          <w:trHeight w:val="401"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9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年</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8"/>
              <w:ind w:right="12"/>
              <w:jc w:val="right"/>
              <w:rPr>
                <w:rFonts w:ascii="Times New Roman" w:hAnsi="Times New Roman" w:cs="Times New Roman" w:eastAsia="Times New Roman" w:hint="default"/>
                <w:sz w:val="18"/>
                <w:szCs w:val="18"/>
              </w:rPr>
            </w:pPr>
            <w:r>
              <w:rPr>
                <w:rFonts w:ascii="Times New Roman"/>
                <w:spacing w:val="-1"/>
                <w:sz w:val="18"/>
              </w:rPr>
              <w:t>7,100,097.60</w:t>
            </w:r>
          </w:p>
        </w:tc>
      </w:tr>
      <w:tr>
        <w:trPr>
          <w:trHeight w:val="403"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9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6,035,710.26</w:t>
            </w:r>
          </w:p>
        </w:tc>
      </w:tr>
      <w:tr>
        <w:trPr>
          <w:trHeight w:val="403"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465,009,515.22</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2）本期计提、收回或转回的坏账准备情况" w:id="231"/>
      <w:bookmarkEnd w:id="231"/>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right="0"/>
        <w:jc w:val="left"/>
      </w:pPr>
      <w:r>
        <w:rPr>
          <w:spacing w:val="-3"/>
        </w:rPr>
        <w:t>本期计提坏账准备情况：</w:t>
      </w:r>
    </w:p>
    <w:p>
      <w:pPr>
        <w:pStyle w:val="BodyText"/>
        <w:spacing w:line="240" w:lineRule="auto" w:before="115"/>
        <w:ind w:left="0" w:right="1122"/>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369"/>
        <w:gridCol w:w="1368"/>
        <w:gridCol w:w="1369"/>
        <w:gridCol w:w="1368"/>
        <w:gridCol w:w="1364"/>
        <w:gridCol w:w="1369"/>
        <w:gridCol w:w="1369"/>
      </w:tblGrid>
      <w:tr>
        <w:trPr>
          <w:trHeight w:val="403" w:hRule="exact"/>
        </w:trPr>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316"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46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本期变动金额</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98" w:hRule="exact"/>
        </w:trPr>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30"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1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核销</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9" w:type="dxa"/>
            <w:vMerge/>
            <w:tcBorders>
              <w:left w:val="single" w:sz="4" w:space="0" w:color="000000"/>
              <w:bottom w:val="single" w:sz="4" w:space="0" w:color="000000"/>
              <w:right w:val="single" w:sz="4" w:space="0" w:color="000000"/>
            </w:tcBorders>
            <w:shd w:val="clear" w:color="auto" w:fill="D2D2D2"/>
          </w:tcPr>
          <w:p>
            <w:pPr/>
          </w:p>
        </w:tc>
      </w:tr>
      <w:tr>
        <w:trPr>
          <w:trHeight w:val="716"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4"/>
              <w:ind w:left="24" w:right="70"/>
              <w:jc w:val="left"/>
              <w:rPr>
                <w:rFonts w:ascii="宋体" w:hAnsi="宋体" w:cs="宋体" w:eastAsia="宋体" w:hint="default"/>
                <w:sz w:val="18"/>
                <w:szCs w:val="18"/>
              </w:rPr>
            </w:pPr>
            <w:r>
              <w:rPr>
                <w:rFonts w:ascii="宋体" w:hAnsi="宋体" w:cs="宋体" w:eastAsia="宋体" w:hint="default"/>
                <w:spacing w:val="-3"/>
                <w:sz w:val="18"/>
                <w:szCs w:val="18"/>
              </w:rPr>
              <w:t>按单项计提坏账</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准备</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4,149,991.86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4,149,991.86</w:t>
            </w:r>
          </w:p>
        </w:tc>
      </w:tr>
      <w:tr>
        <w:trPr>
          <w:trHeight w:val="715"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70"/>
              <w:jc w:val="left"/>
              <w:rPr>
                <w:rFonts w:ascii="宋体" w:hAnsi="宋体" w:cs="宋体" w:eastAsia="宋体" w:hint="default"/>
                <w:sz w:val="18"/>
                <w:szCs w:val="18"/>
              </w:rPr>
            </w:pPr>
            <w:r>
              <w:rPr>
                <w:rFonts w:ascii="宋体" w:hAnsi="宋体" w:cs="宋体" w:eastAsia="宋体" w:hint="default"/>
                <w:spacing w:val="-3"/>
                <w:sz w:val="18"/>
                <w:szCs w:val="18"/>
              </w:rPr>
              <w:t>按组合计提坏账</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准备</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43,249,393.33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2"/>
                <w:sz w:val="18"/>
              </w:rPr>
              <w:t>11,414,423.57</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54,663,816.90</w:t>
            </w:r>
          </w:p>
        </w:tc>
      </w:tr>
      <w:tr>
        <w:trPr>
          <w:trHeight w:val="404"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43,249,393.33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15,564,415.43</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58,813,808.76</w:t>
            </w:r>
          </w:p>
        </w:tc>
      </w:tr>
    </w:tbl>
    <w:p>
      <w:pPr>
        <w:pStyle w:val="BodyText"/>
        <w:spacing w:line="434" w:lineRule="auto" w:before="53"/>
        <w:ind w:left="513" w:right="6680" w:hanging="360"/>
        <w:jc w:val="left"/>
      </w:pPr>
      <w:r>
        <w:rPr>
          <w:spacing w:val="-3"/>
        </w:rPr>
        <w:t>其中本期坏账准备收回或转回金额重要的：</w:t>
      </w:r>
      <w:r>
        <w:rPr>
          <w:spacing w:val="-33"/>
        </w:rPr>
        <w:t> </w:t>
      </w:r>
      <w:r>
        <w:rPr>
          <w:spacing w:val="-33"/>
        </w:rPr>
      </w:r>
      <w:r>
        <w:rPr>
          <w:spacing w:val="-3"/>
        </w:rPr>
        <w:t>本期无坏账准备收回或转回重要的坏账准备。</w:t>
      </w:r>
    </w:p>
    <w:p>
      <w:pPr>
        <w:spacing w:line="240" w:lineRule="auto" w:before="10"/>
        <w:rPr>
          <w:rFonts w:ascii="宋体" w:hAnsi="宋体" w:cs="宋体" w:eastAsia="宋体" w:hint="default"/>
          <w:sz w:val="21"/>
          <w:szCs w:val="21"/>
        </w:rPr>
      </w:pPr>
    </w:p>
    <w:p>
      <w:pPr>
        <w:pStyle w:val="Heading3"/>
        <w:spacing w:line="240" w:lineRule="auto"/>
        <w:ind w:right="0"/>
        <w:jc w:val="left"/>
        <w:rPr>
          <w:b w:val="0"/>
          <w:bCs w:val="0"/>
        </w:rPr>
      </w:pPr>
      <w:bookmarkStart w:name="（3）本期实际核销的应收账款情况" w:id="232"/>
      <w:bookmarkEnd w:id="232"/>
      <w:r>
        <w:rPr>
          <w:b w:val="0"/>
          <w:bCs w:val="0"/>
        </w:rPr>
      </w: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8"/>
        <w:rPr>
          <w:rFonts w:ascii="宋体" w:hAnsi="宋体" w:cs="宋体" w:eastAsia="宋体" w:hint="default"/>
          <w:b/>
          <w:bCs/>
          <w:sz w:val="32"/>
          <w:szCs w:val="32"/>
        </w:rPr>
      </w:pPr>
    </w:p>
    <w:p>
      <w:pPr>
        <w:pStyle w:val="BodyText"/>
        <w:spacing w:line="240" w:lineRule="auto"/>
        <w:ind w:left="513" w:right="0"/>
        <w:jc w:val="left"/>
      </w:pPr>
      <w:r>
        <w:rPr>
          <w:spacing w:val="-3"/>
        </w:rPr>
        <w:t>本期无实际核销的应收账款。</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4"/>
          <w:szCs w:val="14"/>
        </w:rPr>
      </w:pPr>
    </w:p>
    <w:p>
      <w:pPr>
        <w:pStyle w:val="Heading3"/>
        <w:spacing w:line="240" w:lineRule="auto"/>
        <w:ind w:right="0"/>
        <w:jc w:val="left"/>
        <w:rPr>
          <w:b w:val="0"/>
          <w:bCs w:val="0"/>
        </w:rPr>
      </w:pPr>
      <w:bookmarkStart w:name="（4）按欠款方归集的期末余额前五名的应收账款情况" w:id="233"/>
      <w:bookmarkEnd w:id="233"/>
      <w:r>
        <w:rPr>
          <w:b w:val="0"/>
          <w:bCs w:val="0"/>
        </w:rPr>
      </w: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83"/>
        <w:gridCol w:w="2531"/>
        <w:gridCol w:w="2526"/>
        <w:gridCol w:w="2531"/>
      </w:tblGrid>
      <w:tr>
        <w:trPr>
          <w:trHeight w:val="715" w:hRule="exact"/>
        </w:trPr>
        <w:tc>
          <w:tcPr>
            <w:tcW w:w="1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624"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25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537" w:right="0"/>
              <w:jc w:val="left"/>
              <w:rPr>
                <w:rFonts w:ascii="宋体" w:hAnsi="宋体" w:cs="宋体" w:eastAsia="宋体" w:hint="default"/>
                <w:sz w:val="18"/>
                <w:szCs w:val="18"/>
              </w:rPr>
            </w:pPr>
            <w:r>
              <w:rPr>
                <w:rFonts w:ascii="宋体" w:hAnsi="宋体" w:cs="宋体" w:eastAsia="宋体" w:hint="default"/>
                <w:sz w:val="18"/>
                <w:szCs w:val="18"/>
              </w:rPr>
              <w:t>应收账款期末余额</w:t>
            </w:r>
          </w:p>
        </w:tc>
        <w:tc>
          <w:tcPr>
            <w:tcW w:w="25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1080" w:right="79" w:hanging="989"/>
              <w:jc w:val="left"/>
              <w:rPr>
                <w:rFonts w:ascii="宋体" w:hAnsi="宋体" w:cs="宋体" w:eastAsia="宋体" w:hint="default"/>
                <w:sz w:val="18"/>
                <w:szCs w:val="18"/>
              </w:rPr>
            </w:pPr>
            <w:r>
              <w:rPr>
                <w:rFonts w:ascii="宋体" w:hAnsi="宋体" w:cs="宋体" w:eastAsia="宋体" w:hint="default"/>
                <w:spacing w:val="-3"/>
                <w:sz w:val="18"/>
                <w:szCs w:val="18"/>
              </w:rPr>
              <w:t>占应收账款期末余额合计数的</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z w:val="18"/>
                <w:szCs w:val="18"/>
              </w:rPr>
              <w:t>比例</w:t>
            </w:r>
          </w:p>
        </w:tc>
        <w:tc>
          <w:tcPr>
            <w:tcW w:w="25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542"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3" w:hRule="exact"/>
        </w:trPr>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2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40,851,858.52</w:t>
            </w:r>
          </w:p>
        </w:tc>
        <w:tc>
          <w:tcPr>
            <w:tcW w:w="2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8.79%</w:t>
            </w:r>
          </w:p>
        </w:tc>
        <w:tc>
          <w:tcPr>
            <w:tcW w:w="2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5,891,210.35</w:t>
            </w:r>
          </w:p>
        </w:tc>
      </w:tr>
      <w:tr>
        <w:trPr>
          <w:trHeight w:val="399" w:hRule="exact"/>
        </w:trPr>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2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14,999,254.06</w:t>
            </w:r>
          </w:p>
        </w:tc>
        <w:tc>
          <w:tcPr>
            <w:tcW w:w="2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3.23%</w:t>
            </w:r>
          </w:p>
        </w:tc>
        <w:tc>
          <w:tcPr>
            <w:tcW w:w="2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749,962.70</w:t>
            </w:r>
          </w:p>
        </w:tc>
      </w:tr>
      <w:tr>
        <w:trPr>
          <w:trHeight w:val="403" w:hRule="exact"/>
        </w:trPr>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2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9,442,091.76</w:t>
            </w:r>
          </w:p>
        </w:tc>
        <w:tc>
          <w:tcPr>
            <w:tcW w:w="2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2.03%</w:t>
            </w:r>
          </w:p>
        </w:tc>
        <w:tc>
          <w:tcPr>
            <w:tcW w:w="2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560,046.75</w:t>
            </w:r>
          </w:p>
        </w:tc>
      </w:tr>
      <w:tr>
        <w:trPr>
          <w:trHeight w:val="403" w:hRule="exact"/>
        </w:trPr>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2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8,823,022.27</w:t>
            </w:r>
          </w:p>
        </w:tc>
        <w:tc>
          <w:tcPr>
            <w:tcW w:w="2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1.90%</w:t>
            </w:r>
          </w:p>
        </w:tc>
        <w:tc>
          <w:tcPr>
            <w:tcW w:w="2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2"/>
                <w:sz w:val="18"/>
              </w:rPr>
              <w:t>441,151.11</w:t>
            </w:r>
          </w:p>
        </w:tc>
      </w:tr>
    </w:tbl>
    <w:p>
      <w:pPr>
        <w:spacing w:after="0" w:line="240" w:lineRule="auto"/>
        <w:jc w:val="right"/>
        <w:rPr>
          <w:rFonts w:ascii="Times New Roman" w:hAnsi="Times New Roman" w:cs="Times New Roman" w:eastAsia="Times New Roman" w:hint="default"/>
          <w:sz w:val="18"/>
          <w:szCs w:val="18"/>
        </w:rPr>
        <w:sectPr>
          <w:pgSz w:w="11910" w:h="16840"/>
          <w:pgMar w:header="871" w:footer="1186" w:top="1100" w:bottom="1380" w:left="980" w:right="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1983"/>
        <w:gridCol w:w="2531"/>
        <w:gridCol w:w="2526"/>
        <w:gridCol w:w="2531"/>
      </w:tblGrid>
      <w:tr>
        <w:trPr>
          <w:trHeight w:val="403" w:hRule="exact"/>
        </w:trPr>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2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6,956,483.17</w:t>
            </w:r>
          </w:p>
        </w:tc>
        <w:tc>
          <w:tcPr>
            <w:tcW w:w="2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1.50%</w:t>
            </w:r>
          </w:p>
        </w:tc>
        <w:tc>
          <w:tcPr>
            <w:tcW w:w="2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347,824.16</w:t>
            </w:r>
          </w:p>
        </w:tc>
      </w:tr>
      <w:tr>
        <w:trPr>
          <w:trHeight w:val="403" w:hRule="exact"/>
        </w:trPr>
        <w:tc>
          <w:tcPr>
            <w:tcW w:w="1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53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81,072,709.78</w:t>
            </w:r>
          </w:p>
        </w:tc>
        <w:tc>
          <w:tcPr>
            <w:tcW w:w="2526" w:type="dxa"/>
            <w:tcBorders>
              <w:top w:val="single" w:sz="4" w:space="0" w:color="000000"/>
              <w:left w:val="single" w:sz="4" w:space="0" w:color="000000"/>
              <w:bottom w:val="single" w:sz="4" w:space="0" w:color="000000"/>
              <w:right w:val="single" w:sz="16" w:space="0" w:color="D2D2D2"/>
            </w:tcBorders>
          </w:tcPr>
          <w:p>
            <w:pPr>
              <w:pStyle w:val="TableParagraph"/>
              <w:spacing w:line="240" w:lineRule="auto" w:before="96"/>
              <w:ind w:right="1"/>
              <w:jc w:val="right"/>
              <w:rPr>
                <w:rFonts w:ascii="Times New Roman" w:hAnsi="Times New Roman" w:cs="Times New Roman" w:eastAsia="Times New Roman" w:hint="default"/>
                <w:sz w:val="18"/>
                <w:szCs w:val="18"/>
              </w:rPr>
            </w:pPr>
            <w:r>
              <w:rPr>
                <w:rFonts w:ascii="Times New Roman"/>
                <w:spacing w:val="-1"/>
                <w:sz w:val="18"/>
              </w:rPr>
              <w:t>17.45%</w:t>
            </w:r>
          </w:p>
        </w:tc>
        <w:tc>
          <w:tcPr>
            <w:tcW w:w="2531"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5）因金融资产转移而终止确认的应收账款" w:id="234"/>
      <w:bookmarkEnd w:id="234"/>
      <w:r>
        <w:rPr>
          <w:b w:val="0"/>
          <w:bCs w:val="0"/>
        </w:rPr>
      </w:r>
      <w:r>
        <w:rPr/>
        <w:t>（</w:t>
      </w:r>
      <w:r>
        <w:rPr>
          <w:rFonts w:ascii="Times New Roman" w:hAnsi="Times New Roman" w:cs="Times New Roman" w:eastAsia="Times New Roman" w:hint="default"/>
        </w:rPr>
        <w:t>5</w:t>
      </w:r>
      <w:r>
        <w:rPr/>
        <w:t>）因金融资产转移而终止确认的应收账款</w:t>
      </w:r>
      <w:r>
        <w:rPr>
          <w:b w:val="0"/>
          <w:bCs w:val="0"/>
        </w:rPr>
      </w:r>
    </w:p>
    <w:p>
      <w:pPr>
        <w:spacing w:line="240" w:lineRule="auto" w:before="7"/>
        <w:rPr>
          <w:rFonts w:ascii="宋体" w:hAnsi="宋体" w:cs="宋体" w:eastAsia="宋体" w:hint="default"/>
          <w:b/>
          <w:bCs/>
          <w:sz w:val="32"/>
          <w:szCs w:val="32"/>
        </w:rPr>
      </w:pPr>
    </w:p>
    <w:p>
      <w:pPr>
        <w:pStyle w:val="BodyText"/>
        <w:spacing w:line="240" w:lineRule="auto"/>
        <w:ind w:left="136" w:right="9666"/>
        <w:jc w:val="center"/>
      </w:pPr>
      <w:r>
        <w:rPr/>
        <w:t>无。</w:t>
      </w: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14"/>
          <w:szCs w:val="14"/>
        </w:rPr>
      </w:pPr>
    </w:p>
    <w:p>
      <w:pPr>
        <w:pStyle w:val="Heading3"/>
        <w:spacing w:line="240" w:lineRule="auto"/>
        <w:ind w:right="0"/>
        <w:jc w:val="left"/>
        <w:rPr>
          <w:b w:val="0"/>
          <w:bCs w:val="0"/>
        </w:rPr>
      </w:pPr>
      <w:bookmarkStart w:name="（6）转移应收账款且继续涉入形成的资产、负债金额" w:id="235"/>
      <w:bookmarkEnd w:id="235"/>
      <w:r>
        <w:rPr>
          <w:b w:val="0"/>
          <w:bCs w:val="0"/>
        </w:rPr>
      </w:r>
      <w:r>
        <w:rPr/>
        <w:t>（</w:t>
      </w:r>
      <w:r>
        <w:rPr>
          <w:rFonts w:ascii="Times New Roman" w:hAnsi="Times New Roman" w:cs="Times New Roman" w:eastAsia="Times New Roman" w:hint="default"/>
        </w:rPr>
        <w:t>6</w:t>
      </w:r>
      <w:r>
        <w:rPr/>
        <w:t>）转移应收账款且继续涉入形成的资产、负债金额</w:t>
      </w:r>
      <w:r>
        <w:rPr>
          <w:b w:val="0"/>
          <w:bCs w:val="0"/>
        </w:rPr>
      </w:r>
    </w:p>
    <w:p>
      <w:pPr>
        <w:spacing w:line="240" w:lineRule="auto" w:before="12"/>
        <w:rPr>
          <w:rFonts w:ascii="宋体" w:hAnsi="宋体" w:cs="宋体" w:eastAsia="宋体" w:hint="default"/>
          <w:b/>
          <w:bCs/>
          <w:sz w:val="32"/>
          <w:szCs w:val="32"/>
        </w:rPr>
      </w:pPr>
    </w:p>
    <w:p>
      <w:pPr>
        <w:pStyle w:val="BodyText"/>
        <w:spacing w:line="240" w:lineRule="auto"/>
        <w:ind w:left="136" w:right="9666"/>
        <w:jc w:val="center"/>
      </w:pPr>
      <w:r>
        <w:rPr/>
        <w:t>无。</w:t>
      </w: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14"/>
          <w:szCs w:val="14"/>
        </w:rPr>
      </w:pPr>
    </w:p>
    <w:p>
      <w:pPr>
        <w:pStyle w:val="Heading3"/>
        <w:spacing w:line="240" w:lineRule="auto"/>
        <w:ind w:right="0"/>
        <w:jc w:val="left"/>
        <w:rPr>
          <w:b w:val="0"/>
          <w:bCs w:val="0"/>
        </w:rPr>
      </w:pPr>
      <w:bookmarkStart w:name="4、预付款项" w:id="236"/>
      <w:bookmarkEnd w:id="236"/>
      <w:r>
        <w:rPr>
          <w:b w:val="0"/>
          <w:bCs w:val="0"/>
        </w:rPr>
      </w:r>
      <w:r>
        <w:rPr>
          <w:rFonts w:ascii="Times New Roman" w:hAnsi="Times New Roman" w:cs="Times New Roman" w:eastAsia="Times New Roman" w:hint="default"/>
        </w:rPr>
        <w:t>4</w:t>
      </w:r>
      <w:r>
        <w:rPr/>
        <w:t>、预付款项</w:t>
      </w:r>
      <w:r>
        <w:rPr>
          <w:b w:val="0"/>
          <w:bCs w:val="0"/>
        </w:rPr>
      </w:r>
    </w:p>
    <w:p>
      <w:pPr>
        <w:spacing w:line="240" w:lineRule="auto" w:before="5"/>
        <w:rPr>
          <w:rFonts w:ascii="宋体" w:hAnsi="宋体" w:cs="宋体" w:eastAsia="宋体" w:hint="default"/>
          <w:b/>
          <w:bCs/>
          <w:sz w:val="24"/>
          <w:szCs w:val="24"/>
        </w:rPr>
      </w:pPr>
    </w:p>
    <w:p>
      <w:pPr>
        <w:pStyle w:val="Heading3"/>
        <w:spacing w:line="240" w:lineRule="auto"/>
        <w:ind w:right="0"/>
        <w:jc w:val="left"/>
        <w:rPr>
          <w:b w:val="0"/>
          <w:bCs w:val="0"/>
        </w:rPr>
      </w:pPr>
      <w:bookmarkStart w:name="（1）预付款项按账龄列示" w:id="237"/>
      <w:bookmarkEnd w:id="237"/>
      <w:r>
        <w:rPr>
          <w:b w:val="0"/>
          <w:bCs w:val="0"/>
        </w:rPr>
      </w:r>
      <w:r>
        <w:rPr/>
        <w:t>（</w:t>
      </w:r>
      <w:r>
        <w:rPr>
          <w:rFonts w:ascii="Times New Roman" w:hAnsi="Times New Roman" w:cs="Times New Roman" w:eastAsia="Times New Roman" w:hint="default"/>
        </w:rPr>
        <w:t>1</w:t>
      </w:r>
      <w:r>
        <w:rPr/>
        <w:t>）预付款项按账龄列示</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6"/>
        <w:gridCol w:w="1916"/>
        <w:gridCol w:w="1916"/>
        <w:gridCol w:w="1916"/>
      </w:tblGrid>
      <w:tr>
        <w:trPr>
          <w:trHeight w:val="206" w:hRule="exact"/>
        </w:trPr>
        <w:tc>
          <w:tcPr>
            <w:tcW w:w="1889" w:type="dxa"/>
            <w:tcBorders>
              <w:top w:val="single" w:sz="4" w:space="0" w:color="000000"/>
              <w:left w:val="single" w:sz="4" w:space="0" w:color="000000"/>
              <w:bottom w:val="nil" w:sz="6" w:space="0" w:color="auto"/>
              <w:right w:val="single" w:sz="4" w:space="0" w:color="000000"/>
            </w:tcBorders>
            <w:shd w:val="clear" w:color="auto" w:fill="D2D2D2"/>
          </w:tcPr>
          <w:p>
            <w:pPr/>
          </w:p>
        </w:tc>
        <w:tc>
          <w:tcPr>
            <w:tcW w:w="384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15"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3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5"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2" w:hRule="exact"/>
        </w:trPr>
        <w:tc>
          <w:tcPr>
            <w:tcW w:w="188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7"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841" w:type="dxa"/>
            <w:gridSpan w:val="2"/>
            <w:vMerge/>
            <w:tcBorders>
              <w:left w:val="single" w:sz="4" w:space="0" w:color="000000"/>
              <w:bottom w:val="single" w:sz="4" w:space="0" w:color="000000"/>
              <w:right w:val="single" w:sz="4" w:space="0" w:color="000000"/>
            </w:tcBorders>
            <w:shd w:val="clear" w:color="auto" w:fill="D2D2D2"/>
          </w:tcPr>
          <w:p>
            <w:pPr/>
          </w:p>
        </w:tc>
        <w:tc>
          <w:tcPr>
            <w:tcW w:w="3832"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889" w:type="dxa"/>
            <w:vMerge/>
            <w:tcBorders>
              <w:left w:val="single" w:sz="4" w:space="0" w:color="000000"/>
              <w:bottom w:val="nil" w:sz="6" w:space="0" w:color="auto"/>
              <w:right w:val="single" w:sz="4" w:space="0" w:color="000000"/>
            </w:tcBorders>
            <w:shd w:val="clear" w:color="auto" w:fill="D2D2D2"/>
          </w:tcPr>
          <w:p>
            <w:pPr/>
          </w:p>
        </w:tc>
        <w:tc>
          <w:tcPr>
            <w:tcW w:w="192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14"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5"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4"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5"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207" w:hRule="exact"/>
        </w:trPr>
        <w:tc>
          <w:tcPr>
            <w:tcW w:w="1889" w:type="dxa"/>
            <w:tcBorders>
              <w:top w:val="nil" w:sz="6" w:space="0" w:color="auto"/>
              <w:left w:val="single" w:sz="4" w:space="0" w:color="000000"/>
              <w:bottom w:val="single" w:sz="4" w:space="0" w:color="000000"/>
              <w:right w:val="single" w:sz="4" w:space="0" w:color="000000"/>
            </w:tcBorders>
            <w:shd w:val="clear" w:color="auto" w:fill="D2D2D2"/>
          </w:tcPr>
          <w:p>
            <w:pPr/>
          </w:p>
        </w:tc>
        <w:tc>
          <w:tcPr>
            <w:tcW w:w="1926"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年以内</w:t>
            </w:r>
          </w:p>
        </w:tc>
        <w:tc>
          <w:tcPr>
            <w:tcW w:w="192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164,023,514.78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85.71%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68,171,137.35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56.19%</w:t>
            </w:r>
          </w:p>
        </w:tc>
      </w:tr>
      <w:tr>
        <w:trPr>
          <w:trHeight w:val="398"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年</w:t>
            </w:r>
          </w:p>
        </w:tc>
        <w:tc>
          <w:tcPr>
            <w:tcW w:w="192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20,891,351.50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10.92%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17,060,373.71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14.06%</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年</w:t>
            </w:r>
          </w:p>
        </w:tc>
        <w:tc>
          <w:tcPr>
            <w:tcW w:w="192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6,047,577.63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3.16%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36,030,825.12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29.70%</w:t>
            </w:r>
          </w:p>
        </w:tc>
      </w:tr>
      <w:tr>
        <w:trPr>
          <w:trHeight w:val="40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年以上</w:t>
            </w:r>
          </w:p>
        </w:tc>
        <w:tc>
          <w:tcPr>
            <w:tcW w:w="192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406,917.22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0.21%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55,631.57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0.05%</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6" w:type="dxa"/>
            <w:tcBorders>
              <w:top w:val="single" w:sz="4" w:space="0" w:color="000000"/>
              <w:left w:val="single" w:sz="10" w:space="0" w:color="D2D2D2"/>
              <w:bottom w:val="single" w:sz="4" w:space="0" w:color="000000"/>
              <w:right w:val="single" w:sz="13" w:space="0" w:color="D2D2D2"/>
            </w:tcBorders>
          </w:tcPr>
          <w:p>
            <w:pPr>
              <w:pStyle w:val="TableParagraph"/>
              <w:spacing w:line="240" w:lineRule="auto" w:before="96"/>
              <w:ind w:right="6"/>
              <w:jc w:val="right"/>
              <w:rPr>
                <w:rFonts w:ascii="Times New Roman" w:hAnsi="Times New Roman" w:cs="Times New Roman" w:eastAsia="Times New Roman" w:hint="default"/>
                <w:sz w:val="18"/>
                <w:szCs w:val="18"/>
              </w:rPr>
            </w:pPr>
            <w:r>
              <w:rPr>
                <w:rFonts w:ascii="Times New Roman"/>
                <w:spacing w:val="-1"/>
                <w:sz w:val="18"/>
              </w:rPr>
              <w:t>191,369,361.13</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1916" w:type="dxa"/>
            <w:tcBorders>
              <w:top w:val="single" w:sz="4" w:space="0" w:color="000000"/>
              <w:left w:val="single" w:sz="10" w:space="0" w:color="D2D2D2"/>
              <w:bottom w:val="single" w:sz="4" w:space="0" w:color="000000"/>
              <w:right w:val="single" w:sz="13" w:space="0" w:color="D2D2D2"/>
            </w:tcBorders>
          </w:tcPr>
          <w:p>
            <w:pPr>
              <w:pStyle w:val="TableParagraph"/>
              <w:spacing w:line="240" w:lineRule="auto" w:before="96"/>
              <w:ind w:right="6"/>
              <w:jc w:val="right"/>
              <w:rPr>
                <w:rFonts w:ascii="Times New Roman" w:hAnsi="Times New Roman" w:cs="Times New Roman" w:eastAsia="Times New Roman" w:hint="default"/>
                <w:sz w:val="18"/>
                <w:szCs w:val="18"/>
              </w:rPr>
            </w:pPr>
            <w:r>
              <w:rPr>
                <w:rFonts w:ascii="Times New Roman"/>
                <w:spacing w:val="-1"/>
                <w:sz w:val="18"/>
              </w:rPr>
              <w:t>121,317,967.75</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bl>
    <w:p>
      <w:pPr>
        <w:pStyle w:val="BodyText"/>
        <w:spacing w:line="240" w:lineRule="auto" w:before="53"/>
        <w:ind w:right="0"/>
        <w:jc w:val="left"/>
      </w:pPr>
      <w:r>
        <w:rPr/>
        <w:t>账龄超过 </w:t>
      </w:r>
      <w:r>
        <w:rPr>
          <w:rFonts w:ascii="Times New Roman" w:hAnsi="Times New Roman" w:cs="Times New Roman" w:eastAsia="Times New Roman" w:hint="default"/>
        </w:rPr>
        <w:t>1</w:t>
      </w:r>
      <w:r>
        <w:rPr>
          <w:rFonts w:ascii="Times New Roman" w:hAnsi="Times New Roman" w:cs="Times New Roman" w:eastAsia="Times New Roman" w:hint="default"/>
          <w:spacing w:val="20"/>
        </w:rPr>
        <w:t> </w:t>
      </w:r>
      <w:r>
        <w:rPr>
          <w:spacing w:val="-3"/>
        </w:rPr>
        <w:t>年且金额重要的预付款项未及时结算原因的说明：</w:t>
      </w:r>
    </w:p>
    <w:p>
      <w:pPr>
        <w:spacing w:line="240" w:lineRule="auto" w:before="8"/>
        <w:rPr>
          <w:rFonts w:ascii="宋体" w:hAnsi="宋体" w:cs="宋体" w:eastAsia="宋体" w:hint="default"/>
          <w:sz w:val="13"/>
          <w:szCs w:val="13"/>
        </w:rPr>
      </w:pPr>
    </w:p>
    <w:p>
      <w:pPr>
        <w:pStyle w:val="BodyText"/>
        <w:spacing w:line="240" w:lineRule="auto"/>
        <w:ind w:left="513" w:right="0"/>
        <w:jc w:val="left"/>
      </w:pPr>
      <w:r>
        <w:rPr/>
        <w:t>本公司预付款项超过 </w:t>
      </w:r>
      <w:r>
        <w:rPr>
          <w:rFonts w:ascii="Times New Roman" w:hAnsi="Times New Roman" w:cs="Times New Roman" w:eastAsia="Times New Roman" w:hint="default"/>
        </w:rPr>
        <w:t>1</w:t>
      </w:r>
      <w:r>
        <w:rPr>
          <w:rFonts w:ascii="Times New Roman" w:hAnsi="Times New Roman" w:cs="Times New Roman" w:eastAsia="Times New Roman" w:hint="default"/>
          <w:spacing w:val="-10"/>
        </w:rPr>
        <w:t> </w:t>
      </w:r>
      <w:r>
        <w:rPr>
          <w:spacing w:val="-3"/>
        </w:rPr>
        <w:t>年主要系业务未完成，尚未结算。</w:t>
      </w: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13"/>
          <w:szCs w:val="13"/>
        </w:rPr>
      </w:pPr>
    </w:p>
    <w:p>
      <w:pPr>
        <w:pStyle w:val="Heading3"/>
        <w:spacing w:line="240" w:lineRule="auto"/>
        <w:ind w:right="0"/>
        <w:jc w:val="left"/>
        <w:rPr>
          <w:b w:val="0"/>
          <w:bCs w:val="0"/>
        </w:rPr>
      </w:pPr>
      <w:bookmarkStart w:name="（2）按预付对象归集的期末余额前五名的预付款情况" w:id="238"/>
      <w:bookmarkEnd w:id="238"/>
      <w:r>
        <w:rPr>
          <w:b w:val="0"/>
          <w:bCs w:val="0"/>
        </w:rPr>
      </w:r>
      <w:r>
        <w:rPr/>
        <w:t>（</w:t>
      </w:r>
      <w:r>
        <w:rPr>
          <w:rFonts w:ascii="Times New Roman" w:hAnsi="Times New Roman" w:cs="Times New Roman" w:eastAsia="Times New Roman" w:hint="default"/>
        </w:rPr>
        <w:t>2</w:t>
      </w:r>
      <w:r>
        <w:rPr/>
        <w:t>）按预付对象归集的期末余额前五名的预付款情况</w:t>
      </w:r>
      <w:r>
        <w:rPr>
          <w:b w:val="0"/>
          <w:bCs w:val="0"/>
        </w:rPr>
      </w:r>
    </w:p>
    <w:p>
      <w:pPr>
        <w:spacing w:line="240" w:lineRule="auto" w:before="7"/>
        <w:rPr>
          <w:rFonts w:ascii="宋体" w:hAnsi="宋体" w:cs="宋体" w:eastAsia="宋体" w:hint="default"/>
          <w:b/>
          <w:bCs/>
          <w:sz w:val="32"/>
          <w:szCs w:val="32"/>
        </w:rPr>
      </w:pPr>
    </w:p>
    <w:p>
      <w:pPr>
        <w:pStyle w:val="BodyText"/>
        <w:spacing w:line="415" w:lineRule="auto"/>
        <w:ind w:right="1126" w:firstLine="360"/>
        <w:jc w:val="left"/>
      </w:pPr>
      <w:r>
        <w:rPr>
          <w:spacing w:val="-3"/>
          <w:w w:val="101"/>
        </w:rPr>
        <w:t>本公司期末预付款项余额前五名累计金额为</w:t>
      </w:r>
      <w:r>
        <w:rPr>
          <w:spacing w:val="-56"/>
          <w:w w:val="101"/>
        </w:rPr>
        <w:t> </w:t>
      </w:r>
      <w:r>
        <w:rPr>
          <w:rFonts w:ascii="Times New Roman" w:hAnsi="Times New Roman" w:cs="Times New Roman" w:eastAsia="Times New Roman" w:hint="default"/>
          <w:spacing w:val="-2"/>
          <w:w w:val="101"/>
        </w:rPr>
        <w:t>144,252,046.09</w:t>
      </w:r>
      <w:r>
        <w:rPr>
          <w:rFonts w:ascii="Times New Roman" w:hAnsi="Times New Roman" w:cs="Times New Roman" w:eastAsia="Times New Roman" w:hint="default"/>
          <w:spacing w:val="-17"/>
          <w:w w:val="101"/>
        </w:rPr>
        <w:t> </w:t>
      </w:r>
      <w:r>
        <w:rPr>
          <w:spacing w:val="-16"/>
          <w:w w:val="101"/>
        </w:rPr>
        <w:t>元，账龄主要在</w:t>
      </w:r>
      <w:r>
        <w:rPr>
          <w:spacing w:val="-57"/>
          <w:w w:val="101"/>
        </w:rPr>
        <w:t> </w:t>
      </w:r>
      <w:r>
        <w:rPr>
          <w:rFonts w:ascii="Times New Roman" w:hAnsi="Times New Roman" w:cs="Times New Roman" w:eastAsia="Times New Roman" w:hint="default"/>
          <w:w w:val="101"/>
        </w:rPr>
        <w:t>1</w:t>
      </w:r>
      <w:r>
        <w:rPr>
          <w:rFonts w:ascii="Times New Roman" w:hAnsi="Times New Roman" w:cs="Times New Roman" w:eastAsia="Times New Roman" w:hint="default"/>
          <w:spacing w:val="-23"/>
          <w:w w:val="101"/>
        </w:rPr>
        <w:t> </w:t>
      </w:r>
      <w:r>
        <w:rPr>
          <w:spacing w:val="-9"/>
          <w:w w:val="101"/>
        </w:rPr>
        <w:t>年以内，占预付款项余额的比例为</w:t>
      </w:r>
      <w:r>
        <w:rPr>
          <w:spacing w:val="-56"/>
          <w:w w:val="101"/>
        </w:rPr>
        <w:t> </w:t>
      </w:r>
      <w:r>
        <w:rPr>
          <w:rFonts w:ascii="Times New Roman" w:hAnsi="Times New Roman" w:cs="Times New Roman" w:eastAsia="Times New Roman" w:hint="default"/>
          <w:spacing w:val="-2"/>
          <w:w w:val="101"/>
        </w:rPr>
        <w:t>75.38%</w:t>
      </w:r>
      <w:r>
        <w:rPr>
          <w:spacing w:val="-2"/>
          <w:w w:val="101"/>
        </w:rPr>
        <w:t>。</w:t>
      </w:r>
      <w:r>
        <w:rPr>
          <w:w w:val="101"/>
        </w:rPr>
        <w:t> </w:t>
      </w:r>
      <w:r>
        <w:rPr/>
        <w:t>其他说明：</w:t>
      </w:r>
    </w:p>
    <w:p>
      <w:pPr>
        <w:pStyle w:val="BodyText"/>
        <w:spacing w:line="240" w:lineRule="auto" w:before="60"/>
        <w:ind w:left="513" w:right="0"/>
        <w:jc w:val="left"/>
      </w:pPr>
      <w:r>
        <w:rPr>
          <w:spacing w:val="-3"/>
        </w:rPr>
        <w:t>期末未发现预付款项存在明显减值迹象，故未计提减值准备。</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4"/>
          <w:szCs w:val="14"/>
        </w:rPr>
      </w:pPr>
    </w:p>
    <w:p>
      <w:pPr>
        <w:pStyle w:val="Heading3"/>
        <w:spacing w:line="240" w:lineRule="auto"/>
        <w:ind w:right="0"/>
        <w:jc w:val="left"/>
        <w:rPr>
          <w:b w:val="0"/>
          <w:bCs w:val="0"/>
        </w:rPr>
      </w:pPr>
      <w:bookmarkStart w:name="5、其他应收款" w:id="239"/>
      <w:bookmarkEnd w:id="239"/>
      <w:r>
        <w:rPr>
          <w:b w:val="0"/>
          <w:bCs w:val="0"/>
        </w:rPr>
      </w:r>
      <w:r>
        <w:rPr>
          <w:rFonts w:ascii="Times New Roman" w:hAnsi="Times New Roman" w:cs="Times New Roman" w:eastAsia="Times New Roman" w:hint="default"/>
        </w:rPr>
        <w:t>5</w:t>
      </w:r>
      <w:r>
        <w:rPr/>
        <w:t>、其他应收款</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0" w:right="1122"/>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3"/>
        <w:gridCol w:w="3193"/>
      </w:tblGrid>
      <w:tr>
        <w:trPr>
          <w:trHeight w:val="399"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7"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2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47,794,136.39</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45,770,457.72</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47,794,136.39</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45,770,457.72</w:t>
            </w:r>
          </w:p>
        </w:tc>
      </w:tr>
    </w:tbl>
    <w:p>
      <w:pPr>
        <w:spacing w:after="0" w:line="240" w:lineRule="auto"/>
        <w:jc w:val="right"/>
        <w:rPr>
          <w:rFonts w:ascii="Times New Roman" w:hAnsi="Times New Roman" w:cs="Times New Roman" w:eastAsia="Times New Roman" w:hint="default"/>
          <w:sz w:val="18"/>
          <w:szCs w:val="18"/>
        </w:rPr>
        <w:sectPr>
          <w:pgSz w:w="11910" w:h="16840"/>
          <w:pgMar w:header="871" w:footer="1186" w:top="1100" w:bottom="1380" w:left="980" w:right="0"/>
        </w:sectPr>
      </w:pPr>
    </w:p>
    <w:p>
      <w:pPr>
        <w:spacing w:line="240" w:lineRule="auto" w:before="0"/>
        <w:rPr>
          <w:rFonts w:ascii="宋体" w:hAnsi="宋体" w:cs="宋体" w:eastAsia="宋体" w:hint="default"/>
          <w:sz w:val="21"/>
          <w:szCs w:val="21"/>
        </w:rPr>
      </w:pPr>
    </w:p>
    <w:p>
      <w:pPr>
        <w:pStyle w:val="Heading3"/>
        <w:spacing w:line="240" w:lineRule="auto" w:before="36"/>
        <w:ind w:right="0"/>
        <w:jc w:val="left"/>
        <w:rPr>
          <w:b w:val="0"/>
          <w:bCs w:val="0"/>
        </w:rPr>
      </w:pPr>
      <w:bookmarkStart w:name="（1）其他应收款" w:id="240"/>
      <w:bookmarkEnd w:id="240"/>
      <w:r>
        <w:rPr>
          <w:b w:val="0"/>
          <w:bCs w:val="0"/>
        </w:rPr>
      </w:r>
      <w:r>
        <w:rPr/>
        <w:t>（</w:t>
      </w:r>
      <w:r>
        <w:rPr>
          <w:rFonts w:ascii="Times New Roman" w:hAnsi="Times New Roman" w:cs="Times New Roman" w:eastAsia="Times New Roman" w:hint="default"/>
        </w:rPr>
        <w:t>1</w:t>
      </w:r>
      <w:r>
        <w:rPr/>
        <w:t>）其他应收款</w:t>
      </w:r>
      <w:r>
        <w:rPr>
          <w:b w:val="0"/>
          <w:bCs w:val="0"/>
        </w:rPr>
      </w:r>
    </w:p>
    <w:p>
      <w:pPr>
        <w:spacing w:line="240" w:lineRule="auto" w:before="5"/>
        <w:rPr>
          <w:rFonts w:ascii="宋体" w:hAnsi="宋体" w:cs="宋体" w:eastAsia="宋体" w:hint="default"/>
          <w:b/>
          <w:bCs/>
          <w:sz w:val="24"/>
          <w:szCs w:val="24"/>
        </w:rPr>
      </w:pPr>
    </w:p>
    <w:p>
      <w:pPr>
        <w:pStyle w:val="Heading3"/>
        <w:spacing w:line="240" w:lineRule="auto"/>
        <w:ind w:right="0"/>
        <w:jc w:val="left"/>
        <w:rPr>
          <w:b w:val="0"/>
          <w:bCs w:val="0"/>
        </w:rPr>
      </w:pPr>
      <w:bookmarkStart w:name="1）其他应收款按款项性质分类情况" w:id="241"/>
      <w:bookmarkEnd w:id="241"/>
      <w:r>
        <w:rPr>
          <w:b w:val="0"/>
          <w:bCs w:val="0"/>
        </w:rPr>
      </w:r>
      <w:r>
        <w:rPr>
          <w:rFonts w:ascii="Times New Roman" w:hAnsi="Times New Roman" w:cs="Times New Roman" w:eastAsia="Times New Roman" w:hint="default"/>
        </w:rPr>
        <w:t>1</w:t>
      </w:r>
      <w:r>
        <w:rPr/>
        <w:t>）其他应收款按款项性质分类情况</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1"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1"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36,623,081.54</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29,241,520.29</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9,370,369.86</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13,486,256.86</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3,765,453.11</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4,448,784.10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退税款</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614,756.37</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639,117.00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391,188.33</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50,398,021.51</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48,182,505.95</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2）坏账准备计提情况" w:id="242"/>
      <w:bookmarkEnd w:id="242"/>
      <w:r>
        <w:rPr>
          <w:b w:val="0"/>
          <w:bCs w:val="0"/>
        </w:rPr>
      </w:r>
      <w:r>
        <w:rPr>
          <w:rFonts w:ascii="Times New Roman" w:hAnsi="Times New Roman" w:cs="Times New Roman" w:eastAsia="Times New Roman" w:hint="default"/>
        </w:rPr>
        <w:t>2</w:t>
      </w:r>
      <w:r>
        <w:rPr/>
        <w:t>）坏账准备计提情况</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94"/>
        <w:gridCol w:w="1662"/>
        <w:gridCol w:w="2098"/>
        <w:gridCol w:w="2103"/>
        <w:gridCol w:w="1800"/>
      </w:tblGrid>
      <w:tr>
        <w:trPr>
          <w:trHeight w:val="403" w:hRule="exact"/>
        </w:trPr>
        <w:tc>
          <w:tcPr>
            <w:tcW w:w="18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70" w:right="0"/>
              <w:jc w:val="left"/>
              <w:rPr>
                <w:rFonts w:ascii="宋体" w:hAnsi="宋体" w:cs="宋体" w:eastAsia="宋体" w:hint="default"/>
                <w:sz w:val="18"/>
                <w:szCs w:val="18"/>
              </w:rPr>
            </w:pPr>
            <w:r>
              <w:rPr>
                <w:rFonts w:ascii="宋体" w:hAnsi="宋体" w:cs="宋体" w:eastAsia="宋体" w:hint="default"/>
                <w:sz w:val="18"/>
                <w:szCs w:val="18"/>
              </w:rPr>
              <w:t>第一阶段</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第二阶段</w:t>
            </w:r>
          </w:p>
        </w:tc>
        <w:tc>
          <w:tcPr>
            <w:tcW w:w="2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第三阶段</w:t>
            </w:r>
          </w:p>
        </w:tc>
        <w:tc>
          <w:tcPr>
            <w:tcW w:w="1800"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51" w:hRule="exact"/>
        </w:trPr>
        <w:tc>
          <w:tcPr>
            <w:tcW w:w="18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1"/>
              <w:ind w:left="583"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662" w:type="dxa"/>
            <w:vMerge w:val="restart"/>
            <w:tcBorders>
              <w:top w:val="single" w:sz="4" w:space="0" w:color="000000"/>
              <w:left w:val="single" w:sz="4" w:space="0" w:color="000000"/>
              <w:right w:val="single" w:sz="4" w:space="0" w:color="000000"/>
            </w:tcBorders>
            <w:shd w:val="clear" w:color="auto" w:fill="D2D2D2"/>
          </w:tcPr>
          <w:p>
            <w:pPr>
              <w:pStyle w:val="TableParagraph"/>
              <w:spacing w:line="300" w:lineRule="auto" w:before="54"/>
              <w:ind w:left="561" w:right="51" w:hanging="500"/>
              <w:jc w:val="left"/>
              <w:rPr>
                <w:rFonts w:ascii="宋体" w:hAnsi="宋体" w:cs="宋体" w:eastAsia="宋体" w:hint="default"/>
                <w:sz w:val="18"/>
                <w:szCs w:val="18"/>
              </w:rPr>
            </w:pPr>
            <w:r>
              <w:rPr>
                <w:rFonts w:ascii="宋体" w:hAnsi="宋体" w:cs="宋体" w:eastAsia="宋体" w:hint="default"/>
                <w:sz w:val="18"/>
                <w:szCs w:val="18"/>
              </w:rPr>
              <w:t>未来</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个月预期信</w:t>
            </w:r>
            <w:r>
              <w:rPr>
                <w:rFonts w:ascii="宋体" w:hAnsi="宋体" w:cs="宋体" w:eastAsia="宋体" w:hint="default"/>
                <w:w w:val="101"/>
                <w:sz w:val="18"/>
                <w:szCs w:val="18"/>
              </w:rPr>
              <w:t> </w:t>
            </w:r>
            <w:r>
              <w:rPr>
                <w:rFonts w:ascii="宋体" w:hAnsi="宋体" w:cs="宋体" w:eastAsia="宋体" w:hint="default"/>
                <w:sz w:val="18"/>
                <w:szCs w:val="18"/>
              </w:rPr>
              <w:t>用损失</w:t>
            </w:r>
          </w:p>
        </w:tc>
        <w:tc>
          <w:tcPr>
            <w:tcW w:w="20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9" w:right="0"/>
              <w:jc w:val="center"/>
              <w:rPr>
                <w:rFonts w:ascii="宋体" w:hAnsi="宋体" w:cs="宋体" w:eastAsia="宋体" w:hint="default"/>
                <w:sz w:val="18"/>
                <w:szCs w:val="18"/>
              </w:rPr>
            </w:pPr>
            <w:r>
              <w:rPr>
                <w:rFonts w:ascii="宋体" w:hAnsi="宋体" w:cs="宋体" w:eastAsia="宋体" w:hint="default"/>
                <w:spacing w:val="-3"/>
                <w:sz w:val="18"/>
                <w:szCs w:val="18"/>
              </w:rPr>
              <w:t>整个存续期预期信用损失</w:t>
            </w:r>
          </w:p>
          <w:p>
            <w:pPr>
              <w:pStyle w:val="TableParagraph"/>
              <w:spacing w:line="240" w:lineRule="auto" w:before="76"/>
              <w:ind w:left="3"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未发生信用减值</w:t>
            </w:r>
            <w:r>
              <w:rPr>
                <w:rFonts w:ascii="Times New Roman" w:hAnsi="Times New Roman" w:cs="Times New Roman" w:eastAsia="Times New Roman" w:hint="default"/>
                <w:spacing w:val="-3"/>
                <w:sz w:val="18"/>
                <w:szCs w:val="18"/>
              </w:rPr>
              <w:t>)</w:t>
            </w:r>
          </w:p>
        </w:tc>
        <w:tc>
          <w:tcPr>
            <w:tcW w:w="210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spacing w:val="-3"/>
                <w:sz w:val="18"/>
                <w:szCs w:val="18"/>
              </w:rPr>
              <w:t>整个存续期预期信用损失</w:t>
            </w:r>
          </w:p>
          <w:p>
            <w:pPr>
              <w:pStyle w:val="TableParagraph"/>
              <w:spacing w:line="240" w:lineRule="auto" w:before="76"/>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已发生信用减值</w:t>
            </w:r>
            <w:r>
              <w:rPr>
                <w:rFonts w:ascii="Times New Roman" w:hAnsi="Times New Roman" w:cs="Times New Roman" w:eastAsia="Times New Roman" w:hint="default"/>
                <w:spacing w:val="-3"/>
                <w:sz w:val="18"/>
                <w:szCs w:val="18"/>
              </w:rPr>
              <w:t>)</w:t>
            </w:r>
          </w:p>
        </w:tc>
        <w:tc>
          <w:tcPr>
            <w:tcW w:w="180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1"/>
              <w:ind w:left="715" w:right="0"/>
              <w:jc w:val="left"/>
              <w:rPr>
                <w:rFonts w:ascii="宋体" w:hAnsi="宋体" w:cs="宋体" w:eastAsia="宋体" w:hint="default"/>
                <w:sz w:val="18"/>
                <w:szCs w:val="18"/>
              </w:rPr>
            </w:pPr>
            <w:r>
              <w:rPr>
                <w:rFonts w:ascii="宋体" w:hAnsi="宋体" w:cs="宋体" w:eastAsia="宋体" w:hint="default"/>
                <w:sz w:val="18"/>
                <w:szCs w:val="18"/>
              </w:rPr>
              <w:t>合计</w:t>
            </w:r>
          </w:p>
        </w:tc>
      </w:tr>
      <w:tr>
        <w:trPr>
          <w:trHeight w:val="360" w:hRule="exact"/>
        </w:trPr>
        <w:tc>
          <w:tcPr>
            <w:tcW w:w="18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662" w:type="dxa"/>
            <w:vMerge/>
            <w:tcBorders>
              <w:left w:val="single" w:sz="4" w:space="0" w:color="000000"/>
              <w:bottom w:val="single" w:sz="4" w:space="0" w:color="000000"/>
              <w:right w:val="single" w:sz="4" w:space="0" w:color="000000"/>
            </w:tcBorders>
            <w:shd w:val="clear" w:color="auto" w:fill="D2D2D2"/>
          </w:tcPr>
          <w:p>
            <w:pPr/>
          </w:p>
        </w:tc>
        <w:tc>
          <w:tcPr>
            <w:tcW w:w="2098" w:type="dxa"/>
            <w:vMerge/>
            <w:tcBorders>
              <w:left w:val="single" w:sz="4" w:space="0" w:color="000000"/>
              <w:bottom w:val="single" w:sz="4" w:space="0" w:color="000000"/>
              <w:right w:val="single" w:sz="4" w:space="0" w:color="000000"/>
            </w:tcBorders>
            <w:shd w:val="clear" w:color="auto" w:fill="D2D2D2"/>
          </w:tcPr>
          <w:p>
            <w:pPr/>
          </w:p>
        </w:tc>
        <w:tc>
          <w:tcPr>
            <w:tcW w:w="2103" w:type="dxa"/>
            <w:vMerge/>
            <w:tcBorders>
              <w:left w:val="single" w:sz="4" w:space="0" w:color="000000"/>
              <w:bottom w:val="single" w:sz="4" w:space="0" w:color="000000"/>
              <w:right w:val="single" w:sz="4" w:space="0" w:color="000000"/>
            </w:tcBorders>
            <w:shd w:val="clear" w:color="auto" w:fill="D2D2D2"/>
          </w:tcPr>
          <w:p>
            <w:pPr/>
          </w:p>
        </w:tc>
        <w:tc>
          <w:tcPr>
            <w:tcW w:w="1800"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18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日余额</w:t>
            </w:r>
          </w:p>
        </w:tc>
        <w:tc>
          <w:tcPr>
            <w:tcW w:w="1662"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2,412,048.23</w:t>
            </w:r>
          </w:p>
        </w:tc>
        <w:tc>
          <w:tcPr>
            <w:tcW w:w="2098" w:type="dxa"/>
            <w:tcBorders>
              <w:top w:val="single" w:sz="4" w:space="0" w:color="000000"/>
              <w:left w:val="single" w:sz="4" w:space="0" w:color="000000"/>
              <w:bottom w:val="single" w:sz="4" w:space="0" w:color="000000"/>
              <w:right w:val="single" w:sz="4" w:space="0" w:color="000000"/>
            </w:tcBorders>
          </w:tcPr>
          <w:p>
            <w:pPr/>
          </w:p>
        </w:tc>
        <w:tc>
          <w:tcPr>
            <w:tcW w:w="2103"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2,412,048.23</w:t>
            </w:r>
          </w:p>
        </w:tc>
      </w:tr>
      <w:tr>
        <w:trPr>
          <w:trHeight w:val="163" w:hRule="exact"/>
        </w:trPr>
        <w:tc>
          <w:tcPr>
            <w:tcW w:w="1894" w:type="dxa"/>
            <w:vMerge w:val="restart"/>
            <w:tcBorders>
              <w:top w:val="single" w:sz="4" w:space="0" w:color="000000"/>
              <w:left w:val="single" w:sz="4" w:space="0" w:color="000000"/>
              <w:right w:val="single" w:sz="4" w:space="0" w:color="000000"/>
            </w:tcBorders>
            <w:shd w:val="clear" w:color="auto" w:fill="D2D2D2"/>
          </w:tcPr>
          <w:p>
            <w:pPr>
              <w:pStyle w:val="TableParagraph"/>
              <w:spacing w:line="300" w:lineRule="auto" w:before="53"/>
              <w:ind w:left="11" w:right="21"/>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日余额在</w:t>
            </w:r>
            <w:r>
              <w:rPr>
                <w:rFonts w:ascii="宋体" w:hAnsi="宋体" w:cs="宋体" w:eastAsia="宋体" w:hint="default"/>
                <w:w w:val="101"/>
                <w:sz w:val="18"/>
                <w:szCs w:val="18"/>
              </w:rPr>
              <w:t> </w:t>
            </w:r>
            <w:r>
              <w:rPr>
                <w:rFonts w:ascii="宋体" w:hAnsi="宋体" w:cs="宋体" w:eastAsia="宋体" w:hint="default"/>
                <w:sz w:val="18"/>
                <w:szCs w:val="18"/>
              </w:rPr>
              <w:t>本期</w:t>
            </w:r>
          </w:p>
        </w:tc>
        <w:tc>
          <w:tcPr>
            <w:tcW w:w="1662" w:type="dxa"/>
            <w:tcBorders>
              <w:top w:val="single" w:sz="4" w:space="0" w:color="000000"/>
              <w:left w:val="single" w:sz="4" w:space="0" w:color="000000"/>
              <w:bottom w:val="nil" w:sz="6" w:space="0" w:color="auto"/>
              <w:right w:val="single" w:sz="4" w:space="0" w:color="000000"/>
            </w:tcBorders>
            <w:shd w:val="clear" w:color="auto" w:fill="D2D2D2"/>
          </w:tcPr>
          <w:p>
            <w:pPr/>
          </w:p>
        </w:tc>
        <w:tc>
          <w:tcPr>
            <w:tcW w:w="2098" w:type="dxa"/>
            <w:tcBorders>
              <w:top w:val="single" w:sz="4" w:space="0" w:color="000000"/>
              <w:left w:val="single" w:sz="4" w:space="0" w:color="000000"/>
              <w:bottom w:val="nil" w:sz="6" w:space="0" w:color="auto"/>
              <w:right w:val="single" w:sz="4" w:space="0" w:color="000000"/>
            </w:tcBorders>
            <w:shd w:val="clear" w:color="auto" w:fill="D2D2D2"/>
          </w:tcPr>
          <w:p>
            <w:pPr/>
          </w:p>
        </w:tc>
        <w:tc>
          <w:tcPr>
            <w:tcW w:w="2103" w:type="dxa"/>
            <w:tcBorders>
              <w:top w:val="single" w:sz="4" w:space="0" w:color="000000"/>
              <w:left w:val="single" w:sz="4" w:space="0" w:color="000000"/>
              <w:bottom w:val="nil" w:sz="6" w:space="0" w:color="auto"/>
              <w:right w:val="single" w:sz="4" w:space="0" w:color="000000"/>
            </w:tcBorders>
            <w:shd w:val="clear" w:color="auto" w:fill="D2D2D2"/>
          </w:tcPr>
          <w:p>
            <w:pPr/>
          </w:p>
        </w:tc>
        <w:tc>
          <w:tcPr>
            <w:tcW w:w="1800"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89" w:hRule="exact"/>
        </w:trPr>
        <w:tc>
          <w:tcPr>
            <w:tcW w:w="1894" w:type="dxa"/>
            <w:vMerge/>
            <w:tcBorders>
              <w:left w:val="single" w:sz="4" w:space="0" w:color="000000"/>
              <w:right w:val="single" w:sz="4" w:space="0" w:color="000000"/>
            </w:tcBorders>
            <w:shd w:val="clear" w:color="auto" w:fill="D2D2D2"/>
          </w:tcPr>
          <w:p>
            <w:pPr/>
          </w:p>
        </w:tc>
        <w:tc>
          <w:tcPr>
            <w:tcW w:w="166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6"/>
              <w:ind w:left="9"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0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6"/>
              <w:ind w:left="4"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10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80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6"/>
              <w:ind w:left="7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164" w:hRule="exact"/>
        </w:trPr>
        <w:tc>
          <w:tcPr>
            <w:tcW w:w="1894" w:type="dxa"/>
            <w:vMerge/>
            <w:tcBorders>
              <w:left w:val="single" w:sz="4" w:space="0" w:color="000000"/>
              <w:bottom w:val="single" w:sz="4" w:space="0" w:color="000000"/>
              <w:right w:val="single" w:sz="4" w:space="0" w:color="000000"/>
            </w:tcBorders>
            <w:shd w:val="clear" w:color="auto" w:fill="D2D2D2"/>
          </w:tcPr>
          <w:p>
            <w:pPr/>
          </w:p>
        </w:tc>
        <w:tc>
          <w:tcPr>
            <w:tcW w:w="1662" w:type="dxa"/>
            <w:tcBorders>
              <w:top w:val="nil" w:sz="6" w:space="0" w:color="auto"/>
              <w:left w:val="single" w:sz="4" w:space="0" w:color="000000"/>
              <w:bottom w:val="single" w:sz="4" w:space="0" w:color="000000"/>
              <w:right w:val="single" w:sz="4" w:space="0" w:color="000000"/>
            </w:tcBorders>
            <w:shd w:val="clear" w:color="auto" w:fill="D2D2D2"/>
          </w:tcPr>
          <w:p>
            <w:pPr/>
          </w:p>
        </w:tc>
        <w:tc>
          <w:tcPr>
            <w:tcW w:w="2098" w:type="dxa"/>
            <w:tcBorders>
              <w:top w:val="nil" w:sz="6" w:space="0" w:color="auto"/>
              <w:left w:val="single" w:sz="4" w:space="0" w:color="000000"/>
              <w:bottom w:val="single" w:sz="4" w:space="0" w:color="000000"/>
              <w:right w:val="single" w:sz="4" w:space="0" w:color="000000"/>
            </w:tcBorders>
            <w:shd w:val="clear" w:color="auto" w:fill="D2D2D2"/>
          </w:tcPr>
          <w:p>
            <w:pPr/>
          </w:p>
        </w:tc>
        <w:tc>
          <w:tcPr>
            <w:tcW w:w="2103" w:type="dxa"/>
            <w:tcBorders>
              <w:top w:val="nil" w:sz="6" w:space="0" w:color="auto"/>
              <w:left w:val="single" w:sz="4" w:space="0" w:color="000000"/>
              <w:bottom w:val="single" w:sz="4" w:space="0" w:color="000000"/>
              <w:right w:val="single" w:sz="4" w:space="0" w:color="000000"/>
            </w:tcBorders>
            <w:shd w:val="clear" w:color="auto" w:fill="D2D2D2"/>
          </w:tcPr>
          <w:p>
            <w:pPr/>
          </w:p>
        </w:tc>
        <w:tc>
          <w:tcPr>
            <w:tcW w:w="1800"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18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本期计提</w:t>
            </w:r>
          </w:p>
        </w:tc>
        <w:tc>
          <w:tcPr>
            <w:tcW w:w="1662"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191,836.89</w:t>
            </w:r>
          </w:p>
        </w:tc>
        <w:tc>
          <w:tcPr>
            <w:tcW w:w="2098" w:type="dxa"/>
            <w:tcBorders>
              <w:top w:val="single" w:sz="4" w:space="0" w:color="000000"/>
              <w:left w:val="single" w:sz="4" w:space="0" w:color="000000"/>
              <w:bottom w:val="single" w:sz="4" w:space="0" w:color="000000"/>
              <w:right w:val="single" w:sz="4" w:space="0" w:color="000000"/>
            </w:tcBorders>
          </w:tcPr>
          <w:p>
            <w:pPr/>
          </w:p>
        </w:tc>
        <w:tc>
          <w:tcPr>
            <w:tcW w:w="2103"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191,836.89</w:t>
            </w:r>
          </w:p>
        </w:tc>
      </w:tr>
      <w:tr>
        <w:trPr>
          <w:trHeight w:val="398" w:hRule="exact"/>
        </w:trPr>
        <w:tc>
          <w:tcPr>
            <w:tcW w:w="18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日余额</w:t>
            </w:r>
          </w:p>
        </w:tc>
        <w:tc>
          <w:tcPr>
            <w:tcW w:w="1662"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2,603,885.12</w:t>
            </w:r>
          </w:p>
        </w:tc>
        <w:tc>
          <w:tcPr>
            <w:tcW w:w="2098" w:type="dxa"/>
            <w:tcBorders>
              <w:top w:val="single" w:sz="4" w:space="0" w:color="000000"/>
              <w:left w:val="single" w:sz="4" w:space="0" w:color="000000"/>
              <w:bottom w:val="single" w:sz="4" w:space="0" w:color="000000"/>
              <w:right w:val="single" w:sz="4" w:space="0" w:color="000000"/>
            </w:tcBorders>
          </w:tcPr>
          <w:p>
            <w:pPr/>
          </w:p>
        </w:tc>
        <w:tc>
          <w:tcPr>
            <w:tcW w:w="2103"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2,603,885.12</w:t>
            </w:r>
          </w:p>
        </w:tc>
      </w:tr>
    </w:tbl>
    <w:p>
      <w:pPr>
        <w:spacing w:after="0" w:line="240" w:lineRule="auto"/>
        <w:jc w:val="right"/>
        <w:rPr>
          <w:rFonts w:ascii="Times New Roman" w:hAnsi="Times New Roman" w:cs="Times New Roman" w:eastAsia="Times New Roman" w:hint="default"/>
          <w:sz w:val="18"/>
          <w:szCs w:val="18"/>
        </w:rPr>
        <w:sectPr>
          <w:pgSz w:w="11910" w:h="16840"/>
          <w:pgMar w:header="871" w:footer="1186" w:top="1100" w:bottom="1380" w:left="980" w:right="0"/>
        </w:sectPr>
      </w:pPr>
    </w:p>
    <w:p>
      <w:pPr>
        <w:pStyle w:val="BodyText"/>
        <w:spacing w:line="240" w:lineRule="auto" w:before="53"/>
        <w:ind w:right="0"/>
        <w:jc w:val="left"/>
      </w:pPr>
      <w:r>
        <w:rPr>
          <w:spacing w:val="-3"/>
        </w:rPr>
        <w:t>损失准备本期变动金额重大的账面余额变动情况</w:t>
      </w:r>
    </w:p>
    <w:p>
      <w:pPr>
        <w:pStyle w:val="BodyText"/>
        <w:spacing w:line="338" w:lineRule="auto" w:before="119"/>
        <w:ind w:right="1612"/>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2"/>
        </w:rPr>
        <w:t> </w:t>
      </w:r>
      <w:r>
        <w:rPr/>
        <w:t>不适用</w:t>
      </w:r>
      <w:r>
        <w:rPr>
          <w:w w:val="101"/>
        </w:rPr>
        <w:t> </w:t>
      </w:r>
      <w:r>
        <w:rPr/>
        <w:t>按账龄披露</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13"/>
          <w:szCs w:val="13"/>
        </w:rPr>
      </w:pPr>
    </w:p>
    <w:p>
      <w:pPr>
        <w:pStyle w:val="BodyText"/>
        <w:spacing w:line="240" w:lineRule="auto"/>
        <w:ind w:right="0"/>
        <w:jc w:val="left"/>
      </w:pPr>
      <w:r>
        <w:rPr/>
        <w:t>单位：</w:t>
      </w:r>
      <w:r>
        <w:rPr>
          <w:spacing w:val="5"/>
        </w:rPr>
        <w:t> </w:t>
      </w:r>
      <w:r>
        <w:rPr/>
        <w:t>元</w:t>
      </w:r>
    </w:p>
    <w:p>
      <w:pPr>
        <w:spacing w:after="0" w:line="240" w:lineRule="auto"/>
        <w:jc w:val="left"/>
        <w:sectPr>
          <w:type w:val="continuous"/>
          <w:pgSz w:w="11910" w:h="16840"/>
          <w:pgMar w:top="1580" w:bottom="700" w:left="980" w:right="0"/>
          <w:cols w:num="2" w:equalWidth="0">
            <w:col w:w="3937" w:space="4894"/>
            <w:col w:w="2099"/>
          </w:cols>
        </w:sectPr>
      </w:pP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4764"/>
        <w:gridCol w:w="4794"/>
      </w:tblGrid>
      <w:tr>
        <w:trPr>
          <w:trHeight w:val="403"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7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6" w:right="0"/>
              <w:jc w:val="center"/>
              <w:rPr>
                <w:rFonts w:ascii="宋体" w:hAnsi="宋体" w:cs="宋体" w:eastAsia="宋体" w:hint="default"/>
                <w:sz w:val="18"/>
                <w:szCs w:val="18"/>
              </w:rPr>
            </w:pPr>
            <w:r>
              <w:rPr>
                <w:rFonts w:ascii="宋体" w:hAnsi="宋体" w:cs="宋体" w:eastAsia="宋体" w:hint="default"/>
                <w:sz w:val="18"/>
                <w:szCs w:val="18"/>
              </w:rPr>
              <w:t>账面余额</w:t>
            </w:r>
          </w:p>
        </w:tc>
      </w:tr>
      <w:tr>
        <w:trPr>
          <w:trHeight w:val="403"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年以内（含</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pacing w:val="-5"/>
                <w:sz w:val="18"/>
                <w:szCs w:val="18"/>
              </w:rPr>
              <w:t>年）</w:t>
            </w:r>
            <w:r>
              <w:rPr>
                <w:rFonts w:ascii="宋体" w:hAnsi="宋体" w:cs="宋体" w:eastAsia="宋体" w:hint="default"/>
                <w:sz w:val="18"/>
                <w:szCs w:val="18"/>
              </w:rPr>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23,901,669.63</w:t>
            </w:r>
          </w:p>
        </w:tc>
      </w:tr>
      <w:tr>
        <w:trPr>
          <w:trHeight w:val="399"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年</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5,060,829.56</w:t>
            </w:r>
          </w:p>
        </w:tc>
      </w:tr>
      <w:tr>
        <w:trPr>
          <w:trHeight w:val="403"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年</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18,164,839.65</w:t>
            </w:r>
          </w:p>
        </w:tc>
      </w:tr>
      <w:tr>
        <w:trPr>
          <w:trHeight w:val="403"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年以上</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3,270,682.67</w:t>
            </w:r>
          </w:p>
        </w:tc>
      </w:tr>
      <w:tr>
        <w:trPr>
          <w:trHeight w:val="403"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9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年</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2,213,422.69</w:t>
            </w:r>
          </w:p>
        </w:tc>
      </w:tr>
      <w:tr>
        <w:trPr>
          <w:trHeight w:val="399"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9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年</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2"/>
                <w:sz w:val="18"/>
              </w:rPr>
              <w:t>392,064.11</w:t>
            </w:r>
          </w:p>
        </w:tc>
      </w:tr>
      <w:tr>
        <w:trPr>
          <w:trHeight w:val="403"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9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665,195.87</w:t>
            </w:r>
          </w:p>
        </w:tc>
      </w:tr>
      <w:tr>
        <w:trPr>
          <w:trHeight w:val="403"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50,398,021.51</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580" w:bottom="700" w:left="980" w:right="0"/>
        </w:sectPr>
      </w:pPr>
    </w:p>
    <w:p>
      <w:pPr>
        <w:spacing w:line="240" w:lineRule="auto" w:before="0"/>
        <w:rPr>
          <w:rFonts w:ascii="宋体" w:hAnsi="宋体" w:cs="宋体" w:eastAsia="宋体" w:hint="default"/>
          <w:sz w:val="21"/>
          <w:szCs w:val="21"/>
        </w:rPr>
      </w:pPr>
    </w:p>
    <w:p>
      <w:pPr>
        <w:pStyle w:val="Heading3"/>
        <w:spacing w:line="240" w:lineRule="auto" w:before="36"/>
        <w:ind w:right="0"/>
        <w:jc w:val="left"/>
        <w:rPr>
          <w:b w:val="0"/>
          <w:bCs w:val="0"/>
        </w:rPr>
      </w:pPr>
      <w:bookmarkStart w:name="3）本期计提、收回或转回的坏账准备情况" w:id="243"/>
      <w:bookmarkEnd w:id="243"/>
      <w:r>
        <w:rPr>
          <w:b w:val="0"/>
          <w:bCs w:val="0"/>
        </w:rPr>
      </w:r>
      <w:r>
        <w:rPr>
          <w:rFonts w:ascii="Times New Roman" w:hAnsi="Times New Roman" w:cs="Times New Roman" w:eastAsia="Times New Roman" w:hint="default"/>
        </w:rPr>
        <w:t>3</w:t>
      </w:r>
      <w:r>
        <w:rPr/>
        <w:t>）本期计提、收回或转回的坏账准备情况</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right="0"/>
        <w:jc w:val="left"/>
      </w:pPr>
      <w:r>
        <w:rPr>
          <w:spacing w:val="-3"/>
        </w:rPr>
        <w:t>本期计提坏账准备情况：</w:t>
      </w:r>
    </w:p>
    <w:p>
      <w:pPr>
        <w:pStyle w:val="BodyText"/>
        <w:spacing w:line="240" w:lineRule="auto" w:before="115"/>
        <w:ind w:left="0" w:right="1122"/>
        <w:jc w:val="right"/>
      </w:pPr>
      <w:r>
        <w:rPr/>
        <w:t>单位：</w:t>
      </w:r>
      <w:r>
        <w:rPr>
          <w:spacing w:val="5"/>
        </w:rPr>
        <w:t> </w:t>
      </w:r>
      <w:r>
        <w:rPr/>
        <w:t>元</w:t>
      </w:r>
    </w:p>
    <w:p>
      <w:pPr>
        <w:spacing w:line="240" w:lineRule="auto" w:before="10"/>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417"/>
        <w:gridCol w:w="1100"/>
        <w:gridCol w:w="1340"/>
        <w:gridCol w:w="1330"/>
        <w:gridCol w:w="1330"/>
        <w:gridCol w:w="1330"/>
        <w:gridCol w:w="1724"/>
      </w:tblGrid>
      <w:tr>
        <w:trPr>
          <w:trHeight w:val="401" w:hRule="exact"/>
        </w:trPr>
        <w:tc>
          <w:tcPr>
            <w:tcW w:w="141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10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8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33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本期变动金额</w:t>
            </w:r>
          </w:p>
        </w:tc>
        <w:tc>
          <w:tcPr>
            <w:tcW w:w="172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9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417" w:type="dxa"/>
            <w:vMerge/>
            <w:tcBorders>
              <w:left w:val="single" w:sz="4" w:space="0" w:color="000000"/>
              <w:bottom w:val="single" w:sz="4" w:space="0" w:color="000000"/>
              <w:right w:val="single" w:sz="4" w:space="0" w:color="000000"/>
            </w:tcBorders>
            <w:shd w:val="clear" w:color="auto" w:fill="D2D2D2"/>
          </w:tcPr>
          <w:p>
            <w:pPr/>
          </w:p>
        </w:tc>
        <w:tc>
          <w:tcPr>
            <w:tcW w:w="1100" w:type="dxa"/>
            <w:vMerge/>
            <w:tcBorders>
              <w:left w:val="single" w:sz="4" w:space="0" w:color="000000"/>
              <w:bottom w:val="single" w:sz="4" w:space="0" w:color="000000"/>
              <w:right w:val="single" w:sz="4" w:space="0" w:color="000000"/>
            </w:tcBorders>
            <w:shd w:val="clear" w:color="auto" w:fill="D2D2D2"/>
          </w:tcPr>
          <w:p>
            <w:pPr/>
          </w:p>
        </w:tc>
        <w:tc>
          <w:tcPr>
            <w:tcW w:w="13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11"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核销</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724" w:type="dxa"/>
            <w:vMerge/>
            <w:tcBorders>
              <w:left w:val="single" w:sz="4" w:space="0" w:color="000000"/>
              <w:bottom w:val="single" w:sz="4" w:space="0" w:color="000000"/>
              <w:right w:val="single" w:sz="4" w:space="0" w:color="000000"/>
            </w:tcBorders>
            <w:shd w:val="clear" w:color="auto" w:fill="D2D2D2"/>
          </w:tcPr>
          <w:p>
            <w:pPr/>
          </w:p>
        </w:tc>
      </w:tr>
      <w:tr>
        <w:trPr>
          <w:trHeight w:val="716" w:hRule="exact"/>
        </w:trPr>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118"/>
              <w:jc w:val="left"/>
              <w:rPr>
                <w:rFonts w:ascii="宋体" w:hAnsi="宋体" w:cs="宋体" w:eastAsia="宋体" w:hint="default"/>
                <w:sz w:val="18"/>
                <w:szCs w:val="18"/>
              </w:rPr>
            </w:pPr>
            <w:r>
              <w:rPr>
                <w:rFonts w:ascii="宋体" w:hAnsi="宋体" w:cs="宋体" w:eastAsia="宋体" w:hint="default"/>
                <w:spacing w:val="-3"/>
                <w:sz w:val="18"/>
                <w:szCs w:val="18"/>
              </w:rPr>
              <w:t>按单项计提坏账</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准备</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0.00</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0.00</w:t>
            </w:r>
          </w:p>
        </w:tc>
        <w:tc>
          <w:tcPr>
            <w:tcW w:w="1330"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0.00</w:t>
            </w:r>
          </w:p>
        </w:tc>
      </w:tr>
      <w:tr>
        <w:trPr>
          <w:trHeight w:val="710" w:hRule="exact"/>
        </w:trPr>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118"/>
              <w:jc w:val="left"/>
              <w:rPr>
                <w:rFonts w:ascii="宋体" w:hAnsi="宋体" w:cs="宋体" w:eastAsia="宋体" w:hint="default"/>
                <w:sz w:val="18"/>
                <w:szCs w:val="18"/>
              </w:rPr>
            </w:pPr>
            <w:r>
              <w:rPr>
                <w:rFonts w:ascii="宋体" w:hAnsi="宋体" w:cs="宋体" w:eastAsia="宋体" w:hint="default"/>
                <w:spacing w:val="-3"/>
                <w:sz w:val="18"/>
                <w:szCs w:val="18"/>
              </w:rPr>
              <w:t>按组合计提坏账</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准备</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2,412,048.23</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191,836.89</w:t>
            </w:r>
          </w:p>
        </w:tc>
        <w:tc>
          <w:tcPr>
            <w:tcW w:w="1330"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2,603,885.12</w:t>
            </w:r>
          </w:p>
        </w:tc>
      </w:tr>
      <w:tr>
        <w:trPr>
          <w:trHeight w:val="403" w:hRule="exact"/>
        </w:trPr>
        <w:tc>
          <w:tcPr>
            <w:tcW w:w="1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2,412,048.23</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191,836.89</w:t>
            </w:r>
          </w:p>
        </w:tc>
        <w:tc>
          <w:tcPr>
            <w:tcW w:w="1330"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2,603,885.12</w:t>
            </w:r>
          </w:p>
        </w:tc>
      </w:tr>
    </w:tbl>
    <w:p>
      <w:pPr>
        <w:pStyle w:val="BodyText"/>
        <w:spacing w:line="441" w:lineRule="auto" w:before="53"/>
        <w:ind w:left="513" w:right="7068" w:hanging="360"/>
        <w:jc w:val="left"/>
      </w:pPr>
      <w:r>
        <w:rPr>
          <w:spacing w:val="-3"/>
        </w:rPr>
        <w:t>其中本期坏账准备转回或收回金额重要的：</w:t>
      </w:r>
      <w:r>
        <w:rPr>
          <w:spacing w:val="-33"/>
        </w:rPr>
        <w:t> </w:t>
      </w:r>
      <w:r>
        <w:rPr>
          <w:spacing w:val="-33"/>
        </w:rPr>
      </w:r>
      <w:r>
        <w:rPr/>
        <w:t>无。</w:t>
      </w:r>
    </w:p>
    <w:p>
      <w:pPr>
        <w:spacing w:line="240" w:lineRule="auto" w:before="12"/>
        <w:rPr>
          <w:rFonts w:ascii="宋体" w:hAnsi="宋体" w:cs="宋体" w:eastAsia="宋体" w:hint="default"/>
          <w:sz w:val="20"/>
          <w:szCs w:val="20"/>
        </w:rPr>
      </w:pPr>
    </w:p>
    <w:p>
      <w:pPr>
        <w:pStyle w:val="Heading3"/>
        <w:spacing w:line="240" w:lineRule="auto"/>
        <w:ind w:right="0"/>
        <w:jc w:val="left"/>
        <w:rPr>
          <w:b w:val="0"/>
          <w:bCs w:val="0"/>
        </w:rPr>
      </w:pPr>
      <w:bookmarkStart w:name="4）本期实际核销的其他应收款情况" w:id="244"/>
      <w:bookmarkEnd w:id="244"/>
      <w:r>
        <w:rPr>
          <w:b w:val="0"/>
          <w:bCs w:val="0"/>
        </w:rPr>
      </w:r>
      <w:r>
        <w:rPr>
          <w:rFonts w:ascii="Times New Roman" w:hAnsi="Times New Roman" w:cs="Times New Roman" w:eastAsia="Times New Roman" w:hint="default"/>
        </w:rPr>
        <w:t>4</w:t>
      </w:r>
      <w:r>
        <w:rPr/>
        <w:t>）本期实际核销的其他应收款情况</w:t>
      </w:r>
      <w:r>
        <w:rPr>
          <w:b w:val="0"/>
          <w:bCs w:val="0"/>
        </w:rPr>
      </w:r>
    </w:p>
    <w:p>
      <w:pPr>
        <w:spacing w:line="240" w:lineRule="auto" w:before="12"/>
        <w:rPr>
          <w:rFonts w:ascii="宋体" w:hAnsi="宋体" w:cs="宋体" w:eastAsia="宋体" w:hint="default"/>
          <w:b/>
          <w:bCs/>
          <w:sz w:val="32"/>
          <w:szCs w:val="32"/>
        </w:rPr>
      </w:pPr>
    </w:p>
    <w:p>
      <w:pPr>
        <w:pStyle w:val="BodyText"/>
        <w:spacing w:line="240" w:lineRule="auto"/>
        <w:ind w:left="513" w:right="0"/>
        <w:jc w:val="left"/>
      </w:pPr>
      <w:r>
        <w:rPr/>
        <w:t>无。</w:t>
      </w: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14"/>
          <w:szCs w:val="14"/>
        </w:rPr>
      </w:pPr>
    </w:p>
    <w:p>
      <w:pPr>
        <w:pStyle w:val="Heading3"/>
        <w:spacing w:line="240" w:lineRule="auto"/>
        <w:ind w:right="0"/>
        <w:jc w:val="left"/>
        <w:rPr>
          <w:b w:val="0"/>
          <w:bCs w:val="0"/>
        </w:rPr>
      </w:pPr>
      <w:bookmarkStart w:name="5）按欠款方归集的期末余额前五名的其他应收款情况" w:id="245"/>
      <w:bookmarkEnd w:id="245"/>
      <w:r>
        <w:rPr>
          <w:b w:val="0"/>
          <w:bCs w:val="0"/>
        </w:rPr>
      </w: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594"/>
        <w:gridCol w:w="1594"/>
        <w:gridCol w:w="1595"/>
        <w:gridCol w:w="1594"/>
        <w:gridCol w:w="1599"/>
        <w:gridCol w:w="1594"/>
      </w:tblGrid>
      <w:tr>
        <w:trPr>
          <w:trHeight w:val="716"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40"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72" w:right="70"/>
              <w:jc w:val="left"/>
              <w:rPr>
                <w:rFonts w:ascii="宋体" w:hAnsi="宋体" w:cs="宋体" w:eastAsia="宋体" w:hint="default"/>
                <w:sz w:val="18"/>
                <w:szCs w:val="18"/>
              </w:rPr>
            </w:pPr>
            <w:r>
              <w:rPr>
                <w:rFonts w:ascii="宋体" w:hAnsi="宋体" w:cs="宋体" w:eastAsia="宋体" w:hint="default"/>
                <w:spacing w:val="-2"/>
                <w:sz w:val="18"/>
                <w:szCs w:val="18"/>
              </w:rPr>
              <w:t>占其他应收款期末</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2"/>
                <w:sz w:val="18"/>
                <w:szCs w:val="18"/>
              </w:rPr>
              <w:t>余额合计数的比例</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1"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398"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23,970,001.44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年以内</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47.56%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1,198,500.07</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借款及利息</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10,787,540.31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两年以内</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21.40%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581,336.89</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1,276,000.00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年以内</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2.53%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63,800.00</w:t>
            </w:r>
          </w:p>
        </w:tc>
      </w:tr>
      <w:tr>
        <w:trPr>
          <w:trHeight w:val="40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房租押金</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1,085,182.00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年以内</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2.15%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54,259.10</w:t>
            </w:r>
          </w:p>
        </w:tc>
      </w:tr>
      <w:tr>
        <w:trPr>
          <w:trHeight w:val="398"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投标押金</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599,000.00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年以上</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1.19%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29,950.00</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7"/>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1595"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6"/>
              <w:ind w:right="6"/>
              <w:jc w:val="right"/>
              <w:rPr>
                <w:rFonts w:ascii="Times New Roman" w:hAnsi="Times New Roman" w:cs="Times New Roman" w:eastAsia="Times New Roman" w:hint="default"/>
                <w:sz w:val="18"/>
                <w:szCs w:val="18"/>
              </w:rPr>
            </w:pPr>
            <w:r>
              <w:rPr>
                <w:rFonts w:ascii="Times New Roman"/>
                <w:spacing w:val="-1"/>
                <w:sz w:val="18"/>
              </w:rPr>
              <w:t>37,717,723.75</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8"/>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74.84%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1,927,846.06</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6）涉及政府补助的应收款项" w:id="246"/>
      <w:bookmarkEnd w:id="246"/>
      <w:r>
        <w:rPr>
          <w:b w:val="0"/>
          <w:bCs w:val="0"/>
        </w:rPr>
      </w:r>
      <w:r>
        <w:rPr>
          <w:rFonts w:ascii="Times New Roman" w:hAnsi="Times New Roman" w:cs="Times New Roman" w:eastAsia="Times New Roman" w:hint="default"/>
        </w:rPr>
        <w:t>6</w:t>
      </w:r>
      <w:r>
        <w:rPr/>
        <w:t>）涉及政府补助的应收款项</w:t>
      </w:r>
      <w:r>
        <w:rPr>
          <w:b w:val="0"/>
          <w:bCs w:val="0"/>
        </w:rPr>
      </w:r>
    </w:p>
    <w:p>
      <w:pPr>
        <w:spacing w:line="240" w:lineRule="auto" w:before="8"/>
        <w:rPr>
          <w:rFonts w:ascii="宋体" w:hAnsi="宋体" w:cs="宋体" w:eastAsia="宋体" w:hint="default"/>
          <w:b/>
          <w:bCs/>
          <w:sz w:val="32"/>
          <w:szCs w:val="32"/>
        </w:rPr>
      </w:pPr>
    </w:p>
    <w:p>
      <w:pPr>
        <w:pStyle w:val="BodyText"/>
        <w:spacing w:line="240" w:lineRule="auto"/>
        <w:ind w:left="513" w:right="0"/>
        <w:jc w:val="left"/>
      </w:pPr>
      <w:r>
        <w:rPr/>
        <w:t>无。</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4"/>
          <w:szCs w:val="14"/>
        </w:rPr>
      </w:pPr>
    </w:p>
    <w:p>
      <w:pPr>
        <w:pStyle w:val="Heading3"/>
        <w:spacing w:line="240" w:lineRule="auto"/>
        <w:ind w:right="0"/>
        <w:jc w:val="left"/>
        <w:rPr>
          <w:b w:val="0"/>
          <w:bCs w:val="0"/>
        </w:rPr>
      </w:pPr>
      <w:bookmarkStart w:name="7）因金融资产转移而终止确认的其他应收款" w:id="247"/>
      <w:bookmarkEnd w:id="247"/>
      <w:r>
        <w:rPr>
          <w:b w:val="0"/>
          <w:bCs w:val="0"/>
        </w:rPr>
      </w:r>
      <w:r>
        <w:rPr>
          <w:rFonts w:ascii="Times New Roman" w:hAnsi="Times New Roman" w:cs="Times New Roman" w:eastAsia="Times New Roman" w:hint="default"/>
        </w:rPr>
        <w:t>7</w:t>
      </w:r>
      <w:r>
        <w:rPr/>
        <w:t>）因金融资产转移而终止确认的其他应收款</w:t>
      </w:r>
      <w:r>
        <w:rPr>
          <w:b w:val="0"/>
          <w:bCs w:val="0"/>
        </w:rPr>
      </w:r>
    </w:p>
    <w:p>
      <w:pPr>
        <w:spacing w:line="240" w:lineRule="auto" w:before="8"/>
        <w:rPr>
          <w:rFonts w:ascii="宋体" w:hAnsi="宋体" w:cs="宋体" w:eastAsia="宋体" w:hint="default"/>
          <w:b/>
          <w:bCs/>
          <w:sz w:val="32"/>
          <w:szCs w:val="32"/>
        </w:rPr>
      </w:pPr>
    </w:p>
    <w:p>
      <w:pPr>
        <w:pStyle w:val="BodyText"/>
        <w:spacing w:line="240" w:lineRule="auto"/>
        <w:ind w:left="513" w:right="0"/>
        <w:jc w:val="left"/>
      </w:pPr>
      <w:r>
        <w:rPr/>
        <w:t>无。</w:t>
      </w:r>
    </w:p>
    <w:p>
      <w:pPr>
        <w:spacing w:after="0" w:line="240" w:lineRule="auto"/>
        <w:jc w:val="left"/>
        <w:sectPr>
          <w:pgSz w:w="11910" w:h="16840"/>
          <w:pgMar w:header="871" w:footer="1186" w:top="1100" w:bottom="1380" w:left="980" w:right="0"/>
        </w:sectPr>
      </w:pPr>
    </w:p>
    <w:p>
      <w:pPr>
        <w:spacing w:line="240" w:lineRule="auto" w:before="0"/>
        <w:rPr>
          <w:rFonts w:ascii="宋体" w:hAnsi="宋体" w:cs="宋体" w:eastAsia="宋体" w:hint="default"/>
          <w:sz w:val="21"/>
          <w:szCs w:val="21"/>
        </w:rPr>
      </w:pPr>
    </w:p>
    <w:p>
      <w:pPr>
        <w:pStyle w:val="Heading3"/>
        <w:spacing w:line="240" w:lineRule="auto" w:before="36"/>
        <w:ind w:right="0"/>
        <w:jc w:val="left"/>
        <w:rPr>
          <w:b w:val="0"/>
          <w:bCs w:val="0"/>
        </w:rPr>
      </w:pPr>
      <w:bookmarkStart w:name="8）转移其他应收款且继续涉入形成的资产、负债金额" w:id="248"/>
      <w:bookmarkEnd w:id="248"/>
      <w:r>
        <w:rPr>
          <w:b w:val="0"/>
          <w:bCs w:val="0"/>
        </w:rPr>
      </w:r>
      <w:r>
        <w:rPr>
          <w:rFonts w:ascii="Times New Roman" w:hAnsi="Times New Roman" w:cs="Times New Roman" w:eastAsia="Times New Roman" w:hint="default"/>
        </w:rPr>
        <w:t>8</w:t>
      </w:r>
      <w:r>
        <w:rPr/>
        <w:t>）转移其他应收款且继续涉入形成的资产、负债金额</w:t>
      </w:r>
      <w:r>
        <w:rPr>
          <w:b w:val="0"/>
          <w:bCs w:val="0"/>
        </w:rPr>
      </w:r>
    </w:p>
    <w:p>
      <w:pPr>
        <w:spacing w:line="240" w:lineRule="auto" w:before="7"/>
        <w:rPr>
          <w:rFonts w:ascii="宋体" w:hAnsi="宋体" w:cs="宋体" w:eastAsia="宋体" w:hint="default"/>
          <w:b/>
          <w:bCs/>
          <w:sz w:val="32"/>
          <w:szCs w:val="32"/>
        </w:rPr>
      </w:pPr>
    </w:p>
    <w:p>
      <w:pPr>
        <w:pStyle w:val="BodyText"/>
        <w:spacing w:line="240" w:lineRule="auto"/>
        <w:ind w:left="513" w:right="0"/>
        <w:jc w:val="left"/>
      </w:pPr>
      <w:r>
        <w:rPr/>
        <w:t>无。</w:t>
      </w: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14"/>
          <w:szCs w:val="14"/>
        </w:rPr>
      </w:pPr>
    </w:p>
    <w:p>
      <w:pPr>
        <w:pStyle w:val="Heading3"/>
        <w:spacing w:line="240" w:lineRule="auto"/>
        <w:ind w:right="0"/>
        <w:jc w:val="left"/>
        <w:rPr>
          <w:b w:val="0"/>
          <w:bCs w:val="0"/>
        </w:rPr>
      </w:pPr>
      <w:bookmarkStart w:name="6、存货" w:id="249"/>
      <w:bookmarkEnd w:id="249"/>
      <w:r>
        <w:rPr>
          <w:b w:val="0"/>
          <w:bCs w:val="0"/>
        </w:rPr>
      </w:r>
      <w:r>
        <w:rPr>
          <w:rFonts w:ascii="Times New Roman" w:hAnsi="Times New Roman" w:cs="Times New Roman" w:eastAsia="Times New Roman" w:hint="default"/>
        </w:rPr>
        <w:t>6</w:t>
      </w:r>
      <w:r>
        <w:rPr/>
        <w:t>、存货</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right="0"/>
        <w:jc w:val="left"/>
      </w:pPr>
      <w:r>
        <w:rPr/>
        <w:t>是否已执行新收入准则</w:t>
      </w:r>
    </w:p>
    <w:p>
      <w:pPr>
        <w:pStyle w:val="BodyText"/>
        <w:spacing w:line="240" w:lineRule="auto" w:before="115"/>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3"/>
        <w:rPr>
          <w:rFonts w:ascii="宋体" w:hAnsi="宋体" w:cs="宋体" w:eastAsia="宋体" w:hint="default"/>
          <w:sz w:val="25"/>
          <w:szCs w:val="25"/>
        </w:rPr>
      </w:pPr>
    </w:p>
    <w:p>
      <w:pPr>
        <w:pStyle w:val="Heading3"/>
        <w:spacing w:line="240" w:lineRule="auto"/>
        <w:ind w:right="0"/>
        <w:jc w:val="left"/>
        <w:rPr>
          <w:b w:val="0"/>
          <w:bCs w:val="0"/>
        </w:rPr>
      </w:pPr>
      <w:bookmarkStart w:name="（1）存货分类" w:id="250"/>
      <w:bookmarkEnd w:id="250"/>
      <w:r>
        <w:rPr>
          <w:b w:val="0"/>
          <w:bCs w:val="0"/>
        </w:rPr>
      </w:r>
      <w:r>
        <w:rPr/>
        <w:t>（</w:t>
      </w:r>
      <w:r>
        <w:rPr>
          <w:rFonts w:ascii="Times New Roman" w:hAnsi="Times New Roman" w:cs="Times New Roman" w:eastAsia="Times New Roman" w:hint="default"/>
        </w:rPr>
        <w:t>1</w:t>
      </w:r>
      <w:r>
        <w:rPr/>
        <w:t>）存货分类</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357"/>
        <w:gridCol w:w="1368"/>
        <w:gridCol w:w="1369"/>
        <w:gridCol w:w="1368"/>
        <w:gridCol w:w="1364"/>
        <w:gridCol w:w="1369"/>
        <w:gridCol w:w="1369"/>
      </w:tblGrid>
      <w:tr>
        <w:trPr>
          <w:trHeight w:val="206"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410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1"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5"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2" w:hRule="exact"/>
        </w:trPr>
        <w:tc>
          <w:tcPr>
            <w:tcW w:w="135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right="5"/>
              <w:jc w:val="center"/>
              <w:rPr>
                <w:rFonts w:ascii="宋体" w:hAnsi="宋体" w:cs="宋体" w:eastAsia="宋体" w:hint="default"/>
                <w:sz w:val="18"/>
                <w:szCs w:val="18"/>
              </w:rPr>
            </w:pPr>
            <w:r>
              <w:rPr>
                <w:rFonts w:ascii="宋体" w:hAnsi="宋体" w:cs="宋体" w:eastAsia="宋体" w:hint="default"/>
                <w:sz w:val="18"/>
                <w:szCs w:val="18"/>
              </w:rPr>
              <w:t>项目</w:t>
            </w:r>
          </w:p>
        </w:tc>
        <w:tc>
          <w:tcPr>
            <w:tcW w:w="4105" w:type="dxa"/>
            <w:gridSpan w:val="3"/>
            <w:vMerge/>
            <w:tcBorders>
              <w:left w:val="single" w:sz="4" w:space="0" w:color="000000"/>
              <w:bottom w:val="single" w:sz="4" w:space="0" w:color="000000"/>
              <w:right w:val="single" w:sz="4" w:space="0" w:color="000000"/>
            </w:tcBorders>
            <w:shd w:val="clear" w:color="auto" w:fill="D2D2D2"/>
          </w:tcPr>
          <w:p>
            <w:pPr/>
          </w:p>
        </w:tc>
        <w:tc>
          <w:tcPr>
            <w:tcW w:w="4101" w:type="dxa"/>
            <w:gridSpan w:val="3"/>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357" w:type="dxa"/>
            <w:vMerge/>
            <w:tcBorders>
              <w:left w:val="single" w:sz="4" w:space="0" w:color="000000"/>
              <w:bottom w:val="nil" w:sz="6" w:space="0" w:color="auto"/>
              <w:right w:val="single" w:sz="4" w:space="0" w:color="000000"/>
            </w:tcBorders>
            <w:shd w:val="clear" w:color="auto" w:fill="D2D2D2"/>
          </w:tcPr>
          <w:p>
            <w:pP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9"/>
              <w:ind w:left="31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9"/>
              <w:ind w:left="316"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9"/>
              <w:ind w:left="316"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9"/>
              <w:ind w:left="31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9"/>
              <w:ind w:left="317"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9"/>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6"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4"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1,996,318.25</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1,996,318.25</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2"/>
                <w:sz w:val="18"/>
              </w:rPr>
              <w:t>3,868,811.50</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3,868,811.50</w:t>
            </w:r>
          </w:p>
        </w:tc>
      </w:tr>
      <w:tr>
        <w:trPr>
          <w:trHeight w:val="398"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98,838,898.22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1,422,163.50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97,416,734.72</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124,225,689.98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560,500.60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123,665,189.38</w:t>
            </w:r>
          </w:p>
        </w:tc>
      </w:tr>
      <w:tr>
        <w:trPr>
          <w:trHeight w:val="403" w:hRule="exact"/>
        </w:trPr>
        <w:tc>
          <w:tcPr>
            <w:tcW w:w="135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8"/>
              <w:ind w:left="11" w:right="0"/>
              <w:jc w:val="left"/>
              <w:rPr>
                <w:rFonts w:ascii="宋体" w:hAnsi="宋体" w:cs="宋体" w:eastAsia="宋体" w:hint="default"/>
                <w:sz w:val="18"/>
                <w:szCs w:val="18"/>
              </w:rPr>
            </w:pPr>
            <w:r>
              <w:rPr>
                <w:rFonts w:ascii="宋体" w:hAnsi="宋体" w:cs="宋体" w:eastAsia="宋体" w:hint="default"/>
                <w:sz w:val="18"/>
                <w:szCs w:val="18"/>
              </w:rPr>
              <w:t>委托加工物资</w:t>
            </w:r>
          </w:p>
        </w:tc>
        <w:tc>
          <w:tcPr>
            <w:tcW w:w="1368"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1,458,822.02</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1,458,822.02</w:t>
            </w:r>
          </w:p>
        </w:tc>
        <w:tc>
          <w:tcPr>
            <w:tcW w:w="136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102,294,038.49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1,422,163.50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100,871,874.99</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128,094,501.48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560,500.60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127,534,000.88</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2）存货跌价准备" w:id="251"/>
      <w:bookmarkEnd w:id="251"/>
      <w:r>
        <w:rPr>
          <w:b w:val="0"/>
          <w:bCs w:val="0"/>
        </w:rPr>
      </w:r>
      <w:r>
        <w:rPr/>
        <w:t>（</w:t>
      </w:r>
      <w:r>
        <w:rPr>
          <w:rFonts w:ascii="Times New Roman" w:hAnsi="Times New Roman" w:cs="Times New Roman" w:eastAsia="Times New Roman" w:hint="default"/>
        </w:rPr>
        <w:t>2</w:t>
      </w:r>
      <w:r>
        <w:rPr/>
        <w:t>）存货跌价准备</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369"/>
        <w:gridCol w:w="1368"/>
        <w:gridCol w:w="1369"/>
        <w:gridCol w:w="1368"/>
        <w:gridCol w:w="1364"/>
        <w:gridCol w:w="1369"/>
        <w:gridCol w:w="1369"/>
      </w:tblGrid>
      <w:tr>
        <w:trPr>
          <w:trHeight w:val="207" w:hRule="exact"/>
        </w:trPr>
        <w:tc>
          <w:tcPr>
            <w:tcW w:w="1369" w:type="dxa"/>
            <w:tcBorders>
              <w:top w:val="single" w:sz="4" w:space="0" w:color="000000"/>
              <w:left w:val="single" w:sz="4" w:space="0" w:color="000000"/>
              <w:bottom w:val="nil" w:sz="6" w:space="0" w:color="auto"/>
              <w:right w:val="single" w:sz="4" w:space="0" w:color="000000"/>
            </w:tcBorders>
            <w:shd w:val="clear" w:color="auto" w:fill="D2D2D2"/>
          </w:tcPr>
          <w:p>
            <w:pPr/>
          </w:p>
        </w:tc>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273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821"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73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821"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36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87" w:hRule="exact"/>
        </w:trPr>
        <w:tc>
          <w:tcPr>
            <w:tcW w:w="136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316"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7" w:type="dxa"/>
            <w:gridSpan w:val="2"/>
            <w:vMerge/>
            <w:tcBorders>
              <w:left w:val="single" w:sz="4" w:space="0" w:color="000000"/>
              <w:bottom w:val="single" w:sz="4" w:space="0" w:color="000000"/>
              <w:right w:val="single" w:sz="4" w:space="0" w:color="000000"/>
            </w:tcBorders>
            <w:shd w:val="clear" w:color="auto" w:fill="D2D2D2"/>
          </w:tcPr>
          <w:p>
            <w:pPr/>
          </w:p>
        </w:tc>
        <w:tc>
          <w:tcPr>
            <w:tcW w:w="2732" w:type="dxa"/>
            <w:gridSpan w:val="2"/>
            <w:vMerge/>
            <w:tcBorders>
              <w:left w:val="single" w:sz="4" w:space="0" w:color="000000"/>
              <w:bottom w:val="single" w:sz="4" w:space="0" w:color="000000"/>
              <w:right w:val="single" w:sz="4" w:space="0" w:color="000000"/>
            </w:tcBorders>
            <w:shd w:val="clear" w:color="auto" w:fill="D2D2D2"/>
          </w:tcPr>
          <w:p>
            <w:pPr/>
          </w:p>
        </w:tc>
        <w:tc>
          <w:tcPr>
            <w:tcW w:w="136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202" w:hRule="exact"/>
        </w:trPr>
        <w:tc>
          <w:tcPr>
            <w:tcW w:w="1369" w:type="dxa"/>
            <w:vMerge/>
            <w:tcBorders>
              <w:left w:val="single" w:sz="4" w:space="0" w:color="000000"/>
              <w:bottom w:val="nil" w:sz="6" w:space="0" w:color="auto"/>
              <w:right w:val="single" w:sz="4" w:space="0" w:color="000000"/>
            </w:tcBorders>
            <w:shd w:val="clear" w:color="auto" w:fill="D2D2D2"/>
          </w:tcPr>
          <w:p>
            <w:pPr/>
          </w:p>
        </w:tc>
        <w:tc>
          <w:tcPr>
            <w:tcW w:w="1368" w:type="dxa"/>
            <w:vMerge/>
            <w:tcBorders>
              <w:left w:val="single" w:sz="4" w:space="0" w:color="000000"/>
              <w:bottom w:val="nil" w:sz="6" w:space="0" w:color="auto"/>
              <w:right w:val="single" w:sz="4" w:space="0" w:color="000000"/>
            </w:tcBorders>
            <w:shd w:val="clear" w:color="auto" w:fill="D2D2D2"/>
          </w:tcPr>
          <w:p>
            <w:pP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4"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5"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230" w:right="0"/>
              <w:jc w:val="left"/>
              <w:rPr>
                <w:rFonts w:ascii="宋体" w:hAnsi="宋体" w:cs="宋体" w:eastAsia="宋体" w:hint="default"/>
                <w:sz w:val="18"/>
                <w:szCs w:val="18"/>
              </w:rPr>
            </w:pPr>
            <w:r>
              <w:rPr>
                <w:rFonts w:ascii="宋体" w:hAnsi="宋体" w:cs="宋体" w:eastAsia="宋体" w:hint="default"/>
                <w:sz w:val="18"/>
                <w:szCs w:val="18"/>
              </w:rPr>
              <w:t>转回或转销</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5"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9"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1369"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4"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560,500.60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874,982.12</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13,319.22</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1,422,163.50</w:t>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560,500.60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874,982.12</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13,319.22</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1,422,163.50</w:t>
            </w:r>
          </w:p>
        </w:tc>
      </w:tr>
    </w:tbl>
    <w:p>
      <w:pPr>
        <w:pStyle w:val="BodyText"/>
        <w:spacing w:line="240" w:lineRule="auto" w:before="92"/>
        <w:ind w:left="513" w:right="0"/>
        <w:jc w:val="left"/>
      </w:pPr>
      <w:r>
        <w:rPr>
          <w:spacing w:val="-3"/>
        </w:rPr>
        <w:t>转销的原因系上期计提存货跌价准备的存货本期实现对外销售。</w:t>
      </w: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14"/>
          <w:szCs w:val="14"/>
        </w:rPr>
      </w:pPr>
    </w:p>
    <w:p>
      <w:pPr>
        <w:pStyle w:val="Heading3"/>
        <w:spacing w:line="240" w:lineRule="auto"/>
        <w:ind w:right="0"/>
        <w:jc w:val="left"/>
        <w:rPr>
          <w:b w:val="0"/>
          <w:bCs w:val="0"/>
        </w:rPr>
      </w:pPr>
      <w:bookmarkStart w:name="（3）存货期末余额含有借款费用资本化金额的说明" w:id="252"/>
      <w:bookmarkEnd w:id="252"/>
      <w:r>
        <w:rPr>
          <w:b w:val="0"/>
          <w:bCs w:val="0"/>
        </w:rPr>
      </w:r>
      <w:r>
        <w:rPr/>
        <w:t>（</w:t>
      </w:r>
      <w:r>
        <w:rPr>
          <w:rFonts w:ascii="Times New Roman" w:hAnsi="Times New Roman" w:cs="Times New Roman" w:eastAsia="Times New Roman" w:hint="default"/>
        </w:rPr>
        <w:t>3</w:t>
      </w:r>
      <w:r>
        <w:rPr/>
        <w:t>）存货期末余额含有借款费用资本化金额的说明</w:t>
      </w:r>
      <w:r>
        <w:rPr>
          <w:b w:val="0"/>
          <w:bCs w:val="0"/>
        </w:rPr>
      </w:r>
    </w:p>
    <w:p>
      <w:pPr>
        <w:spacing w:line="240" w:lineRule="auto" w:before="12"/>
        <w:rPr>
          <w:rFonts w:ascii="宋体" w:hAnsi="宋体" w:cs="宋体" w:eastAsia="宋体" w:hint="default"/>
          <w:b/>
          <w:bCs/>
          <w:sz w:val="32"/>
          <w:szCs w:val="32"/>
        </w:rPr>
      </w:pPr>
    </w:p>
    <w:p>
      <w:pPr>
        <w:pStyle w:val="BodyText"/>
        <w:spacing w:line="240" w:lineRule="auto"/>
        <w:ind w:left="513" w:right="0"/>
        <w:jc w:val="left"/>
      </w:pPr>
      <w:r>
        <w:rPr/>
        <w:t>无。</w:t>
      </w: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14"/>
          <w:szCs w:val="14"/>
        </w:rPr>
      </w:pPr>
    </w:p>
    <w:p>
      <w:pPr>
        <w:pStyle w:val="Heading3"/>
        <w:spacing w:line="240" w:lineRule="auto"/>
        <w:ind w:right="0"/>
        <w:jc w:val="left"/>
        <w:rPr>
          <w:b w:val="0"/>
          <w:bCs w:val="0"/>
        </w:rPr>
      </w:pPr>
      <w:bookmarkStart w:name="（4）期末建造合同形成的已完工未结算资产情况" w:id="253"/>
      <w:bookmarkEnd w:id="253"/>
      <w:r>
        <w:rPr>
          <w:b w:val="0"/>
          <w:bCs w:val="0"/>
        </w:rPr>
      </w:r>
      <w:r>
        <w:rPr/>
        <w:t>（</w:t>
      </w:r>
      <w:r>
        <w:rPr>
          <w:rFonts w:ascii="Times New Roman" w:hAnsi="Times New Roman" w:cs="Times New Roman" w:eastAsia="Times New Roman" w:hint="default"/>
        </w:rPr>
        <w:t>4</w:t>
      </w:r>
      <w:r>
        <w:rPr/>
        <w:t>）期末建造合同形成的已完工未结算资产情况</w:t>
      </w:r>
      <w:r>
        <w:rPr>
          <w:b w:val="0"/>
          <w:bCs w:val="0"/>
        </w:rPr>
      </w:r>
    </w:p>
    <w:p>
      <w:pPr>
        <w:spacing w:line="240" w:lineRule="auto" w:before="7"/>
        <w:rPr>
          <w:rFonts w:ascii="宋体" w:hAnsi="宋体" w:cs="宋体" w:eastAsia="宋体" w:hint="default"/>
          <w:b/>
          <w:bCs/>
          <w:sz w:val="32"/>
          <w:szCs w:val="32"/>
        </w:rPr>
      </w:pPr>
    </w:p>
    <w:p>
      <w:pPr>
        <w:pStyle w:val="BodyText"/>
        <w:spacing w:line="240" w:lineRule="auto"/>
        <w:ind w:left="513" w:right="0"/>
        <w:jc w:val="left"/>
      </w:pPr>
      <w:r>
        <w:rPr/>
        <w:t>无。</w:t>
      </w: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14"/>
          <w:szCs w:val="14"/>
        </w:rPr>
      </w:pPr>
    </w:p>
    <w:p>
      <w:pPr>
        <w:pStyle w:val="Heading3"/>
        <w:spacing w:line="240" w:lineRule="auto"/>
        <w:ind w:right="0"/>
        <w:jc w:val="left"/>
        <w:rPr>
          <w:b w:val="0"/>
          <w:bCs w:val="0"/>
        </w:rPr>
      </w:pPr>
      <w:bookmarkStart w:name="7、其他流动资产" w:id="254"/>
      <w:bookmarkEnd w:id="254"/>
      <w:r>
        <w:rPr>
          <w:b w:val="0"/>
          <w:bCs w:val="0"/>
        </w:rPr>
      </w:r>
      <w:r>
        <w:rPr>
          <w:rFonts w:ascii="Times New Roman" w:hAnsi="Times New Roman" w:cs="Times New Roman" w:eastAsia="Times New Roman" w:hint="default"/>
        </w:rPr>
        <w:t>7</w:t>
      </w:r>
      <w:r>
        <w:rPr/>
        <w:t>、其他流动资产</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是否已执行新收入准则</w:t>
      </w:r>
    </w:p>
    <w:p>
      <w:pPr>
        <w:spacing w:after="0" w:line="240" w:lineRule="auto"/>
        <w:jc w:val="left"/>
        <w:sectPr>
          <w:pgSz w:w="11910" w:h="16840"/>
          <w:pgMar w:header="871" w:footer="1186" w:top="1100" w:bottom="1380" w:left="980" w:right="0"/>
        </w:sectPr>
      </w:pPr>
    </w:p>
    <w:p>
      <w:pPr>
        <w:spacing w:line="240" w:lineRule="auto" w:before="3"/>
        <w:rPr>
          <w:rFonts w:ascii="宋体" w:hAnsi="宋体" w:cs="宋体" w:eastAsia="宋体" w:hint="default"/>
          <w:sz w:val="22"/>
          <w:szCs w:val="22"/>
        </w:rPr>
      </w:pPr>
    </w:p>
    <w:p>
      <w:pPr>
        <w:pStyle w:val="BodyText"/>
        <w:spacing w:line="240" w:lineRule="auto" w:before="46"/>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pStyle w:val="BodyText"/>
        <w:spacing w:line="240" w:lineRule="auto" w:before="101"/>
        <w:ind w:left="0" w:right="1122"/>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399"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固定利率结构性存款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102,096,900.00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100,000,000.00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应收酬金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48,025,234.28</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47,216,163.77</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业务保证金</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10,417,488.59</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待认证进项税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5,195,688.59</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8,721,770.14</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出口退税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2,076,718.16</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4,743,123.10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待摊费用</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1,248,602.11</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1,304,832.98</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预缴企业所得税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2,497,613.80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169,794.71</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161,140,756.94</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172,573,173.29</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8、长期股权投资" w:id="255"/>
      <w:bookmarkEnd w:id="255"/>
      <w:r>
        <w:rPr>
          <w:b w:val="0"/>
          <w:bCs w:val="0"/>
        </w:rPr>
      </w:r>
      <w:r>
        <w:rPr>
          <w:rFonts w:ascii="Times New Roman" w:hAnsi="Times New Roman" w:cs="Times New Roman" w:eastAsia="Times New Roman" w:hint="default"/>
        </w:rPr>
        <w:t>8</w:t>
      </w:r>
      <w:r>
        <w:rPr/>
        <w:t>、长期股权投资</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797"/>
        <w:gridCol w:w="797"/>
        <w:gridCol w:w="797"/>
        <w:gridCol w:w="797"/>
        <w:gridCol w:w="797"/>
        <w:gridCol w:w="802"/>
        <w:gridCol w:w="797"/>
        <w:gridCol w:w="797"/>
        <w:gridCol w:w="797"/>
        <w:gridCol w:w="802"/>
        <w:gridCol w:w="797"/>
        <w:gridCol w:w="797"/>
      </w:tblGrid>
      <w:tr>
        <w:trPr>
          <w:trHeight w:val="403" w:hRule="exact"/>
        </w:trPr>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3"/>
                <w:szCs w:val="13"/>
              </w:rPr>
            </w:pPr>
          </w:p>
          <w:p>
            <w:pPr>
              <w:pStyle w:val="TableParagraph"/>
              <w:spacing w:line="316" w:lineRule="auto"/>
              <w:ind w:left="302" w:right="27" w:hanging="269"/>
              <w:jc w:val="left"/>
              <w:rPr>
                <w:rFonts w:ascii="宋体" w:hAnsi="宋体" w:cs="宋体" w:eastAsia="宋体" w:hint="default"/>
                <w:sz w:val="18"/>
                <w:szCs w:val="18"/>
              </w:rPr>
            </w:pPr>
            <w:r>
              <w:rPr>
                <w:rFonts w:ascii="宋体" w:hAnsi="宋体" w:cs="宋体" w:eastAsia="宋体" w:hint="default"/>
                <w:sz w:val="18"/>
                <w:szCs w:val="18"/>
              </w:rPr>
              <w:t>被投资单</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位</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309" w:lineRule="auto"/>
              <w:ind w:left="33" w:right="26"/>
              <w:jc w:val="center"/>
              <w:rPr>
                <w:rFonts w:ascii="Times New Roman" w:hAnsi="Times New Roman" w:cs="Times New Roman" w:eastAsia="Times New Roman" w:hint="default"/>
                <w:sz w:val="18"/>
                <w:szCs w:val="18"/>
              </w:rPr>
            </w:pPr>
            <w:r>
              <w:rPr>
                <w:rFonts w:ascii="宋体" w:hAnsi="宋体" w:cs="宋体" w:eastAsia="宋体" w:hint="default"/>
                <w:spacing w:val="-2"/>
                <w:sz w:val="18"/>
                <w:szCs w:val="18"/>
              </w:rPr>
              <w:t>期初余额</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Times New Roman" w:hAnsi="Times New Roman" w:cs="Times New Roman" w:eastAsia="Times New Roman" w:hint="default"/>
                <w:sz w:val="18"/>
                <w:szCs w:val="18"/>
              </w:rPr>
              <w:t>(</w:t>
            </w:r>
            <w:r>
              <w:rPr>
                <w:rFonts w:ascii="宋体" w:hAnsi="宋体" w:cs="宋体" w:eastAsia="宋体" w:hint="default"/>
                <w:sz w:val="18"/>
                <w:szCs w:val="18"/>
              </w:rPr>
              <w:t>账面价</w:t>
            </w:r>
            <w:r>
              <w:rPr>
                <w:rFonts w:ascii="宋体" w:hAnsi="宋体" w:cs="宋体" w:eastAsia="宋体" w:hint="default"/>
                <w:w w:val="101"/>
                <w:sz w:val="18"/>
                <w:szCs w:val="18"/>
              </w:rPr>
              <w:t> </w:t>
            </w:r>
            <w:r>
              <w:rPr>
                <w:rFonts w:ascii="宋体" w:hAnsi="宋体" w:cs="宋体" w:eastAsia="宋体" w:hint="default"/>
                <w:sz w:val="18"/>
                <w:szCs w:val="18"/>
              </w:rPr>
              <w:t>值</w:t>
            </w:r>
            <w:r>
              <w:rPr>
                <w:rFonts w:ascii="Times New Roman" w:hAnsi="Times New Roman" w:cs="Times New Roman" w:eastAsia="Times New Roman" w:hint="default"/>
                <w:sz w:val="18"/>
                <w:szCs w:val="18"/>
              </w:rPr>
              <w:t>)</w:t>
            </w:r>
          </w:p>
        </w:tc>
        <w:tc>
          <w:tcPr>
            <w:tcW w:w="6386"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309" w:lineRule="auto"/>
              <w:ind w:left="33" w:right="27"/>
              <w:jc w:val="center"/>
              <w:rPr>
                <w:rFonts w:ascii="Times New Roman" w:hAnsi="Times New Roman" w:cs="Times New Roman" w:eastAsia="Times New Roman" w:hint="default"/>
                <w:sz w:val="18"/>
                <w:szCs w:val="18"/>
              </w:rPr>
            </w:pPr>
            <w:r>
              <w:rPr>
                <w:rFonts w:ascii="宋体" w:hAnsi="宋体" w:cs="宋体" w:eastAsia="宋体" w:hint="default"/>
                <w:spacing w:val="-2"/>
                <w:sz w:val="18"/>
                <w:szCs w:val="18"/>
              </w:rPr>
              <w:t>期末余额</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Times New Roman" w:hAnsi="Times New Roman" w:cs="Times New Roman" w:eastAsia="Times New Roman" w:hint="default"/>
                <w:sz w:val="18"/>
                <w:szCs w:val="18"/>
              </w:rPr>
              <w:t>(</w:t>
            </w:r>
            <w:r>
              <w:rPr>
                <w:rFonts w:ascii="宋体" w:hAnsi="宋体" w:cs="宋体" w:eastAsia="宋体" w:hint="default"/>
                <w:sz w:val="18"/>
                <w:szCs w:val="18"/>
              </w:rPr>
              <w:t>账面价</w:t>
            </w:r>
            <w:r>
              <w:rPr>
                <w:rFonts w:ascii="宋体" w:hAnsi="宋体" w:cs="宋体" w:eastAsia="宋体" w:hint="default"/>
                <w:w w:val="101"/>
                <w:sz w:val="18"/>
                <w:szCs w:val="18"/>
              </w:rPr>
              <w:t> </w:t>
            </w:r>
            <w:r>
              <w:rPr>
                <w:rFonts w:ascii="宋体" w:hAnsi="宋体" w:cs="宋体" w:eastAsia="宋体" w:hint="default"/>
                <w:sz w:val="18"/>
                <w:szCs w:val="18"/>
              </w:rPr>
              <w:t>值</w:t>
            </w:r>
            <w:r>
              <w:rPr>
                <w:rFonts w:ascii="Times New Roman" w:hAnsi="Times New Roman" w:cs="Times New Roman" w:eastAsia="Times New Roman" w:hint="default"/>
                <w:sz w:val="18"/>
                <w:szCs w:val="18"/>
              </w:rPr>
              <w:t>)</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3"/>
                <w:szCs w:val="13"/>
              </w:rPr>
            </w:pPr>
          </w:p>
          <w:p>
            <w:pPr>
              <w:pStyle w:val="TableParagraph"/>
              <w:spacing w:line="316" w:lineRule="auto"/>
              <w:ind w:left="33" w:right="26"/>
              <w:jc w:val="left"/>
              <w:rPr>
                <w:rFonts w:ascii="宋体" w:hAnsi="宋体" w:cs="宋体" w:eastAsia="宋体" w:hint="default"/>
                <w:sz w:val="18"/>
                <w:szCs w:val="18"/>
              </w:rPr>
            </w:pPr>
            <w:r>
              <w:rPr>
                <w:rFonts w:ascii="宋体" w:hAnsi="宋体" w:cs="宋体" w:eastAsia="宋体" w:hint="default"/>
                <w:sz w:val="18"/>
                <w:szCs w:val="18"/>
              </w:rPr>
              <w:t>减值准备</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期末余额</w:t>
            </w:r>
          </w:p>
        </w:tc>
      </w:tr>
      <w:tr>
        <w:trPr>
          <w:trHeight w:val="1028" w:hRule="exact"/>
        </w:trPr>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4"/>
              <w:ind w:left="33" w:right="27"/>
              <w:jc w:val="both"/>
              <w:rPr>
                <w:rFonts w:ascii="宋体" w:hAnsi="宋体" w:cs="宋体" w:eastAsia="宋体" w:hint="default"/>
                <w:sz w:val="18"/>
                <w:szCs w:val="18"/>
              </w:rPr>
            </w:pPr>
            <w:r>
              <w:rPr>
                <w:rFonts w:ascii="宋体" w:hAnsi="宋体" w:cs="宋体" w:eastAsia="宋体" w:hint="default"/>
                <w:sz w:val="18"/>
                <w:szCs w:val="18"/>
              </w:rPr>
              <w:t>权益法下</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确认的投</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资损益</w:t>
            </w:r>
          </w:p>
        </w:tc>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21" w:lineRule="auto"/>
              <w:ind w:left="33" w:right="31"/>
              <w:jc w:val="left"/>
              <w:rPr>
                <w:rFonts w:ascii="宋体" w:hAnsi="宋体" w:cs="宋体" w:eastAsia="宋体" w:hint="default"/>
                <w:sz w:val="18"/>
                <w:szCs w:val="18"/>
              </w:rPr>
            </w:pPr>
            <w:r>
              <w:rPr>
                <w:rFonts w:ascii="宋体" w:hAnsi="宋体" w:cs="宋体" w:eastAsia="宋体" w:hint="default"/>
                <w:sz w:val="18"/>
                <w:szCs w:val="18"/>
              </w:rPr>
              <w:t>其他综合</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收益调整</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21" w:lineRule="auto"/>
              <w:ind w:left="215" w:right="26" w:hanging="183"/>
              <w:jc w:val="left"/>
              <w:rPr>
                <w:rFonts w:ascii="宋体" w:hAnsi="宋体" w:cs="宋体" w:eastAsia="宋体" w:hint="default"/>
                <w:sz w:val="18"/>
                <w:szCs w:val="18"/>
              </w:rPr>
            </w:pPr>
            <w:r>
              <w:rPr>
                <w:rFonts w:ascii="宋体" w:hAnsi="宋体" w:cs="宋体" w:eastAsia="宋体" w:hint="default"/>
                <w:sz w:val="18"/>
                <w:szCs w:val="18"/>
              </w:rPr>
              <w:t>其他权益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变动</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4"/>
              <w:ind w:left="33" w:right="27"/>
              <w:jc w:val="both"/>
              <w:rPr>
                <w:rFonts w:ascii="宋体" w:hAnsi="宋体" w:cs="宋体" w:eastAsia="宋体" w:hint="default"/>
                <w:sz w:val="18"/>
                <w:szCs w:val="18"/>
              </w:rPr>
            </w:pPr>
            <w:r>
              <w:rPr>
                <w:rFonts w:ascii="宋体" w:hAnsi="宋体" w:cs="宋体" w:eastAsia="宋体" w:hint="default"/>
                <w:sz w:val="18"/>
                <w:szCs w:val="18"/>
              </w:rPr>
              <w:t>宣告发放</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现金股利</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或利润</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21" w:lineRule="auto"/>
              <w:ind w:left="215" w:right="27" w:hanging="183"/>
              <w:jc w:val="left"/>
              <w:rPr>
                <w:rFonts w:ascii="宋体" w:hAnsi="宋体" w:cs="宋体" w:eastAsia="宋体" w:hint="default"/>
                <w:sz w:val="18"/>
                <w:szCs w:val="18"/>
              </w:rPr>
            </w:pPr>
            <w:r>
              <w:rPr>
                <w:rFonts w:ascii="宋体" w:hAnsi="宋体" w:cs="宋体" w:eastAsia="宋体" w:hint="default"/>
                <w:sz w:val="18"/>
                <w:szCs w:val="18"/>
              </w:rPr>
              <w:t>计提减值</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准备</w:t>
            </w:r>
          </w:p>
        </w:tc>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1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r>
      <w:tr>
        <w:trPr>
          <w:trHeight w:val="398" w:hRule="exact"/>
        </w:trPr>
        <w:tc>
          <w:tcPr>
            <w:tcW w:w="9575"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4" w:hRule="exact"/>
        </w:trPr>
        <w:tc>
          <w:tcPr>
            <w:tcW w:w="9575"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027"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36"/>
              <w:jc w:val="both"/>
              <w:rPr>
                <w:rFonts w:ascii="宋体" w:hAnsi="宋体" w:cs="宋体" w:eastAsia="宋体" w:hint="default"/>
                <w:sz w:val="18"/>
                <w:szCs w:val="18"/>
              </w:rPr>
            </w:pPr>
            <w:r>
              <w:rPr>
                <w:rFonts w:ascii="宋体" w:hAnsi="宋体" w:cs="宋体" w:eastAsia="宋体" w:hint="default"/>
                <w:sz w:val="18"/>
                <w:szCs w:val="18"/>
              </w:rPr>
              <w:t>深圳票联</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金融服务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有限公司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6,325,484</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.67</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-1,646,24</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5.74</w:t>
            </w: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-1,927,79</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0.84</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-2,751,44</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8.09</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36"/>
              <w:jc w:val="both"/>
              <w:rPr>
                <w:rFonts w:ascii="宋体" w:hAnsi="宋体" w:cs="宋体" w:eastAsia="宋体" w:hint="default"/>
                <w:sz w:val="18"/>
                <w:szCs w:val="18"/>
              </w:rPr>
            </w:pPr>
            <w:r>
              <w:rPr>
                <w:rFonts w:ascii="宋体" w:hAnsi="宋体" w:cs="宋体" w:eastAsia="宋体" w:hint="default"/>
                <w:sz w:val="18"/>
                <w:szCs w:val="18"/>
              </w:rPr>
              <w:t>北京华道</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征信有限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-1,627,42</w:t>
            </w:r>
          </w:p>
          <w:p>
            <w:pPr>
              <w:pStyle w:val="TableParagraph"/>
              <w:spacing w:line="240" w:lineRule="auto" w:before="110"/>
              <w:ind w:left="446" w:right="0"/>
              <w:jc w:val="left"/>
              <w:rPr>
                <w:rFonts w:ascii="Times New Roman" w:hAnsi="Times New Roman" w:cs="Times New Roman" w:eastAsia="Times New Roman" w:hint="default"/>
                <w:sz w:val="18"/>
                <w:szCs w:val="18"/>
              </w:rPr>
            </w:pPr>
            <w:r>
              <w:rPr>
                <w:rFonts w:ascii="Times New Roman"/>
                <w:sz w:val="18"/>
              </w:rPr>
              <w:t>8.88</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-11,919,9</w:t>
            </w:r>
          </w:p>
          <w:p>
            <w:pPr>
              <w:pStyle w:val="TableParagraph"/>
              <w:spacing w:line="240" w:lineRule="auto" w:before="110"/>
              <w:ind w:left="365" w:right="0"/>
              <w:jc w:val="left"/>
              <w:rPr>
                <w:rFonts w:ascii="Times New Roman" w:hAnsi="Times New Roman" w:cs="Times New Roman" w:eastAsia="Times New Roman" w:hint="default"/>
                <w:sz w:val="18"/>
                <w:szCs w:val="18"/>
              </w:rPr>
            </w:pPr>
            <w:r>
              <w:rPr>
                <w:rFonts w:ascii="Times New Roman"/>
                <w:sz w:val="18"/>
              </w:rPr>
              <w:t>61.37</w:t>
            </w: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15,314,52</w:t>
            </w:r>
          </w:p>
          <w:p>
            <w:pPr>
              <w:pStyle w:val="TableParagraph"/>
              <w:spacing w:line="240" w:lineRule="auto" w:before="110"/>
              <w:ind w:left="451" w:right="0"/>
              <w:jc w:val="left"/>
              <w:rPr>
                <w:rFonts w:ascii="Times New Roman" w:hAnsi="Times New Roman" w:cs="Times New Roman" w:eastAsia="Times New Roman" w:hint="default"/>
                <w:sz w:val="18"/>
                <w:szCs w:val="18"/>
              </w:rPr>
            </w:pPr>
            <w:r>
              <w:rPr>
                <w:rFonts w:ascii="Times New Roman"/>
                <w:sz w:val="18"/>
              </w:rPr>
              <w:t>1.73</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1,767,131</w:t>
            </w:r>
          </w:p>
          <w:p>
            <w:pPr>
              <w:pStyle w:val="TableParagraph"/>
              <w:spacing w:line="240" w:lineRule="auto" w:before="110"/>
              <w:ind w:right="12"/>
              <w:jc w:val="right"/>
              <w:rPr>
                <w:rFonts w:ascii="Times New Roman" w:hAnsi="Times New Roman" w:cs="Times New Roman" w:eastAsia="Times New Roman" w:hint="default"/>
                <w:sz w:val="18"/>
                <w:szCs w:val="18"/>
              </w:rPr>
            </w:pPr>
            <w:r>
              <w:rPr>
                <w:rFonts w:ascii="Times New Roman"/>
                <w:sz w:val="18"/>
              </w:rPr>
              <w:t>.48</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335"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36"/>
              <w:jc w:val="both"/>
              <w:rPr>
                <w:rFonts w:ascii="宋体" w:hAnsi="宋体" w:cs="宋体" w:eastAsia="宋体" w:hint="default"/>
                <w:sz w:val="18"/>
                <w:szCs w:val="18"/>
              </w:rPr>
            </w:pPr>
            <w:r>
              <w:rPr>
                <w:rFonts w:ascii="宋体" w:hAnsi="宋体" w:cs="宋体" w:eastAsia="宋体" w:hint="default"/>
                <w:sz w:val="18"/>
                <w:szCs w:val="18"/>
              </w:rPr>
              <w:t>福建片仔</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癀银之杰</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健康管理</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有限公司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8,420,325</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.73</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8,600,000</w:t>
            </w:r>
          </w:p>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z w:val="18"/>
              </w:rPr>
              <w:t>.00</w:t>
            </w:r>
          </w:p>
        </w:tc>
        <w:tc>
          <w:tcPr>
            <w:tcW w:w="797"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179,674.2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36"/>
              <w:jc w:val="both"/>
              <w:rPr>
                <w:rFonts w:ascii="宋体" w:hAnsi="宋体" w:cs="宋体" w:eastAsia="宋体" w:hint="default"/>
                <w:sz w:val="18"/>
                <w:szCs w:val="18"/>
              </w:rPr>
            </w:pPr>
            <w:r>
              <w:rPr>
                <w:rFonts w:ascii="宋体" w:hAnsi="宋体" w:cs="宋体" w:eastAsia="宋体" w:hint="default"/>
                <w:sz w:val="18"/>
                <w:szCs w:val="18"/>
              </w:rPr>
              <w:t>易安财产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保险股份</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有限公司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108,492,4</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70.76</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-17,218,9</w:t>
            </w:r>
          </w:p>
          <w:p>
            <w:pPr>
              <w:pStyle w:val="TableParagraph"/>
              <w:spacing w:line="240" w:lineRule="auto" w:before="105"/>
              <w:ind w:left="365" w:right="0"/>
              <w:jc w:val="left"/>
              <w:rPr>
                <w:rFonts w:ascii="Times New Roman" w:hAnsi="Times New Roman" w:cs="Times New Roman" w:eastAsia="Times New Roman" w:hint="default"/>
                <w:sz w:val="18"/>
                <w:szCs w:val="18"/>
              </w:rPr>
            </w:pPr>
            <w:r>
              <w:rPr>
                <w:rFonts w:ascii="Times New Roman"/>
                <w:sz w:val="18"/>
              </w:rPr>
              <w:t>18.64</w:t>
            </w: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91,273,55</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2.12</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652"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3"/>
              <w:ind w:left="24" w:right="36"/>
              <w:jc w:val="left"/>
              <w:rPr>
                <w:rFonts w:ascii="宋体" w:hAnsi="宋体" w:cs="宋体" w:eastAsia="宋体" w:hint="default"/>
                <w:sz w:val="18"/>
                <w:szCs w:val="18"/>
              </w:rPr>
            </w:pPr>
            <w:r>
              <w:rPr>
                <w:rFonts w:ascii="宋体" w:hAnsi="宋体" w:cs="宋体" w:eastAsia="宋体" w:hint="default"/>
                <w:sz w:val="18"/>
                <w:szCs w:val="18"/>
              </w:rPr>
              <w:t>国誉创富</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国际金融</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服务</w:t>
            </w:r>
            <w:r>
              <w:rPr>
                <w:rFonts w:ascii="Times New Roman" w:hAnsi="Times New Roman" w:cs="Times New Roman" w:eastAsia="Times New Roman" w:hint="default"/>
                <w:sz w:val="18"/>
                <w:szCs w:val="18"/>
              </w:rPr>
              <w:t>(</w:t>
            </w:r>
            <w:r>
              <w:rPr>
                <w:rFonts w:ascii="宋体" w:hAnsi="宋体" w:cs="宋体" w:eastAsia="宋体" w:hint="default"/>
                <w:sz w:val="18"/>
                <w:szCs w:val="18"/>
              </w:rPr>
              <w:t>深</w:t>
            </w:r>
            <w:r>
              <w:rPr>
                <w:rFonts w:ascii="宋体" w:hAnsi="宋体" w:cs="宋体" w:eastAsia="宋体" w:hint="default"/>
                <w:spacing w:val="-86"/>
                <w:sz w:val="18"/>
                <w:szCs w:val="18"/>
              </w:rPr>
              <w:t> </w:t>
            </w:r>
            <w:r>
              <w:rPr>
                <w:rFonts w:ascii="宋体" w:hAnsi="宋体" w:cs="宋体" w:eastAsia="宋体" w:hint="default"/>
                <w:sz w:val="18"/>
                <w:szCs w:val="18"/>
              </w:rPr>
              <w:t>圳</w:t>
            </w:r>
            <w:r>
              <w:rPr>
                <w:rFonts w:ascii="Times New Roman" w:hAnsi="Times New Roman" w:cs="Times New Roman" w:eastAsia="Times New Roman" w:hint="default"/>
                <w:sz w:val="18"/>
                <w:szCs w:val="18"/>
              </w:rPr>
              <w:t>)</w:t>
            </w:r>
            <w:r>
              <w:rPr>
                <w:rFonts w:ascii="宋体" w:hAnsi="宋体" w:cs="宋体" w:eastAsia="宋体" w:hint="default"/>
                <w:sz w:val="18"/>
                <w:szCs w:val="18"/>
              </w:rPr>
              <w:t>有限</w:t>
            </w:r>
            <w:r>
              <w:rPr>
                <w:rFonts w:ascii="宋体" w:hAnsi="宋体" w:cs="宋体" w:eastAsia="宋体" w:hint="default"/>
                <w:spacing w:val="-86"/>
                <w:sz w:val="18"/>
                <w:szCs w:val="18"/>
              </w:rPr>
              <w:t> </w:t>
            </w:r>
            <w:r>
              <w:rPr>
                <w:rFonts w:ascii="宋体" w:hAnsi="宋体" w:cs="宋体" w:eastAsia="宋体" w:hint="default"/>
                <w:sz w:val="18"/>
                <w:szCs w:val="18"/>
              </w:rPr>
              <w:t>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7,860,263</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.40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-3,709,28</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5.13</w:t>
            </w: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4,150,978</w:t>
            </w:r>
          </w:p>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z w:val="18"/>
              </w:rPr>
              <w:t>.27</w:t>
            </w:r>
          </w:p>
        </w:tc>
        <w:tc>
          <w:tcPr>
            <w:tcW w:w="79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1" w:footer="1186" w:top="1100" w:bottom="1380" w:left="980" w:right="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797"/>
        <w:gridCol w:w="797"/>
        <w:gridCol w:w="797"/>
        <w:gridCol w:w="797"/>
        <w:gridCol w:w="797"/>
        <w:gridCol w:w="802"/>
        <w:gridCol w:w="797"/>
        <w:gridCol w:w="797"/>
        <w:gridCol w:w="797"/>
        <w:gridCol w:w="802"/>
        <w:gridCol w:w="797"/>
        <w:gridCol w:w="797"/>
      </w:tblGrid>
      <w:tr>
        <w:trPr>
          <w:trHeight w:val="1340"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36"/>
              <w:jc w:val="both"/>
              <w:rPr>
                <w:rFonts w:ascii="宋体" w:hAnsi="宋体" w:cs="宋体" w:eastAsia="宋体" w:hint="default"/>
                <w:sz w:val="18"/>
                <w:szCs w:val="18"/>
              </w:rPr>
            </w:pPr>
            <w:r>
              <w:rPr>
                <w:rFonts w:ascii="宋体" w:hAnsi="宋体" w:cs="宋体" w:eastAsia="宋体" w:hint="default"/>
                <w:sz w:val="18"/>
                <w:szCs w:val="18"/>
              </w:rPr>
              <w:t>恒银（嘉</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兴）资产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管理有限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1,882,762</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.79</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-124,266.</w:t>
            </w:r>
          </w:p>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z w:val="18"/>
              </w:rPr>
              <w:t>58</w:t>
            </w: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1,758,496</w:t>
            </w:r>
          </w:p>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z w:val="18"/>
              </w:rPr>
              <w:t>.21</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2"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36"/>
              <w:jc w:val="both"/>
              <w:rPr>
                <w:rFonts w:ascii="宋体" w:hAnsi="宋体" w:cs="宋体" w:eastAsia="宋体" w:hint="default"/>
                <w:sz w:val="18"/>
                <w:szCs w:val="18"/>
              </w:rPr>
            </w:pPr>
            <w:r>
              <w:rPr>
                <w:rFonts w:ascii="宋体" w:hAnsi="宋体" w:cs="宋体" w:eastAsia="宋体" w:hint="default"/>
                <w:sz w:val="18"/>
                <w:szCs w:val="18"/>
              </w:rPr>
              <w:t>东亚前海</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证券有限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责任公司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365,487,3</w:t>
            </w:r>
          </w:p>
          <w:p>
            <w:pPr>
              <w:pStyle w:val="TableParagraph"/>
              <w:spacing w:line="240" w:lineRule="auto" w:before="110"/>
              <w:ind w:left="360" w:right="0"/>
              <w:jc w:val="left"/>
              <w:rPr>
                <w:rFonts w:ascii="Times New Roman" w:hAnsi="Times New Roman" w:cs="Times New Roman" w:eastAsia="Times New Roman" w:hint="default"/>
                <w:sz w:val="18"/>
                <w:szCs w:val="18"/>
              </w:rPr>
            </w:pPr>
            <w:r>
              <w:rPr>
                <w:rFonts w:ascii="Times New Roman"/>
                <w:sz w:val="18"/>
              </w:rPr>
              <w:t>45.06</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674,059.7</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-102,449.</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sz w:val="18"/>
              </w:rPr>
              <w:t>33</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366,058,9</w:t>
            </w:r>
          </w:p>
          <w:p>
            <w:pPr>
              <w:pStyle w:val="TableParagraph"/>
              <w:spacing w:line="240" w:lineRule="auto" w:before="110"/>
              <w:ind w:left="365" w:right="0"/>
              <w:jc w:val="left"/>
              <w:rPr>
                <w:rFonts w:ascii="Times New Roman" w:hAnsi="Times New Roman" w:cs="Times New Roman" w:eastAsia="Times New Roman" w:hint="default"/>
                <w:sz w:val="18"/>
                <w:szCs w:val="18"/>
              </w:rPr>
            </w:pPr>
            <w:r>
              <w:rPr>
                <w:rFonts w:ascii="Times New Roman"/>
                <w:sz w:val="18"/>
              </w:rPr>
              <w:t>55.44</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340"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8"/>
              <w:ind w:left="24" w:right="36"/>
              <w:jc w:val="both"/>
              <w:rPr>
                <w:rFonts w:ascii="宋体" w:hAnsi="宋体" w:cs="宋体" w:eastAsia="宋体" w:hint="default"/>
                <w:sz w:val="18"/>
                <w:szCs w:val="18"/>
              </w:rPr>
            </w:pPr>
            <w:r>
              <w:rPr>
                <w:rFonts w:ascii="宋体" w:hAnsi="宋体" w:cs="宋体" w:eastAsia="宋体" w:hint="default"/>
                <w:sz w:val="18"/>
                <w:szCs w:val="18"/>
              </w:rPr>
              <w:t>北京智帆</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金科信息</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服务有限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23,753,56</w:t>
            </w:r>
          </w:p>
          <w:p>
            <w:pPr>
              <w:pStyle w:val="TableParagraph"/>
              <w:spacing w:line="240" w:lineRule="auto" w:before="105"/>
              <w:ind w:left="446" w:right="0"/>
              <w:jc w:val="left"/>
              <w:rPr>
                <w:rFonts w:ascii="Times New Roman" w:hAnsi="Times New Roman" w:cs="Times New Roman" w:eastAsia="Times New Roman" w:hint="default"/>
                <w:sz w:val="18"/>
                <w:szCs w:val="18"/>
              </w:rPr>
            </w:pPr>
            <w:r>
              <w:rPr>
                <w:rFonts w:ascii="Times New Roman"/>
                <w:sz w:val="18"/>
              </w:rPr>
              <w:t>7.92</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-1,718,31</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7.01</w:t>
            </w: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-22,035,2</w:t>
            </w:r>
          </w:p>
          <w:p>
            <w:pPr>
              <w:pStyle w:val="TableParagraph"/>
              <w:spacing w:line="240" w:lineRule="auto" w:before="105"/>
              <w:ind w:left="364" w:right="0"/>
              <w:jc w:val="left"/>
              <w:rPr>
                <w:rFonts w:ascii="Times New Roman" w:hAnsi="Times New Roman" w:cs="Times New Roman" w:eastAsia="Times New Roman" w:hint="default"/>
                <w:sz w:val="18"/>
                <w:szCs w:val="18"/>
              </w:rPr>
            </w:pPr>
            <w:r>
              <w:rPr>
                <w:rFonts w:ascii="Times New Roman"/>
                <w:sz w:val="18"/>
              </w:rPr>
              <w:t>50.91</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340"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both"/>
              <w:rPr>
                <w:rFonts w:ascii="宋体" w:hAnsi="宋体" w:cs="宋体" w:eastAsia="宋体" w:hint="default"/>
                <w:sz w:val="18"/>
                <w:szCs w:val="18"/>
              </w:rPr>
            </w:pPr>
            <w:r>
              <w:rPr>
                <w:rFonts w:ascii="宋体" w:hAnsi="宋体" w:cs="宋体" w:eastAsia="宋体" w:hint="default"/>
                <w:sz w:val="18"/>
                <w:szCs w:val="18"/>
              </w:rPr>
              <w:t>百可录</w:t>
            </w:r>
          </w:p>
          <w:p>
            <w:pPr>
              <w:pStyle w:val="TableParagraph"/>
              <w:spacing w:line="321" w:lineRule="auto" w:before="76"/>
              <w:ind w:left="24" w:right="36"/>
              <w:jc w:val="both"/>
              <w:rPr>
                <w:rFonts w:ascii="宋体" w:hAnsi="宋体" w:cs="宋体" w:eastAsia="宋体" w:hint="default"/>
                <w:sz w:val="18"/>
                <w:szCs w:val="18"/>
              </w:rPr>
            </w:pPr>
            <w:r>
              <w:rPr>
                <w:rFonts w:ascii="宋体" w:hAnsi="宋体" w:cs="宋体" w:eastAsia="宋体" w:hint="default"/>
                <w:sz w:val="18"/>
                <w:szCs w:val="18"/>
              </w:rPr>
              <w:t>（北京）</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科技有限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16,644,94</w:t>
            </w:r>
          </w:p>
          <w:p>
            <w:pPr>
              <w:pStyle w:val="TableParagraph"/>
              <w:spacing w:line="240" w:lineRule="auto" w:before="110"/>
              <w:ind w:left="446" w:right="0"/>
              <w:jc w:val="left"/>
              <w:rPr>
                <w:rFonts w:ascii="Times New Roman" w:hAnsi="Times New Roman" w:cs="Times New Roman" w:eastAsia="Times New Roman" w:hint="default"/>
                <w:sz w:val="18"/>
                <w:szCs w:val="18"/>
              </w:rPr>
            </w:pPr>
            <w:r>
              <w:rPr>
                <w:rFonts w:ascii="Times New Roman"/>
                <w:sz w:val="18"/>
              </w:rPr>
              <w:t>0.62</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-224,589.</w:t>
            </w:r>
          </w:p>
          <w:p>
            <w:pPr>
              <w:pStyle w:val="TableParagraph"/>
              <w:spacing w:line="240" w:lineRule="auto" w:before="110"/>
              <w:ind w:right="12"/>
              <w:jc w:val="right"/>
              <w:rPr>
                <w:rFonts w:ascii="Times New Roman" w:hAnsi="Times New Roman" w:cs="Times New Roman" w:eastAsia="Times New Roman" w:hint="default"/>
                <w:sz w:val="18"/>
                <w:szCs w:val="18"/>
              </w:rPr>
            </w:pPr>
            <w:r>
              <w:rPr>
                <w:rFonts w:ascii="Times New Roman"/>
                <w:sz w:val="18"/>
              </w:rPr>
              <w:t>13</w:t>
            </w: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16,420,35</w:t>
            </w:r>
          </w:p>
          <w:p>
            <w:pPr>
              <w:pStyle w:val="TableParagraph"/>
              <w:spacing w:line="240" w:lineRule="auto" w:before="110"/>
              <w:ind w:left="451" w:right="0"/>
              <w:jc w:val="left"/>
              <w:rPr>
                <w:rFonts w:ascii="Times New Roman" w:hAnsi="Times New Roman" w:cs="Times New Roman" w:eastAsia="Times New Roman" w:hint="default"/>
                <w:sz w:val="18"/>
                <w:szCs w:val="18"/>
              </w:rPr>
            </w:pPr>
            <w:r>
              <w:rPr>
                <w:rFonts w:ascii="Times New Roman"/>
                <w:sz w:val="18"/>
              </w:rPr>
              <w:t>1.49</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3" w:right="0"/>
              <w:jc w:val="left"/>
              <w:rPr>
                <w:rFonts w:ascii="Times New Roman" w:hAnsi="Times New Roman" w:cs="Times New Roman" w:eastAsia="Times New Roman" w:hint="default"/>
                <w:sz w:val="18"/>
                <w:szCs w:val="18"/>
              </w:rPr>
            </w:pPr>
            <w:r>
              <w:rPr>
                <w:rFonts w:ascii="Times New Roman"/>
                <w:sz w:val="18"/>
              </w:rPr>
              <w:t>537,239,7</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32.07</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8,600,000</w:t>
            </w:r>
          </w:p>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z w:val="18"/>
              </w:rPr>
              <w:t>.00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6" w:right="0"/>
              <w:jc w:val="left"/>
              <w:rPr>
                <w:rFonts w:ascii="Times New Roman" w:hAnsi="Times New Roman" w:cs="Times New Roman" w:eastAsia="Times New Roman" w:hint="default"/>
                <w:sz w:val="18"/>
                <w:szCs w:val="18"/>
              </w:rPr>
            </w:pPr>
            <w:r>
              <w:rPr>
                <w:rFonts w:ascii="Times New Roman"/>
                <w:sz w:val="18"/>
              </w:rPr>
              <w:t>-35,887,5</w:t>
            </w:r>
          </w:p>
          <w:p>
            <w:pPr>
              <w:pStyle w:val="TableParagraph"/>
              <w:spacing w:line="240" w:lineRule="auto" w:before="105"/>
              <w:ind w:left="365" w:right="0"/>
              <w:jc w:val="left"/>
              <w:rPr>
                <w:rFonts w:ascii="Times New Roman" w:hAnsi="Times New Roman" w:cs="Times New Roman" w:eastAsia="Times New Roman" w:hint="default"/>
                <w:sz w:val="18"/>
                <w:szCs w:val="18"/>
              </w:rPr>
            </w:pPr>
            <w:r>
              <w:rPr>
                <w:rFonts w:ascii="Times New Roman"/>
                <w:sz w:val="18"/>
              </w:rPr>
              <w:t>23.89</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-102,449.</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33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7" w:right="0"/>
              <w:jc w:val="left"/>
              <w:rPr>
                <w:rFonts w:ascii="Times New Roman" w:hAnsi="Times New Roman" w:cs="Times New Roman" w:eastAsia="Times New Roman" w:hint="default"/>
                <w:sz w:val="18"/>
                <w:szCs w:val="18"/>
              </w:rPr>
            </w:pPr>
            <w:r>
              <w:rPr>
                <w:rFonts w:ascii="Times New Roman"/>
                <w:sz w:val="18"/>
              </w:rPr>
              <w:t>13,386,73</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0.89</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6" w:right="0"/>
              <w:jc w:val="left"/>
              <w:rPr>
                <w:rFonts w:ascii="Times New Roman" w:hAnsi="Times New Roman" w:cs="Times New Roman" w:eastAsia="Times New Roman" w:hint="default"/>
                <w:sz w:val="18"/>
                <w:szCs w:val="18"/>
              </w:rPr>
            </w:pPr>
            <w:r>
              <w:rPr>
                <w:rFonts w:ascii="Times New Roman"/>
                <w:sz w:val="18"/>
              </w:rPr>
              <w:t>-24,607,0</w:t>
            </w:r>
          </w:p>
          <w:p>
            <w:pPr>
              <w:pStyle w:val="TableParagraph"/>
              <w:spacing w:line="240" w:lineRule="auto" w:before="105"/>
              <w:ind w:left="364" w:right="0"/>
              <w:jc w:val="left"/>
              <w:rPr>
                <w:rFonts w:ascii="Times New Roman" w:hAnsi="Times New Roman" w:cs="Times New Roman" w:eastAsia="Times New Roman" w:hint="default"/>
                <w:sz w:val="18"/>
                <w:szCs w:val="18"/>
              </w:rPr>
            </w:pPr>
            <w:r>
              <w:rPr>
                <w:rFonts w:ascii="Times New Roman"/>
                <w:sz w:val="18"/>
              </w:rPr>
              <w:t>24.73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7" w:right="0"/>
              <w:jc w:val="left"/>
              <w:rPr>
                <w:rFonts w:ascii="Times New Roman" w:hAnsi="Times New Roman" w:cs="Times New Roman" w:eastAsia="Times New Roman" w:hint="default"/>
                <w:sz w:val="18"/>
                <w:szCs w:val="18"/>
              </w:rPr>
            </w:pPr>
            <w:r>
              <w:rPr>
                <w:rFonts w:ascii="Times New Roman"/>
                <w:sz w:val="18"/>
              </w:rPr>
              <w:t>481,429,4</w:t>
            </w:r>
          </w:p>
          <w:p>
            <w:pPr>
              <w:pStyle w:val="TableParagraph"/>
              <w:spacing w:line="240" w:lineRule="auto" w:before="105"/>
              <w:ind w:left="365" w:right="0"/>
              <w:jc w:val="left"/>
              <w:rPr>
                <w:rFonts w:ascii="Times New Roman" w:hAnsi="Times New Roman" w:cs="Times New Roman" w:eastAsia="Times New Roman" w:hint="default"/>
                <w:sz w:val="18"/>
                <w:szCs w:val="18"/>
              </w:rPr>
            </w:pPr>
            <w:r>
              <w:rPr>
                <w:rFonts w:ascii="Times New Roman"/>
                <w:sz w:val="18"/>
              </w:rPr>
              <w:t>65.01</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3" w:right="0"/>
              <w:jc w:val="left"/>
              <w:rPr>
                <w:rFonts w:ascii="Times New Roman" w:hAnsi="Times New Roman" w:cs="Times New Roman" w:eastAsia="Times New Roman" w:hint="default"/>
                <w:sz w:val="18"/>
                <w:szCs w:val="18"/>
              </w:rPr>
            </w:pPr>
            <w:r>
              <w:rPr>
                <w:rFonts w:ascii="Times New Roman"/>
                <w:sz w:val="18"/>
              </w:rPr>
              <w:t>537,239,7</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32.07</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8,600,000</w:t>
            </w:r>
          </w:p>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z w:val="18"/>
              </w:rPr>
              <w:t>.00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6" w:right="0"/>
              <w:jc w:val="left"/>
              <w:rPr>
                <w:rFonts w:ascii="Times New Roman" w:hAnsi="Times New Roman" w:cs="Times New Roman" w:eastAsia="Times New Roman" w:hint="default"/>
                <w:sz w:val="18"/>
                <w:szCs w:val="18"/>
              </w:rPr>
            </w:pPr>
            <w:r>
              <w:rPr>
                <w:rFonts w:ascii="Times New Roman"/>
                <w:sz w:val="18"/>
              </w:rPr>
              <w:t>-35,887,5</w:t>
            </w:r>
          </w:p>
          <w:p>
            <w:pPr>
              <w:pStyle w:val="TableParagraph"/>
              <w:spacing w:line="240" w:lineRule="auto" w:before="105"/>
              <w:ind w:left="365" w:right="0"/>
              <w:jc w:val="left"/>
              <w:rPr>
                <w:rFonts w:ascii="Times New Roman" w:hAnsi="Times New Roman" w:cs="Times New Roman" w:eastAsia="Times New Roman" w:hint="default"/>
                <w:sz w:val="18"/>
                <w:szCs w:val="18"/>
              </w:rPr>
            </w:pPr>
            <w:r>
              <w:rPr>
                <w:rFonts w:ascii="Times New Roman"/>
                <w:sz w:val="18"/>
              </w:rPr>
              <w:t>23.89</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-102,449.</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33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7" w:right="0"/>
              <w:jc w:val="left"/>
              <w:rPr>
                <w:rFonts w:ascii="Times New Roman" w:hAnsi="Times New Roman" w:cs="Times New Roman" w:eastAsia="Times New Roman" w:hint="default"/>
                <w:sz w:val="18"/>
                <w:szCs w:val="18"/>
              </w:rPr>
            </w:pPr>
            <w:r>
              <w:rPr>
                <w:rFonts w:ascii="Times New Roman"/>
                <w:sz w:val="18"/>
              </w:rPr>
              <w:t>13,386,73</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0.89</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6" w:right="0"/>
              <w:jc w:val="left"/>
              <w:rPr>
                <w:rFonts w:ascii="Times New Roman" w:hAnsi="Times New Roman" w:cs="Times New Roman" w:eastAsia="Times New Roman" w:hint="default"/>
                <w:sz w:val="18"/>
                <w:szCs w:val="18"/>
              </w:rPr>
            </w:pPr>
            <w:r>
              <w:rPr>
                <w:rFonts w:ascii="Times New Roman"/>
                <w:sz w:val="18"/>
              </w:rPr>
              <w:t>-24,607,0</w:t>
            </w:r>
          </w:p>
          <w:p>
            <w:pPr>
              <w:pStyle w:val="TableParagraph"/>
              <w:spacing w:line="240" w:lineRule="auto" w:before="105"/>
              <w:ind w:left="364" w:right="0"/>
              <w:jc w:val="left"/>
              <w:rPr>
                <w:rFonts w:ascii="Times New Roman" w:hAnsi="Times New Roman" w:cs="Times New Roman" w:eastAsia="Times New Roman" w:hint="default"/>
                <w:sz w:val="18"/>
                <w:szCs w:val="18"/>
              </w:rPr>
            </w:pPr>
            <w:r>
              <w:rPr>
                <w:rFonts w:ascii="Times New Roman"/>
                <w:sz w:val="18"/>
              </w:rPr>
              <w:t>24.73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7" w:right="0"/>
              <w:jc w:val="left"/>
              <w:rPr>
                <w:rFonts w:ascii="Times New Roman" w:hAnsi="Times New Roman" w:cs="Times New Roman" w:eastAsia="Times New Roman" w:hint="default"/>
                <w:sz w:val="18"/>
                <w:szCs w:val="18"/>
              </w:rPr>
            </w:pPr>
            <w:r>
              <w:rPr>
                <w:rFonts w:ascii="Times New Roman"/>
                <w:sz w:val="18"/>
              </w:rPr>
              <w:t>481,429,4</w:t>
            </w:r>
          </w:p>
          <w:p>
            <w:pPr>
              <w:pStyle w:val="TableParagraph"/>
              <w:spacing w:line="240" w:lineRule="auto" w:before="105"/>
              <w:ind w:left="365" w:right="0"/>
              <w:jc w:val="left"/>
              <w:rPr>
                <w:rFonts w:ascii="Times New Roman" w:hAnsi="Times New Roman" w:cs="Times New Roman" w:eastAsia="Times New Roman" w:hint="default"/>
                <w:sz w:val="18"/>
                <w:szCs w:val="18"/>
              </w:rPr>
            </w:pPr>
            <w:r>
              <w:rPr>
                <w:rFonts w:ascii="Times New Roman"/>
                <w:sz w:val="18"/>
              </w:rPr>
              <w:t>65.01</w:t>
            </w:r>
          </w:p>
        </w:tc>
        <w:tc>
          <w:tcPr>
            <w:tcW w:w="797"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3"/>
        <w:ind w:right="0"/>
        <w:jc w:val="left"/>
      </w:pPr>
      <w:r>
        <w:rPr/>
        <w:t>其他说明</w:t>
      </w:r>
    </w:p>
    <w:p>
      <w:pPr>
        <w:spacing w:line="240" w:lineRule="auto" w:before="8"/>
        <w:rPr>
          <w:rFonts w:ascii="宋体" w:hAnsi="宋体" w:cs="宋体" w:eastAsia="宋体" w:hint="default"/>
          <w:sz w:val="14"/>
          <w:szCs w:val="14"/>
        </w:rPr>
      </w:pPr>
    </w:p>
    <w:p>
      <w:pPr>
        <w:pStyle w:val="BodyText"/>
        <w:spacing w:line="463" w:lineRule="auto"/>
        <w:ind w:right="1124" w:firstLine="360"/>
        <w:jc w:val="both"/>
      </w:pPr>
      <w:r>
        <w:rPr>
          <w:rFonts w:ascii="Times New Roman" w:hAnsi="Times New Roman" w:cs="Times New Roman" w:eastAsia="Times New Roman" w:hint="default"/>
          <w:spacing w:val="-3"/>
        </w:rPr>
        <w:t>1</w:t>
      </w:r>
      <w:r>
        <w:rPr>
          <w:spacing w:val="-3"/>
        </w:rPr>
        <w:t>、本期减少，主要系联营企业福建片仔癀银之杰健康管理有限公司本期注销；本期其他变动主要系本公司持有的深圳</w:t>
      </w:r>
      <w:r>
        <w:rPr>
          <w:w w:val="101"/>
        </w:rPr>
        <w:t> </w:t>
      </w:r>
      <w:r>
        <w:rPr>
          <w:spacing w:val="-4"/>
        </w:rPr>
        <w:t>票联金融服务有限公司、北京智帆金科信息服务有限公司由于引进新投资者，本公司原持股比例被动稀释，且本公司未在其</w:t>
      </w:r>
      <w:r>
        <w:rPr>
          <w:spacing w:val="43"/>
        </w:rPr>
        <w:t> </w:t>
      </w:r>
      <w:r>
        <w:rPr>
          <w:spacing w:val="43"/>
        </w:rPr>
      </w:r>
      <w:r>
        <w:rPr>
          <w:spacing w:val="-3"/>
        </w:rPr>
        <w:t>董事会中继续委派人员，失去对其经营管理重大影响，将其作为其他权益工具投资核算。</w:t>
      </w:r>
    </w:p>
    <w:p>
      <w:pPr>
        <w:pStyle w:val="BodyText"/>
        <w:spacing w:line="240" w:lineRule="auto" w:before="67"/>
        <w:ind w:left="513" w:right="0"/>
        <w:jc w:val="left"/>
      </w:pPr>
      <w:r>
        <w:rPr>
          <w:rFonts w:ascii="Times New Roman" w:hAnsi="Times New Roman" w:cs="Times New Roman" w:eastAsia="Times New Roman" w:hint="default"/>
          <w:spacing w:val="-3"/>
        </w:rPr>
        <w:t>2</w:t>
      </w:r>
      <w:r>
        <w:rPr>
          <w:spacing w:val="-3"/>
        </w:rPr>
        <w:t>、期末未发现长期股权投资存在明显减值迹象，故未计提减值准备。</w:t>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3"/>
          <w:szCs w:val="13"/>
        </w:rPr>
      </w:pPr>
    </w:p>
    <w:p>
      <w:pPr>
        <w:pStyle w:val="Heading3"/>
        <w:spacing w:line="240" w:lineRule="auto"/>
        <w:ind w:right="0"/>
        <w:jc w:val="left"/>
        <w:rPr>
          <w:b w:val="0"/>
          <w:bCs w:val="0"/>
        </w:rPr>
      </w:pPr>
      <w:bookmarkStart w:name="9、其他权益工具投资" w:id="256"/>
      <w:bookmarkEnd w:id="256"/>
      <w:r>
        <w:rPr>
          <w:b w:val="0"/>
          <w:bCs w:val="0"/>
        </w:rPr>
      </w:r>
      <w:r>
        <w:rPr>
          <w:rFonts w:ascii="Times New Roman" w:hAnsi="Times New Roman" w:cs="Times New Roman" w:eastAsia="Times New Roman" w:hint="default"/>
        </w:rPr>
        <w:t>9</w:t>
      </w:r>
      <w:r>
        <w:rPr/>
        <w:t>、其他权益工具投资</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上海保险交易所股份有限公司</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30,000,000.00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30,000,000.00</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深圳票联金融服务有限公司</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12,250,000.00</w:t>
            </w:r>
          </w:p>
        </w:tc>
        <w:tc>
          <w:tcPr>
            <w:tcW w:w="31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北京智帆金科信息服务有限公司</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30,000,014.54</w:t>
            </w:r>
          </w:p>
        </w:tc>
        <w:tc>
          <w:tcPr>
            <w:tcW w:w="31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72,250,014.54</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30,000,000.00</w:t>
            </w:r>
          </w:p>
        </w:tc>
      </w:tr>
    </w:tbl>
    <w:p>
      <w:pPr>
        <w:pStyle w:val="BodyText"/>
        <w:spacing w:line="240" w:lineRule="auto" w:before="53"/>
        <w:ind w:right="0"/>
        <w:jc w:val="left"/>
      </w:pPr>
      <w:r>
        <w:rPr>
          <w:spacing w:val="-3"/>
        </w:rPr>
        <w:t>分项披露本期非交易性权益工具投资</w:t>
      </w:r>
    </w:p>
    <w:p>
      <w:pPr>
        <w:pStyle w:val="BodyText"/>
        <w:spacing w:line="240" w:lineRule="auto" w:before="115"/>
        <w:ind w:left="0" w:right="1122"/>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369"/>
        <w:gridCol w:w="1368"/>
        <w:gridCol w:w="1369"/>
        <w:gridCol w:w="1368"/>
        <w:gridCol w:w="1364"/>
        <w:gridCol w:w="1369"/>
        <w:gridCol w:w="1369"/>
      </w:tblGrid>
      <w:tr>
        <w:trPr>
          <w:trHeight w:val="1023"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321"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47" w:right="0"/>
              <w:jc w:val="left"/>
              <w:rPr>
                <w:rFonts w:ascii="宋体" w:hAnsi="宋体" w:cs="宋体" w:eastAsia="宋体" w:hint="default"/>
                <w:sz w:val="18"/>
                <w:szCs w:val="18"/>
              </w:rPr>
            </w:pPr>
            <w:r>
              <w:rPr>
                <w:rFonts w:ascii="宋体" w:hAnsi="宋体" w:cs="宋体" w:eastAsia="宋体" w:hint="default"/>
                <w:spacing w:val="-3"/>
                <w:sz w:val="18"/>
                <w:szCs w:val="18"/>
              </w:rPr>
              <w:t>确认的股利收入</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316" w:right="0"/>
              <w:jc w:val="left"/>
              <w:rPr>
                <w:rFonts w:ascii="宋体" w:hAnsi="宋体" w:cs="宋体" w:eastAsia="宋体" w:hint="default"/>
                <w:sz w:val="18"/>
                <w:szCs w:val="18"/>
              </w:rPr>
            </w:pPr>
            <w:r>
              <w:rPr>
                <w:rFonts w:ascii="宋体" w:hAnsi="宋体" w:cs="宋体" w:eastAsia="宋体" w:hint="default"/>
                <w:sz w:val="18"/>
                <w:szCs w:val="18"/>
              </w:rPr>
              <w:t>累计利得</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316" w:right="0"/>
              <w:jc w:val="left"/>
              <w:rPr>
                <w:rFonts w:ascii="宋体" w:hAnsi="宋体" w:cs="宋体" w:eastAsia="宋体" w:hint="default"/>
                <w:sz w:val="18"/>
                <w:szCs w:val="18"/>
              </w:rPr>
            </w:pPr>
            <w:r>
              <w:rPr>
                <w:rFonts w:ascii="宋体" w:hAnsi="宋体" w:cs="宋体" w:eastAsia="宋体" w:hint="default"/>
                <w:sz w:val="18"/>
                <w:szCs w:val="18"/>
              </w:rPr>
              <w:t>累计损失</w:t>
            </w:r>
          </w:p>
        </w:tc>
        <w:tc>
          <w:tcPr>
            <w:tcW w:w="1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4"/>
              <w:ind w:left="47" w:right="41"/>
              <w:jc w:val="center"/>
              <w:rPr>
                <w:rFonts w:ascii="宋体" w:hAnsi="宋体" w:cs="宋体" w:eastAsia="宋体" w:hint="default"/>
                <w:sz w:val="18"/>
                <w:szCs w:val="18"/>
              </w:rPr>
            </w:pPr>
            <w:r>
              <w:rPr>
                <w:rFonts w:ascii="宋体" w:hAnsi="宋体" w:cs="宋体" w:eastAsia="宋体" w:hint="default"/>
                <w:spacing w:val="-3"/>
                <w:sz w:val="18"/>
                <w:szCs w:val="18"/>
              </w:rPr>
              <w:t>其他综合收益转</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3"/>
                <w:sz w:val="18"/>
                <w:szCs w:val="18"/>
              </w:rPr>
              <w:t>入留存收益的金</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额</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73"/>
              <w:ind w:left="48" w:right="46"/>
              <w:jc w:val="both"/>
              <w:rPr>
                <w:rFonts w:ascii="宋体" w:hAnsi="宋体" w:cs="宋体" w:eastAsia="宋体" w:hint="default"/>
                <w:sz w:val="18"/>
                <w:szCs w:val="18"/>
              </w:rPr>
            </w:pPr>
            <w:r>
              <w:rPr>
                <w:rFonts w:ascii="宋体" w:hAnsi="宋体" w:cs="宋体" w:eastAsia="宋体" w:hint="default"/>
                <w:spacing w:val="-3"/>
                <w:sz w:val="18"/>
                <w:szCs w:val="18"/>
              </w:rPr>
              <w:t>指定为以公允价</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值计量且其变动</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计入其他综合收</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4"/>
              <w:ind w:left="47" w:right="46"/>
              <w:jc w:val="center"/>
              <w:rPr>
                <w:rFonts w:ascii="宋体" w:hAnsi="宋体" w:cs="宋体" w:eastAsia="宋体" w:hint="default"/>
                <w:sz w:val="18"/>
                <w:szCs w:val="18"/>
              </w:rPr>
            </w:pPr>
            <w:r>
              <w:rPr>
                <w:rFonts w:ascii="宋体" w:hAnsi="宋体" w:cs="宋体" w:eastAsia="宋体" w:hint="default"/>
                <w:spacing w:val="-3"/>
                <w:sz w:val="18"/>
                <w:szCs w:val="18"/>
              </w:rPr>
              <w:t>其他综合收益转</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3"/>
                <w:sz w:val="18"/>
                <w:szCs w:val="18"/>
              </w:rPr>
              <w:t>入留存收益的原</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因</w:t>
            </w:r>
          </w:p>
        </w:tc>
      </w:tr>
    </w:tbl>
    <w:p>
      <w:pPr>
        <w:spacing w:after="0" w:line="316" w:lineRule="auto"/>
        <w:jc w:val="center"/>
        <w:rPr>
          <w:rFonts w:ascii="宋体" w:hAnsi="宋体" w:cs="宋体" w:eastAsia="宋体" w:hint="default"/>
          <w:sz w:val="18"/>
          <w:szCs w:val="18"/>
        </w:rPr>
        <w:sectPr>
          <w:pgSz w:w="11910" w:h="16840"/>
          <w:pgMar w:header="871" w:footer="1186" w:top="1100" w:bottom="1380" w:left="980" w:right="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1369"/>
        <w:gridCol w:w="1368"/>
        <w:gridCol w:w="1369"/>
        <w:gridCol w:w="1368"/>
        <w:gridCol w:w="1364"/>
        <w:gridCol w:w="1369"/>
        <w:gridCol w:w="1369"/>
      </w:tblGrid>
      <w:tr>
        <w:trPr>
          <w:trHeight w:val="360"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right="0"/>
              <w:jc w:val="center"/>
              <w:rPr>
                <w:rFonts w:ascii="宋体" w:hAnsi="宋体" w:cs="宋体" w:eastAsia="宋体" w:hint="default"/>
                <w:sz w:val="18"/>
                <w:szCs w:val="18"/>
              </w:rPr>
            </w:pPr>
            <w:r>
              <w:rPr>
                <w:rFonts w:ascii="宋体" w:hAnsi="宋体" w:cs="宋体" w:eastAsia="宋体" w:hint="default"/>
                <w:sz w:val="18"/>
                <w:szCs w:val="18"/>
              </w:rPr>
              <w:t>益的原因</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6"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4" w:right="70"/>
              <w:jc w:val="left"/>
              <w:rPr>
                <w:rFonts w:ascii="宋体" w:hAnsi="宋体" w:cs="宋体" w:eastAsia="宋体" w:hint="default"/>
                <w:sz w:val="18"/>
                <w:szCs w:val="18"/>
              </w:rPr>
            </w:pPr>
            <w:r>
              <w:rPr>
                <w:rFonts w:ascii="宋体" w:hAnsi="宋体" w:cs="宋体" w:eastAsia="宋体" w:hint="default"/>
                <w:spacing w:val="-3"/>
                <w:sz w:val="18"/>
                <w:szCs w:val="18"/>
              </w:rPr>
              <w:t>上海保险交易所</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股份有限公司</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46"/>
              <w:jc w:val="center"/>
              <w:rPr>
                <w:rFonts w:ascii="宋体" w:hAnsi="宋体" w:cs="宋体" w:eastAsia="宋体" w:hint="default"/>
                <w:sz w:val="18"/>
                <w:szCs w:val="18"/>
              </w:rPr>
            </w:pPr>
            <w:r>
              <w:rPr>
                <w:rFonts w:ascii="宋体" w:hAnsi="宋体" w:cs="宋体" w:eastAsia="宋体" w:hint="default"/>
                <w:spacing w:val="-3"/>
                <w:sz w:val="18"/>
                <w:szCs w:val="18"/>
              </w:rPr>
              <w:t>不以出售为目的</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5"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4" w:right="70"/>
              <w:jc w:val="left"/>
              <w:rPr>
                <w:rFonts w:ascii="宋体" w:hAnsi="宋体" w:cs="宋体" w:eastAsia="宋体" w:hint="default"/>
                <w:sz w:val="18"/>
                <w:szCs w:val="18"/>
              </w:rPr>
            </w:pPr>
            <w:r>
              <w:rPr>
                <w:rFonts w:ascii="宋体" w:hAnsi="宋体" w:cs="宋体" w:eastAsia="宋体" w:hint="default"/>
                <w:spacing w:val="-3"/>
                <w:sz w:val="18"/>
                <w:szCs w:val="18"/>
              </w:rPr>
              <w:t>深圳票联金融服</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务有限公司</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46"/>
              <w:jc w:val="center"/>
              <w:rPr>
                <w:rFonts w:ascii="宋体" w:hAnsi="宋体" w:cs="宋体" w:eastAsia="宋体" w:hint="default"/>
                <w:sz w:val="18"/>
                <w:szCs w:val="18"/>
              </w:rPr>
            </w:pPr>
            <w:r>
              <w:rPr>
                <w:rFonts w:ascii="宋体" w:hAnsi="宋体" w:cs="宋体" w:eastAsia="宋体" w:hint="default"/>
                <w:spacing w:val="-3"/>
                <w:sz w:val="18"/>
                <w:szCs w:val="18"/>
              </w:rPr>
              <w:t>不以出售为目的</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5"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70"/>
              <w:jc w:val="left"/>
              <w:rPr>
                <w:rFonts w:ascii="宋体" w:hAnsi="宋体" w:cs="宋体" w:eastAsia="宋体" w:hint="default"/>
                <w:sz w:val="18"/>
                <w:szCs w:val="18"/>
              </w:rPr>
            </w:pPr>
            <w:r>
              <w:rPr>
                <w:rFonts w:ascii="宋体" w:hAnsi="宋体" w:cs="宋体" w:eastAsia="宋体" w:hint="default"/>
                <w:spacing w:val="-3"/>
                <w:sz w:val="18"/>
                <w:szCs w:val="18"/>
              </w:rPr>
              <w:t>北京智帆金科信</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息服务有限公司</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46"/>
              <w:jc w:val="center"/>
              <w:rPr>
                <w:rFonts w:ascii="宋体" w:hAnsi="宋体" w:cs="宋体" w:eastAsia="宋体" w:hint="default"/>
                <w:sz w:val="18"/>
                <w:szCs w:val="18"/>
              </w:rPr>
            </w:pPr>
            <w:r>
              <w:rPr>
                <w:rFonts w:ascii="宋体" w:hAnsi="宋体" w:cs="宋体" w:eastAsia="宋体" w:hint="default"/>
                <w:spacing w:val="-3"/>
                <w:sz w:val="18"/>
                <w:szCs w:val="18"/>
              </w:rPr>
              <w:t>不以出售为目的</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pStyle w:val="BodyText"/>
        <w:spacing w:line="240" w:lineRule="auto" w:before="54"/>
        <w:ind w:right="0"/>
        <w:jc w:val="left"/>
      </w:pPr>
      <w:r>
        <w:rPr/>
        <w:t>其他说明：</w:t>
      </w:r>
    </w:p>
    <w:p>
      <w:pPr>
        <w:spacing w:line="240" w:lineRule="auto" w:before="8"/>
        <w:rPr>
          <w:rFonts w:ascii="宋体" w:hAnsi="宋体" w:cs="宋体" w:eastAsia="宋体" w:hint="default"/>
          <w:sz w:val="14"/>
          <w:szCs w:val="14"/>
        </w:rPr>
      </w:pPr>
    </w:p>
    <w:p>
      <w:pPr>
        <w:pStyle w:val="BodyText"/>
        <w:spacing w:line="480" w:lineRule="auto"/>
        <w:ind w:right="0" w:firstLine="360"/>
        <w:jc w:val="left"/>
      </w:pPr>
      <w:r>
        <w:rPr>
          <w:spacing w:val="-5"/>
          <w:w w:val="101"/>
        </w:rPr>
        <w:t>其他权益工具投资均为以公允价值计量且其变动计入其他综合收益的权益工具投资，是公司出于战略目的而计划长期持</w:t>
      </w:r>
      <w:r>
        <w:rPr>
          <w:w w:val="101"/>
        </w:rPr>
        <w:t> </w:t>
      </w:r>
      <w:r>
        <w:rPr>
          <w:spacing w:val="-3"/>
        </w:rPr>
        <w:t>有的投资。根据相关合约，本公司与其他投资者按比例分担投资风险、分享投资收益。</w:t>
      </w:r>
    </w:p>
    <w:p>
      <w:pPr>
        <w:spacing w:line="240" w:lineRule="auto" w:before="10"/>
        <w:rPr>
          <w:rFonts w:ascii="宋体" w:hAnsi="宋体" w:cs="宋体" w:eastAsia="宋体" w:hint="default"/>
          <w:sz w:val="18"/>
          <w:szCs w:val="18"/>
        </w:rPr>
      </w:pPr>
    </w:p>
    <w:p>
      <w:pPr>
        <w:pStyle w:val="Heading3"/>
        <w:spacing w:line="240" w:lineRule="auto"/>
        <w:ind w:right="0"/>
        <w:jc w:val="left"/>
        <w:rPr>
          <w:b w:val="0"/>
          <w:bCs w:val="0"/>
        </w:rPr>
      </w:pPr>
      <w:bookmarkStart w:name="10、固定资产" w:id="257"/>
      <w:bookmarkEnd w:id="257"/>
      <w:r>
        <w:rPr>
          <w:b w:val="0"/>
          <w:bCs w:val="0"/>
        </w:rPr>
      </w:r>
      <w:r>
        <w:rPr>
          <w:rFonts w:ascii="Times New Roman" w:hAnsi="Times New Roman" w:cs="Times New Roman" w:eastAsia="Times New Roman" w:hint="default"/>
        </w:rPr>
        <w:t>10</w:t>
      </w:r>
      <w:r>
        <w:rPr/>
        <w:t>、固定资产</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3"/>
        <w:gridCol w:w="3193"/>
      </w:tblGrid>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2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17,315,049.28</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13,570,998.25</w:t>
            </w:r>
          </w:p>
        </w:tc>
      </w:tr>
      <w:tr>
        <w:trPr>
          <w:trHeight w:val="399"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17,315,049.28</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13,570,998.25</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1）固定资产情况" w:id="258"/>
      <w:bookmarkEnd w:id="258"/>
      <w:r>
        <w:rPr>
          <w:b w:val="0"/>
          <w:bCs w:val="0"/>
        </w:rPr>
      </w:r>
      <w:r>
        <w:rPr/>
        <w:t>（</w:t>
      </w:r>
      <w:r>
        <w:rPr>
          <w:rFonts w:ascii="Times New Roman" w:hAnsi="Times New Roman" w:cs="Times New Roman" w:eastAsia="Times New Roman" w:hint="default"/>
        </w:rPr>
        <w:t>1</w:t>
      </w:r>
      <w:r>
        <w:rPr/>
        <w:t>）固定资产情况</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345"/>
        <w:gridCol w:w="1380"/>
        <w:gridCol w:w="1364"/>
        <w:gridCol w:w="1368"/>
        <w:gridCol w:w="1368"/>
        <w:gridCol w:w="1369"/>
        <w:gridCol w:w="1369"/>
      </w:tblGrid>
      <w:tr>
        <w:trPr>
          <w:trHeight w:val="404" w:hRule="exact"/>
        </w:trPr>
        <w:tc>
          <w:tcPr>
            <w:tcW w:w="13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51"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16"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16"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16"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17"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5"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398" w:hRule="exact"/>
        </w:trPr>
        <w:tc>
          <w:tcPr>
            <w:tcW w:w="13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一、账面原值：</w:t>
            </w:r>
          </w:p>
        </w:tc>
        <w:tc>
          <w:tcPr>
            <w:tcW w:w="1380" w:type="dxa"/>
            <w:tcBorders>
              <w:top w:val="single" w:sz="4" w:space="0" w:color="000000"/>
              <w:left w:val="single" w:sz="13" w:space="0" w:color="D2D2D2"/>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9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3,609,455.90</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6,078,474.74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7,835,507.58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10,719,325.95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8,509,017.04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36,751,781.21</w:t>
            </w:r>
          </w:p>
        </w:tc>
      </w:tr>
      <w:tr>
        <w:trPr>
          <w:trHeight w:val="716" w:hRule="exact"/>
        </w:trPr>
        <w:tc>
          <w:tcPr>
            <w:tcW w:w="13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4" w:lineRule="auto" w:before="53"/>
              <w:ind w:left="11" w:right="101" w:firstLine="182"/>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本期增加金</w:t>
            </w:r>
            <w:r>
              <w:rPr>
                <w:rFonts w:ascii="宋体" w:hAnsi="宋体" w:cs="宋体" w:eastAsia="宋体" w:hint="default"/>
                <w:w w:val="101"/>
                <w:sz w:val="18"/>
                <w:szCs w:val="18"/>
              </w:rPr>
              <w:t> </w:t>
            </w:r>
            <w:r>
              <w:rPr>
                <w:rFonts w:ascii="宋体" w:hAnsi="宋体" w:cs="宋体" w:eastAsia="宋体" w:hint="default"/>
                <w:sz w:val="18"/>
                <w:szCs w:val="18"/>
              </w:rPr>
              <w:t>额</w:t>
            </w:r>
          </w:p>
        </w:tc>
        <w:tc>
          <w:tcPr>
            <w:tcW w:w="1380" w:type="dxa"/>
            <w:tcBorders>
              <w:top w:val="single" w:sz="4" w:space="0" w:color="000000"/>
              <w:left w:val="single" w:sz="13" w:space="0" w:color="D2D2D2"/>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380" w:type="dxa"/>
            <w:tcBorders>
              <w:top w:val="single" w:sz="4" w:space="0" w:color="000000"/>
              <w:left w:val="single" w:sz="13" w:space="0" w:color="D2D2D2"/>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1,883,843.74</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3,227,234.05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1,447,589.37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6,558,667.16</w:t>
            </w:r>
          </w:p>
        </w:tc>
      </w:tr>
      <w:tr>
        <w:trPr>
          <w:trHeight w:val="710" w:hRule="exact"/>
        </w:trPr>
        <w:tc>
          <w:tcPr>
            <w:tcW w:w="13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11" w:right="5" w:firstLine="340"/>
              <w:jc w:val="lef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）在建工</w:t>
            </w:r>
            <w:r>
              <w:rPr>
                <w:rFonts w:ascii="宋体" w:hAnsi="宋体" w:cs="宋体" w:eastAsia="宋体" w:hint="default"/>
                <w:w w:val="101"/>
                <w:sz w:val="18"/>
                <w:szCs w:val="18"/>
              </w:rPr>
              <w:t> </w:t>
            </w:r>
            <w:r>
              <w:rPr>
                <w:rFonts w:ascii="宋体" w:hAnsi="宋体" w:cs="宋体" w:eastAsia="宋体" w:hint="default"/>
                <w:sz w:val="18"/>
                <w:szCs w:val="18"/>
              </w:rPr>
              <w:t>程转入</w:t>
            </w:r>
          </w:p>
        </w:tc>
        <w:tc>
          <w:tcPr>
            <w:tcW w:w="1380" w:type="dxa"/>
            <w:tcBorders>
              <w:top w:val="single" w:sz="4" w:space="0" w:color="000000"/>
              <w:left w:val="single" w:sz="13" w:space="0" w:color="D2D2D2"/>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3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8"/>
              <w:ind w:left="11" w:right="5" w:firstLine="340"/>
              <w:jc w:val="lef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3</w:t>
            </w:r>
            <w:r>
              <w:rPr>
                <w:rFonts w:ascii="宋体" w:hAnsi="宋体" w:cs="宋体" w:eastAsia="宋体" w:hint="default"/>
                <w:spacing w:val="-5"/>
                <w:sz w:val="18"/>
                <w:szCs w:val="18"/>
              </w:rPr>
              <w:t>）企业合</w:t>
            </w:r>
            <w:r>
              <w:rPr>
                <w:rFonts w:ascii="宋体" w:hAnsi="宋体" w:cs="宋体" w:eastAsia="宋体" w:hint="default"/>
                <w:w w:val="101"/>
                <w:sz w:val="18"/>
                <w:szCs w:val="18"/>
              </w:rPr>
              <w:t> </w:t>
            </w:r>
            <w:r>
              <w:rPr>
                <w:rFonts w:ascii="宋体" w:hAnsi="宋体" w:cs="宋体" w:eastAsia="宋体" w:hint="default"/>
                <w:sz w:val="18"/>
                <w:szCs w:val="18"/>
              </w:rPr>
              <w:t>并增加</w:t>
            </w:r>
          </w:p>
        </w:tc>
        <w:tc>
          <w:tcPr>
            <w:tcW w:w="1380" w:type="dxa"/>
            <w:tcBorders>
              <w:top w:val="single" w:sz="4" w:space="0" w:color="000000"/>
              <w:left w:val="single" w:sz="13" w:space="0" w:color="D2D2D2"/>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177,660.89</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177,660.89</w:t>
            </w:r>
          </w:p>
        </w:tc>
      </w:tr>
      <w:tr>
        <w:trPr>
          <w:trHeight w:val="403" w:hRule="exact"/>
        </w:trPr>
        <w:tc>
          <w:tcPr>
            <w:tcW w:w="13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3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1,527,148.00</w:t>
            </w:r>
          </w:p>
        </w:tc>
        <w:tc>
          <w:tcPr>
            <w:tcW w:w="1364"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1,527,148.00</w:t>
            </w:r>
          </w:p>
        </w:tc>
      </w:tr>
      <w:tr>
        <w:trPr>
          <w:trHeight w:val="403" w:hRule="exact"/>
        </w:trPr>
        <w:tc>
          <w:tcPr>
            <w:tcW w:w="134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80" w:type="dxa"/>
            <w:tcBorders>
              <w:top w:val="single" w:sz="4" w:space="0" w:color="000000"/>
              <w:left w:val="single" w:sz="13" w:space="0" w:color="D2D2D2"/>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3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11" w:right="101" w:firstLine="182"/>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本期减少金</w:t>
            </w:r>
            <w:r>
              <w:rPr>
                <w:rFonts w:ascii="宋体" w:hAnsi="宋体" w:cs="宋体" w:eastAsia="宋体" w:hint="default"/>
                <w:w w:val="101"/>
                <w:sz w:val="18"/>
                <w:szCs w:val="18"/>
              </w:rPr>
              <w:t> </w:t>
            </w:r>
            <w:r>
              <w:rPr>
                <w:rFonts w:ascii="宋体" w:hAnsi="宋体" w:cs="宋体" w:eastAsia="宋体" w:hint="default"/>
                <w:sz w:val="18"/>
                <w:szCs w:val="18"/>
              </w:rPr>
              <w:t>额</w:t>
            </w:r>
          </w:p>
        </w:tc>
        <w:tc>
          <w:tcPr>
            <w:tcW w:w="1380" w:type="dxa"/>
            <w:tcBorders>
              <w:top w:val="single" w:sz="4" w:space="0" w:color="000000"/>
              <w:left w:val="single" w:sz="13" w:space="0" w:color="D2D2D2"/>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3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9"/>
              <w:ind w:left="11" w:right="5" w:firstLine="340"/>
              <w:jc w:val="lef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）处置或</w:t>
            </w:r>
            <w:r>
              <w:rPr>
                <w:rFonts w:ascii="宋体" w:hAnsi="宋体" w:cs="宋体" w:eastAsia="宋体" w:hint="default"/>
                <w:w w:val="101"/>
                <w:sz w:val="18"/>
                <w:szCs w:val="18"/>
              </w:rPr>
              <w:t> </w:t>
            </w:r>
            <w:r>
              <w:rPr>
                <w:rFonts w:ascii="宋体" w:hAnsi="宋体" w:cs="宋体" w:eastAsia="宋体" w:hint="default"/>
                <w:sz w:val="18"/>
                <w:szCs w:val="18"/>
              </w:rPr>
              <w:t>报废</w:t>
            </w:r>
          </w:p>
        </w:tc>
        <w:tc>
          <w:tcPr>
            <w:tcW w:w="1380" w:type="dxa"/>
            <w:tcBorders>
              <w:top w:val="single" w:sz="4" w:space="0" w:color="000000"/>
              <w:left w:val="single" w:sz="13" w:space="0" w:color="D2D2D2"/>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80,650.00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490,762.00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1,147,799.70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1,701,906.43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2"/>
                <w:sz w:val="18"/>
              </w:rPr>
              <w:t>3,421,118.13</w:t>
            </w:r>
          </w:p>
        </w:tc>
      </w:tr>
    </w:tbl>
    <w:p>
      <w:pPr>
        <w:spacing w:after="0" w:line="240" w:lineRule="auto"/>
        <w:jc w:val="right"/>
        <w:rPr>
          <w:rFonts w:ascii="Times New Roman" w:hAnsi="Times New Roman" w:cs="Times New Roman" w:eastAsia="Times New Roman" w:hint="default"/>
          <w:sz w:val="18"/>
          <w:szCs w:val="18"/>
        </w:rPr>
        <w:sectPr>
          <w:pgSz w:w="11910" w:h="16840"/>
          <w:pgMar w:header="871" w:footer="1186" w:top="1100" w:bottom="138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48" w:type="dxa"/>
        <w:tblLayout w:type="fixed"/>
        <w:tblCellMar>
          <w:top w:w="0" w:type="dxa"/>
          <w:left w:w="0" w:type="dxa"/>
          <w:bottom w:w="0" w:type="dxa"/>
          <w:right w:w="0" w:type="dxa"/>
        </w:tblCellMar>
        <w:tblLook w:val="01E0"/>
      </w:tblPr>
      <w:tblGrid>
        <w:gridCol w:w="1357"/>
        <w:gridCol w:w="1380"/>
        <w:gridCol w:w="1364"/>
        <w:gridCol w:w="1368"/>
        <w:gridCol w:w="1368"/>
        <w:gridCol w:w="1369"/>
        <w:gridCol w:w="1369"/>
      </w:tblGrid>
      <w:tr>
        <w:trPr>
          <w:trHeight w:val="403"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80" w:type="dxa"/>
            <w:tcBorders>
              <w:top w:val="single" w:sz="4" w:space="0" w:color="000000"/>
              <w:left w:val="single" w:sz="13" w:space="0" w:color="D2D2D2"/>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0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5,136,603.90</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7,881,668.48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7,344,745.58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12,976,421.19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8,254,699.98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41,594,139.13</w:t>
            </w:r>
          </w:p>
        </w:tc>
      </w:tr>
      <w:tr>
        <w:trPr>
          <w:trHeight w:val="404"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380" w:type="dxa"/>
            <w:tcBorders>
              <w:top w:val="single" w:sz="4" w:space="0" w:color="000000"/>
              <w:left w:val="single" w:sz="13" w:space="0" w:color="D2D2D2"/>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0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3"/>
                <w:sz w:val="18"/>
              </w:rPr>
              <w:t>156,114.11</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4,907,465.72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5,646,087.50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6,098,558.86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6,372,556.77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23,180,782.96</w:t>
            </w:r>
          </w:p>
        </w:tc>
      </w:tr>
      <w:tr>
        <w:trPr>
          <w:trHeight w:val="715"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24" w:right="101" w:firstLine="182"/>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本期增加金</w:t>
            </w:r>
            <w:r>
              <w:rPr>
                <w:rFonts w:ascii="宋体" w:hAnsi="宋体" w:cs="宋体" w:eastAsia="宋体" w:hint="default"/>
                <w:w w:val="101"/>
                <w:sz w:val="18"/>
                <w:szCs w:val="18"/>
              </w:rPr>
              <w:t> </w:t>
            </w:r>
            <w:r>
              <w:rPr>
                <w:rFonts w:ascii="宋体" w:hAnsi="宋体" w:cs="宋体" w:eastAsia="宋体" w:hint="default"/>
                <w:sz w:val="18"/>
                <w:szCs w:val="18"/>
              </w:rPr>
              <w:t>额</w:t>
            </w:r>
          </w:p>
        </w:tc>
        <w:tc>
          <w:tcPr>
            <w:tcW w:w="1380" w:type="dxa"/>
            <w:tcBorders>
              <w:top w:val="single" w:sz="4" w:space="0" w:color="000000"/>
              <w:left w:val="single" w:sz="13" w:space="0" w:color="D2D2D2"/>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44"/>
              <w:jc w:val="right"/>
              <w:rPr>
                <w:rFonts w:ascii="宋体" w:hAnsi="宋体" w:cs="宋体" w:eastAsia="宋体" w:hint="default"/>
                <w:sz w:val="18"/>
                <w:szCs w:val="18"/>
              </w:rPr>
            </w:pP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1</w:t>
            </w:r>
            <w:r>
              <w:rPr>
                <w:rFonts w:ascii="宋体" w:hAnsi="宋体" w:cs="宋体" w:eastAsia="宋体" w:hint="default"/>
                <w:spacing w:val="-1"/>
                <w:sz w:val="18"/>
                <w:szCs w:val="18"/>
              </w:rPr>
              <w:t>）计提</w:t>
            </w:r>
          </w:p>
        </w:tc>
        <w:tc>
          <w:tcPr>
            <w:tcW w:w="13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58,027.24</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586,692.28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557,860.53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1,598,203.05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1,375,481.68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4,176,264.78</w:t>
            </w:r>
          </w:p>
        </w:tc>
      </w:tr>
      <w:tr>
        <w:trPr>
          <w:trHeight w:val="716"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9"/>
              <w:ind w:left="24" w:right="5"/>
              <w:jc w:val="left"/>
              <w:rPr>
                <w:rFonts w:ascii="宋体" w:hAnsi="宋体" w:cs="宋体" w:eastAsia="宋体" w:hint="default"/>
                <w:sz w:val="18"/>
                <w:szCs w:val="18"/>
              </w:rPr>
            </w:pPr>
            <w:r>
              <w:rPr>
                <w:rFonts w:ascii="宋体" w:hAnsi="宋体" w:cs="宋体" w:eastAsia="宋体" w:hint="default"/>
                <w:spacing w:val="-7"/>
                <w:sz w:val="18"/>
                <w:szCs w:val="18"/>
              </w:rPr>
              <w:t>（</w:t>
            </w:r>
            <w:r>
              <w:rPr>
                <w:rFonts w:ascii="Times New Roman" w:hAnsi="Times New Roman" w:cs="Times New Roman" w:eastAsia="Times New Roman" w:hint="default"/>
                <w:spacing w:val="-7"/>
                <w:sz w:val="18"/>
                <w:szCs w:val="18"/>
              </w:rPr>
              <w:t>2</w:t>
            </w:r>
            <w:r>
              <w:rPr>
                <w:rFonts w:ascii="宋体" w:hAnsi="宋体" w:cs="宋体" w:eastAsia="宋体" w:hint="default"/>
                <w:spacing w:val="-7"/>
                <w:sz w:val="18"/>
                <w:szCs w:val="18"/>
              </w:rPr>
              <w:t>）在建工程转</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入</w:t>
            </w:r>
          </w:p>
        </w:tc>
        <w:tc>
          <w:tcPr>
            <w:tcW w:w="1380" w:type="dxa"/>
            <w:tcBorders>
              <w:top w:val="single" w:sz="4" w:space="0" w:color="000000"/>
              <w:left w:val="single" w:sz="13" w:space="0" w:color="D2D2D2"/>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4" w:lineRule="auto" w:before="53"/>
              <w:ind w:left="24" w:right="5"/>
              <w:jc w:val="left"/>
              <w:rPr>
                <w:rFonts w:ascii="宋体" w:hAnsi="宋体" w:cs="宋体" w:eastAsia="宋体" w:hint="default"/>
                <w:sz w:val="18"/>
                <w:szCs w:val="18"/>
              </w:rPr>
            </w:pPr>
            <w:r>
              <w:rPr>
                <w:rFonts w:ascii="宋体" w:hAnsi="宋体" w:cs="宋体" w:eastAsia="宋体" w:hint="default"/>
                <w:spacing w:val="-7"/>
                <w:sz w:val="18"/>
                <w:szCs w:val="18"/>
              </w:rPr>
              <w:t>（</w:t>
            </w:r>
            <w:r>
              <w:rPr>
                <w:rFonts w:ascii="Times New Roman" w:hAnsi="Times New Roman" w:cs="Times New Roman" w:eastAsia="Times New Roman" w:hint="default"/>
                <w:spacing w:val="-7"/>
                <w:sz w:val="18"/>
                <w:szCs w:val="18"/>
              </w:rPr>
              <w:t>3</w:t>
            </w:r>
            <w:r>
              <w:rPr>
                <w:rFonts w:ascii="宋体" w:hAnsi="宋体" w:cs="宋体" w:eastAsia="宋体" w:hint="default"/>
                <w:spacing w:val="-7"/>
                <w:sz w:val="18"/>
                <w:szCs w:val="18"/>
              </w:rPr>
              <w:t>）企业合并增</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加</w:t>
            </w:r>
          </w:p>
        </w:tc>
        <w:tc>
          <w:tcPr>
            <w:tcW w:w="1380" w:type="dxa"/>
            <w:tcBorders>
              <w:top w:val="single" w:sz="4" w:space="0" w:color="000000"/>
              <w:left w:val="single" w:sz="13" w:space="0" w:color="D2D2D2"/>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27,288.24</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27,288.24</w:t>
            </w:r>
          </w:p>
        </w:tc>
      </w:tr>
      <w:tr>
        <w:trPr>
          <w:trHeight w:val="716"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24" w:right="101" w:firstLine="182"/>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本期减少金</w:t>
            </w:r>
            <w:r>
              <w:rPr>
                <w:rFonts w:ascii="宋体" w:hAnsi="宋体" w:cs="宋体" w:eastAsia="宋体" w:hint="default"/>
                <w:w w:val="101"/>
                <w:sz w:val="18"/>
                <w:szCs w:val="18"/>
              </w:rPr>
              <w:t> </w:t>
            </w:r>
            <w:r>
              <w:rPr>
                <w:rFonts w:ascii="宋体" w:hAnsi="宋体" w:cs="宋体" w:eastAsia="宋体" w:hint="default"/>
                <w:sz w:val="18"/>
                <w:szCs w:val="18"/>
              </w:rPr>
              <w:t>额</w:t>
            </w:r>
          </w:p>
        </w:tc>
        <w:tc>
          <w:tcPr>
            <w:tcW w:w="1380" w:type="dxa"/>
            <w:tcBorders>
              <w:top w:val="single" w:sz="4" w:space="0" w:color="000000"/>
              <w:left w:val="single" w:sz="13" w:space="0" w:color="D2D2D2"/>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24" w:right="5" w:firstLine="340"/>
              <w:jc w:val="lef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）处置或</w:t>
            </w:r>
            <w:r>
              <w:rPr>
                <w:rFonts w:ascii="宋体" w:hAnsi="宋体" w:cs="宋体" w:eastAsia="宋体" w:hint="default"/>
                <w:w w:val="101"/>
                <w:sz w:val="18"/>
                <w:szCs w:val="18"/>
              </w:rPr>
              <w:t> </w:t>
            </w:r>
            <w:r>
              <w:rPr>
                <w:rFonts w:ascii="宋体" w:hAnsi="宋体" w:cs="宋体" w:eastAsia="宋体" w:hint="default"/>
                <w:sz w:val="18"/>
                <w:szCs w:val="18"/>
              </w:rPr>
              <w:t>报废</w:t>
            </w:r>
          </w:p>
        </w:tc>
        <w:tc>
          <w:tcPr>
            <w:tcW w:w="1380" w:type="dxa"/>
            <w:tcBorders>
              <w:top w:val="single" w:sz="4" w:space="0" w:color="000000"/>
              <w:left w:val="single" w:sz="13" w:space="0" w:color="D2D2D2"/>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2"/>
                <w:sz w:val="18"/>
              </w:rPr>
              <w:t>21,624.11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466,223.90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972,226.06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1,645,172.06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3,105,246.13</w:t>
            </w:r>
          </w:p>
        </w:tc>
      </w:tr>
      <w:tr>
        <w:trPr>
          <w:trHeight w:val="403"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80" w:type="dxa"/>
            <w:tcBorders>
              <w:top w:val="single" w:sz="4" w:space="0" w:color="000000"/>
              <w:left w:val="single" w:sz="13" w:space="0" w:color="D2D2D2"/>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0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214,141.35</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5,472,533.89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5,737,724.13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6,751,824.09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6,102,866.39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24,279,089.85</w:t>
            </w:r>
          </w:p>
        </w:tc>
      </w:tr>
      <w:tr>
        <w:trPr>
          <w:trHeight w:val="403"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380" w:type="dxa"/>
            <w:tcBorders>
              <w:top w:val="single" w:sz="4" w:space="0" w:color="000000"/>
              <w:left w:val="single" w:sz="13" w:space="0" w:color="D2D2D2"/>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0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80" w:type="dxa"/>
            <w:tcBorders>
              <w:top w:val="single" w:sz="4" w:space="0" w:color="000000"/>
              <w:left w:val="single" w:sz="13" w:space="0" w:color="D2D2D2"/>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8"/>
              <w:ind w:left="24" w:right="101" w:firstLine="182"/>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本期增加金</w:t>
            </w:r>
            <w:r>
              <w:rPr>
                <w:rFonts w:ascii="宋体" w:hAnsi="宋体" w:cs="宋体" w:eastAsia="宋体" w:hint="default"/>
                <w:w w:val="101"/>
                <w:sz w:val="18"/>
                <w:szCs w:val="18"/>
              </w:rPr>
              <w:t> </w:t>
            </w:r>
            <w:r>
              <w:rPr>
                <w:rFonts w:ascii="宋体" w:hAnsi="宋体" w:cs="宋体" w:eastAsia="宋体" w:hint="default"/>
                <w:sz w:val="18"/>
                <w:szCs w:val="18"/>
              </w:rPr>
              <w:t>额</w:t>
            </w:r>
          </w:p>
        </w:tc>
        <w:tc>
          <w:tcPr>
            <w:tcW w:w="1380" w:type="dxa"/>
            <w:tcBorders>
              <w:top w:val="single" w:sz="4" w:space="0" w:color="000000"/>
              <w:left w:val="single" w:sz="13" w:space="0" w:color="D2D2D2"/>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44"/>
              <w:jc w:val="right"/>
              <w:rPr>
                <w:rFonts w:ascii="宋体" w:hAnsi="宋体" w:cs="宋体" w:eastAsia="宋体" w:hint="default"/>
                <w:sz w:val="18"/>
                <w:szCs w:val="18"/>
              </w:rPr>
            </w:pP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1</w:t>
            </w:r>
            <w:r>
              <w:rPr>
                <w:rFonts w:ascii="宋体" w:hAnsi="宋体" w:cs="宋体" w:eastAsia="宋体" w:hint="default"/>
                <w:spacing w:val="-1"/>
                <w:sz w:val="18"/>
                <w:szCs w:val="18"/>
              </w:rPr>
              <w:t>）计提</w:t>
            </w:r>
          </w:p>
        </w:tc>
        <w:tc>
          <w:tcPr>
            <w:tcW w:w="1380" w:type="dxa"/>
            <w:tcBorders>
              <w:top w:val="single" w:sz="4" w:space="0" w:color="000000"/>
              <w:left w:val="single" w:sz="13" w:space="0" w:color="D2D2D2"/>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80" w:type="dxa"/>
            <w:tcBorders>
              <w:top w:val="single" w:sz="4" w:space="0" w:color="000000"/>
              <w:left w:val="single" w:sz="13" w:space="0" w:color="D2D2D2"/>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24" w:right="101" w:firstLine="182"/>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本期减少金</w:t>
            </w:r>
            <w:r>
              <w:rPr>
                <w:rFonts w:ascii="宋体" w:hAnsi="宋体" w:cs="宋体" w:eastAsia="宋体" w:hint="default"/>
                <w:w w:val="101"/>
                <w:sz w:val="18"/>
                <w:szCs w:val="18"/>
              </w:rPr>
              <w:t> </w:t>
            </w:r>
            <w:r>
              <w:rPr>
                <w:rFonts w:ascii="宋体" w:hAnsi="宋体" w:cs="宋体" w:eastAsia="宋体" w:hint="default"/>
                <w:sz w:val="18"/>
                <w:szCs w:val="18"/>
              </w:rPr>
              <w:t>额</w:t>
            </w:r>
          </w:p>
        </w:tc>
        <w:tc>
          <w:tcPr>
            <w:tcW w:w="1380" w:type="dxa"/>
            <w:tcBorders>
              <w:top w:val="single" w:sz="4" w:space="0" w:color="000000"/>
              <w:left w:val="single" w:sz="13" w:space="0" w:color="D2D2D2"/>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9"/>
              <w:ind w:left="24" w:right="5" w:firstLine="340"/>
              <w:jc w:val="lef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）处置或</w:t>
            </w:r>
            <w:r>
              <w:rPr>
                <w:rFonts w:ascii="宋体" w:hAnsi="宋体" w:cs="宋体" w:eastAsia="宋体" w:hint="default"/>
                <w:w w:val="101"/>
                <w:sz w:val="18"/>
                <w:szCs w:val="18"/>
              </w:rPr>
              <w:t> </w:t>
            </w:r>
            <w:r>
              <w:rPr>
                <w:rFonts w:ascii="宋体" w:hAnsi="宋体" w:cs="宋体" w:eastAsia="宋体" w:hint="default"/>
                <w:sz w:val="18"/>
                <w:szCs w:val="18"/>
              </w:rPr>
              <w:t>报废</w:t>
            </w:r>
          </w:p>
        </w:tc>
        <w:tc>
          <w:tcPr>
            <w:tcW w:w="1380" w:type="dxa"/>
            <w:tcBorders>
              <w:top w:val="single" w:sz="4" w:space="0" w:color="000000"/>
              <w:left w:val="single" w:sz="13" w:space="0" w:color="D2D2D2"/>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80" w:type="dxa"/>
            <w:tcBorders>
              <w:top w:val="single" w:sz="4" w:space="0" w:color="000000"/>
              <w:left w:val="single" w:sz="13" w:space="0" w:color="D2D2D2"/>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0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80" w:type="dxa"/>
            <w:tcBorders>
              <w:top w:val="single" w:sz="4" w:space="0" w:color="000000"/>
              <w:left w:val="single" w:sz="13" w:space="0" w:color="D2D2D2"/>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380" w:type="dxa"/>
            <w:tcBorders>
              <w:top w:val="single" w:sz="4" w:space="0" w:color="000000"/>
              <w:left w:val="single" w:sz="13" w:space="0" w:color="D2D2D2"/>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8"/>
              <w:ind w:left="24" w:right="101" w:firstLine="182"/>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期末账面价</w:t>
            </w:r>
            <w:r>
              <w:rPr>
                <w:rFonts w:ascii="宋体" w:hAnsi="宋体" w:cs="宋体" w:eastAsia="宋体" w:hint="default"/>
                <w:w w:val="101"/>
                <w:sz w:val="18"/>
                <w:szCs w:val="18"/>
              </w:rPr>
              <w:t> </w:t>
            </w:r>
            <w:r>
              <w:rPr>
                <w:rFonts w:ascii="宋体" w:hAnsi="宋体" w:cs="宋体" w:eastAsia="宋体" w:hint="default"/>
                <w:sz w:val="18"/>
                <w:szCs w:val="18"/>
              </w:rPr>
              <w:t>值</w:t>
            </w:r>
          </w:p>
        </w:tc>
        <w:tc>
          <w:tcPr>
            <w:tcW w:w="13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4,922,462.55</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2,409,134.59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1,607,021.45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6,224,597.10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2,151,833.59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17,315,049.28</w:t>
            </w:r>
          </w:p>
        </w:tc>
      </w:tr>
      <w:tr>
        <w:trPr>
          <w:trHeight w:val="715"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4" w:lineRule="auto" w:before="53"/>
              <w:ind w:left="24" w:right="101" w:firstLine="182"/>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期初账面价</w:t>
            </w:r>
            <w:r>
              <w:rPr>
                <w:rFonts w:ascii="宋体" w:hAnsi="宋体" w:cs="宋体" w:eastAsia="宋体" w:hint="default"/>
                <w:w w:val="101"/>
                <w:sz w:val="18"/>
                <w:szCs w:val="18"/>
              </w:rPr>
              <w:t> </w:t>
            </w:r>
            <w:r>
              <w:rPr>
                <w:rFonts w:ascii="宋体" w:hAnsi="宋体" w:cs="宋体" w:eastAsia="宋体" w:hint="default"/>
                <w:sz w:val="18"/>
                <w:szCs w:val="18"/>
              </w:rPr>
              <w:t>值</w:t>
            </w:r>
          </w:p>
        </w:tc>
        <w:tc>
          <w:tcPr>
            <w:tcW w:w="13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3,453,341.79</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1,171,009.02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2,189,420.08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4,620,767.09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2,136,460.27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13,570,998.25</w:t>
            </w:r>
          </w:p>
        </w:tc>
      </w:tr>
    </w:tbl>
    <w:p>
      <w:pPr>
        <w:spacing w:after="0" w:line="240" w:lineRule="auto"/>
        <w:jc w:val="right"/>
        <w:rPr>
          <w:rFonts w:ascii="Times New Roman" w:hAnsi="Times New Roman" w:cs="Times New Roman" w:eastAsia="Times New Roman" w:hint="default"/>
          <w:sz w:val="18"/>
          <w:szCs w:val="18"/>
        </w:rPr>
        <w:sectPr>
          <w:pgSz w:w="11910" w:h="16840"/>
          <w:pgMar w:header="871" w:footer="1186" w:top="1100" w:bottom="1380" w:left="980" w:right="0"/>
        </w:sectPr>
      </w:pPr>
    </w:p>
    <w:p>
      <w:pPr>
        <w:spacing w:line="240" w:lineRule="auto" w:before="11"/>
        <w:rPr>
          <w:rFonts w:ascii="Times New Roman" w:hAnsi="Times New Roman" w:cs="Times New Roman" w:eastAsia="Times New Roman" w:hint="default"/>
          <w:sz w:val="23"/>
          <w:szCs w:val="23"/>
        </w:rPr>
      </w:pPr>
    </w:p>
    <w:p>
      <w:pPr>
        <w:pStyle w:val="Heading3"/>
        <w:spacing w:line="240" w:lineRule="auto" w:before="36"/>
        <w:ind w:right="0"/>
        <w:jc w:val="left"/>
        <w:rPr>
          <w:b w:val="0"/>
          <w:bCs w:val="0"/>
        </w:rPr>
      </w:pPr>
      <w:bookmarkStart w:name="（2）暂时闲置的固定资产情况" w:id="259"/>
      <w:bookmarkEnd w:id="259"/>
      <w:r>
        <w:rPr>
          <w:b w:val="0"/>
          <w:bCs w:val="0"/>
        </w:rPr>
      </w:r>
      <w:r>
        <w:rPr/>
        <w:t>（</w:t>
      </w:r>
      <w:r>
        <w:rPr>
          <w:rFonts w:ascii="Times New Roman" w:hAnsi="Times New Roman" w:cs="Times New Roman" w:eastAsia="Times New Roman" w:hint="default"/>
        </w:rPr>
        <w:t>2</w:t>
      </w:r>
      <w:r>
        <w:rPr/>
        <w:t>）暂时闲置的固定资产情况</w:t>
      </w:r>
      <w:r>
        <w:rPr>
          <w:b w:val="0"/>
          <w:bCs w:val="0"/>
        </w:rPr>
      </w:r>
    </w:p>
    <w:p>
      <w:pPr>
        <w:spacing w:line="240" w:lineRule="auto" w:before="7"/>
        <w:rPr>
          <w:rFonts w:ascii="宋体" w:hAnsi="宋体" w:cs="宋体" w:eastAsia="宋体" w:hint="default"/>
          <w:b/>
          <w:bCs/>
          <w:sz w:val="32"/>
          <w:szCs w:val="32"/>
        </w:rPr>
      </w:pPr>
    </w:p>
    <w:p>
      <w:pPr>
        <w:pStyle w:val="BodyText"/>
        <w:spacing w:line="240" w:lineRule="auto"/>
        <w:ind w:left="136" w:right="9666"/>
        <w:jc w:val="center"/>
      </w:pPr>
      <w:r>
        <w:rPr/>
        <w:t>无。</w:t>
      </w: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14"/>
          <w:szCs w:val="14"/>
        </w:rPr>
      </w:pPr>
    </w:p>
    <w:p>
      <w:pPr>
        <w:pStyle w:val="Heading3"/>
        <w:spacing w:line="240" w:lineRule="auto"/>
        <w:ind w:right="0"/>
        <w:jc w:val="left"/>
        <w:rPr>
          <w:b w:val="0"/>
          <w:bCs w:val="0"/>
        </w:rPr>
      </w:pPr>
      <w:bookmarkStart w:name="（3）通过融资租赁租入的固定资产情况" w:id="260"/>
      <w:bookmarkEnd w:id="260"/>
      <w:r>
        <w:rPr>
          <w:b w:val="0"/>
          <w:bCs w:val="0"/>
        </w:rPr>
      </w:r>
      <w:r>
        <w:rPr/>
        <w:t>（</w:t>
      </w:r>
      <w:r>
        <w:rPr>
          <w:rFonts w:ascii="Times New Roman" w:hAnsi="Times New Roman" w:cs="Times New Roman" w:eastAsia="Times New Roman" w:hint="default"/>
        </w:rPr>
        <w:t>3</w:t>
      </w:r>
      <w:r>
        <w:rPr/>
        <w:t>）通过融资租赁租入的固定资产情况</w:t>
      </w:r>
      <w:r>
        <w:rPr>
          <w:b w:val="0"/>
          <w:bCs w:val="0"/>
        </w:rPr>
      </w:r>
    </w:p>
    <w:p>
      <w:pPr>
        <w:spacing w:line="240" w:lineRule="auto" w:before="12"/>
        <w:rPr>
          <w:rFonts w:ascii="宋体" w:hAnsi="宋体" w:cs="宋体" w:eastAsia="宋体" w:hint="default"/>
          <w:b/>
          <w:bCs/>
          <w:sz w:val="32"/>
          <w:szCs w:val="32"/>
        </w:rPr>
      </w:pPr>
    </w:p>
    <w:p>
      <w:pPr>
        <w:pStyle w:val="BodyText"/>
        <w:spacing w:line="240" w:lineRule="auto"/>
        <w:ind w:left="136" w:right="9666"/>
        <w:jc w:val="center"/>
      </w:pPr>
      <w:r>
        <w:rPr/>
        <w:t>无。</w:t>
      </w: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14"/>
          <w:szCs w:val="14"/>
        </w:rPr>
      </w:pPr>
    </w:p>
    <w:p>
      <w:pPr>
        <w:pStyle w:val="Heading3"/>
        <w:spacing w:line="240" w:lineRule="auto"/>
        <w:ind w:right="0"/>
        <w:jc w:val="left"/>
        <w:rPr>
          <w:b w:val="0"/>
          <w:bCs w:val="0"/>
        </w:rPr>
      </w:pPr>
      <w:bookmarkStart w:name="（4）通过经营租赁租出的固定资产" w:id="261"/>
      <w:bookmarkEnd w:id="261"/>
      <w:r>
        <w:rPr>
          <w:b w:val="0"/>
          <w:bCs w:val="0"/>
        </w:rPr>
      </w:r>
      <w:r>
        <w:rPr/>
        <w:t>（</w:t>
      </w:r>
      <w:r>
        <w:rPr>
          <w:rFonts w:ascii="Times New Roman" w:hAnsi="Times New Roman" w:cs="Times New Roman" w:eastAsia="Times New Roman" w:hint="default"/>
        </w:rPr>
        <w:t>4</w:t>
      </w:r>
      <w:r>
        <w:rPr/>
        <w:t>）通过经营租赁租出的固定资产</w:t>
      </w:r>
      <w:r>
        <w:rPr>
          <w:b w:val="0"/>
          <w:bCs w:val="0"/>
        </w:rPr>
      </w:r>
    </w:p>
    <w:p>
      <w:pPr>
        <w:spacing w:line="240" w:lineRule="auto" w:before="7"/>
        <w:rPr>
          <w:rFonts w:ascii="宋体" w:hAnsi="宋体" w:cs="宋体" w:eastAsia="宋体" w:hint="default"/>
          <w:b/>
          <w:bCs/>
          <w:sz w:val="32"/>
          <w:szCs w:val="32"/>
        </w:rPr>
      </w:pPr>
    </w:p>
    <w:p>
      <w:pPr>
        <w:pStyle w:val="BodyText"/>
        <w:spacing w:line="240" w:lineRule="auto"/>
        <w:ind w:left="136" w:right="9666"/>
        <w:jc w:val="center"/>
      </w:pPr>
      <w:r>
        <w:rPr/>
        <w:t>无。</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4"/>
          <w:szCs w:val="14"/>
        </w:rPr>
      </w:pPr>
    </w:p>
    <w:p>
      <w:pPr>
        <w:pStyle w:val="Heading3"/>
        <w:spacing w:line="240" w:lineRule="auto"/>
        <w:ind w:right="0"/>
        <w:jc w:val="left"/>
        <w:rPr>
          <w:b w:val="0"/>
          <w:bCs w:val="0"/>
        </w:rPr>
      </w:pPr>
      <w:bookmarkStart w:name="（5）未办妥产权证书的固定资产情况" w:id="262"/>
      <w:bookmarkEnd w:id="262"/>
      <w:r>
        <w:rPr>
          <w:b w:val="0"/>
          <w:bCs w:val="0"/>
        </w:rPr>
      </w:r>
      <w:r>
        <w:rPr/>
        <w:t>（</w:t>
      </w:r>
      <w:r>
        <w:rPr>
          <w:rFonts w:ascii="Times New Roman" w:hAnsi="Times New Roman" w:cs="Times New Roman" w:eastAsia="Times New Roman" w:hint="default"/>
        </w:rPr>
        <w:t>5</w:t>
      </w:r>
      <w:r>
        <w:rPr/>
        <w:t>）未办妥产权证书的固定资产情况</w:t>
      </w:r>
      <w:r>
        <w:rPr>
          <w:b w:val="0"/>
          <w:bCs w:val="0"/>
        </w:rPr>
      </w:r>
    </w:p>
    <w:p>
      <w:pPr>
        <w:spacing w:line="240" w:lineRule="auto" w:before="8"/>
        <w:rPr>
          <w:rFonts w:ascii="宋体" w:hAnsi="宋体" w:cs="宋体" w:eastAsia="宋体" w:hint="default"/>
          <w:b/>
          <w:bCs/>
          <w:sz w:val="32"/>
          <w:szCs w:val="32"/>
        </w:rPr>
      </w:pPr>
    </w:p>
    <w:p>
      <w:pPr>
        <w:pStyle w:val="BodyText"/>
        <w:spacing w:line="240" w:lineRule="auto"/>
        <w:ind w:left="136" w:right="9666"/>
        <w:jc w:val="center"/>
      </w:pPr>
      <w:r>
        <w:rPr/>
        <w:t>无。</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4"/>
          <w:szCs w:val="14"/>
        </w:rPr>
      </w:pPr>
    </w:p>
    <w:p>
      <w:pPr>
        <w:pStyle w:val="Heading3"/>
        <w:spacing w:line="240" w:lineRule="auto"/>
        <w:ind w:right="0"/>
        <w:jc w:val="left"/>
        <w:rPr>
          <w:b w:val="0"/>
          <w:bCs w:val="0"/>
        </w:rPr>
      </w:pPr>
      <w:bookmarkStart w:name="（6）固定资产清理" w:id="263"/>
      <w:bookmarkEnd w:id="263"/>
      <w:r>
        <w:rPr>
          <w:b w:val="0"/>
          <w:bCs w:val="0"/>
        </w:rPr>
      </w:r>
      <w:r>
        <w:rPr/>
        <w:t>（</w:t>
      </w:r>
      <w:r>
        <w:rPr>
          <w:rFonts w:ascii="Times New Roman" w:hAnsi="Times New Roman" w:cs="Times New Roman" w:eastAsia="Times New Roman" w:hint="default"/>
        </w:rPr>
        <w:t>6</w:t>
      </w:r>
      <w:r>
        <w:rPr/>
        <w:t>）固定资产清理</w:t>
      </w:r>
      <w:r>
        <w:rPr>
          <w:b w:val="0"/>
          <w:bCs w:val="0"/>
        </w:rPr>
      </w:r>
    </w:p>
    <w:p>
      <w:pPr>
        <w:spacing w:line="240" w:lineRule="auto" w:before="8"/>
        <w:rPr>
          <w:rFonts w:ascii="宋体" w:hAnsi="宋体" w:cs="宋体" w:eastAsia="宋体" w:hint="default"/>
          <w:b/>
          <w:bCs/>
          <w:sz w:val="32"/>
          <w:szCs w:val="32"/>
        </w:rPr>
      </w:pPr>
    </w:p>
    <w:p>
      <w:pPr>
        <w:pStyle w:val="BodyText"/>
        <w:spacing w:line="240" w:lineRule="auto"/>
        <w:ind w:left="136" w:right="9666"/>
        <w:jc w:val="center"/>
      </w:pPr>
      <w:r>
        <w:rPr/>
        <w:t>无。</w:t>
      </w: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14"/>
          <w:szCs w:val="14"/>
        </w:rPr>
      </w:pPr>
    </w:p>
    <w:p>
      <w:pPr>
        <w:pStyle w:val="Heading3"/>
        <w:spacing w:line="240" w:lineRule="auto"/>
        <w:ind w:right="0"/>
        <w:jc w:val="left"/>
        <w:rPr>
          <w:b w:val="0"/>
          <w:bCs w:val="0"/>
        </w:rPr>
      </w:pPr>
      <w:bookmarkStart w:name="11、无形资产" w:id="264"/>
      <w:bookmarkEnd w:id="264"/>
      <w:r>
        <w:rPr>
          <w:b w:val="0"/>
          <w:bCs w:val="0"/>
        </w:rPr>
      </w:r>
      <w:r>
        <w:rPr>
          <w:rFonts w:ascii="Times New Roman" w:hAnsi="Times New Roman" w:cs="Times New Roman" w:eastAsia="Times New Roman" w:hint="default"/>
        </w:rPr>
        <w:t>11</w:t>
      </w:r>
      <w:r>
        <w:rPr/>
        <w:t>、无形资产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无形资产情况" w:id="265"/>
      <w:bookmarkEnd w:id="265"/>
      <w:r>
        <w:rPr>
          <w:b w:val="0"/>
          <w:bCs w:val="0"/>
        </w:rPr>
      </w:r>
      <w:r>
        <w:rPr/>
        <w:t>（</w:t>
      </w:r>
      <w:r>
        <w:rPr>
          <w:rFonts w:ascii="Times New Roman" w:hAnsi="Times New Roman" w:cs="Times New Roman" w:eastAsia="Times New Roman" w:hint="default"/>
        </w:rPr>
        <w:t>1</w:t>
      </w:r>
      <w:r>
        <w:rPr/>
        <w:t>）无形资产情况</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570"/>
        <w:gridCol w:w="1606"/>
        <w:gridCol w:w="1595"/>
        <w:gridCol w:w="1594"/>
        <w:gridCol w:w="1594"/>
        <w:gridCol w:w="1599"/>
      </w:tblGrid>
      <w:tr>
        <w:trPr>
          <w:trHeight w:val="398" w:hRule="exact"/>
        </w:trPr>
        <w:tc>
          <w:tcPr>
            <w:tcW w:w="15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7"/>
              <w:jc w:val="right"/>
              <w:rPr>
                <w:rFonts w:ascii="宋体" w:hAnsi="宋体" w:cs="宋体" w:eastAsia="宋体" w:hint="default"/>
                <w:sz w:val="18"/>
                <w:szCs w:val="18"/>
              </w:rPr>
            </w:pPr>
            <w:r>
              <w:rPr>
                <w:rFonts w:ascii="宋体" w:hAnsi="宋体" w:cs="宋体" w:eastAsia="宋体" w:hint="default"/>
                <w:spacing w:val="-2"/>
                <w:sz w:val="18"/>
                <w:szCs w:val="18"/>
              </w:rPr>
              <w:t>自主软件产品</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7"/>
              <w:jc w:val="right"/>
              <w:rPr>
                <w:rFonts w:ascii="宋体" w:hAnsi="宋体" w:cs="宋体" w:eastAsia="宋体" w:hint="default"/>
                <w:sz w:val="18"/>
                <w:szCs w:val="18"/>
              </w:rPr>
            </w:pPr>
            <w:r>
              <w:rPr>
                <w:rFonts w:ascii="宋体" w:hAnsi="宋体" w:cs="宋体" w:eastAsia="宋体" w:hint="default"/>
                <w:spacing w:val="-2"/>
                <w:sz w:val="18"/>
                <w:szCs w:val="18"/>
              </w:rPr>
              <w:t>专利及软件著作权</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7"/>
              <w:jc w:val="right"/>
              <w:rPr>
                <w:rFonts w:ascii="宋体" w:hAnsi="宋体" w:cs="宋体" w:eastAsia="宋体" w:hint="default"/>
                <w:sz w:val="18"/>
                <w:szCs w:val="18"/>
              </w:rPr>
            </w:pPr>
            <w:r>
              <w:rPr>
                <w:rFonts w:ascii="宋体" w:hAnsi="宋体" w:cs="宋体" w:eastAsia="宋体" w:hint="default"/>
                <w:spacing w:val="-2"/>
                <w:sz w:val="18"/>
                <w:szCs w:val="18"/>
              </w:rPr>
              <w:t>办公软件</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7"/>
              <w:jc w:val="right"/>
              <w:rPr>
                <w:rFonts w:ascii="宋体" w:hAnsi="宋体" w:cs="宋体" w:eastAsia="宋体" w:hint="default"/>
                <w:sz w:val="18"/>
                <w:szCs w:val="18"/>
              </w:rPr>
            </w:pPr>
            <w:r>
              <w:rPr>
                <w:rFonts w:ascii="宋体" w:hAnsi="宋体" w:cs="宋体" w:eastAsia="宋体" w:hint="default"/>
                <w:spacing w:val="-2"/>
                <w:sz w:val="18"/>
                <w:szCs w:val="18"/>
              </w:rPr>
              <w:t>商标及其他</w:t>
            </w:r>
          </w:p>
        </w:tc>
        <w:tc>
          <w:tcPr>
            <w:tcW w:w="1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2"/>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3" w:hRule="exact"/>
        </w:trPr>
        <w:tc>
          <w:tcPr>
            <w:tcW w:w="15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1"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606" w:type="dxa"/>
            <w:tcBorders>
              <w:top w:val="single" w:sz="4" w:space="0" w:color="000000"/>
              <w:left w:val="single" w:sz="13" w:space="0" w:color="D2D2D2"/>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5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6"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期初余额</w:t>
            </w:r>
          </w:p>
        </w:tc>
        <w:tc>
          <w:tcPr>
            <w:tcW w:w="16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67,128,701.10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39,449,233.29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4,656,902.88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4,328,812.73</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2"/>
                <w:sz w:val="18"/>
              </w:rPr>
              <w:t>115,563,650.00</w:t>
            </w:r>
          </w:p>
        </w:tc>
      </w:tr>
      <w:tr>
        <w:trPr>
          <w:trHeight w:val="715" w:hRule="exact"/>
        </w:trPr>
        <w:tc>
          <w:tcPr>
            <w:tcW w:w="15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w w:val="101"/>
                <w:sz w:val="18"/>
                <w:szCs w:val="18"/>
              </w:rPr>
              <w:t>额</w:t>
            </w:r>
            <w:r>
              <w:rPr>
                <w:rFonts w:ascii="宋体" w:hAnsi="宋体" w:cs="宋体" w:eastAsia="宋体" w:hint="default"/>
                <w:sz w:val="18"/>
                <w:szCs w:val="18"/>
              </w:rPr>
            </w:r>
          </w:p>
        </w:tc>
        <w:tc>
          <w:tcPr>
            <w:tcW w:w="16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22,796,108.31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201,313.06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59,581.42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495,607.86</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23,552,610.65</w:t>
            </w:r>
          </w:p>
        </w:tc>
      </w:tr>
      <w:tr>
        <w:trPr>
          <w:trHeight w:val="398" w:hRule="exact"/>
        </w:trPr>
        <w:tc>
          <w:tcPr>
            <w:tcW w:w="15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92"/>
              <w:jc w:val="right"/>
              <w:rPr>
                <w:rFonts w:ascii="宋体" w:hAnsi="宋体" w:cs="宋体" w:eastAsia="宋体" w:hint="default"/>
                <w:sz w:val="18"/>
                <w:szCs w:val="18"/>
              </w:rPr>
            </w:pP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）购置</w:t>
            </w:r>
          </w:p>
        </w:tc>
        <w:tc>
          <w:tcPr>
            <w:tcW w:w="1606" w:type="dxa"/>
            <w:tcBorders>
              <w:top w:val="single" w:sz="4" w:space="0" w:color="000000"/>
              <w:left w:val="single" w:sz="13" w:space="0" w:color="D2D2D2"/>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201,313.06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59,581.42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495,607.86</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756,502.34</w:t>
            </w:r>
          </w:p>
        </w:tc>
      </w:tr>
      <w:tr>
        <w:trPr>
          <w:trHeight w:val="716" w:hRule="exact"/>
        </w:trPr>
        <w:tc>
          <w:tcPr>
            <w:tcW w:w="15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55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）内部研</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w w:val="101"/>
                <w:sz w:val="18"/>
                <w:szCs w:val="18"/>
              </w:rPr>
              <w:t>发</w:t>
            </w:r>
            <w:r>
              <w:rPr>
                <w:rFonts w:ascii="宋体" w:hAnsi="宋体" w:cs="宋体" w:eastAsia="宋体" w:hint="default"/>
                <w:sz w:val="18"/>
                <w:szCs w:val="18"/>
              </w:rPr>
            </w:r>
          </w:p>
        </w:tc>
        <w:tc>
          <w:tcPr>
            <w:tcW w:w="16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4,921,132.39</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4,921,132.39</w:t>
            </w:r>
          </w:p>
        </w:tc>
      </w:tr>
      <w:tr>
        <w:trPr>
          <w:trHeight w:val="715" w:hRule="exact"/>
        </w:trPr>
        <w:tc>
          <w:tcPr>
            <w:tcW w:w="15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4" w:lineRule="auto" w:before="53"/>
              <w:ind w:left="11" w:right="11" w:firstLine="542"/>
              <w:jc w:val="left"/>
              <w:rPr>
                <w:rFonts w:ascii="宋体" w:hAnsi="宋体" w:cs="宋体" w:eastAsia="宋体" w:hint="default"/>
                <w:sz w:val="18"/>
                <w:szCs w:val="18"/>
              </w:rPr>
            </w:pP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）企业合</w:t>
            </w:r>
            <w:r>
              <w:rPr>
                <w:rFonts w:ascii="宋体" w:hAnsi="宋体" w:cs="宋体" w:eastAsia="宋体" w:hint="default"/>
                <w:w w:val="101"/>
                <w:sz w:val="18"/>
                <w:szCs w:val="18"/>
              </w:rPr>
              <w:t> </w:t>
            </w:r>
            <w:r>
              <w:rPr>
                <w:rFonts w:ascii="宋体" w:hAnsi="宋体" w:cs="宋体" w:eastAsia="宋体" w:hint="default"/>
                <w:sz w:val="18"/>
                <w:szCs w:val="18"/>
              </w:rPr>
              <w:t>并增加</w:t>
            </w:r>
          </w:p>
        </w:tc>
        <w:tc>
          <w:tcPr>
            <w:tcW w:w="16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17,874,975.92</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17,874,975.92</w:t>
            </w:r>
          </w:p>
        </w:tc>
      </w:tr>
      <w:tr>
        <w:trPr>
          <w:trHeight w:val="403" w:hRule="exact"/>
        </w:trPr>
        <w:tc>
          <w:tcPr>
            <w:tcW w:w="157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06" w:type="dxa"/>
            <w:tcBorders>
              <w:top w:val="single" w:sz="4" w:space="0" w:color="000000"/>
              <w:left w:val="single" w:sz="13" w:space="0" w:color="D2D2D2"/>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15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144"/>
              <w:jc w:val="right"/>
              <w:rPr>
                <w:rFonts w:ascii="宋体" w:hAnsi="宋体" w:cs="宋体" w:eastAsia="宋体" w:hint="default"/>
                <w:sz w:val="18"/>
                <w:szCs w:val="18"/>
              </w:rPr>
            </w:pP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本期减少金额</w:t>
            </w:r>
          </w:p>
        </w:tc>
        <w:tc>
          <w:tcPr>
            <w:tcW w:w="1606" w:type="dxa"/>
            <w:tcBorders>
              <w:top w:val="single" w:sz="4" w:space="0" w:color="000000"/>
              <w:left w:val="single" w:sz="13" w:space="0" w:color="D2D2D2"/>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87,319.04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4,563.11</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91,882.15</w:t>
            </w:r>
          </w:p>
        </w:tc>
      </w:tr>
      <w:tr>
        <w:trPr>
          <w:trHeight w:val="403" w:hRule="exact"/>
        </w:trPr>
        <w:tc>
          <w:tcPr>
            <w:tcW w:w="15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192"/>
              <w:jc w:val="right"/>
              <w:rPr>
                <w:rFonts w:ascii="宋体" w:hAnsi="宋体" w:cs="宋体" w:eastAsia="宋体" w:hint="default"/>
                <w:sz w:val="18"/>
                <w:szCs w:val="18"/>
              </w:rPr>
            </w:pP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）处置</w:t>
            </w:r>
          </w:p>
        </w:tc>
        <w:tc>
          <w:tcPr>
            <w:tcW w:w="1606" w:type="dxa"/>
            <w:tcBorders>
              <w:top w:val="single" w:sz="4" w:space="0" w:color="000000"/>
              <w:left w:val="single" w:sz="13" w:space="0" w:color="D2D2D2"/>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87,319.04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2"/>
                <w:sz w:val="18"/>
              </w:rPr>
              <w:t>4,563.11</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2"/>
              <w:jc w:val="right"/>
              <w:rPr>
                <w:rFonts w:ascii="Times New Roman" w:hAnsi="Times New Roman" w:cs="Times New Roman" w:eastAsia="Times New Roman" w:hint="default"/>
                <w:sz w:val="18"/>
                <w:szCs w:val="18"/>
              </w:rPr>
            </w:pPr>
            <w:r>
              <w:rPr>
                <w:rFonts w:ascii="Times New Roman"/>
                <w:spacing w:val="-1"/>
                <w:sz w:val="18"/>
              </w:rPr>
              <w:t>91,882.15</w:t>
            </w:r>
          </w:p>
        </w:tc>
      </w:tr>
      <w:tr>
        <w:trPr>
          <w:trHeight w:val="403" w:hRule="exact"/>
        </w:trPr>
        <w:tc>
          <w:tcPr>
            <w:tcW w:w="157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06" w:type="dxa"/>
            <w:tcBorders>
              <w:top w:val="single" w:sz="4" w:space="0" w:color="000000"/>
              <w:left w:val="single" w:sz="13" w:space="0" w:color="D2D2D2"/>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1" w:footer="1186" w:top="1100" w:bottom="1380" w:left="980" w:right="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1582"/>
        <w:gridCol w:w="1606"/>
        <w:gridCol w:w="1595"/>
        <w:gridCol w:w="1594"/>
        <w:gridCol w:w="1594"/>
        <w:gridCol w:w="1599"/>
      </w:tblGrid>
      <w:tr>
        <w:trPr>
          <w:trHeight w:val="403" w:hRule="exact"/>
        </w:trPr>
        <w:tc>
          <w:tcPr>
            <w:tcW w:w="1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8"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4.</w:t>
            </w:r>
            <w:r>
              <w:rPr>
                <w:rFonts w:ascii="宋体" w:hAnsi="宋体" w:cs="宋体" w:eastAsia="宋体" w:hint="default"/>
                <w:spacing w:val="-3"/>
                <w:sz w:val="18"/>
                <w:szCs w:val="18"/>
              </w:rPr>
              <w:t>期末余额</w:t>
            </w:r>
          </w:p>
        </w:tc>
        <w:tc>
          <w:tcPr>
            <w:tcW w:w="16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89,924,809.41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39,563,227.31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4,711,921.19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4,824,420.59</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139,024,378.50</w:t>
            </w:r>
          </w:p>
        </w:tc>
      </w:tr>
      <w:tr>
        <w:trPr>
          <w:trHeight w:val="398" w:hRule="exact"/>
        </w:trPr>
        <w:tc>
          <w:tcPr>
            <w:tcW w:w="1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二、累计摊销</w:t>
            </w:r>
          </w:p>
        </w:tc>
        <w:tc>
          <w:tcPr>
            <w:tcW w:w="1606" w:type="dxa"/>
            <w:tcBorders>
              <w:top w:val="single" w:sz="4" w:space="0" w:color="000000"/>
              <w:left w:val="single" w:sz="13" w:space="0" w:color="D2D2D2"/>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88"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期初余额</w:t>
            </w:r>
          </w:p>
        </w:tc>
        <w:tc>
          <w:tcPr>
            <w:tcW w:w="16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37,678,121.00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22,187,872.35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775,620.90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2,523,329.27</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2"/>
              <w:jc w:val="right"/>
              <w:rPr>
                <w:rFonts w:ascii="Times New Roman" w:hAnsi="Times New Roman" w:cs="Times New Roman" w:eastAsia="Times New Roman" w:hint="default"/>
                <w:sz w:val="18"/>
                <w:szCs w:val="18"/>
              </w:rPr>
            </w:pPr>
            <w:r>
              <w:rPr>
                <w:rFonts w:ascii="Times New Roman"/>
                <w:spacing w:val="-1"/>
                <w:sz w:val="18"/>
              </w:rPr>
              <w:t>63,164,943.52</w:t>
            </w:r>
          </w:p>
        </w:tc>
      </w:tr>
      <w:tr>
        <w:trPr>
          <w:trHeight w:val="715" w:hRule="exact"/>
        </w:trPr>
        <w:tc>
          <w:tcPr>
            <w:tcW w:w="1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w:t>
            </w:r>
          </w:p>
          <w:p>
            <w:pPr>
              <w:pStyle w:val="TableParagraph"/>
              <w:spacing w:line="240" w:lineRule="auto" w:before="67"/>
              <w:ind w:left="24" w:right="0"/>
              <w:jc w:val="left"/>
              <w:rPr>
                <w:rFonts w:ascii="宋体" w:hAnsi="宋体" w:cs="宋体" w:eastAsia="宋体" w:hint="default"/>
                <w:sz w:val="18"/>
                <w:szCs w:val="18"/>
              </w:rPr>
            </w:pPr>
            <w:r>
              <w:rPr>
                <w:rFonts w:ascii="宋体" w:hAnsi="宋体" w:cs="宋体" w:eastAsia="宋体" w:hint="default"/>
                <w:w w:val="101"/>
                <w:sz w:val="18"/>
                <w:szCs w:val="18"/>
              </w:rPr>
              <w:t>额</w:t>
            </w:r>
            <w:r>
              <w:rPr>
                <w:rFonts w:ascii="宋体" w:hAnsi="宋体" w:cs="宋体" w:eastAsia="宋体" w:hint="default"/>
                <w:sz w:val="18"/>
                <w:szCs w:val="18"/>
              </w:rPr>
            </w:r>
          </w:p>
        </w:tc>
        <w:tc>
          <w:tcPr>
            <w:tcW w:w="16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13,838,085.13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2"/>
                <w:sz w:val="18"/>
              </w:rPr>
              <w:t>5,360,498.11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797,249.37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406,916.97</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20,402,749.58</w:t>
            </w:r>
          </w:p>
        </w:tc>
      </w:tr>
      <w:tr>
        <w:trPr>
          <w:trHeight w:val="403" w:hRule="exact"/>
        </w:trPr>
        <w:tc>
          <w:tcPr>
            <w:tcW w:w="1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66"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6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13,279,996.25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5,360,498.11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797,249.37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406,916.97</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19,844,660.70</w:t>
            </w:r>
          </w:p>
        </w:tc>
      </w:tr>
      <w:tr>
        <w:trPr>
          <w:trHeight w:val="398" w:hRule="exact"/>
        </w:trPr>
        <w:tc>
          <w:tcPr>
            <w:tcW w:w="1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）内部研发</w:t>
            </w:r>
          </w:p>
        </w:tc>
        <w:tc>
          <w:tcPr>
            <w:tcW w:w="1606" w:type="dxa"/>
            <w:tcBorders>
              <w:top w:val="single" w:sz="4" w:space="0" w:color="000000"/>
              <w:left w:val="single" w:sz="13" w:space="0" w:color="D2D2D2"/>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）企业合并增加</w:t>
            </w:r>
          </w:p>
        </w:tc>
        <w:tc>
          <w:tcPr>
            <w:tcW w:w="16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1"/>
              <w:ind w:right="17"/>
              <w:jc w:val="right"/>
              <w:rPr>
                <w:rFonts w:ascii="Times New Roman" w:hAnsi="Times New Roman" w:cs="Times New Roman" w:eastAsia="Times New Roman" w:hint="default"/>
                <w:sz w:val="18"/>
                <w:szCs w:val="18"/>
              </w:rPr>
            </w:pPr>
            <w:r>
              <w:rPr>
                <w:rFonts w:ascii="Times New Roman"/>
                <w:spacing w:val="-1"/>
                <w:sz w:val="18"/>
              </w:rPr>
              <w:t>558,088.88</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2"/>
              <w:jc w:val="right"/>
              <w:rPr>
                <w:rFonts w:ascii="Times New Roman" w:hAnsi="Times New Roman" w:cs="Times New Roman" w:eastAsia="Times New Roman" w:hint="default"/>
                <w:sz w:val="18"/>
                <w:szCs w:val="18"/>
              </w:rPr>
            </w:pPr>
            <w:r>
              <w:rPr>
                <w:rFonts w:ascii="Times New Roman"/>
                <w:spacing w:val="-1"/>
                <w:sz w:val="18"/>
              </w:rPr>
              <w:t>558,088.88</w:t>
            </w:r>
          </w:p>
        </w:tc>
      </w:tr>
      <w:tr>
        <w:trPr>
          <w:trHeight w:val="715" w:hRule="exact"/>
        </w:trPr>
        <w:tc>
          <w:tcPr>
            <w:tcW w:w="1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w:t>
            </w:r>
          </w:p>
          <w:p>
            <w:pPr>
              <w:pStyle w:val="TableParagraph"/>
              <w:spacing w:line="240" w:lineRule="auto" w:before="67"/>
              <w:ind w:left="24" w:right="0"/>
              <w:jc w:val="left"/>
              <w:rPr>
                <w:rFonts w:ascii="宋体" w:hAnsi="宋体" w:cs="宋体" w:eastAsia="宋体" w:hint="default"/>
                <w:sz w:val="18"/>
                <w:szCs w:val="18"/>
              </w:rPr>
            </w:pPr>
            <w:r>
              <w:rPr>
                <w:rFonts w:ascii="宋体" w:hAnsi="宋体" w:cs="宋体" w:eastAsia="宋体" w:hint="default"/>
                <w:w w:val="101"/>
                <w:sz w:val="18"/>
                <w:szCs w:val="18"/>
              </w:rPr>
              <w:t>额</w:t>
            </w:r>
            <w:r>
              <w:rPr>
                <w:rFonts w:ascii="宋体" w:hAnsi="宋体" w:cs="宋体" w:eastAsia="宋体" w:hint="default"/>
                <w:sz w:val="18"/>
                <w:szCs w:val="18"/>
              </w:rPr>
            </w:r>
          </w:p>
        </w:tc>
        <w:tc>
          <w:tcPr>
            <w:tcW w:w="1606" w:type="dxa"/>
            <w:tcBorders>
              <w:top w:val="single" w:sz="4" w:space="0" w:color="000000"/>
              <w:left w:val="single" w:sz="13" w:space="0" w:color="D2D2D2"/>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26,810.77</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26,810.77</w:t>
            </w:r>
          </w:p>
        </w:tc>
      </w:tr>
      <w:tr>
        <w:trPr>
          <w:trHeight w:val="403" w:hRule="exact"/>
        </w:trPr>
        <w:tc>
          <w:tcPr>
            <w:tcW w:w="1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66"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606" w:type="dxa"/>
            <w:tcBorders>
              <w:top w:val="single" w:sz="4" w:space="0" w:color="000000"/>
              <w:left w:val="single" w:sz="13" w:space="0" w:color="D2D2D2"/>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26,810.77</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26,810.77</w:t>
            </w:r>
          </w:p>
        </w:tc>
      </w:tr>
      <w:tr>
        <w:trPr>
          <w:trHeight w:val="399" w:hRule="exact"/>
        </w:trPr>
        <w:tc>
          <w:tcPr>
            <w:tcW w:w="158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06" w:type="dxa"/>
            <w:tcBorders>
              <w:top w:val="single" w:sz="4" w:space="0" w:color="000000"/>
              <w:left w:val="single" w:sz="13" w:space="0" w:color="D2D2D2"/>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88"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4.</w:t>
            </w:r>
            <w:r>
              <w:rPr>
                <w:rFonts w:ascii="宋体" w:hAnsi="宋体" w:cs="宋体" w:eastAsia="宋体" w:hint="default"/>
                <w:spacing w:val="-3"/>
                <w:sz w:val="18"/>
                <w:szCs w:val="18"/>
              </w:rPr>
              <w:t>期末余额</w:t>
            </w:r>
          </w:p>
        </w:tc>
        <w:tc>
          <w:tcPr>
            <w:tcW w:w="16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51,516,206.13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27,521,559.69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1,572,870.27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2,930,246.24</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2"/>
              <w:jc w:val="right"/>
              <w:rPr>
                <w:rFonts w:ascii="Times New Roman" w:hAnsi="Times New Roman" w:cs="Times New Roman" w:eastAsia="Times New Roman" w:hint="default"/>
                <w:sz w:val="18"/>
                <w:szCs w:val="18"/>
              </w:rPr>
            </w:pPr>
            <w:r>
              <w:rPr>
                <w:rFonts w:ascii="Times New Roman"/>
                <w:spacing w:val="-1"/>
                <w:sz w:val="18"/>
              </w:rPr>
              <w:t>83,540,882.33</w:t>
            </w:r>
          </w:p>
        </w:tc>
      </w:tr>
      <w:tr>
        <w:trPr>
          <w:trHeight w:val="403" w:hRule="exact"/>
        </w:trPr>
        <w:tc>
          <w:tcPr>
            <w:tcW w:w="1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606" w:type="dxa"/>
            <w:tcBorders>
              <w:top w:val="single" w:sz="4" w:space="0" w:color="000000"/>
              <w:left w:val="single" w:sz="13" w:space="0" w:color="D2D2D2"/>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8"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期初余额</w:t>
            </w:r>
          </w:p>
        </w:tc>
        <w:tc>
          <w:tcPr>
            <w:tcW w:w="1606" w:type="dxa"/>
            <w:tcBorders>
              <w:top w:val="single" w:sz="4" w:space="0" w:color="000000"/>
              <w:left w:val="single" w:sz="13" w:space="0" w:color="D2D2D2"/>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
        </w:tc>
      </w:tr>
      <w:tr>
        <w:trPr>
          <w:trHeight w:val="711" w:hRule="exact"/>
        </w:trPr>
        <w:tc>
          <w:tcPr>
            <w:tcW w:w="1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w w:val="101"/>
                <w:sz w:val="18"/>
                <w:szCs w:val="18"/>
              </w:rPr>
              <w:t>额</w:t>
            </w:r>
            <w:r>
              <w:rPr>
                <w:rFonts w:ascii="宋体" w:hAnsi="宋体" w:cs="宋体" w:eastAsia="宋体" w:hint="default"/>
                <w:sz w:val="18"/>
                <w:szCs w:val="18"/>
              </w:rPr>
            </w:r>
          </w:p>
        </w:tc>
        <w:tc>
          <w:tcPr>
            <w:tcW w:w="1606" w:type="dxa"/>
            <w:tcBorders>
              <w:top w:val="single" w:sz="4" w:space="0" w:color="000000"/>
              <w:left w:val="single" w:sz="13" w:space="0" w:color="D2D2D2"/>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566"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606" w:type="dxa"/>
            <w:tcBorders>
              <w:top w:val="single" w:sz="4" w:space="0" w:color="000000"/>
              <w:left w:val="single" w:sz="13" w:space="0" w:color="D2D2D2"/>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8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06" w:type="dxa"/>
            <w:tcBorders>
              <w:top w:val="single" w:sz="4" w:space="0" w:color="000000"/>
              <w:left w:val="single" w:sz="13" w:space="0" w:color="D2D2D2"/>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w w:val="101"/>
                <w:sz w:val="18"/>
                <w:szCs w:val="18"/>
              </w:rPr>
              <w:t>额</w:t>
            </w:r>
            <w:r>
              <w:rPr>
                <w:rFonts w:ascii="宋体" w:hAnsi="宋体" w:cs="宋体" w:eastAsia="宋体" w:hint="default"/>
                <w:sz w:val="18"/>
                <w:szCs w:val="18"/>
              </w:rPr>
            </w:r>
          </w:p>
        </w:tc>
        <w:tc>
          <w:tcPr>
            <w:tcW w:w="1606" w:type="dxa"/>
            <w:tcBorders>
              <w:top w:val="single" w:sz="4" w:space="0" w:color="000000"/>
              <w:left w:val="single" w:sz="13" w:space="0" w:color="D2D2D2"/>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606" w:type="dxa"/>
            <w:tcBorders>
              <w:top w:val="single" w:sz="4" w:space="0" w:color="000000"/>
              <w:left w:val="single" w:sz="13" w:space="0" w:color="D2D2D2"/>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8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06" w:type="dxa"/>
            <w:tcBorders>
              <w:top w:val="single" w:sz="4" w:space="0" w:color="000000"/>
              <w:left w:val="single" w:sz="13" w:space="0" w:color="D2D2D2"/>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8"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4.</w:t>
            </w:r>
            <w:r>
              <w:rPr>
                <w:rFonts w:ascii="宋体" w:hAnsi="宋体" w:cs="宋体" w:eastAsia="宋体" w:hint="default"/>
                <w:spacing w:val="-3"/>
                <w:sz w:val="18"/>
                <w:szCs w:val="18"/>
              </w:rPr>
              <w:t>期末余额</w:t>
            </w:r>
          </w:p>
        </w:tc>
        <w:tc>
          <w:tcPr>
            <w:tcW w:w="1606" w:type="dxa"/>
            <w:tcBorders>
              <w:top w:val="single" w:sz="4" w:space="0" w:color="000000"/>
              <w:left w:val="single" w:sz="13" w:space="0" w:color="D2D2D2"/>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606" w:type="dxa"/>
            <w:tcBorders>
              <w:top w:val="single" w:sz="4" w:space="0" w:color="000000"/>
              <w:left w:val="single" w:sz="13" w:space="0" w:color="D2D2D2"/>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w w:val="101"/>
                <w:sz w:val="18"/>
                <w:szCs w:val="18"/>
              </w:rPr>
              <w:t>值</w:t>
            </w:r>
            <w:r>
              <w:rPr>
                <w:rFonts w:ascii="宋体" w:hAnsi="宋体" w:cs="宋体" w:eastAsia="宋体" w:hint="default"/>
                <w:sz w:val="18"/>
                <w:szCs w:val="18"/>
              </w:rPr>
            </w:r>
          </w:p>
        </w:tc>
        <w:tc>
          <w:tcPr>
            <w:tcW w:w="16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38,408,603.28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12,041,667.62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3,139,050.92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1,894,174.35</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55,483,496.17</w:t>
            </w:r>
          </w:p>
        </w:tc>
      </w:tr>
      <w:tr>
        <w:trPr>
          <w:trHeight w:val="715" w:hRule="exact"/>
        </w:trPr>
        <w:tc>
          <w:tcPr>
            <w:tcW w:w="1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8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w w:val="101"/>
                <w:sz w:val="18"/>
                <w:szCs w:val="18"/>
              </w:rPr>
              <w:t>值</w:t>
            </w:r>
            <w:r>
              <w:rPr>
                <w:rFonts w:ascii="宋体" w:hAnsi="宋体" w:cs="宋体" w:eastAsia="宋体" w:hint="default"/>
                <w:sz w:val="18"/>
                <w:szCs w:val="18"/>
              </w:rPr>
            </w:r>
          </w:p>
        </w:tc>
        <w:tc>
          <w:tcPr>
            <w:tcW w:w="16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29,450,580.10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17,261,360.94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3,881,281.98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1,805,483.46</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52,398,706.48</w:t>
            </w:r>
          </w:p>
        </w:tc>
      </w:tr>
    </w:tbl>
    <w:p>
      <w:pPr>
        <w:pStyle w:val="BodyText"/>
        <w:spacing w:line="240" w:lineRule="auto" w:before="54"/>
        <w:ind w:right="0"/>
        <w:jc w:val="left"/>
      </w:pPr>
      <w:r>
        <w:rPr>
          <w:spacing w:val="-3"/>
        </w:rPr>
        <w:t>本期末通过公司内部研发形成的无形资产占无形资产余额的比例</w:t>
      </w:r>
      <w:r>
        <w:rPr>
          <w:spacing w:val="38"/>
        </w:rPr>
        <w:t> </w:t>
      </w:r>
      <w:r>
        <w:rPr>
          <w:rFonts w:ascii="Times New Roman" w:hAnsi="Times New Roman" w:cs="Times New Roman" w:eastAsia="Times New Roman" w:hint="default"/>
        </w:rPr>
        <w:t>69.23%</w:t>
      </w:r>
      <w:r>
        <w:rPr/>
        <w:t>。</w:t>
      </w:r>
    </w:p>
    <w:p>
      <w:pPr>
        <w:spacing w:line="240" w:lineRule="auto" w:before="8"/>
        <w:rPr>
          <w:rFonts w:ascii="宋体" w:hAnsi="宋体" w:cs="宋体" w:eastAsia="宋体" w:hint="default"/>
          <w:sz w:val="25"/>
          <w:szCs w:val="25"/>
        </w:rPr>
      </w:pPr>
    </w:p>
    <w:p>
      <w:pPr>
        <w:pStyle w:val="Heading3"/>
        <w:spacing w:line="240" w:lineRule="auto"/>
        <w:ind w:right="0"/>
        <w:jc w:val="left"/>
        <w:rPr>
          <w:b w:val="0"/>
          <w:bCs w:val="0"/>
        </w:rPr>
      </w:pPr>
      <w:bookmarkStart w:name="（2）未办妥产权证书的土地使用权情况" w:id="266"/>
      <w:bookmarkEnd w:id="266"/>
      <w:r>
        <w:rPr>
          <w:b w:val="0"/>
          <w:bCs w:val="0"/>
        </w:rPr>
      </w:r>
      <w:r>
        <w:rPr/>
        <w:t>（</w:t>
      </w:r>
      <w:r>
        <w:rPr>
          <w:rFonts w:ascii="Times New Roman" w:hAnsi="Times New Roman" w:cs="Times New Roman" w:eastAsia="Times New Roman" w:hint="default"/>
        </w:rPr>
        <w:t>2</w:t>
      </w:r>
      <w:r>
        <w:rPr/>
        <w:t>）未办妥产权证书的土地使用权情况</w:t>
      </w:r>
      <w:r>
        <w:rPr>
          <w:b w:val="0"/>
          <w:bCs w:val="0"/>
        </w:rPr>
      </w:r>
    </w:p>
    <w:p>
      <w:pPr>
        <w:spacing w:line="240" w:lineRule="auto" w:before="12"/>
        <w:rPr>
          <w:rFonts w:ascii="宋体" w:hAnsi="宋体" w:cs="宋体" w:eastAsia="宋体" w:hint="default"/>
          <w:b/>
          <w:bCs/>
          <w:sz w:val="32"/>
          <w:szCs w:val="32"/>
        </w:rPr>
      </w:pPr>
    </w:p>
    <w:p>
      <w:pPr>
        <w:pStyle w:val="BodyText"/>
        <w:spacing w:line="240" w:lineRule="auto"/>
        <w:ind w:left="513" w:right="0"/>
        <w:jc w:val="left"/>
      </w:pPr>
      <w:r>
        <w:rPr/>
        <w:t>无。</w:t>
      </w:r>
    </w:p>
    <w:p>
      <w:pPr>
        <w:spacing w:after="0" w:line="240" w:lineRule="auto"/>
        <w:jc w:val="left"/>
        <w:sectPr>
          <w:pgSz w:w="11910" w:h="16840"/>
          <w:pgMar w:header="871" w:footer="1186" w:top="1100" w:bottom="1380" w:left="980" w:right="0"/>
        </w:sectPr>
      </w:pPr>
    </w:p>
    <w:p>
      <w:pPr>
        <w:spacing w:line="240" w:lineRule="auto" w:before="0"/>
        <w:rPr>
          <w:rFonts w:ascii="宋体" w:hAnsi="宋体" w:cs="宋体" w:eastAsia="宋体" w:hint="default"/>
          <w:sz w:val="21"/>
          <w:szCs w:val="21"/>
        </w:rPr>
      </w:pPr>
    </w:p>
    <w:p>
      <w:pPr>
        <w:pStyle w:val="Heading3"/>
        <w:spacing w:line="240" w:lineRule="auto" w:before="36"/>
        <w:ind w:right="0"/>
        <w:jc w:val="left"/>
        <w:rPr>
          <w:b w:val="0"/>
          <w:bCs w:val="0"/>
        </w:rPr>
      </w:pPr>
      <w:bookmarkStart w:name="12、开发支出" w:id="267"/>
      <w:bookmarkEnd w:id="267"/>
      <w:r>
        <w:rPr>
          <w:b w:val="0"/>
          <w:bCs w:val="0"/>
        </w:rPr>
      </w:r>
      <w:r>
        <w:rPr>
          <w:rFonts w:ascii="Times New Roman" w:hAnsi="Times New Roman" w:cs="Times New Roman" w:eastAsia="Times New Roman" w:hint="default"/>
        </w:rPr>
        <w:t>12</w:t>
      </w:r>
      <w:r>
        <w:rPr/>
        <w:t>、开发支出</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040"/>
        <w:gridCol w:w="1076"/>
        <w:gridCol w:w="1061"/>
        <w:gridCol w:w="1066"/>
        <w:gridCol w:w="1061"/>
        <w:gridCol w:w="1066"/>
        <w:gridCol w:w="1061"/>
        <w:gridCol w:w="1066"/>
        <w:gridCol w:w="1061"/>
      </w:tblGrid>
      <w:tr>
        <w:trPr>
          <w:trHeight w:val="404" w:hRule="exact"/>
        </w:trPr>
        <w:tc>
          <w:tcPr>
            <w:tcW w:w="1040" w:type="dxa"/>
            <w:tcBorders>
              <w:top w:val="single" w:sz="4" w:space="0" w:color="000000"/>
              <w:left w:val="single" w:sz="4" w:space="0" w:color="000000"/>
              <w:bottom w:val="nil" w:sz="6" w:space="0" w:color="auto"/>
              <w:right w:val="single" w:sz="4" w:space="0" w:color="000000"/>
            </w:tcBorders>
            <w:shd w:val="clear" w:color="auto" w:fill="D2D2D2"/>
          </w:tcPr>
          <w:p>
            <w:pPr/>
          </w:p>
        </w:tc>
        <w:tc>
          <w:tcPr>
            <w:tcW w:w="1076" w:type="dxa"/>
            <w:tcBorders>
              <w:top w:val="single" w:sz="4" w:space="0" w:color="000000"/>
              <w:left w:val="single" w:sz="4" w:space="0" w:color="000000"/>
              <w:bottom w:val="nil" w:sz="6" w:space="0" w:color="auto"/>
              <w:right w:val="single" w:sz="4" w:space="0" w:color="000000"/>
            </w:tcBorders>
            <w:shd w:val="clear" w:color="auto" w:fill="D2D2D2"/>
          </w:tcPr>
          <w:p>
            <w:pPr/>
          </w:p>
        </w:tc>
        <w:tc>
          <w:tcPr>
            <w:tcW w:w="318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051"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319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051"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061"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8" w:hRule="exact"/>
        </w:trPr>
        <w:tc>
          <w:tcPr>
            <w:tcW w:w="104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5"/>
              <w:ind w:left="333"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07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5"/>
              <w:ind w:left="18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06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436" w:right="69" w:hanging="360"/>
              <w:jc w:val="left"/>
              <w:rPr>
                <w:rFonts w:ascii="宋体" w:hAnsi="宋体" w:cs="宋体" w:eastAsia="宋体" w:hint="default"/>
                <w:sz w:val="18"/>
                <w:szCs w:val="18"/>
              </w:rPr>
            </w:pPr>
            <w:r>
              <w:rPr>
                <w:rFonts w:ascii="宋体" w:hAnsi="宋体" w:cs="宋体" w:eastAsia="宋体" w:hint="default"/>
                <w:spacing w:val="-2"/>
                <w:sz w:val="18"/>
                <w:szCs w:val="18"/>
              </w:rPr>
              <w:t>内部开发支</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出</w:t>
            </w:r>
          </w:p>
        </w:tc>
        <w:tc>
          <w:tcPr>
            <w:tcW w:w="1066"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1"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345" w:right="75" w:hanging="269"/>
              <w:jc w:val="left"/>
              <w:rPr>
                <w:rFonts w:ascii="宋体" w:hAnsi="宋体" w:cs="宋体" w:eastAsia="宋体" w:hint="default"/>
                <w:sz w:val="18"/>
                <w:szCs w:val="18"/>
              </w:rPr>
            </w:pPr>
            <w:r>
              <w:rPr>
                <w:rFonts w:ascii="宋体" w:hAnsi="宋体" w:cs="宋体" w:eastAsia="宋体" w:hint="default"/>
                <w:spacing w:val="-2"/>
                <w:sz w:val="18"/>
                <w:szCs w:val="18"/>
              </w:rPr>
              <w:t>确认为无形</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资产</w:t>
            </w:r>
          </w:p>
        </w:tc>
        <w:tc>
          <w:tcPr>
            <w:tcW w:w="106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436" w:right="70" w:hanging="360"/>
              <w:jc w:val="left"/>
              <w:rPr>
                <w:rFonts w:ascii="宋体" w:hAnsi="宋体" w:cs="宋体" w:eastAsia="宋体" w:hint="default"/>
                <w:sz w:val="18"/>
                <w:szCs w:val="18"/>
              </w:rPr>
            </w:pPr>
            <w:r>
              <w:rPr>
                <w:rFonts w:ascii="宋体" w:hAnsi="宋体" w:cs="宋体" w:eastAsia="宋体" w:hint="default"/>
                <w:spacing w:val="-2"/>
                <w:sz w:val="18"/>
                <w:szCs w:val="18"/>
              </w:rPr>
              <w:t>转入当期损</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益</w:t>
            </w:r>
          </w:p>
        </w:tc>
        <w:tc>
          <w:tcPr>
            <w:tcW w:w="1066"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5"/>
              <w:ind w:left="168"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2" w:hRule="exact"/>
        </w:trPr>
        <w:tc>
          <w:tcPr>
            <w:tcW w:w="1040" w:type="dxa"/>
            <w:vMerge/>
            <w:tcBorders>
              <w:left w:val="single" w:sz="4" w:space="0" w:color="000000"/>
              <w:bottom w:val="nil" w:sz="6" w:space="0" w:color="auto"/>
              <w:right w:val="single" w:sz="4" w:space="0" w:color="000000"/>
            </w:tcBorders>
            <w:shd w:val="clear" w:color="auto" w:fill="D2D2D2"/>
          </w:tcPr>
          <w:p>
            <w:pPr/>
          </w:p>
        </w:tc>
        <w:tc>
          <w:tcPr>
            <w:tcW w:w="1076" w:type="dxa"/>
            <w:vMerge/>
            <w:tcBorders>
              <w:left w:val="single" w:sz="4" w:space="0" w:color="000000"/>
              <w:bottom w:val="nil" w:sz="6" w:space="0" w:color="auto"/>
              <w:right w:val="single" w:sz="4" w:space="0" w:color="000000"/>
            </w:tcBorders>
            <w:shd w:val="clear" w:color="auto" w:fill="D2D2D2"/>
          </w:tcPr>
          <w:p>
            <w:pPr/>
          </w:p>
        </w:tc>
        <w:tc>
          <w:tcPr>
            <w:tcW w:w="1061" w:type="dxa"/>
            <w:vMerge/>
            <w:tcBorders>
              <w:left w:val="single" w:sz="4" w:space="0" w:color="000000"/>
              <w:right w:val="single" w:sz="4" w:space="0" w:color="000000"/>
            </w:tcBorders>
            <w:shd w:val="clear" w:color="auto" w:fill="D2D2D2"/>
          </w:tcPr>
          <w:p>
            <w:pPr/>
          </w:p>
        </w:tc>
        <w:tc>
          <w:tcPr>
            <w:tcW w:w="106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34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061" w:type="dxa"/>
            <w:vMerge w:val="restart"/>
            <w:tcBorders>
              <w:top w:val="nil" w:sz="6" w:space="0" w:color="auto"/>
              <w:left w:val="single" w:sz="4" w:space="0" w:color="000000"/>
              <w:right w:val="single" w:sz="4" w:space="0" w:color="000000"/>
            </w:tcBorders>
            <w:shd w:val="clear" w:color="auto" w:fill="D2D2D2"/>
          </w:tcPr>
          <w:p>
            <w:pPr/>
          </w:p>
        </w:tc>
        <w:tc>
          <w:tcPr>
            <w:tcW w:w="1066" w:type="dxa"/>
            <w:vMerge/>
            <w:tcBorders>
              <w:left w:val="single" w:sz="4" w:space="0" w:color="000000"/>
              <w:right w:val="single" w:sz="4" w:space="0" w:color="000000"/>
            </w:tcBorders>
            <w:shd w:val="clear" w:color="auto" w:fill="D2D2D2"/>
          </w:tcPr>
          <w:p>
            <w:pPr/>
          </w:p>
        </w:tc>
        <w:tc>
          <w:tcPr>
            <w:tcW w:w="1061" w:type="dxa"/>
            <w:vMerge/>
            <w:tcBorders>
              <w:left w:val="single" w:sz="4" w:space="0" w:color="000000"/>
              <w:right w:val="single" w:sz="4" w:space="0" w:color="000000"/>
            </w:tcBorders>
            <w:shd w:val="clear" w:color="auto" w:fill="D2D2D2"/>
          </w:tcPr>
          <w:p>
            <w:pPr/>
          </w:p>
        </w:tc>
        <w:tc>
          <w:tcPr>
            <w:tcW w:w="1066" w:type="dxa"/>
            <w:vMerge w:val="restart"/>
            <w:tcBorders>
              <w:top w:val="nil" w:sz="6" w:space="0" w:color="auto"/>
              <w:left w:val="single" w:sz="4" w:space="0" w:color="000000"/>
              <w:right w:val="single" w:sz="4" w:space="0" w:color="000000"/>
            </w:tcBorders>
            <w:shd w:val="clear" w:color="auto" w:fill="D2D2D2"/>
          </w:tcPr>
          <w:p>
            <w:pPr/>
          </w:p>
        </w:tc>
        <w:tc>
          <w:tcPr>
            <w:tcW w:w="1061"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040" w:type="dxa"/>
            <w:vMerge w:val="restart"/>
            <w:tcBorders>
              <w:top w:val="nil" w:sz="6" w:space="0" w:color="auto"/>
              <w:left w:val="single" w:sz="4" w:space="0" w:color="000000"/>
              <w:right w:val="single" w:sz="4" w:space="0" w:color="000000"/>
            </w:tcBorders>
            <w:shd w:val="clear" w:color="auto" w:fill="D2D2D2"/>
          </w:tcPr>
          <w:p>
            <w:pPr/>
          </w:p>
        </w:tc>
        <w:tc>
          <w:tcPr>
            <w:tcW w:w="1076" w:type="dxa"/>
            <w:vMerge w:val="restart"/>
            <w:tcBorders>
              <w:top w:val="nil" w:sz="6" w:space="0" w:color="auto"/>
              <w:left w:val="single" w:sz="4" w:space="0" w:color="000000"/>
              <w:right w:val="single" w:sz="4" w:space="0" w:color="000000"/>
            </w:tcBorders>
            <w:shd w:val="clear" w:color="auto" w:fill="D2D2D2"/>
          </w:tcPr>
          <w:p>
            <w:pPr/>
          </w:p>
        </w:tc>
        <w:tc>
          <w:tcPr>
            <w:tcW w:w="1061" w:type="dxa"/>
            <w:vMerge/>
            <w:tcBorders>
              <w:left w:val="single" w:sz="4" w:space="0" w:color="000000"/>
              <w:right w:val="single" w:sz="4" w:space="0" w:color="000000"/>
            </w:tcBorders>
            <w:shd w:val="clear" w:color="auto" w:fill="D2D2D2"/>
          </w:tcPr>
          <w:p>
            <w:pPr/>
          </w:p>
        </w:tc>
        <w:tc>
          <w:tcPr>
            <w:tcW w:w="1066" w:type="dxa"/>
            <w:vMerge/>
            <w:tcBorders>
              <w:left w:val="single" w:sz="4" w:space="0" w:color="000000"/>
              <w:bottom w:val="nil" w:sz="6" w:space="0" w:color="auto"/>
              <w:right w:val="single" w:sz="4" w:space="0" w:color="000000"/>
            </w:tcBorders>
            <w:shd w:val="clear" w:color="auto" w:fill="D2D2D2"/>
          </w:tcPr>
          <w:p>
            <w:pPr/>
          </w:p>
        </w:tc>
        <w:tc>
          <w:tcPr>
            <w:tcW w:w="1061" w:type="dxa"/>
            <w:vMerge/>
            <w:tcBorders>
              <w:left w:val="single" w:sz="4" w:space="0" w:color="000000"/>
              <w:bottom w:val="nil" w:sz="6" w:space="0" w:color="auto"/>
              <w:right w:val="single" w:sz="4" w:space="0" w:color="000000"/>
            </w:tcBorders>
            <w:shd w:val="clear" w:color="auto" w:fill="D2D2D2"/>
          </w:tcPr>
          <w:p>
            <w:pPr/>
          </w:p>
        </w:tc>
        <w:tc>
          <w:tcPr>
            <w:tcW w:w="1066" w:type="dxa"/>
            <w:vMerge/>
            <w:tcBorders>
              <w:left w:val="single" w:sz="4" w:space="0" w:color="000000"/>
              <w:right w:val="single" w:sz="4" w:space="0" w:color="000000"/>
            </w:tcBorders>
            <w:shd w:val="clear" w:color="auto" w:fill="D2D2D2"/>
          </w:tcPr>
          <w:p>
            <w:pPr/>
          </w:p>
        </w:tc>
        <w:tc>
          <w:tcPr>
            <w:tcW w:w="1061" w:type="dxa"/>
            <w:vMerge/>
            <w:tcBorders>
              <w:left w:val="single" w:sz="4" w:space="0" w:color="000000"/>
              <w:right w:val="single" w:sz="4" w:space="0" w:color="000000"/>
            </w:tcBorders>
            <w:shd w:val="clear" w:color="auto" w:fill="D2D2D2"/>
          </w:tcPr>
          <w:p>
            <w:pPr/>
          </w:p>
        </w:tc>
        <w:tc>
          <w:tcPr>
            <w:tcW w:w="1066" w:type="dxa"/>
            <w:vMerge/>
            <w:tcBorders>
              <w:left w:val="single" w:sz="4" w:space="0" w:color="000000"/>
              <w:bottom w:val="nil" w:sz="6" w:space="0" w:color="auto"/>
              <w:right w:val="single" w:sz="4" w:space="0" w:color="000000"/>
            </w:tcBorders>
            <w:shd w:val="clear" w:color="auto" w:fill="D2D2D2"/>
          </w:tcPr>
          <w:p>
            <w:pPr/>
          </w:p>
        </w:tc>
        <w:tc>
          <w:tcPr>
            <w:tcW w:w="1061" w:type="dxa"/>
            <w:vMerge w:val="restart"/>
            <w:tcBorders>
              <w:top w:val="nil" w:sz="6" w:space="0" w:color="auto"/>
              <w:left w:val="single" w:sz="4" w:space="0" w:color="000000"/>
              <w:right w:val="single" w:sz="4" w:space="0" w:color="000000"/>
            </w:tcBorders>
            <w:shd w:val="clear" w:color="auto" w:fill="D2D2D2"/>
          </w:tcPr>
          <w:p>
            <w:pPr/>
          </w:p>
        </w:tc>
      </w:tr>
      <w:tr>
        <w:trPr>
          <w:trHeight w:val="163" w:hRule="exact"/>
        </w:trPr>
        <w:tc>
          <w:tcPr>
            <w:tcW w:w="1040" w:type="dxa"/>
            <w:vMerge/>
            <w:tcBorders>
              <w:left w:val="single" w:sz="4" w:space="0" w:color="000000"/>
              <w:bottom w:val="single" w:sz="4" w:space="0" w:color="000000"/>
              <w:right w:val="single" w:sz="4" w:space="0" w:color="000000"/>
            </w:tcBorders>
            <w:shd w:val="clear" w:color="auto" w:fill="D2D2D2"/>
          </w:tcPr>
          <w:p>
            <w:pPr/>
          </w:p>
        </w:tc>
        <w:tc>
          <w:tcPr>
            <w:tcW w:w="1076" w:type="dxa"/>
            <w:vMerge/>
            <w:tcBorders>
              <w:left w:val="single" w:sz="4" w:space="0" w:color="000000"/>
              <w:bottom w:val="single" w:sz="4" w:space="0" w:color="000000"/>
              <w:right w:val="single" w:sz="4" w:space="0" w:color="000000"/>
            </w:tcBorders>
            <w:shd w:val="clear" w:color="auto" w:fill="D2D2D2"/>
          </w:tcPr>
          <w:p>
            <w:pPr/>
          </w:p>
        </w:tc>
        <w:tc>
          <w:tcPr>
            <w:tcW w:w="1061" w:type="dxa"/>
            <w:vMerge/>
            <w:tcBorders>
              <w:left w:val="single" w:sz="4" w:space="0" w:color="000000"/>
              <w:bottom w:val="single" w:sz="4" w:space="0" w:color="000000"/>
              <w:right w:val="single" w:sz="4" w:space="0" w:color="000000"/>
            </w:tcBorders>
            <w:shd w:val="clear" w:color="auto" w:fill="D2D2D2"/>
          </w:tcPr>
          <w:p>
            <w:pPr/>
          </w:p>
        </w:tc>
        <w:tc>
          <w:tcPr>
            <w:tcW w:w="1066"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1"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6" w:type="dxa"/>
            <w:vMerge/>
            <w:tcBorders>
              <w:left w:val="single" w:sz="4" w:space="0" w:color="000000"/>
              <w:bottom w:val="single" w:sz="4" w:space="0" w:color="000000"/>
              <w:right w:val="single" w:sz="4" w:space="0" w:color="000000"/>
            </w:tcBorders>
            <w:shd w:val="clear" w:color="auto" w:fill="D2D2D2"/>
          </w:tcPr>
          <w:p>
            <w:pPr/>
          </w:p>
        </w:tc>
        <w:tc>
          <w:tcPr>
            <w:tcW w:w="1061" w:type="dxa"/>
            <w:vMerge/>
            <w:tcBorders>
              <w:left w:val="single" w:sz="4" w:space="0" w:color="000000"/>
              <w:bottom w:val="single" w:sz="4" w:space="0" w:color="000000"/>
              <w:right w:val="single" w:sz="4" w:space="0" w:color="000000"/>
            </w:tcBorders>
            <w:shd w:val="clear" w:color="auto" w:fill="D2D2D2"/>
          </w:tcPr>
          <w:p>
            <w:pPr/>
          </w:p>
        </w:tc>
        <w:tc>
          <w:tcPr>
            <w:tcW w:w="1066"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1" w:type="dxa"/>
            <w:vMerge/>
            <w:tcBorders>
              <w:left w:val="single" w:sz="4" w:space="0" w:color="000000"/>
              <w:bottom w:val="single" w:sz="4" w:space="0" w:color="000000"/>
              <w:right w:val="single" w:sz="4" w:space="0" w:color="000000"/>
            </w:tcBorders>
            <w:shd w:val="clear" w:color="auto" w:fill="D2D2D2"/>
          </w:tcPr>
          <w:p>
            <w:pPr/>
          </w:p>
        </w:tc>
      </w:tr>
      <w:tr>
        <w:trPr>
          <w:trHeight w:val="711" w:hRule="exact"/>
        </w:trPr>
        <w:tc>
          <w:tcPr>
            <w:tcW w:w="10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 w:right="113"/>
              <w:jc w:val="left"/>
              <w:rPr>
                <w:rFonts w:ascii="宋体" w:hAnsi="宋体" w:cs="宋体" w:eastAsia="宋体" w:hint="default"/>
                <w:sz w:val="18"/>
                <w:szCs w:val="18"/>
              </w:rPr>
            </w:pPr>
            <w:r>
              <w:rPr>
                <w:rFonts w:ascii="宋体" w:hAnsi="宋体" w:cs="宋体" w:eastAsia="宋体" w:hint="default"/>
                <w:spacing w:val="-2"/>
                <w:sz w:val="18"/>
                <w:szCs w:val="18"/>
              </w:rPr>
              <w:t>集中用印一</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体机</w:t>
            </w:r>
          </w:p>
        </w:tc>
        <w:tc>
          <w:tcPr>
            <w:tcW w:w="107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4,313,417.79</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607,714.60</w:t>
            </w: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4,921,132.39</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0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11" w:right="113"/>
              <w:jc w:val="left"/>
              <w:rPr>
                <w:rFonts w:ascii="宋体" w:hAnsi="宋体" w:cs="宋体" w:eastAsia="宋体" w:hint="default"/>
                <w:sz w:val="18"/>
                <w:szCs w:val="18"/>
              </w:rPr>
            </w:pPr>
            <w:r>
              <w:rPr>
                <w:rFonts w:ascii="宋体" w:hAnsi="宋体" w:cs="宋体" w:eastAsia="宋体" w:hint="default"/>
                <w:spacing w:val="-2"/>
                <w:sz w:val="18"/>
                <w:szCs w:val="18"/>
              </w:rPr>
              <w:t>批量扫描盖</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章机</w:t>
            </w:r>
          </w:p>
        </w:tc>
        <w:tc>
          <w:tcPr>
            <w:tcW w:w="107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2,739,145.03</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2,726,608.58</w:t>
            </w: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5,465,753.61</w:t>
            </w:r>
          </w:p>
        </w:tc>
      </w:tr>
      <w:tr>
        <w:trPr>
          <w:trHeight w:val="1028" w:hRule="exact"/>
        </w:trPr>
        <w:tc>
          <w:tcPr>
            <w:tcW w:w="10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11" w:right="113"/>
              <w:jc w:val="both"/>
              <w:rPr>
                <w:rFonts w:ascii="宋体" w:hAnsi="宋体" w:cs="宋体" w:eastAsia="宋体" w:hint="default"/>
                <w:sz w:val="18"/>
                <w:szCs w:val="18"/>
              </w:rPr>
            </w:pPr>
            <w:r>
              <w:rPr>
                <w:rFonts w:ascii="宋体" w:hAnsi="宋体" w:cs="宋体" w:eastAsia="宋体" w:hint="default"/>
                <w:spacing w:val="-2"/>
                <w:sz w:val="18"/>
                <w:szCs w:val="18"/>
              </w:rPr>
              <w:t>桌面式智能</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批量盖章一</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体机</w:t>
            </w:r>
          </w:p>
        </w:tc>
        <w:tc>
          <w:tcPr>
            <w:tcW w:w="1076" w:type="dxa"/>
            <w:tcBorders>
              <w:top w:val="single" w:sz="4" w:space="0" w:color="000000"/>
              <w:left w:val="single" w:sz="10" w:space="0" w:color="D2D2D2"/>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5,166,213.24</w:t>
            </w: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5,166,213.24</w:t>
            </w:r>
          </w:p>
        </w:tc>
      </w:tr>
      <w:tr>
        <w:trPr>
          <w:trHeight w:val="1027" w:hRule="exact"/>
        </w:trPr>
        <w:tc>
          <w:tcPr>
            <w:tcW w:w="10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 w:right="113"/>
              <w:jc w:val="both"/>
              <w:rPr>
                <w:rFonts w:ascii="宋体" w:hAnsi="宋体" w:cs="宋体" w:eastAsia="宋体" w:hint="default"/>
                <w:sz w:val="18"/>
                <w:szCs w:val="18"/>
              </w:rPr>
            </w:pPr>
            <w:r>
              <w:rPr>
                <w:rFonts w:ascii="宋体" w:hAnsi="宋体" w:cs="宋体" w:eastAsia="宋体" w:hint="default"/>
                <w:spacing w:val="-2"/>
                <w:sz w:val="18"/>
                <w:szCs w:val="18"/>
              </w:rPr>
              <w:t>银之杰电脑</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验印系统辅</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助对比</w:t>
            </w:r>
          </w:p>
        </w:tc>
        <w:tc>
          <w:tcPr>
            <w:tcW w:w="1076" w:type="dxa"/>
            <w:tcBorders>
              <w:top w:val="single" w:sz="4" w:space="0" w:color="000000"/>
              <w:left w:val="single" w:sz="10" w:space="0" w:color="D2D2D2"/>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2,128,001.85</w:t>
            </w: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2,128,001.85</w:t>
            </w:r>
          </w:p>
        </w:tc>
      </w:tr>
      <w:tr>
        <w:trPr>
          <w:trHeight w:val="158" w:hRule="exact"/>
        </w:trPr>
        <w:tc>
          <w:tcPr>
            <w:tcW w:w="1040" w:type="dxa"/>
            <w:tcBorders>
              <w:top w:val="single" w:sz="4" w:space="0" w:color="000000"/>
              <w:left w:val="single" w:sz="4" w:space="0" w:color="000000"/>
              <w:bottom w:val="nil" w:sz="6" w:space="0" w:color="auto"/>
              <w:right w:val="single" w:sz="4" w:space="0" w:color="000000"/>
            </w:tcBorders>
            <w:shd w:val="clear" w:color="auto" w:fill="D2D2D2"/>
          </w:tcPr>
          <w:p>
            <w:pPr/>
          </w:p>
        </w:tc>
        <w:tc>
          <w:tcPr>
            <w:tcW w:w="1076" w:type="dxa"/>
            <w:vMerge w:val="restart"/>
            <w:tcBorders>
              <w:top w:val="single" w:sz="4" w:space="0" w:color="000000"/>
              <w:left w:val="single" w:sz="10" w:space="0" w:color="D2D2D2"/>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7,052,562.82</w:t>
            </w:r>
          </w:p>
        </w:tc>
        <w:tc>
          <w:tcPr>
            <w:tcW w:w="1061" w:type="dxa"/>
            <w:vMerge w:val="restart"/>
            <w:tcBorders>
              <w:top w:val="single" w:sz="4" w:space="0" w:color="000000"/>
              <w:left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10,628,538.2</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tc>
        <w:tc>
          <w:tcPr>
            <w:tcW w:w="1066" w:type="dxa"/>
            <w:vMerge w:val="restart"/>
            <w:tcBorders>
              <w:top w:val="single" w:sz="4" w:space="0" w:color="000000"/>
              <w:left w:val="single" w:sz="4" w:space="0" w:color="000000"/>
              <w:right w:val="single" w:sz="4" w:space="0" w:color="000000"/>
            </w:tcBorders>
          </w:tcPr>
          <w:p>
            <w:pPr/>
          </w:p>
        </w:tc>
        <w:tc>
          <w:tcPr>
            <w:tcW w:w="1061" w:type="dxa"/>
            <w:vMerge w:val="restart"/>
            <w:tcBorders>
              <w:top w:val="single" w:sz="4" w:space="0" w:color="000000"/>
              <w:left w:val="single" w:sz="4" w:space="0" w:color="000000"/>
              <w:right w:val="single" w:sz="4" w:space="0" w:color="000000"/>
            </w:tcBorders>
          </w:tcPr>
          <w:p>
            <w:pPr/>
          </w:p>
        </w:tc>
        <w:tc>
          <w:tcPr>
            <w:tcW w:w="1066"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4,921,132.39</w:t>
            </w:r>
          </w:p>
        </w:tc>
        <w:tc>
          <w:tcPr>
            <w:tcW w:w="1061" w:type="dxa"/>
            <w:vMerge w:val="restart"/>
            <w:tcBorders>
              <w:top w:val="single" w:sz="4" w:space="0" w:color="000000"/>
              <w:left w:val="single" w:sz="4" w:space="0" w:color="000000"/>
              <w:right w:val="single" w:sz="4" w:space="0" w:color="000000"/>
            </w:tcBorders>
          </w:tcPr>
          <w:p>
            <w:pPr/>
          </w:p>
        </w:tc>
        <w:tc>
          <w:tcPr>
            <w:tcW w:w="1066" w:type="dxa"/>
            <w:vMerge w:val="restart"/>
            <w:tcBorders>
              <w:top w:val="single" w:sz="4" w:space="0" w:color="000000"/>
              <w:left w:val="single" w:sz="4" w:space="0" w:color="000000"/>
              <w:right w:val="single" w:sz="4" w:space="0" w:color="000000"/>
            </w:tcBorders>
          </w:tcPr>
          <w:p>
            <w:pPr/>
          </w:p>
        </w:tc>
        <w:tc>
          <w:tcPr>
            <w:tcW w:w="1061" w:type="dxa"/>
            <w:vMerge w:val="restart"/>
            <w:tcBorders>
              <w:top w:val="single" w:sz="4" w:space="0" w:color="000000"/>
              <w:left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12,759,968.7</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394" w:hRule="exact"/>
        </w:trPr>
        <w:tc>
          <w:tcPr>
            <w:tcW w:w="104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33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76" w:type="dxa"/>
            <w:vMerge/>
            <w:tcBorders>
              <w:left w:val="single" w:sz="10" w:space="0" w:color="D2D2D2"/>
              <w:right w:val="single" w:sz="4" w:space="0" w:color="000000"/>
            </w:tcBorders>
          </w:tcPr>
          <w:p>
            <w:pPr/>
          </w:p>
        </w:tc>
        <w:tc>
          <w:tcPr>
            <w:tcW w:w="1061" w:type="dxa"/>
            <w:vMerge/>
            <w:tcBorders>
              <w:left w:val="single" w:sz="4" w:space="0" w:color="000000"/>
              <w:right w:val="single" w:sz="4" w:space="0" w:color="000000"/>
            </w:tcBorders>
          </w:tcPr>
          <w:p>
            <w:pPr/>
          </w:p>
        </w:tc>
        <w:tc>
          <w:tcPr>
            <w:tcW w:w="1066" w:type="dxa"/>
            <w:vMerge/>
            <w:tcBorders>
              <w:left w:val="single" w:sz="4" w:space="0" w:color="000000"/>
              <w:right w:val="single" w:sz="4" w:space="0" w:color="000000"/>
            </w:tcBorders>
          </w:tcPr>
          <w:p>
            <w:pPr/>
          </w:p>
        </w:tc>
        <w:tc>
          <w:tcPr>
            <w:tcW w:w="1061" w:type="dxa"/>
            <w:vMerge/>
            <w:tcBorders>
              <w:left w:val="single" w:sz="4" w:space="0" w:color="000000"/>
              <w:right w:val="single" w:sz="4" w:space="0" w:color="000000"/>
            </w:tcBorders>
          </w:tcPr>
          <w:p>
            <w:pPr/>
          </w:p>
        </w:tc>
        <w:tc>
          <w:tcPr>
            <w:tcW w:w="1066" w:type="dxa"/>
            <w:vMerge/>
            <w:tcBorders>
              <w:left w:val="single" w:sz="4" w:space="0" w:color="000000"/>
              <w:right w:val="single" w:sz="4" w:space="0" w:color="000000"/>
            </w:tcBorders>
          </w:tcPr>
          <w:p>
            <w:pPr/>
          </w:p>
        </w:tc>
        <w:tc>
          <w:tcPr>
            <w:tcW w:w="1061" w:type="dxa"/>
            <w:vMerge/>
            <w:tcBorders>
              <w:left w:val="single" w:sz="4" w:space="0" w:color="000000"/>
              <w:right w:val="single" w:sz="4" w:space="0" w:color="000000"/>
            </w:tcBorders>
          </w:tcPr>
          <w:p>
            <w:pPr/>
          </w:p>
        </w:tc>
        <w:tc>
          <w:tcPr>
            <w:tcW w:w="1066" w:type="dxa"/>
            <w:vMerge/>
            <w:tcBorders>
              <w:left w:val="single" w:sz="4" w:space="0" w:color="000000"/>
              <w:right w:val="single" w:sz="4" w:space="0" w:color="000000"/>
            </w:tcBorders>
          </w:tcPr>
          <w:p>
            <w:pPr/>
          </w:p>
        </w:tc>
        <w:tc>
          <w:tcPr>
            <w:tcW w:w="1061" w:type="dxa"/>
            <w:vMerge/>
            <w:tcBorders>
              <w:left w:val="single" w:sz="4" w:space="0" w:color="000000"/>
              <w:right w:val="single" w:sz="4" w:space="0" w:color="000000"/>
            </w:tcBorders>
          </w:tcPr>
          <w:p>
            <w:pPr/>
          </w:p>
        </w:tc>
      </w:tr>
      <w:tr>
        <w:trPr>
          <w:trHeight w:val="159" w:hRule="exact"/>
        </w:trPr>
        <w:tc>
          <w:tcPr>
            <w:tcW w:w="1040" w:type="dxa"/>
            <w:tcBorders>
              <w:top w:val="nil" w:sz="6" w:space="0" w:color="auto"/>
              <w:left w:val="single" w:sz="4" w:space="0" w:color="000000"/>
              <w:bottom w:val="single" w:sz="4" w:space="0" w:color="000000"/>
              <w:right w:val="single" w:sz="4" w:space="0" w:color="000000"/>
            </w:tcBorders>
            <w:shd w:val="clear" w:color="auto" w:fill="D2D2D2"/>
          </w:tcPr>
          <w:p>
            <w:pPr/>
          </w:p>
        </w:tc>
        <w:tc>
          <w:tcPr>
            <w:tcW w:w="1076" w:type="dxa"/>
            <w:vMerge/>
            <w:tcBorders>
              <w:left w:val="single" w:sz="10" w:space="0" w:color="D2D2D2"/>
              <w:bottom w:val="single" w:sz="4" w:space="0" w:color="000000"/>
              <w:right w:val="single" w:sz="4" w:space="0" w:color="000000"/>
            </w:tcBorders>
          </w:tcPr>
          <w:p>
            <w:pPr/>
          </w:p>
        </w:tc>
        <w:tc>
          <w:tcPr>
            <w:tcW w:w="1061" w:type="dxa"/>
            <w:vMerge/>
            <w:tcBorders>
              <w:left w:val="single" w:sz="4" w:space="0" w:color="000000"/>
              <w:bottom w:val="single" w:sz="4" w:space="0" w:color="000000"/>
              <w:right w:val="single" w:sz="4" w:space="0" w:color="000000"/>
            </w:tcBorders>
          </w:tcPr>
          <w:p>
            <w:pPr/>
          </w:p>
        </w:tc>
        <w:tc>
          <w:tcPr>
            <w:tcW w:w="1066" w:type="dxa"/>
            <w:vMerge/>
            <w:tcBorders>
              <w:left w:val="single" w:sz="4" w:space="0" w:color="000000"/>
              <w:bottom w:val="single" w:sz="4" w:space="0" w:color="000000"/>
              <w:right w:val="single" w:sz="4" w:space="0" w:color="000000"/>
            </w:tcBorders>
          </w:tcPr>
          <w:p>
            <w:pPr/>
          </w:p>
        </w:tc>
        <w:tc>
          <w:tcPr>
            <w:tcW w:w="1061" w:type="dxa"/>
            <w:vMerge/>
            <w:tcBorders>
              <w:left w:val="single" w:sz="4" w:space="0" w:color="000000"/>
              <w:bottom w:val="single" w:sz="4" w:space="0" w:color="000000"/>
              <w:right w:val="single" w:sz="4" w:space="0" w:color="000000"/>
            </w:tcBorders>
          </w:tcPr>
          <w:p>
            <w:pPr/>
          </w:p>
        </w:tc>
        <w:tc>
          <w:tcPr>
            <w:tcW w:w="1066" w:type="dxa"/>
            <w:vMerge/>
            <w:tcBorders>
              <w:left w:val="single" w:sz="4" w:space="0" w:color="000000"/>
              <w:bottom w:val="single" w:sz="4" w:space="0" w:color="000000"/>
              <w:right w:val="single" w:sz="4" w:space="0" w:color="000000"/>
            </w:tcBorders>
          </w:tcPr>
          <w:p>
            <w:pPr/>
          </w:p>
        </w:tc>
        <w:tc>
          <w:tcPr>
            <w:tcW w:w="1061" w:type="dxa"/>
            <w:vMerge/>
            <w:tcBorders>
              <w:left w:val="single" w:sz="4" w:space="0" w:color="000000"/>
              <w:bottom w:val="single" w:sz="4" w:space="0" w:color="000000"/>
              <w:right w:val="single" w:sz="4" w:space="0" w:color="000000"/>
            </w:tcBorders>
          </w:tcPr>
          <w:p>
            <w:pPr/>
          </w:p>
        </w:tc>
        <w:tc>
          <w:tcPr>
            <w:tcW w:w="1066" w:type="dxa"/>
            <w:vMerge/>
            <w:tcBorders>
              <w:left w:val="single" w:sz="4" w:space="0" w:color="000000"/>
              <w:bottom w:val="single" w:sz="4" w:space="0" w:color="000000"/>
              <w:right w:val="single" w:sz="4" w:space="0" w:color="000000"/>
            </w:tcBorders>
          </w:tcPr>
          <w:p>
            <w:pPr/>
          </w:p>
        </w:tc>
        <w:tc>
          <w:tcPr>
            <w:tcW w:w="1061" w:type="dxa"/>
            <w:vMerge/>
            <w:tcBorders>
              <w:left w:val="single" w:sz="4" w:space="0" w:color="000000"/>
              <w:bottom w:val="single" w:sz="4" w:space="0" w:color="000000"/>
              <w:right w:val="single" w:sz="4" w:space="0" w:color="000000"/>
            </w:tcBorders>
          </w:tcPr>
          <w:p>
            <w:pPr/>
          </w:p>
        </w:tc>
      </w:tr>
    </w:tbl>
    <w:p>
      <w:pPr>
        <w:pStyle w:val="BodyText"/>
        <w:spacing w:line="240" w:lineRule="auto" w:before="53"/>
        <w:ind w:right="0"/>
        <w:jc w:val="left"/>
      </w:pPr>
      <w:r>
        <w:rPr/>
        <w:t>其他说明</w:t>
      </w:r>
    </w:p>
    <w:p>
      <w:pPr>
        <w:spacing w:line="240" w:lineRule="auto" w:before="0"/>
        <w:rPr>
          <w:rFonts w:ascii="宋体" w:hAnsi="宋体" w:cs="宋体" w:eastAsia="宋体" w:hint="default"/>
          <w:sz w:val="15"/>
          <w:szCs w:val="15"/>
        </w:rPr>
      </w:pPr>
    </w:p>
    <w:p>
      <w:pPr>
        <w:pStyle w:val="BodyText"/>
        <w:spacing w:line="240" w:lineRule="auto"/>
        <w:ind w:left="513" w:right="0"/>
        <w:jc w:val="left"/>
      </w:pPr>
      <w:r>
        <w:rPr/>
        <w:t>本期开发支出为 </w:t>
      </w:r>
      <w:r>
        <w:rPr>
          <w:rFonts w:ascii="Times New Roman" w:hAnsi="Times New Roman" w:cs="Times New Roman" w:eastAsia="Times New Roman" w:hint="default"/>
        </w:rPr>
        <w:t>10,628,538.27 </w:t>
      </w:r>
      <w:r>
        <w:rPr>
          <w:spacing w:val="-3"/>
        </w:rPr>
        <w:t>元，占本期研究开发项目支出总额的</w:t>
      </w:r>
      <w:r>
        <w:rPr>
          <w:spacing w:val="-54"/>
        </w:rPr>
        <w:t> </w:t>
      </w:r>
      <w:r>
        <w:rPr>
          <w:rFonts w:ascii="Times New Roman" w:hAnsi="Times New Roman" w:cs="Times New Roman" w:eastAsia="Times New Roman" w:hint="default"/>
        </w:rPr>
        <w:t>13.38%</w:t>
      </w:r>
      <w:r>
        <w:rPr/>
        <w:t>。</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3"/>
          <w:szCs w:val="13"/>
        </w:rPr>
      </w:pPr>
    </w:p>
    <w:p>
      <w:pPr>
        <w:pStyle w:val="Heading3"/>
        <w:spacing w:line="240" w:lineRule="auto"/>
        <w:ind w:right="0"/>
        <w:jc w:val="left"/>
        <w:rPr>
          <w:b w:val="0"/>
          <w:bCs w:val="0"/>
        </w:rPr>
      </w:pPr>
      <w:bookmarkStart w:name="13、商誉" w:id="268"/>
      <w:bookmarkEnd w:id="268"/>
      <w:r>
        <w:rPr>
          <w:b w:val="0"/>
          <w:bCs w:val="0"/>
        </w:rPr>
      </w:r>
      <w:r>
        <w:rPr>
          <w:rFonts w:ascii="Times New Roman" w:hAnsi="Times New Roman" w:cs="Times New Roman" w:eastAsia="Times New Roman" w:hint="default"/>
        </w:rPr>
        <w:t>13</w:t>
      </w:r>
      <w:r>
        <w:rPr/>
        <w:t>、商誉</w:t>
      </w:r>
      <w:r>
        <w:rPr>
          <w:b w:val="0"/>
          <w:bCs w:val="0"/>
        </w:rPr>
      </w:r>
    </w:p>
    <w:p>
      <w:pPr>
        <w:spacing w:line="240" w:lineRule="auto" w:before="5"/>
        <w:rPr>
          <w:rFonts w:ascii="宋体" w:hAnsi="宋体" w:cs="宋体" w:eastAsia="宋体" w:hint="default"/>
          <w:b/>
          <w:bCs/>
          <w:sz w:val="24"/>
          <w:szCs w:val="24"/>
        </w:rPr>
      </w:pPr>
    </w:p>
    <w:p>
      <w:pPr>
        <w:pStyle w:val="Heading3"/>
        <w:spacing w:line="240" w:lineRule="auto"/>
        <w:ind w:right="0"/>
        <w:jc w:val="left"/>
        <w:rPr>
          <w:b w:val="0"/>
          <w:bCs w:val="0"/>
        </w:rPr>
      </w:pPr>
      <w:bookmarkStart w:name="（1）商誉账面原值" w:id="269"/>
      <w:bookmarkEnd w:id="269"/>
      <w:r>
        <w:rPr>
          <w:b w:val="0"/>
          <w:bCs w:val="0"/>
        </w:rPr>
      </w:r>
      <w:r>
        <w:rPr/>
        <w:t>（</w:t>
      </w:r>
      <w:r>
        <w:rPr>
          <w:rFonts w:ascii="Times New Roman" w:hAnsi="Times New Roman" w:cs="Times New Roman" w:eastAsia="Times New Roman" w:hint="default"/>
        </w:rPr>
        <w:t>1</w:t>
      </w:r>
      <w:r>
        <w:rPr/>
        <w:t>）商誉账面原值</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345"/>
        <w:gridCol w:w="242"/>
        <w:gridCol w:w="1138"/>
        <w:gridCol w:w="1364"/>
        <w:gridCol w:w="1368"/>
        <w:gridCol w:w="1368"/>
        <w:gridCol w:w="1369"/>
        <w:gridCol w:w="1369"/>
      </w:tblGrid>
      <w:tr>
        <w:trPr>
          <w:trHeight w:val="317" w:hRule="exact"/>
        </w:trPr>
        <w:tc>
          <w:tcPr>
            <w:tcW w:w="1345"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3"/>
              <w:ind w:left="35" w:right="34"/>
              <w:jc w:val="center"/>
              <w:rPr>
                <w:rFonts w:ascii="宋体" w:hAnsi="宋体" w:cs="宋体" w:eastAsia="宋体" w:hint="default"/>
                <w:sz w:val="18"/>
                <w:szCs w:val="18"/>
              </w:rPr>
            </w:pPr>
            <w:r>
              <w:rPr>
                <w:rFonts w:ascii="宋体" w:hAnsi="宋体" w:cs="宋体" w:eastAsia="宋体" w:hint="default"/>
                <w:spacing w:val="-3"/>
                <w:sz w:val="18"/>
                <w:szCs w:val="18"/>
              </w:rPr>
              <w:t>被投资单位名称</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3"/>
                <w:sz w:val="18"/>
                <w:szCs w:val="18"/>
              </w:rPr>
              <w:t>或形成商誉的事</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项</w:t>
            </w:r>
          </w:p>
        </w:tc>
        <w:tc>
          <w:tcPr>
            <w:tcW w:w="1380"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273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42" w:hRule="exact"/>
        </w:trPr>
        <w:tc>
          <w:tcPr>
            <w:tcW w:w="1345" w:type="dxa"/>
            <w:vMerge/>
            <w:tcBorders>
              <w:left w:val="single" w:sz="4" w:space="0" w:color="000000"/>
              <w:right w:val="single" w:sz="4" w:space="0" w:color="000000"/>
            </w:tcBorders>
            <w:shd w:val="clear" w:color="auto" w:fill="D2D2D2"/>
          </w:tcPr>
          <w:p>
            <w:pPr/>
          </w:p>
        </w:tc>
        <w:tc>
          <w:tcPr>
            <w:tcW w:w="1380"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328"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2" w:type="dxa"/>
            <w:gridSpan w:val="2"/>
            <w:vMerge/>
            <w:tcBorders>
              <w:left w:val="single" w:sz="4" w:space="0" w:color="000000"/>
              <w:bottom w:val="single" w:sz="4" w:space="0" w:color="000000"/>
              <w:right w:val="single" w:sz="4" w:space="0" w:color="000000"/>
            </w:tcBorders>
            <w:shd w:val="clear" w:color="auto" w:fill="D2D2D2"/>
          </w:tcPr>
          <w:p>
            <w:pPr/>
          </w:p>
        </w:tc>
        <w:tc>
          <w:tcPr>
            <w:tcW w:w="2737" w:type="dxa"/>
            <w:gridSpan w:val="2"/>
            <w:vMerge/>
            <w:tcBorders>
              <w:left w:val="single" w:sz="4" w:space="0" w:color="000000"/>
              <w:bottom w:val="single" w:sz="4" w:space="0" w:color="000000"/>
              <w:right w:val="single" w:sz="4" w:space="0" w:color="000000"/>
            </w:tcBorders>
            <w:shd w:val="clear" w:color="auto" w:fill="D2D2D2"/>
          </w:tcPr>
          <w:p>
            <w:pPr/>
          </w:p>
        </w:tc>
        <w:tc>
          <w:tcPr>
            <w:tcW w:w="136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252" w:hRule="exact"/>
        </w:trPr>
        <w:tc>
          <w:tcPr>
            <w:tcW w:w="1345" w:type="dxa"/>
            <w:vMerge/>
            <w:tcBorders>
              <w:left w:val="single" w:sz="4" w:space="0" w:color="000000"/>
              <w:right w:val="single" w:sz="4" w:space="0" w:color="000000"/>
            </w:tcBorders>
            <w:shd w:val="clear" w:color="auto" w:fill="D2D2D2"/>
          </w:tcPr>
          <w:p>
            <w:pPr/>
          </w:p>
        </w:tc>
        <w:tc>
          <w:tcPr>
            <w:tcW w:w="1380" w:type="dxa"/>
            <w:gridSpan w:val="2"/>
            <w:vMerge/>
            <w:tcBorders>
              <w:left w:val="single" w:sz="4" w:space="0" w:color="000000"/>
              <w:bottom w:val="nil" w:sz="6" w:space="0" w:color="auto"/>
              <w:right w:val="single" w:sz="4" w:space="0" w:color="000000"/>
            </w:tcBorders>
            <w:shd w:val="clear" w:color="auto" w:fill="D2D2D2"/>
          </w:tcPr>
          <w:p>
            <w:pPr/>
          </w:p>
        </w:tc>
        <w:tc>
          <w:tcPr>
            <w:tcW w:w="13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9"/>
              <w:ind w:left="48" w:right="0"/>
              <w:jc w:val="left"/>
              <w:rPr>
                <w:rFonts w:ascii="宋体" w:hAnsi="宋体" w:cs="宋体" w:eastAsia="宋体" w:hint="default"/>
                <w:sz w:val="18"/>
                <w:szCs w:val="18"/>
              </w:rPr>
            </w:pPr>
            <w:r>
              <w:rPr>
                <w:rFonts w:ascii="宋体" w:hAnsi="宋体" w:cs="宋体" w:eastAsia="宋体" w:hint="default"/>
                <w:spacing w:val="-3"/>
                <w:sz w:val="18"/>
                <w:szCs w:val="18"/>
              </w:rPr>
              <w:t>企业合并形成的</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9"/>
              <w:ind w:left="5"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9"/>
              <w:ind w:left="5" w:right="0"/>
              <w:jc w:val="center"/>
              <w:rPr>
                <w:rFonts w:ascii="宋体" w:hAnsi="宋体" w:cs="宋体" w:eastAsia="宋体" w:hint="default"/>
                <w:sz w:val="18"/>
                <w:szCs w:val="18"/>
              </w:rPr>
            </w:pPr>
            <w:r>
              <w:rPr>
                <w:rFonts w:ascii="宋体" w:hAnsi="宋体" w:cs="宋体" w:eastAsia="宋体" w:hint="default"/>
                <w:sz w:val="18"/>
                <w:szCs w:val="18"/>
              </w:rPr>
              <w:t>处置</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9"/>
              <w:ind w:left="5"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9" w:type="dxa"/>
            <w:vMerge/>
            <w:tcBorders>
              <w:left w:val="single" w:sz="4" w:space="0" w:color="000000"/>
              <w:bottom w:val="nil" w:sz="6" w:space="0" w:color="auto"/>
              <w:right w:val="single" w:sz="4" w:space="0" w:color="000000"/>
            </w:tcBorders>
            <w:shd w:val="clear" w:color="auto" w:fill="D2D2D2"/>
          </w:tcPr>
          <w:p>
            <w:pPr/>
          </w:p>
        </w:tc>
      </w:tr>
      <w:tr>
        <w:trPr>
          <w:trHeight w:val="317" w:hRule="exact"/>
        </w:trPr>
        <w:tc>
          <w:tcPr>
            <w:tcW w:w="1345" w:type="dxa"/>
            <w:vMerge/>
            <w:tcBorders>
              <w:left w:val="single" w:sz="4" w:space="0" w:color="000000"/>
              <w:bottom w:val="single" w:sz="4" w:space="0" w:color="000000"/>
              <w:right w:val="single" w:sz="4" w:space="0" w:color="000000"/>
            </w:tcBorders>
            <w:shd w:val="clear" w:color="auto" w:fill="D2D2D2"/>
          </w:tcPr>
          <w:p>
            <w:pPr/>
          </w:p>
        </w:tc>
        <w:tc>
          <w:tcPr>
            <w:tcW w:w="1380"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1364"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710" w:hRule="exact"/>
        </w:trPr>
        <w:tc>
          <w:tcPr>
            <w:tcW w:w="13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 w:right="58"/>
              <w:jc w:val="left"/>
              <w:rPr>
                <w:rFonts w:ascii="宋体" w:hAnsi="宋体" w:cs="宋体" w:eastAsia="宋体" w:hint="default"/>
                <w:sz w:val="18"/>
                <w:szCs w:val="18"/>
              </w:rPr>
            </w:pPr>
            <w:r>
              <w:rPr>
                <w:rFonts w:ascii="宋体" w:hAnsi="宋体" w:cs="宋体" w:eastAsia="宋体" w:hint="default"/>
                <w:spacing w:val="-3"/>
                <w:sz w:val="18"/>
                <w:szCs w:val="18"/>
              </w:rPr>
              <w:t>北京亿美软通科</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技有限公司</w:t>
            </w:r>
          </w:p>
        </w:tc>
        <w:tc>
          <w:tcPr>
            <w:tcW w:w="138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11" w:right="0"/>
              <w:jc w:val="left"/>
              <w:rPr>
                <w:rFonts w:ascii="Times New Roman" w:hAnsi="Times New Roman" w:cs="Times New Roman" w:eastAsia="Times New Roman" w:hint="default"/>
                <w:sz w:val="18"/>
                <w:szCs w:val="18"/>
              </w:rPr>
            </w:pPr>
            <w:r>
              <w:rPr>
                <w:rFonts w:ascii="Times New Roman"/>
                <w:sz w:val="18"/>
              </w:rPr>
              <w:t>151,738,925.12</w:t>
            </w:r>
          </w:p>
        </w:tc>
        <w:tc>
          <w:tcPr>
            <w:tcW w:w="1364" w:type="dxa"/>
            <w:tcBorders>
              <w:top w:val="single" w:sz="48" w:space="0" w:color="D2D2D2"/>
              <w:left w:val="single" w:sz="4" w:space="0" w:color="000000"/>
              <w:bottom w:val="single" w:sz="4" w:space="0" w:color="000000"/>
              <w:right w:val="single" w:sz="4" w:space="0" w:color="000000"/>
            </w:tcBorders>
          </w:tcPr>
          <w:p>
            <w:pPr/>
          </w:p>
        </w:tc>
        <w:tc>
          <w:tcPr>
            <w:tcW w:w="1368" w:type="dxa"/>
            <w:tcBorders>
              <w:top w:val="single" w:sz="48" w:space="0" w:color="D2D2D2"/>
              <w:left w:val="single" w:sz="4" w:space="0" w:color="000000"/>
              <w:bottom w:val="single" w:sz="4" w:space="0" w:color="000000"/>
              <w:right w:val="single" w:sz="4" w:space="0" w:color="000000"/>
            </w:tcBorders>
          </w:tcPr>
          <w:p>
            <w:pPr/>
          </w:p>
        </w:tc>
        <w:tc>
          <w:tcPr>
            <w:tcW w:w="1368" w:type="dxa"/>
            <w:tcBorders>
              <w:top w:val="single" w:sz="48" w:space="0" w:color="D2D2D2"/>
              <w:left w:val="single" w:sz="4" w:space="0" w:color="000000"/>
              <w:bottom w:val="single" w:sz="4" w:space="0" w:color="000000"/>
              <w:right w:val="single" w:sz="4" w:space="0" w:color="000000"/>
            </w:tcBorders>
          </w:tcPr>
          <w:p>
            <w:pPr/>
          </w:p>
        </w:tc>
        <w:tc>
          <w:tcPr>
            <w:tcW w:w="1369" w:type="dxa"/>
            <w:tcBorders>
              <w:top w:val="single" w:sz="48" w:space="0" w:color="D2D2D2"/>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151,738,925.12</w:t>
            </w:r>
          </w:p>
        </w:tc>
      </w:tr>
      <w:tr>
        <w:trPr>
          <w:trHeight w:val="716" w:hRule="exact"/>
        </w:trPr>
        <w:tc>
          <w:tcPr>
            <w:tcW w:w="13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8"/>
              <w:ind w:left="11" w:right="96"/>
              <w:jc w:val="left"/>
              <w:rPr>
                <w:rFonts w:ascii="宋体" w:hAnsi="宋体" w:cs="宋体" w:eastAsia="宋体" w:hint="default"/>
                <w:sz w:val="18"/>
                <w:szCs w:val="18"/>
              </w:rPr>
            </w:pPr>
            <w:r>
              <w:rPr>
                <w:rFonts w:ascii="宋体" w:hAnsi="宋体" w:cs="宋体" w:eastAsia="宋体" w:hint="default"/>
                <w:spacing w:val="-8"/>
                <w:sz w:val="18"/>
                <w:szCs w:val="18"/>
              </w:rPr>
              <w:t>安科创新（深圳</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有限公司</w:t>
            </w:r>
          </w:p>
        </w:tc>
        <w:tc>
          <w:tcPr>
            <w:tcW w:w="242"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58"/>
              <w:ind w:left="-121" w:right="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tc>
        <w:tc>
          <w:tcPr>
            <w:tcW w:w="11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163" w:right="0"/>
              <w:jc w:val="left"/>
              <w:rPr>
                <w:rFonts w:ascii="Times New Roman" w:hAnsi="Times New Roman" w:cs="Times New Roman" w:eastAsia="Times New Roman" w:hint="default"/>
                <w:sz w:val="18"/>
                <w:szCs w:val="18"/>
              </w:rPr>
            </w:pPr>
            <w:r>
              <w:rPr>
                <w:rFonts w:ascii="Times New Roman"/>
                <w:sz w:val="18"/>
              </w:rPr>
              <w:t>3,878,999.54</w:t>
            </w:r>
          </w:p>
        </w:tc>
        <w:tc>
          <w:tcPr>
            <w:tcW w:w="1364"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3,878,999.54</w:t>
            </w:r>
          </w:p>
        </w:tc>
      </w:tr>
      <w:tr>
        <w:trPr>
          <w:trHeight w:val="403" w:hRule="exact"/>
        </w:trPr>
        <w:tc>
          <w:tcPr>
            <w:tcW w:w="13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8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left="211" w:right="0"/>
              <w:jc w:val="left"/>
              <w:rPr>
                <w:rFonts w:ascii="Times New Roman" w:hAnsi="Times New Roman" w:cs="Times New Roman" w:eastAsia="Times New Roman" w:hint="default"/>
                <w:sz w:val="18"/>
                <w:szCs w:val="18"/>
              </w:rPr>
            </w:pPr>
            <w:r>
              <w:rPr>
                <w:rFonts w:ascii="Times New Roman"/>
                <w:sz w:val="18"/>
              </w:rPr>
              <w:t>155,617,924.66</w:t>
            </w:r>
          </w:p>
        </w:tc>
        <w:tc>
          <w:tcPr>
            <w:tcW w:w="1364"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155,617,924.66</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pict>
          <v:group style="position:absolute;margin-left:125.330002pt;margin-top:-68.276329pt;width:67.95pt;height:28pt;mso-position-horizontal-relative:page;mso-position-vertical-relative:paragraph;z-index:-1025896" coordorigin="2507,-1366" coordsize="1359,560">
            <v:group style="position:absolute;left:2507;top:-1366;width:1359;height:154" coordorigin="2507,-1366" coordsize="1359,154">
              <v:shape style="position:absolute;left:2507;top:-1366;width:1359;height:154" coordorigin="2507,-1366" coordsize="1359,154" path="m2507,-1212l3865,-1212,3865,-1366,2507,-1366,2507,-1212xe" filled="true" fillcolor="#ffffff" stroked="false">
                <v:path arrowok="t"/>
                <v:fill type="solid"/>
              </v:shape>
            </v:group>
            <v:group style="position:absolute;left:2519;top:-1212;width:2;height:395" coordorigin="2519,-1212" coordsize="2,395">
              <v:shape style="position:absolute;left:2519;top:-1212;width:2;height:395" coordorigin="2519,-1212" coordsize="0,395" path="m2519,-1212l2519,-818e" filled="false" stroked="true" strokeweight="1.2pt" strokecolor="#ffffff">
                <v:path arrowok="t"/>
              </v:shape>
            </v:group>
            <v:group style="position:absolute;left:2531;top:-1212;width:1311;height:395" coordorigin="2531,-1212" coordsize="1311,395">
              <v:shape style="position:absolute;left:2531;top:-1212;width:1311;height:395" coordorigin="2531,-1212" coordsize="1311,395" path="m2531,-818l3841,-818,3841,-1212,2531,-1212,2531,-818xe" filled="true" fillcolor="#ffffff" stroked="false">
                <v:path arrowok="t"/>
                <v:fill type="solid"/>
              </v:shape>
            </v:group>
            <w10:wrap type="none"/>
          </v:group>
        </w:pict>
      </w:r>
      <w:bookmarkStart w:name="（2）商誉减值准备" w:id="270"/>
      <w:bookmarkEnd w:id="270"/>
      <w:r>
        <w:rPr>
          <w:b w:val="0"/>
          <w:bCs w:val="0"/>
        </w:rPr>
      </w:r>
      <w:r>
        <w:rPr/>
        <w:t>（</w:t>
      </w:r>
      <w:r>
        <w:rPr>
          <w:rFonts w:ascii="Times New Roman" w:hAnsi="Times New Roman" w:cs="Times New Roman" w:eastAsia="Times New Roman" w:hint="default"/>
        </w:rPr>
        <w:t>2</w:t>
      </w:r>
      <w:r>
        <w:rPr/>
        <w:t>）商誉减值准备</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369"/>
        <w:gridCol w:w="1368"/>
        <w:gridCol w:w="2732"/>
        <w:gridCol w:w="2737"/>
        <w:gridCol w:w="1369"/>
      </w:tblGrid>
      <w:tr>
        <w:trPr>
          <w:trHeight w:val="398"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3"/>
              <w:ind w:left="48" w:right="0"/>
              <w:jc w:val="left"/>
              <w:rPr>
                <w:rFonts w:ascii="宋体" w:hAnsi="宋体" w:cs="宋体" w:eastAsia="宋体" w:hint="default"/>
                <w:sz w:val="18"/>
                <w:szCs w:val="18"/>
              </w:rPr>
            </w:pPr>
            <w:r>
              <w:rPr>
                <w:rFonts w:ascii="宋体" w:hAnsi="宋体" w:cs="宋体" w:eastAsia="宋体" w:hint="default"/>
                <w:spacing w:val="-3"/>
                <w:sz w:val="18"/>
                <w:szCs w:val="18"/>
              </w:rPr>
              <w:t>被投资单位名称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16"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spacing w:after="0" w:line="240" w:lineRule="auto"/>
        <w:jc w:val="left"/>
        <w:rPr>
          <w:rFonts w:ascii="宋体" w:hAnsi="宋体" w:cs="宋体" w:eastAsia="宋体" w:hint="default"/>
          <w:sz w:val="18"/>
          <w:szCs w:val="18"/>
        </w:rPr>
        <w:sectPr>
          <w:pgSz w:w="11910" w:h="16840"/>
          <w:pgMar w:header="871" w:footer="1186" w:top="1100" w:bottom="1380" w:left="980" w:right="0"/>
        </w:sectPr>
      </w:pPr>
    </w:p>
    <w:p>
      <w:pPr>
        <w:spacing w:line="240" w:lineRule="auto" w:before="8"/>
        <w:rPr>
          <w:rFonts w:ascii="宋体" w:hAnsi="宋体" w:cs="宋体" w:eastAsia="宋体" w:hint="default"/>
          <w:sz w:val="24"/>
          <w:szCs w:val="24"/>
        </w:rPr>
      </w:pPr>
    </w:p>
    <w:tbl>
      <w:tblPr>
        <w:tblW w:w="0" w:type="auto"/>
        <w:jc w:val="left"/>
        <w:tblInd w:w="160" w:type="dxa"/>
        <w:tblLayout w:type="fixed"/>
        <w:tblCellMar>
          <w:top w:w="0" w:type="dxa"/>
          <w:left w:w="0" w:type="dxa"/>
          <w:bottom w:w="0" w:type="dxa"/>
          <w:right w:w="0" w:type="dxa"/>
        </w:tblCellMar>
        <w:tblLook w:val="01E0"/>
      </w:tblPr>
      <w:tblGrid>
        <w:gridCol w:w="1345"/>
        <w:gridCol w:w="557"/>
        <w:gridCol w:w="824"/>
        <w:gridCol w:w="1364"/>
        <w:gridCol w:w="1368"/>
        <w:gridCol w:w="1368"/>
        <w:gridCol w:w="1369"/>
        <w:gridCol w:w="1369"/>
      </w:tblGrid>
      <w:tr>
        <w:trPr>
          <w:trHeight w:val="139" w:hRule="exact"/>
        </w:trPr>
        <w:tc>
          <w:tcPr>
            <w:tcW w:w="1345" w:type="dxa"/>
            <w:vMerge w:val="restart"/>
            <w:tcBorders>
              <w:top w:val="single" w:sz="4" w:space="0" w:color="000000"/>
              <w:left w:val="single" w:sz="4" w:space="0" w:color="000000"/>
              <w:right w:val="single" w:sz="4" w:space="0" w:color="000000"/>
            </w:tcBorders>
            <w:shd w:val="clear" w:color="auto" w:fill="D2D2D2"/>
          </w:tcPr>
          <w:p>
            <w:pPr>
              <w:pStyle w:val="TableParagraph"/>
              <w:spacing w:line="321" w:lineRule="auto" w:before="10"/>
              <w:ind w:left="578" w:right="34" w:hanging="543"/>
              <w:jc w:val="left"/>
              <w:rPr>
                <w:rFonts w:ascii="宋体" w:hAnsi="宋体" w:cs="宋体" w:eastAsia="宋体" w:hint="default"/>
                <w:sz w:val="18"/>
                <w:szCs w:val="18"/>
              </w:rPr>
            </w:pPr>
            <w:r>
              <w:rPr>
                <w:rFonts w:ascii="宋体" w:hAnsi="宋体" w:cs="宋体" w:eastAsia="宋体" w:hint="default"/>
                <w:spacing w:val="-3"/>
                <w:sz w:val="18"/>
                <w:szCs w:val="18"/>
              </w:rPr>
              <w:t>或形成商誉的事</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项</w:t>
            </w:r>
          </w:p>
        </w:tc>
        <w:tc>
          <w:tcPr>
            <w:tcW w:w="1380" w:type="dxa"/>
            <w:gridSpan w:val="2"/>
            <w:vMerge w:val="restart"/>
            <w:tcBorders>
              <w:top w:val="single" w:sz="4" w:space="0" w:color="000000"/>
              <w:left w:val="single" w:sz="4" w:space="0" w:color="000000"/>
              <w:right w:val="single" w:sz="4" w:space="0" w:color="000000"/>
            </w:tcBorders>
            <w:shd w:val="clear" w:color="auto" w:fill="D2D2D2"/>
          </w:tcPr>
          <w:p>
            <w:pPr/>
          </w:p>
        </w:tc>
        <w:tc>
          <w:tcPr>
            <w:tcW w:w="1364" w:type="dxa"/>
            <w:tcBorders>
              <w:top w:val="single" w:sz="4" w:space="0" w:color="000000"/>
              <w:left w:val="single" w:sz="4" w:space="0" w:color="000000"/>
              <w:bottom w:val="nil" w:sz="6" w:space="0" w:color="auto"/>
              <w:right w:val="single" w:sz="4" w:space="0" w:color="000000"/>
            </w:tcBorders>
            <w:shd w:val="clear" w:color="auto" w:fill="D2D2D2"/>
          </w:tcPr>
          <w:p>
            <w:pPr/>
          </w:p>
        </w:tc>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1369" w:type="dxa"/>
            <w:tcBorders>
              <w:top w:val="single" w:sz="4" w:space="0" w:color="000000"/>
              <w:left w:val="single" w:sz="4" w:space="0" w:color="000000"/>
              <w:bottom w:val="nil" w:sz="6" w:space="0" w:color="auto"/>
              <w:right w:val="single" w:sz="4" w:space="0" w:color="000000"/>
            </w:tcBorders>
            <w:shd w:val="clear" w:color="auto" w:fill="D2D2D2"/>
          </w:tcPr>
          <w:p>
            <w:pPr/>
          </w:p>
        </w:tc>
        <w:tc>
          <w:tcPr>
            <w:tcW w:w="1369" w:type="dxa"/>
            <w:vMerge w:val="restart"/>
            <w:tcBorders>
              <w:top w:val="single" w:sz="4" w:space="0" w:color="000000"/>
              <w:left w:val="single" w:sz="4" w:space="0" w:color="000000"/>
              <w:right w:val="single" w:sz="4" w:space="0" w:color="000000"/>
            </w:tcBorders>
            <w:shd w:val="clear" w:color="auto" w:fill="D2D2D2"/>
          </w:tcPr>
          <w:p>
            <w:pPr/>
          </w:p>
        </w:tc>
      </w:tr>
      <w:tr>
        <w:trPr>
          <w:trHeight w:val="533" w:hRule="exact"/>
        </w:trPr>
        <w:tc>
          <w:tcPr>
            <w:tcW w:w="1345" w:type="dxa"/>
            <w:vMerge/>
            <w:tcBorders>
              <w:left w:val="single" w:sz="4" w:space="0" w:color="000000"/>
              <w:bottom w:val="single" w:sz="4" w:space="0" w:color="000000"/>
              <w:right w:val="single" w:sz="4" w:space="0" w:color="000000"/>
            </w:tcBorders>
            <w:shd w:val="clear" w:color="auto" w:fill="D2D2D2"/>
          </w:tcPr>
          <w:p>
            <w:pPr/>
          </w:p>
        </w:tc>
        <w:tc>
          <w:tcPr>
            <w:tcW w:w="1380" w:type="dxa"/>
            <w:gridSpan w:val="2"/>
            <w:vMerge/>
            <w:tcBorders>
              <w:left w:val="single" w:sz="4" w:space="0" w:color="000000"/>
              <w:bottom w:val="single" w:sz="4" w:space="0" w:color="000000"/>
              <w:right w:val="single" w:sz="4" w:space="0" w:color="000000"/>
            </w:tcBorders>
            <w:shd w:val="clear" w:color="auto" w:fill="D2D2D2"/>
          </w:tcPr>
          <w:p>
            <w:pPr/>
          </w:p>
        </w:tc>
        <w:tc>
          <w:tcPr>
            <w:tcW w:w="1364"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68"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处置</w:t>
            </w:r>
          </w:p>
        </w:tc>
        <w:tc>
          <w:tcPr>
            <w:tcW w:w="1369"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9" w:type="dxa"/>
            <w:vMerge/>
            <w:tcBorders>
              <w:left w:val="single" w:sz="4" w:space="0" w:color="000000"/>
              <w:bottom w:val="single" w:sz="4" w:space="0" w:color="000000"/>
              <w:right w:val="single" w:sz="4" w:space="0" w:color="000000"/>
            </w:tcBorders>
            <w:shd w:val="clear" w:color="auto" w:fill="D2D2D2"/>
          </w:tcPr>
          <w:p>
            <w:pPr/>
          </w:p>
        </w:tc>
      </w:tr>
      <w:tr>
        <w:trPr>
          <w:trHeight w:val="716" w:hRule="exact"/>
        </w:trPr>
        <w:tc>
          <w:tcPr>
            <w:tcW w:w="13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4" w:lineRule="auto" w:before="53"/>
              <w:ind w:left="11" w:right="58"/>
              <w:jc w:val="left"/>
              <w:rPr>
                <w:rFonts w:ascii="宋体" w:hAnsi="宋体" w:cs="宋体" w:eastAsia="宋体" w:hint="default"/>
                <w:sz w:val="18"/>
                <w:szCs w:val="18"/>
              </w:rPr>
            </w:pPr>
            <w:r>
              <w:rPr>
                <w:rFonts w:ascii="宋体" w:hAnsi="宋体" w:cs="宋体" w:eastAsia="宋体" w:hint="default"/>
                <w:spacing w:val="-3"/>
                <w:sz w:val="18"/>
                <w:szCs w:val="18"/>
              </w:rPr>
              <w:t>北京亿美软通科</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技有限公司</w:t>
            </w:r>
          </w:p>
        </w:tc>
        <w:tc>
          <w:tcPr>
            <w:tcW w:w="138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0.00</w:t>
            </w:r>
          </w:p>
        </w:tc>
        <w:tc>
          <w:tcPr>
            <w:tcW w:w="1364" w:type="dxa"/>
            <w:tcBorders>
              <w:top w:val="single" w:sz="54" w:space="0" w:color="D2D2D2"/>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0.00</w:t>
            </w:r>
          </w:p>
        </w:tc>
        <w:tc>
          <w:tcPr>
            <w:tcW w:w="1368" w:type="dxa"/>
            <w:tcBorders>
              <w:top w:val="single" w:sz="54" w:space="0" w:color="D2D2D2"/>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0.00</w:t>
            </w:r>
          </w:p>
        </w:tc>
        <w:tc>
          <w:tcPr>
            <w:tcW w:w="1368" w:type="dxa"/>
            <w:tcBorders>
              <w:top w:val="single" w:sz="54" w:space="0" w:color="D2D2D2"/>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0.00</w:t>
            </w:r>
          </w:p>
        </w:tc>
        <w:tc>
          <w:tcPr>
            <w:tcW w:w="1369" w:type="dxa"/>
            <w:tcBorders>
              <w:top w:val="single" w:sz="54" w:space="0" w:color="D2D2D2"/>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0.00</w:t>
            </w:r>
          </w:p>
        </w:tc>
      </w:tr>
      <w:tr>
        <w:trPr>
          <w:trHeight w:val="715" w:hRule="exact"/>
        </w:trPr>
        <w:tc>
          <w:tcPr>
            <w:tcW w:w="13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11" w:right="96"/>
              <w:jc w:val="left"/>
              <w:rPr>
                <w:rFonts w:ascii="宋体" w:hAnsi="宋体" w:cs="宋体" w:eastAsia="宋体" w:hint="default"/>
                <w:sz w:val="18"/>
                <w:szCs w:val="18"/>
              </w:rPr>
            </w:pPr>
            <w:r>
              <w:rPr>
                <w:rFonts w:ascii="宋体" w:hAnsi="宋体" w:cs="宋体" w:eastAsia="宋体" w:hint="default"/>
                <w:spacing w:val="-8"/>
                <w:sz w:val="18"/>
                <w:szCs w:val="18"/>
              </w:rPr>
              <w:t>安科创新（深圳</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有限公司</w:t>
            </w:r>
          </w:p>
        </w:tc>
        <w:tc>
          <w:tcPr>
            <w:tcW w:w="557"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53"/>
              <w:ind w:left="-121" w:right="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tc>
        <w:tc>
          <w:tcPr>
            <w:tcW w:w="8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478" w:right="0"/>
              <w:jc w:val="left"/>
              <w:rPr>
                <w:rFonts w:ascii="Times New Roman" w:hAnsi="Times New Roman" w:cs="Times New Roman" w:eastAsia="Times New Roman" w:hint="default"/>
                <w:sz w:val="18"/>
                <w:szCs w:val="18"/>
              </w:rPr>
            </w:pPr>
            <w:r>
              <w:rPr>
                <w:rFonts w:ascii="Times New Roman"/>
                <w:sz w:val="18"/>
              </w:rPr>
              <w:t>0.00</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13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8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0.00</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4"/>
        <w:ind w:left="136" w:right="7506"/>
        <w:jc w:val="center"/>
      </w:pPr>
      <w:r>
        <w:rPr/>
        <w:pict>
          <v:group style="position:absolute;margin-left:125.330002pt;margin-top:-55.928268pt;width:67.95pt;height:28pt;mso-position-horizontal-relative:page;mso-position-vertical-relative:paragraph;z-index:-1025872" coordorigin="2507,-1119" coordsize="1359,560">
            <v:group style="position:absolute;left:2507;top:-1119;width:1359;height:159" coordorigin="2507,-1119" coordsize="1359,159">
              <v:shape style="position:absolute;left:2507;top:-1119;width:1359;height:159" coordorigin="2507,-1119" coordsize="1359,159" path="m2507,-960l3865,-960,3865,-1119,2507,-1119,2507,-960xe" filled="true" fillcolor="#ffffff" stroked="false">
                <v:path arrowok="t"/>
                <v:fill type="solid"/>
              </v:shape>
            </v:group>
            <v:group style="position:absolute;left:2519;top:-960;width:2;height:389" coordorigin="2519,-960" coordsize="2,389">
              <v:shape style="position:absolute;left:2519;top:-960;width:2;height:389" coordorigin="2519,-960" coordsize="0,389" path="m2519,-960l2519,-571e" filled="false" stroked="true" strokeweight="1.2pt" strokecolor="#ffffff">
                <v:path arrowok="t"/>
              </v:shape>
            </v:group>
            <v:group style="position:absolute;left:2531;top:-960;width:1311;height:389" coordorigin="2531,-960" coordsize="1311,389">
              <v:shape style="position:absolute;left:2531;top:-960;width:1311;height:389" coordorigin="2531,-960" coordsize="1311,389" path="m2531,-571l3841,-571,3841,-960,2531,-960,2531,-571xe" filled="true" fillcolor="#ffffff" stroked="false">
                <v:path arrowok="t"/>
                <v:fill type="solid"/>
              </v:shape>
            </v:group>
            <w10:wrap type="none"/>
          </v:group>
        </w:pict>
      </w:r>
      <w:r>
        <w:rPr>
          <w:spacing w:val="-3"/>
        </w:rPr>
        <w:t>商誉所在资产组或资产组组合的相关信息</w:t>
      </w:r>
    </w:p>
    <w:p>
      <w:pPr>
        <w:spacing w:line="240" w:lineRule="auto" w:before="8"/>
        <w:rPr>
          <w:rFonts w:ascii="宋体" w:hAnsi="宋体" w:cs="宋体" w:eastAsia="宋体" w:hint="default"/>
          <w:sz w:val="14"/>
          <w:szCs w:val="14"/>
        </w:rPr>
      </w:pPr>
    </w:p>
    <w:p>
      <w:pPr>
        <w:pStyle w:val="BodyText"/>
        <w:spacing w:line="240" w:lineRule="auto"/>
        <w:ind w:left="136" w:right="7415"/>
        <w:jc w:val="center"/>
      </w:pPr>
      <w:r>
        <w:rPr/>
        <w:t>（</w:t>
      </w:r>
      <w:r>
        <w:rPr>
          <w:rFonts w:ascii="Times New Roman" w:hAnsi="Times New Roman" w:cs="Times New Roman" w:eastAsia="Times New Roman" w:hint="default"/>
        </w:rPr>
        <w:t>1</w:t>
      </w:r>
      <w:r>
        <w:rPr/>
        <w:t>）北京亿美软通科技有限公司</w:t>
      </w:r>
    </w:p>
    <w:p>
      <w:pPr>
        <w:spacing w:line="240" w:lineRule="auto" w:before="11"/>
        <w:rPr>
          <w:rFonts w:ascii="宋体" w:hAnsi="宋体" w:cs="宋体" w:eastAsia="宋体" w:hint="default"/>
          <w:sz w:val="9"/>
          <w:szCs w:val="9"/>
        </w:rPr>
      </w:pPr>
    </w:p>
    <w:tbl>
      <w:tblPr>
        <w:tblW w:w="0" w:type="auto"/>
        <w:jc w:val="left"/>
        <w:tblInd w:w="138" w:type="dxa"/>
        <w:tblLayout w:type="fixed"/>
        <w:tblCellMar>
          <w:top w:w="0" w:type="dxa"/>
          <w:left w:w="0" w:type="dxa"/>
          <w:bottom w:w="0" w:type="dxa"/>
          <w:right w:w="0" w:type="dxa"/>
        </w:tblCellMar>
        <w:tblLook w:val="01E0"/>
      </w:tblPr>
      <w:tblGrid>
        <w:gridCol w:w="3842"/>
        <w:gridCol w:w="5820"/>
      </w:tblGrid>
      <w:tr>
        <w:trPr>
          <w:trHeight w:val="341" w:hRule="exact"/>
        </w:trPr>
        <w:tc>
          <w:tcPr>
            <w:tcW w:w="384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582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left="1824" w:right="0"/>
              <w:jc w:val="left"/>
              <w:rPr>
                <w:rFonts w:ascii="宋体" w:hAnsi="宋体" w:cs="宋体" w:eastAsia="宋体" w:hint="default"/>
                <w:sz w:val="18"/>
                <w:szCs w:val="18"/>
              </w:rPr>
            </w:pPr>
            <w:r>
              <w:rPr>
                <w:rFonts w:ascii="宋体" w:hAnsi="宋体" w:cs="宋体" w:eastAsia="宋体" w:hint="default"/>
                <w:spacing w:val="-3"/>
                <w:sz w:val="18"/>
                <w:szCs w:val="18"/>
              </w:rPr>
              <w:t>北京亿美软通科技有限公司</w:t>
            </w:r>
          </w:p>
        </w:tc>
      </w:tr>
      <w:tr>
        <w:trPr>
          <w:trHeight w:val="653" w:hRule="exact"/>
        </w:trPr>
        <w:tc>
          <w:tcPr>
            <w:tcW w:w="3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pacing w:val="-3"/>
                <w:sz w:val="18"/>
                <w:szCs w:val="18"/>
              </w:rPr>
              <w:t>资产组或资产组组合的构成</w:t>
            </w:r>
          </w:p>
        </w:tc>
        <w:tc>
          <w:tcPr>
            <w:tcW w:w="582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4" w:right="1660"/>
              <w:jc w:val="left"/>
              <w:rPr>
                <w:rFonts w:ascii="宋体" w:hAnsi="宋体" w:cs="宋体" w:eastAsia="宋体" w:hint="default"/>
                <w:sz w:val="18"/>
                <w:szCs w:val="18"/>
              </w:rPr>
            </w:pPr>
            <w:r>
              <w:rPr>
                <w:rFonts w:ascii="宋体" w:hAnsi="宋体" w:cs="宋体" w:eastAsia="宋体" w:hint="default"/>
                <w:spacing w:val="-3"/>
                <w:sz w:val="18"/>
                <w:szCs w:val="18"/>
              </w:rPr>
              <w:t>北京亿美软通科技有限公司</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pacing w:val="-3"/>
                <w:sz w:val="18"/>
                <w:szCs w:val="18"/>
              </w:rPr>
              <w:t>全部主营业务经营性有形资产和可确认的无形性资产</w:t>
            </w:r>
          </w:p>
        </w:tc>
      </w:tr>
      <w:tr>
        <w:trPr>
          <w:trHeight w:val="346" w:hRule="exact"/>
        </w:trPr>
        <w:tc>
          <w:tcPr>
            <w:tcW w:w="3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4" w:right="0"/>
              <w:jc w:val="left"/>
              <w:rPr>
                <w:rFonts w:ascii="宋体" w:hAnsi="宋体" w:cs="宋体" w:eastAsia="宋体" w:hint="default"/>
                <w:sz w:val="18"/>
                <w:szCs w:val="18"/>
              </w:rPr>
            </w:pPr>
            <w:r>
              <w:rPr>
                <w:rFonts w:ascii="宋体" w:hAnsi="宋体" w:cs="宋体" w:eastAsia="宋体" w:hint="default"/>
                <w:spacing w:val="-3"/>
                <w:sz w:val="18"/>
                <w:szCs w:val="18"/>
              </w:rPr>
              <w:t>资产组或资产组组合的账面价值</w:t>
            </w:r>
          </w:p>
        </w:tc>
        <w:tc>
          <w:tcPr>
            <w:tcW w:w="5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37,177.97</w:t>
            </w:r>
            <w:r>
              <w:rPr>
                <w:rFonts w:ascii="宋体" w:hAnsi="宋体" w:cs="宋体" w:eastAsia="宋体" w:hint="default"/>
                <w:sz w:val="18"/>
                <w:szCs w:val="18"/>
              </w:rPr>
              <w:t>万元</w:t>
            </w:r>
          </w:p>
        </w:tc>
      </w:tr>
      <w:tr>
        <w:trPr>
          <w:trHeight w:val="653" w:hRule="exact"/>
        </w:trPr>
        <w:tc>
          <w:tcPr>
            <w:tcW w:w="3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pacing w:val="-3"/>
                <w:sz w:val="18"/>
                <w:szCs w:val="18"/>
              </w:rPr>
              <w:t>资产组或资产组组合的确定方法</w:t>
            </w:r>
          </w:p>
        </w:tc>
        <w:tc>
          <w:tcPr>
            <w:tcW w:w="582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4" w:right="-3"/>
              <w:jc w:val="left"/>
              <w:rPr>
                <w:rFonts w:ascii="宋体" w:hAnsi="宋体" w:cs="宋体" w:eastAsia="宋体" w:hint="default"/>
                <w:sz w:val="18"/>
                <w:szCs w:val="18"/>
              </w:rPr>
            </w:pPr>
            <w:r>
              <w:rPr>
                <w:rFonts w:ascii="宋体" w:hAnsi="宋体" w:cs="宋体" w:eastAsia="宋体" w:hint="default"/>
                <w:spacing w:val="-1"/>
                <w:sz w:val="18"/>
                <w:szCs w:val="18"/>
              </w:rPr>
              <w:t>亿美软通生产的产品存在活跃市场，可以带来独立的现金流，可将其认定</w:t>
            </w:r>
            <w:r>
              <w:rPr>
                <w:rFonts w:ascii="宋体" w:hAnsi="宋体" w:cs="宋体" w:eastAsia="宋体" w:hint="default"/>
                <w:spacing w:val="-12"/>
                <w:sz w:val="18"/>
                <w:szCs w:val="18"/>
              </w:rPr>
              <w:t> </w:t>
            </w:r>
            <w:r>
              <w:rPr>
                <w:rFonts w:ascii="宋体" w:hAnsi="宋体" w:cs="宋体" w:eastAsia="宋体" w:hint="default"/>
                <w:spacing w:val="-12"/>
                <w:sz w:val="18"/>
                <w:szCs w:val="18"/>
              </w:rPr>
            </w:r>
            <w:r>
              <w:rPr>
                <w:rFonts w:ascii="宋体" w:hAnsi="宋体" w:cs="宋体" w:eastAsia="宋体" w:hint="default"/>
                <w:sz w:val="18"/>
                <w:szCs w:val="18"/>
              </w:rPr>
              <w:t>为一个单独的资产组。</w:t>
            </w:r>
          </w:p>
        </w:tc>
      </w:tr>
      <w:tr>
        <w:trPr>
          <w:trHeight w:val="653" w:hRule="exact"/>
        </w:trPr>
        <w:tc>
          <w:tcPr>
            <w:tcW w:w="384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4" w:right="4"/>
              <w:jc w:val="left"/>
              <w:rPr>
                <w:rFonts w:ascii="宋体" w:hAnsi="宋体" w:cs="宋体" w:eastAsia="宋体" w:hint="default"/>
                <w:sz w:val="18"/>
                <w:szCs w:val="18"/>
              </w:rPr>
            </w:pPr>
            <w:r>
              <w:rPr>
                <w:rFonts w:ascii="宋体" w:hAnsi="宋体" w:cs="宋体" w:eastAsia="宋体" w:hint="default"/>
                <w:spacing w:val="-1"/>
                <w:sz w:val="18"/>
                <w:szCs w:val="18"/>
              </w:rPr>
              <w:t>资产组或资产组组合是否与购买日、以前年度商</w:t>
            </w:r>
            <w:r>
              <w:rPr>
                <w:rFonts w:ascii="宋体" w:hAnsi="宋体" w:cs="宋体" w:eastAsia="宋体" w:hint="default"/>
                <w:spacing w:val="-29"/>
                <w:sz w:val="18"/>
                <w:szCs w:val="18"/>
              </w:rPr>
              <w:t> </w:t>
            </w:r>
            <w:r>
              <w:rPr>
                <w:rFonts w:ascii="宋体" w:hAnsi="宋体" w:cs="宋体" w:eastAsia="宋体" w:hint="default"/>
                <w:spacing w:val="-29"/>
                <w:sz w:val="18"/>
                <w:szCs w:val="18"/>
              </w:rPr>
            </w:r>
            <w:r>
              <w:rPr>
                <w:rFonts w:ascii="宋体" w:hAnsi="宋体" w:cs="宋体" w:eastAsia="宋体" w:hint="default"/>
                <w:spacing w:val="-3"/>
                <w:sz w:val="18"/>
                <w:szCs w:val="18"/>
              </w:rPr>
              <w:t>誉减值测试时所确定的资产组或资产组组合一致</w:t>
            </w:r>
          </w:p>
        </w:tc>
        <w:tc>
          <w:tcPr>
            <w:tcW w:w="5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bl>
    <w:p>
      <w:pPr>
        <w:pStyle w:val="BodyText"/>
        <w:spacing w:line="240" w:lineRule="auto" w:before="92"/>
        <w:ind w:left="513" w:right="0"/>
        <w:jc w:val="left"/>
      </w:pPr>
      <w:r>
        <w:rPr/>
        <w:t>（</w:t>
      </w:r>
      <w:r>
        <w:rPr>
          <w:rFonts w:ascii="Times New Roman" w:hAnsi="Times New Roman" w:cs="Times New Roman" w:eastAsia="Times New Roman" w:hint="default"/>
        </w:rPr>
        <w:t>2</w:t>
      </w:r>
      <w:r>
        <w:rPr/>
        <w:t>）安科创新（深圳）有限公司</w:t>
      </w:r>
    </w:p>
    <w:p>
      <w:pPr>
        <w:spacing w:line="240" w:lineRule="auto" w:before="11"/>
        <w:rPr>
          <w:rFonts w:ascii="宋体" w:hAnsi="宋体" w:cs="宋体" w:eastAsia="宋体" w:hint="default"/>
          <w:sz w:val="9"/>
          <w:szCs w:val="9"/>
        </w:rPr>
      </w:pPr>
    </w:p>
    <w:tbl>
      <w:tblPr>
        <w:tblW w:w="0" w:type="auto"/>
        <w:jc w:val="left"/>
        <w:tblInd w:w="138" w:type="dxa"/>
        <w:tblLayout w:type="fixed"/>
        <w:tblCellMar>
          <w:top w:w="0" w:type="dxa"/>
          <w:left w:w="0" w:type="dxa"/>
          <w:bottom w:w="0" w:type="dxa"/>
          <w:right w:w="0" w:type="dxa"/>
        </w:tblCellMar>
        <w:tblLook w:val="01E0"/>
      </w:tblPr>
      <w:tblGrid>
        <w:gridCol w:w="3928"/>
        <w:gridCol w:w="5734"/>
      </w:tblGrid>
      <w:tr>
        <w:trPr>
          <w:trHeight w:val="326" w:hRule="exact"/>
        </w:trPr>
        <w:tc>
          <w:tcPr>
            <w:tcW w:w="392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573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left="1781" w:right="0"/>
              <w:jc w:val="left"/>
              <w:rPr>
                <w:rFonts w:ascii="宋体" w:hAnsi="宋体" w:cs="宋体" w:eastAsia="宋体" w:hint="default"/>
                <w:sz w:val="18"/>
                <w:szCs w:val="18"/>
              </w:rPr>
            </w:pPr>
            <w:r>
              <w:rPr>
                <w:rFonts w:ascii="宋体" w:hAnsi="宋体" w:cs="宋体" w:eastAsia="宋体" w:hint="default"/>
                <w:spacing w:val="-3"/>
                <w:sz w:val="18"/>
                <w:szCs w:val="18"/>
              </w:rPr>
              <w:t>安科创新（深圳）有限公司</w:t>
            </w:r>
          </w:p>
        </w:tc>
      </w:tr>
      <w:tr>
        <w:trPr>
          <w:trHeight w:val="667" w:hRule="exact"/>
        </w:trPr>
        <w:tc>
          <w:tcPr>
            <w:tcW w:w="3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pacing w:val="-3"/>
                <w:sz w:val="18"/>
                <w:szCs w:val="18"/>
              </w:rPr>
              <w:t>资产组或资产组组合的构成</w:t>
            </w:r>
          </w:p>
        </w:tc>
        <w:tc>
          <w:tcPr>
            <w:tcW w:w="57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34"/>
              <w:ind w:left="9" w:right="1569"/>
              <w:jc w:val="left"/>
              <w:rPr>
                <w:rFonts w:ascii="宋体" w:hAnsi="宋体" w:cs="宋体" w:eastAsia="宋体" w:hint="default"/>
                <w:sz w:val="18"/>
                <w:szCs w:val="18"/>
              </w:rPr>
            </w:pPr>
            <w:r>
              <w:rPr>
                <w:rFonts w:ascii="宋体" w:hAnsi="宋体" w:cs="宋体" w:eastAsia="宋体" w:hint="default"/>
                <w:spacing w:val="-3"/>
                <w:sz w:val="18"/>
                <w:szCs w:val="18"/>
              </w:rPr>
              <w:t>安科创新（深圳）有限公司</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pacing w:val="-3"/>
                <w:sz w:val="18"/>
                <w:szCs w:val="18"/>
              </w:rPr>
              <w:t>全部主营业务经营性有形资产和可确认的无形性资产</w:t>
            </w:r>
          </w:p>
        </w:tc>
      </w:tr>
      <w:tr>
        <w:trPr>
          <w:trHeight w:val="341" w:hRule="exact"/>
        </w:trPr>
        <w:tc>
          <w:tcPr>
            <w:tcW w:w="3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pacing w:val="-3"/>
                <w:sz w:val="18"/>
                <w:szCs w:val="18"/>
              </w:rPr>
              <w:t>资产组或资产组组合的账面价值</w:t>
            </w:r>
          </w:p>
        </w:tc>
        <w:tc>
          <w:tcPr>
            <w:tcW w:w="5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10,586.18</w:t>
            </w:r>
            <w:r>
              <w:rPr>
                <w:rFonts w:ascii="宋体" w:hAnsi="宋体" w:cs="宋体" w:eastAsia="宋体" w:hint="default"/>
                <w:sz w:val="18"/>
                <w:szCs w:val="18"/>
              </w:rPr>
              <w:t>万元</w:t>
            </w:r>
          </w:p>
        </w:tc>
      </w:tr>
      <w:tr>
        <w:trPr>
          <w:trHeight w:val="658" w:hRule="exact"/>
        </w:trPr>
        <w:tc>
          <w:tcPr>
            <w:tcW w:w="3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pacing w:val="-3"/>
                <w:sz w:val="18"/>
                <w:szCs w:val="18"/>
              </w:rPr>
              <w:t>资产组或资产组组合的确定方法</w:t>
            </w:r>
          </w:p>
        </w:tc>
        <w:tc>
          <w:tcPr>
            <w:tcW w:w="57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5"/>
              <w:ind w:left="9" w:right="1"/>
              <w:jc w:val="left"/>
              <w:rPr>
                <w:rFonts w:ascii="宋体" w:hAnsi="宋体" w:cs="宋体" w:eastAsia="宋体" w:hint="default"/>
                <w:sz w:val="18"/>
                <w:szCs w:val="18"/>
              </w:rPr>
            </w:pPr>
            <w:r>
              <w:rPr>
                <w:rFonts w:ascii="宋体" w:hAnsi="宋体" w:cs="宋体" w:eastAsia="宋体" w:hint="default"/>
                <w:spacing w:val="-4"/>
                <w:sz w:val="18"/>
                <w:szCs w:val="18"/>
              </w:rPr>
              <w:t>亿美软通生产的产品存在活跃市场，可以带来独立的现金流，可将其认定</w:t>
            </w:r>
            <w:r>
              <w:rPr>
                <w:rFonts w:ascii="宋体" w:hAnsi="宋体" w:cs="宋体" w:eastAsia="宋体" w:hint="default"/>
                <w:spacing w:val="-14"/>
                <w:sz w:val="18"/>
                <w:szCs w:val="18"/>
              </w:rPr>
              <w:t> </w:t>
            </w:r>
            <w:r>
              <w:rPr>
                <w:rFonts w:ascii="宋体" w:hAnsi="宋体" w:cs="宋体" w:eastAsia="宋体" w:hint="default"/>
                <w:spacing w:val="-14"/>
                <w:sz w:val="18"/>
                <w:szCs w:val="18"/>
              </w:rPr>
            </w:r>
            <w:r>
              <w:rPr>
                <w:rFonts w:ascii="宋体" w:hAnsi="宋体" w:cs="宋体" w:eastAsia="宋体" w:hint="default"/>
                <w:sz w:val="18"/>
                <w:szCs w:val="18"/>
              </w:rPr>
              <w:t>为一个单独的资产组。</w:t>
            </w:r>
          </w:p>
        </w:tc>
      </w:tr>
      <w:tr>
        <w:trPr>
          <w:trHeight w:val="653" w:hRule="exact"/>
        </w:trPr>
        <w:tc>
          <w:tcPr>
            <w:tcW w:w="392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4" w:right="0"/>
              <w:jc w:val="left"/>
              <w:rPr>
                <w:rFonts w:ascii="宋体" w:hAnsi="宋体" w:cs="宋体" w:eastAsia="宋体" w:hint="default"/>
                <w:sz w:val="18"/>
                <w:szCs w:val="18"/>
              </w:rPr>
            </w:pPr>
            <w:r>
              <w:rPr>
                <w:rFonts w:ascii="宋体" w:hAnsi="宋体" w:cs="宋体" w:eastAsia="宋体" w:hint="default"/>
                <w:spacing w:val="-5"/>
                <w:sz w:val="18"/>
                <w:szCs w:val="18"/>
              </w:rPr>
              <w:t>资产组或资产组组合是否与购买日、以前年度商誉</w:t>
            </w:r>
            <w:r>
              <w:rPr>
                <w:rFonts w:ascii="宋体" w:hAnsi="宋体" w:cs="宋体" w:eastAsia="宋体" w:hint="default"/>
                <w:spacing w:val="-31"/>
                <w:sz w:val="18"/>
                <w:szCs w:val="18"/>
              </w:rPr>
              <w:t> </w:t>
            </w:r>
            <w:r>
              <w:rPr>
                <w:rFonts w:ascii="宋体" w:hAnsi="宋体" w:cs="宋体" w:eastAsia="宋体" w:hint="default"/>
                <w:spacing w:val="-31"/>
                <w:sz w:val="18"/>
                <w:szCs w:val="18"/>
              </w:rPr>
            </w:r>
            <w:r>
              <w:rPr>
                <w:rFonts w:ascii="宋体" w:hAnsi="宋体" w:cs="宋体" w:eastAsia="宋体" w:hint="default"/>
                <w:spacing w:val="-3"/>
                <w:sz w:val="18"/>
                <w:szCs w:val="18"/>
              </w:rPr>
              <w:t>减值测试时所确定的资产组或资产组组合一致</w:t>
            </w:r>
          </w:p>
        </w:tc>
        <w:tc>
          <w:tcPr>
            <w:tcW w:w="5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9"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bl>
    <w:p>
      <w:pPr>
        <w:spacing w:line="240" w:lineRule="auto" w:before="6"/>
        <w:rPr>
          <w:rFonts w:ascii="宋体" w:hAnsi="宋体" w:cs="宋体" w:eastAsia="宋体" w:hint="default"/>
          <w:sz w:val="24"/>
          <w:szCs w:val="24"/>
        </w:rPr>
      </w:pPr>
    </w:p>
    <w:p>
      <w:pPr>
        <w:pStyle w:val="BodyText"/>
        <w:spacing w:line="316" w:lineRule="auto" w:before="46"/>
        <w:ind w:right="0"/>
        <w:jc w:val="left"/>
      </w:pPr>
      <w:r>
        <w:rPr>
          <w:spacing w:val="-4"/>
        </w:rPr>
        <w:t>说明商誉减值测试过程、关键参数（如预计未来现金流量现值时的预测期增长率、稳定期增长率、利润率、折现率、预测期</w:t>
      </w:r>
      <w:r>
        <w:rPr>
          <w:spacing w:val="40"/>
        </w:rPr>
        <w:t> </w:t>
      </w:r>
      <w:r>
        <w:rPr>
          <w:spacing w:val="40"/>
        </w:rPr>
      </w:r>
      <w:r>
        <w:rPr>
          <w:spacing w:val="-3"/>
        </w:rPr>
        <w:t>等）及商誉减值损失的确认方法：</w:t>
      </w:r>
    </w:p>
    <w:p>
      <w:pPr>
        <w:pStyle w:val="BodyText"/>
        <w:spacing w:line="240" w:lineRule="auto" w:before="139"/>
        <w:ind w:left="513" w:right="0"/>
        <w:jc w:val="left"/>
      </w:pPr>
      <w:r>
        <w:rPr/>
        <w:t>（</w:t>
      </w:r>
      <w:r>
        <w:rPr>
          <w:rFonts w:ascii="Times New Roman" w:hAnsi="Times New Roman" w:cs="Times New Roman" w:eastAsia="Times New Roman" w:hint="default"/>
        </w:rPr>
        <w:t>1</w:t>
      </w:r>
      <w:r>
        <w:rPr/>
        <w:t>）商誉减值测试情况</w:t>
      </w:r>
    </w:p>
    <w:p>
      <w:pPr>
        <w:spacing w:line="240" w:lineRule="auto" w:before="6"/>
        <w:rPr>
          <w:rFonts w:ascii="宋体" w:hAnsi="宋体" w:cs="宋体" w:eastAsia="宋体" w:hint="default"/>
          <w:sz w:val="9"/>
          <w:szCs w:val="9"/>
        </w:rPr>
      </w:pPr>
    </w:p>
    <w:tbl>
      <w:tblPr>
        <w:tblW w:w="0" w:type="auto"/>
        <w:jc w:val="left"/>
        <w:tblInd w:w="138" w:type="dxa"/>
        <w:tblLayout w:type="fixed"/>
        <w:tblCellMar>
          <w:top w:w="0" w:type="dxa"/>
          <w:left w:w="0" w:type="dxa"/>
          <w:bottom w:w="0" w:type="dxa"/>
          <w:right w:w="0" w:type="dxa"/>
        </w:tblCellMar>
        <w:tblLook w:val="01E0"/>
      </w:tblPr>
      <w:tblGrid>
        <w:gridCol w:w="4120"/>
        <w:gridCol w:w="2780"/>
        <w:gridCol w:w="2762"/>
      </w:tblGrid>
      <w:tr>
        <w:trPr>
          <w:trHeight w:val="341" w:hRule="exact"/>
        </w:trPr>
        <w:tc>
          <w:tcPr>
            <w:tcW w:w="412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8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left="302" w:right="0"/>
              <w:jc w:val="left"/>
              <w:rPr>
                <w:rFonts w:ascii="宋体" w:hAnsi="宋体" w:cs="宋体" w:eastAsia="宋体" w:hint="default"/>
                <w:sz w:val="18"/>
                <w:szCs w:val="18"/>
              </w:rPr>
            </w:pPr>
            <w:r>
              <w:rPr>
                <w:rFonts w:ascii="宋体" w:hAnsi="宋体" w:cs="宋体" w:eastAsia="宋体" w:hint="default"/>
                <w:spacing w:val="-3"/>
                <w:sz w:val="18"/>
                <w:szCs w:val="18"/>
              </w:rPr>
              <w:t>北京亿美软通科技有限公司</w:t>
            </w:r>
          </w:p>
        </w:tc>
        <w:tc>
          <w:tcPr>
            <w:tcW w:w="276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left="293" w:right="0"/>
              <w:jc w:val="left"/>
              <w:rPr>
                <w:rFonts w:ascii="宋体" w:hAnsi="宋体" w:cs="宋体" w:eastAsia="宋体" w:hint="default"/>
                <w:sz w:val="18"/>
                <w:szCs w:val="18"/>
              </w:rPr>
            </w:pPr>
            <w:r>
              <w:rPr>
                <w:rFonts w:ascii="宋体" w:hAnsi="宋体" w:cs="宋体" w:eastAsia="宋体" w:hint="default"/>
                <w:spacing w:val="-3"/>
                <w:sz w:val="18"/>
                <w:szCs w:val="18"/>
              </w:rPr>
              <w:t>安科创新（深圳）有限公司</w:t>
            </w:r>
          </w:p>
        </w:tc>
      </w:tr>
      <w:tr>
        <w:trPr>
          <w:trHeight w:val="346" w:hRule="exact"/>
        </w:trPr>
        <w:tc>
          <w:tcPr>
            <w:tcW w:w="4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4" w:right="0"/>
              <w:jc w:val="left"/>
              <w:rPr>
                <w:rFonts w:ascii="宋体" w:hAnsi="宋体" w:cs="宋体" w:eastAsia="宋体" w:hint="default"/>
                <w:sz w:val="18"/>
                <w:szCs w:val="18"/>
              </w:rPr>
            </w:pPr>
            <w:r>
              <w:rPr>
                <w:rFonts w:ascii="宋体" w:hAnsi="宋体" w:cs="宋体" w:eastAsia="宋体" w:hint="default"/>
                <w:spacing w:val="-3"/>
                <w:sz w:val="18"/>
                <w:szCs w:val="18"/>
              </w:rPr>
              <w:t>商誉账面余额①</w:t>
            </w:r>
          </w:p>
        </w:tc>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0"/>
              <w:jc w:val="right"/>
              <w:rPr>
                <w:rFonts w:ascii="Times New Roman" w:hAnsi="Times New Roman" w:cs="Times New Roman" w:eastAsia="Times New Roman" w:hint="default"/>
                <w:sz w:val="18"/>
                <w:szCs w:val="18"/>
              </w:rPr>
            </w:pPr>
            <w:r>
              <w:rPr>
                <w:rFonts w:ascii="Times New Roman"/>
                <w:spacing w:val="-1"/>
                <w:sz w:val="18"/>
              </w:rPr>
              <w:t>151,738,925.12</w:t>
            </w:r>
          </w:p>
        </w:tc>
        <w:tc>
          <w:tcPr>
            <w:tcW w:w="2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0"/>
              <w:jc w:val="right"/>
              <w:rPr>
                <w:rFonts w:ascii="Times New Roman" w:hAnsi="Times New Roman" w:cs="Times New Roman" w:eastAsia="Times New Roman" w:hint="default"/>
                <w:sz w:val="18"/>
                <w:szCs w:val="18"/>
              </w:rPr>
            </w:pPr>
            <w:r>
              <w:rPr>
                <w:rFonts w:ascii="Times New Roman"/>
                <w:spacing w:val="-1"/>
                <w:sz w:val="18"/>
              </w:rPr>
              <w:t>3,878,999.54</w:t>
            </w:r>
          </w:p>
        </w:tc>
      </w:tr>
      <w:tr>
        <w:trPr>
          <w:trHeight w:val="341" w:hRule="exact"/>
        </w:trPr>
        <w:tc>
          <w:tcPr>
            <w:tcW w:w="4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pacing w:val="-3"/>
                <w:sz w:val="18"/>
                <w:szCs w:val="18"/>
              </w:rPr>
              <w:t>商誉减值准备余额②</w:t>
            </w:r>
          </w:p>
        </w:tc>
        <w:tc>
          <w:tcPr>
            <w:tcW w:w="2780" w:type="dxa"/>
            <w:tcBorders>
              <w:top w:val="single" w:sz="4" w:space="0" w:color="000000"/>
              <w:left w:val="single" w:sz="4" w:space="0" w:color="000000"/>
              <w:bottom w:val="single" w:sz="4" w:space="0" w:color="000000"/>
              <w:right w:val="single" w:sz="4" w:space="0" w:color="000000"/>
            </w:tcBorders>
          </w:tcPr>
          <w:p>
            <w:pPr/>
          </w:p>
        </w:tc>
        <w:tc>
          <w:tcPr>
            <w:tcW w:w="2762"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4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商誉的账面价值③＝①</w:t>
            </w:r>
            <w:r>
              <w:rPr>
                <w:rFonts w:ascii="Times New Roman" w:hAnsi="Times New Roman" w:cs="Times New Roman" w:eastAsia="Times New Roman" w:hint="default"/>
                <w:sz w:val="18"/>
                <w:szCs w:val="18"/>
              </w:rPr>
              <w:t>-</w:t>
            </w:r>
            <w:r>
              <w:rPr>
                <w:rFonts w:ascii="宋体" w:hAnsi="宋体" w:cs="宋体" w:eastAsia="宋体" w:hint="default"/>
                <w:sz w:val="18"/>
                <w:szCs w:val="18"/>
              </w:rPr>
              <w:t>②</w:t>
            </w:r>
          </w:p>
        </w:tc>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151,738,925.12</w:t>
            </w:r>
          </w:p>
        </w:tc>
        <w:tc>
          <w:tcPr>
            <w:tcW w:w="2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3,878,999.54</w:t>
            </w:r>
          </w:p>
        </w:tc>
      </w:tr>
      <w:tr>
        <w:trPr>
          <w:trHeight w:val="341" w:hRule="exact"/>
        </w:trPr>
        <w:tc>
          <w:tcPr>
            <w:tcW w:w="4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pacing w:val="-3"/>
                <w:sz w:val="18"/>
                <w:szCs w:val="18"/>
              </w:rPr>
              <w:t>未确认归属于少数股东权益的商誉价值④</w:t>
            </w:r>
          </w:p>
        </w:tc>
        <w:tc>
          <w:tcPr>
            <w:tcW w:w="2780" w:type="dxa"/>
            <w:tcBorders>
              <w:top w:val="single" w:sz="4" w:space="0" w:color="000000"/>
              <w:left w:val="single" w:sz="4" w:space="0" w:color="000000"/>
              <w:bottom w:val="single" w:sz="4" w:space="0" w:color="000000"/>
              <w:right w:val="single" w:sz="4" w:space="0" w:color="000000"/>
            </w:tcBorders>
          </w:tcPr>
          <w:p>
            <w:pPr/>
          </w:p>
        </w:tc>
        <w:tc>
          <w:tcPr>
            <w:tcW w:w="2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3,726,881.91</w:t>
            </w:r>
          </w:p>
        </w:tc>
      </w:tr>
      <w:tr>
        <w:trPr>
          <w:trHeight w:val="658" w:hRule="exact"/>
        </w:trPr>
        <w:tc>
          <w:tcPr>
            <w:tcW w:w="4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包含未确认归属于少数股东权益的商誉价值⑤</w:t>
            </w:r>
            <w:r>
              <w:rPr>
                <w:rFonts w:ascii="Times New Roman" w:hAnsi="Times New Roman" w:cs="Times New Roman" w:eastAsia="Times New Roman" w:hint="default"/>
                <w:sz w:val="18"/>
                <w:szCs w:val="18"/>
              </w:rPr>
              <w:t>=</w:t>
            </w:r>
            <w:r>
              <w:rPr>
                <w:rFonts w:ascii="宋体" w:hAnsi="宋体" w:cs="宋体" w:eastAsia="宋体" w:hint="default"/>
                <w:sz w:val="18"/>
                <w:szCs w:val="18"/>
              </w:rPr>
              <w:t>④</w:t>
            </w:r>
            <w:r>
              <w:rPr>
                <w:rFonts w:ascii="Times New Roman" w:hAnsi="Times New Roman" w:cs="Times New Roman" w:eastAsia="Times New Roman" w:hint="default"/>
                <w:sz w:val="18"/>
                <w:szCs w:val="18"/>
              </w:rPr>
              <w:t>+</w:t>
            </w:r>
          </w:p>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w w:val="101"/>
                <w:sz w:val="18"/>
                <w:szCs w:val="18"/>
              </w:rPr>
              <w:t>③</w:t>
            </w:r>
            <w:r>
              <w:rPr>
                <w:rFonts w:ascii="宋体" w:hAnsi="宋体" w:cs="宋体" w:eastAsia="宋体" w:hint="default"/>
                <w:sz w:val="18"/>
                <w:szCs w:val="18"/>
              </w:rPr>
            </w:r>
          </w:p>
        </w:tc>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0"/>
              <w:jc w:val="right"/>
              <w:rPr>
                <w:rFonts w:ascii="Times New Roman" w:hAnsi="Times New Roman" w:cs="Times New Roman" w:eastAsia="Times New Roman" w:hint="default"/>
                <w:sz w:val="18"/>
                <w:szCs w:val="18"/>
              </w:rPr>
            </w:pPr>
            <w:r>
              <w:rPr>
                <w:rFonts w:ascii="Times New Roman"/>
                <w:spacing w:val="-1"/>
                <w:sz w:val="18"/>
              </w:rPr>
              <w:t>151,738,925.12</w:t>
            </w:r>
          </w:p>
        </w:tc>
        <w:tc>
          <w:tcPr>
            <w:tcW w:w="2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0"/>
              <w:jc w:val="right"/>
              <w:rPr>
                <w:rFonts w:ascii="Times New Roman" w:hAnsi="Times New Roman" w:cs="Times New Roman" w:eastAsia="Times New Roman" w:hint="default"/>
                <w:sz w:val="18"/>
                <w:szCs w:val="18"/>
              </w:rPr>
            </w:pPr>
            <w:r>
              <w:rPr>
                <w:rFonts w:ascii="Times New Roman"/>
                <w:spacing w:val="-1"/>
                <w:sz w:val="18"/>
              </w:rPr>
              <w:t>7,605,881.45</w:t>
            </w:r>
          </w:p>
        </w:tc>
      </w:tr>
      <w:tr>
        <w:trPr>
          <w:trHeight w:val="653" w:hRule="exact"/>
        </w:trPr>
        <w:tc>
          <w:tcPr>
            <w:tcW w:w="412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4" w:right="-4"/>
              <w:jc w:val="left"/>
              <w:rPr>
                <w:rFonts w:ascii="宋体" w:hAnsi="宋体" w:cs="宋体" w:eastAsia="宋体" w:hint="default"/>
                <w:sz w:val="18"/>
                <w:szCs w:val="18"/>
              </w:rPr>
            </w:pPr>
            <w:r>
              <w:rPr>
                <w:rFonts w:ascii="宋体" w:hAnsi="宋体" w:cs="宋体" w:eastAsia="宋体" w:hint="default"/>
                <w:spacing w:val="2"/>
                <w:sz w:val="18"/>
                <w:szCs w:val="18"/>
              </w:rPr>
              <w:t>拆分后分摊至各资产组的包含未确认归属于少数股</w:t>
            </w:r>
            <w:r>
              <w:rPr>
                <w:rFonts w:ascii="宋体" w:hAnsi="宋体" w:cs="宋体" w:eastAsia="宋体" w:hint="default"/>
                <w:spacing w:val="-2"/>
                <w:sz w:val="18"/>
                <w:szCs w:val="18"/>
              </w:rPr>
              <w:t> </w:t>
            </w:r>
            <w:r>
              <w:rPr>
                <w:rFonts w:ascii="宋体" w:hAnsi="宋体" w:cs="宋体" w:eastAsia="宋体" w:hint="default"/>
                <w:spacing w:val="-2"/>
                <w:sz w:val="18"/>
                <w:szCs w:val="18"/>
              </w:rPr>
            </w:r>
            <w:r>
              <w:rPr>
                <w:rFonts w:ascii="宋体" w:hAnsi="宋体" w:cs="宋体" w:eastAsia="宋体" w:hint="default"/>
                <w:spacing w:val="-3"/>
                <w:sz w:val="18"/>
                <w:szCs w:val="18"/>
              </w:rPr>
              <w:t>东权益的商誉价值⑥</w:t>
            </w:r>
          </w:p>
        </w:tc>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151,738,925.12</w:t>
            </w:r>
          </w:p>
        </w:tc>
        <w:tc>
          <w:tcPr>
            <w:tcW w:w="2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7,605,881.45</w:t>
            </w:r>
          </w:p>
        </w:tc>
      </w:tr>
    </w:tbl>
    <w:p>
      <w:pPr>
        <w:spacing w:after="0" w:line="240" w:lineRule="auto"/>
        <w:jc w:val="right"/>
        <w:rPr>
          <w:rFonts w:ascii="Times New Roman" w:hAnsi="Times New Roman" w:cs="Times New Roman" w:eastAsia="Times New Roman" w:hint="default"/>
          <w:sz w:val="18"/>
          <w:szCs w:val="18"/>
        </w:rPr>
        <w:sectPr>
          <w:pgSz w:w="11910" w:h="16840"/>
          <w:pgMar w:header="871" w:footer="1186" w:top="1100" w:bottom="1380" w:left="980" w:right="0"/>
        </w:sectPr>
      </w:pPr>
    </w:p>
    <w:p>
      <w:pPr>
        <w:spacing w:line="240" w:lineRule="auto" w:before="8"/>
        <w:rPr>
          <w:rFonts w:ascii="宋体" w:hAnsi="宋体" w:cs="宋体" w:eastAsia="宋体" w:hint="default"/>
          <w:sz w:val="24"/>
          <w:szCs w:val="24"/>
        </w:rPr>
      </w:pPr>
    </w:p>
    <w:tbl>
      <w:tblPr>
        <w:tblW w:w="0" w:type="auto"/>
        <w:jc w:val="left"/>
        <w:tblInd w:w="138" w:type="dxa"/>
        <w:tblLayout w:type="fixed"/>
        <w:tblCellMar>
          <w:top w:w="0" w:type="dxa"/>
          <w:left w:w="0" w:type="dxa"/>
          <w:bottom w:w="0" w:type="dxa"/>
          <w:right w:w="0" w:type="dxa"/>
        </w:tblCellMar>
        <w:tblLook w:val="01E0"/>
      </w:tblPr>
      <w:tblGrid>
        <w:gridCol w:w="4120"/>
        <w:gridCol w:w="2780"/>
        <w:gridCol w:w="2762"/>
      </w:tblGrid>
      <w:tr>
        <w:trPr>
          <w:trHeight w:val="341" w:hRule="exact"/>
        </w:trPr>
        <w:tc>
          <w:tcPr>
            <w:tcW w:w="4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pacing w:val="-3"/>
                <w:sz w:val="18"/>
                <w:szCs w:val="18"/>
              </w:rPr>
              <w:t>资产组的账面价值⑦</w:t>
            </w:r>
          </w:p>
        </w:tc>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37,177.97</w:t>
            </w:r>
            <w:r>
              <w:rPr>
                <w:rFonts w:ascii="宋体" w:hAnsi="宋体" w:cs="宋体" w:eastAsia="宋体" w:hint="default"/>
                <w:spacing w:val="-1"/>
                <w:sz w:val="18"/>
                <w:szCs w:val="18"/>
              </w:rPr>
              <w:t>万元</w:t>
            </w:r>
          </w:p>
        </w:tc>
        <w:tc>
          <w:tcPr>
            <w:tcW w:w="2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10,586.18</w:t>
            </w:r>
            <w:r>
              <w:rPr>
                <w:rFonts w:ascii="宋体" w:hAnsi="宋体" w:cs="宋体" w:eastAsia="宋体" w:hint="default"/>
                <w:spacing w:val="-1"/>
                <w:sz w:val="18"/>
                <w:szCs w:val="18"/>
              </w:rPr>
              <w:t>万元</w:t>
            </w:r>
          </w:p>
        </w:tc>
      </w:tr>
      <w:tr>
        <w:trPr>
          <w:trHeight w:val="341" w:hRule="exact"/>
        </w:trPr>
        <w:tc>
          <w:tcPr>
            <w:tcW w:w="4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pacing w:val="-3"/>
                <w:sz w:val="18"/>
                <w:szCs w:val="18"/>
              </w:rPr>
              <w:t>包含整体商誉的资产组的账面价值⑧</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⑦</w:t>
            </w:r>
          </w:p>
        </w:tc>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52,351.86</w:t>
            </w:r>
            <w:r>
              <w:rPr>
                <w:rFonts w:ascii="宋体" w:hAnsi="宋体" w:cs="宋体" w:eastAsia="宋体" w:hint="default"/>
                <w:spacing w:val="-1"/>
                <w:sz w:val="18"/>
                <w:szCs w:val="18"/>
              </w:rPr>
              <w:t>万元</w:t>
            </w:r>
          </w:p>
        </w:tc>
        <w:tc>
          <w:tcPr>
            <w:tcW w:w="2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11,346.77</w:t>
            </w:r>
            <w:r>
              <w:rPr>
                <w:rFonts w:ascii="宋体" w:hAnsi="宋体" w:cs="宋体" w:eastAsia="宋体" w:hint="default"/>
                <w:spacing w:val="-1"/>
                <w:sz w:val="18"/>
                <w:szCs w:val="18"/>
              </w:rPr>
              <w:t>万元</w:t>
            </w:r>
          </w:p>
        </w:tc>
      </w:tr>
      <w:tr>
        <w:trPr>
          <w:trHeight w:val="346" w:hRule="exact"/>
        </w:trPr>
        <w:tc>
          <w:tcPr>
            <w:tcW w:w="4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4" w:right="0"/>
              <w:jc w:val="left"/>
              <w:rPr>
                <w:rFonts w:ascii="宋体" w:hAnsi="宋体" w:cs="宋体" w:eastAsia="宋体" w:hint="default"/>
                <w:sz w:val="18"/>
                <w:szCs w:val="18"/>
              </w:rPr>
            </w:pPr>
            <w:r>
              <w:rPr>
                <w:rFonts w:ascii="宋体" w:hAnsi="宋体" w:cs="宋体" w:eastAsia="宋体" w:hint="default"/>
                <w:spacing w:val="-3"/>
                <w:sz w:val="18"/>
                <w:szCs w:val="18"/>
              </w:rPr>
              <w:t>资产组或资产组组合可收回金额</w:t>
            </w:r>
            <w:r>
              <w:rPr>
                <w:rFonts w:ascii="宋体" w:hAnsi="宋体" w:cs="宋体" w:eastAsia="宋体" w:hint="default"/>
                <w:spacing w:val="25"/>
                <w:sz w:val="18"/>
                <w:szCs w:val="18"/>
              </w:rPr>
              <w:t> </w:t>
            </w:r>
            <w:r>
              <w:rPr>
                <w:rFonts w:ascii="宋体" w:hAnsi="宋体" w:cs="宋体" w:eastAsia="宋体" w:hint="default"/>
                <w:sz w:val="18"/>
                <w:szCs w:val="18"/>
              </w:rPr>
              <w:t>⑨</w:t>
            </w:r>
          </w:p>
        </w:tc>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53,413.01</w:t>
            </w:r>
            <w:r>
              <w:rPr>
                <w:rFonts w:ascii="宋体" w:hAnsi="宋体" w:cs="宋体" w:eastAsia="宋体" w:hint="default"/>
                <w:spacing w:val="-1"/>
                <w:sz w:val="18"/>
                <w:szCs w:val="18"/>
              </w:rPr>
              <w:t>万元</w:t>
            </w:r>
          </w:p>
        </w:tc>
        <w:tc>
          <w:tcPr>
            <w:tcW w:w="2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11,576.54</w:t>
            </w:r>
            <w:r>
              <w:rPr>
                <w:rFonts w:ascii="宋体" w:hAnsi="宋体" w:cs="宋体" w:eastAsia="宋体" w:hint="default"/>
                <w:spacing w:val="-1"/>
                <w:sz w:val="18"/>
                <w:szCs w:val="18"/>
              </w:rPr>
              <w:t>万元</w:t>
            </w:r>
          </w:p>
        </w:tc>
      </w:tr>
      <w:tr>
        <w:trPr>
          <w:trHeight w:val="341" w:hRule="exact"/>
        </w:trPr>
        <w:tc>
          <w:tcPr>
            <w:tcW w:w="4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商誉减值损失</w:t>
            </w:r>
            <w:r>
              <w:rPr>
                <w:rFonts w:ascii="Times New Roman" w:hAnsi="Times New Roman" w:cs="Times New Roman" w:eastAsia="Times New Roman" w:hint="default"/>
                <w:sz w:val="18"/>
                <w:szCs w:val="18"/>
              </w:rPr>
              <w:t>(</w:t>
            </w:r>
            <w:r>
              <w:rPr>
                <w:rFonts w:ascii="宋体" w:hAnsi="宋体" w:cs="宋体" w:eastAsia="宋体" w:hint="default"/>
                <w:sz w:val="18"/>
                <w:szCs w:val="18"/>
              </w:rPr>
              <w:t>⑩大于</w:t>
            </w:r>
            <w:r>
              <w:rPr>
                <w:rFonts w:ascii="Times New Roman" w:hAnsi="Times New Roman" w:cs="Times New Roman" w:eastAsia="Times New Roman" w:hint="default"/>
                <w:sz w:val="18"/>
                <w:szCs w:val="18"/>
              </w:rPr>
              <w:t>0</w:t>
            </w:r>
            <w:r>
              <w:rPr>
                <w:rFonts w:ascii="宋体" w:hAnsi="宋体" w:cs="宋体" w:eastAsia="宋体" w:hint="default"/>
                <w:sz w:val="18"/>
                <w:szCs w:val="18"/>
              </w:rPr>
              <w:t>时</w:t>
            </w:r>
            <w:r>
              <w:rPr>
                <w:rFonts w:ascii="Times New Roman" w:hAnsi="Times New Roman" w:cs="Times New Roman" w:eastAsia="Times New Roman" w:hint="default"/>
                <w:sz w:val="18"/>
                <w:szCs w:val="18"/>
              </w:rPr>
              <w:t>)</w:t>
            </w:r>
            <w:r>
              <w:rPr>
                <w:rFonts w:ascii="宋体" w:hAnsi="宋体" w:cs="宋体" w:eastAsia="宋体" w:hint="default"/>
                <w:sz w:val="18"/>
                <w:szCs w:val="18"/>
              </w:rPr>
              <w:t>⑩</w:t>
            </w:r>
            <w:r>
              <w:rPr>
                <w:rFonts w:ascii="Times New Roman" w:hAnsi="Times New Roman" w:cs="Times New Roman" w:eastAsia="Times New Roman" w:hint="default"/>
                <w:sz w:val="18"/>
                <w:szCs w:val="18"/>
              </w:rPr>
              <w:t>=</w:t>
            </w:r>
            <w:r>
              <w:rPr>
                <w:rFonts w:ascii="宋体" w:hAnsi="宋体" w:cs="宋体" w:eastAsia="宋体" w:hint="default"/>
                <w:sz w:val="18"/>
                <w:szCs w:val="18"/>
              </w:rPr>
              <w:t>⑧</w:t>
            </w:r>
            <w:r>
              <w:rPr>
                <w:rFonts w:ascii="Times New Roman" w:hAnsi="Times New Roman" w:cs="Times New Roman" w:eastAsia="Times New Roman" w:hint="default"/>
                <w:sz w:val="18"/>
                <w:szCs w:val="18"/>
              </w:rPr>
              <w:t>-</w:t>
            </w:r>
            <w:r>
              <w:rPr>
                <w:rFonts w:ascii="宋体" w:hAnsi="宋体" w:cs="宋体" w:eastAsia="宋体" w:hint="default"/>
                <w:sz w:val="18"/>
                <w:szCs w:val="18"/>
              </w:rPr>
              <w:t>⑨</w:t>
            </w:r>
          </w:p>
        </w:tc>
        <w:tc>
          <w:tcPr>
            <w:tcW w:w="2780" w:type="dxa"/>
            <w:tcBorders>
              <w:top w:val="single" w:sz="4" w:space="0" w:color="000000"/>
              <w:left w:val="single" w:sz="4" w:space="0" w:color="000000"/>
              <w:bottom w:val="single" w:sz="4" w:space="0" w:color="000000"/>
              <w:right w:val="single" w:sz="4" w:space="0" w:color="000000"/>
            </w:tcBorders>
          </w:tcPr>
          <w:p>
            <w:pPr/>
          </w:p>
        </w:tc>
        <w:tc>
          <w:tcPr>
            <w:tcW w:w="2762"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4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pacing w:val="-3"/>
                <w:sz w:val="18"/>
                <w:szCs w:val="18"/>
              </w:rPr>
              <w:t>归属于本公司的商誉减值损失</w:t>
            </w:r>
          </w:p>
        </w:tc>
        <w:tc>
          <w:tcPr>
            <w:tcW w:w="2780" w:type="dxa"/>
            <w:tcBorders>
              <w:top w:val="single" w:sz="4" w:space="0" w:color="000000"/>
              <w:left w:val="single" w:sz="4" w:space="0" w:color="000000"/>
              <w:bottom w:val="single" w:sz="4" w:space="0" w:color="000000"/>
              <w:right w:val="single" w:sz="4" w:space="0" w:color="000000"/>
            </w:tcBorders>
          </w:tcPr>
          <w:p>
            <w:pPr/>
          </w:p>
        </w:tc>
        <w:tc>
          <w:tcPr>
            <w:tcW w:w="2762" w:type="dxa"/>
            <w:tcBorders>
              <w:top w:val="single" w:sz="4" w:space="0" w:color="000000"/>
              <w:left w:val="single" w:sz="4" w:space="0" w:color="000000"/>
              <w:bottom w:val="single" w:sz="4" w:space="0" w:color="000000"/>
              <w:right w:val="single" w:sz="4" w:space="0" w:color="000000"/>
            </w:tcBorders>
          </w:tcPr>
          <w:p>
            <w:pPr/>
          </w:p>
        </w:tc>
      </w:tr>
    </w:tbl>
    <w:p>
      <w:pPr>
        <w:pStyle w:val="BodyText"/>
        <w:spacing w:line="453" w:lineRule="auto" w:before="92"/>
        <w:ind w:left="513" w:right="1152"/>
        <w:jc w:val="left"/>
      </w:pPr>
      <w:r>
        <w:rPr>
          <w:spacing w:val="-3"/>
        </w:rPr>
        <w:t>（</w:t>
      </w:r>
      <w:r>
        <w:rPr>
          <w:rFonts w:ascii="Times New Roman" w:hAnsi="Times New Roman" w:cs="Times New Roman" w:eastAsia="Times New Roman" w:hint="default"/>
          <w:spacing w:val="-3"/>
        </w:rPr>
        <w:t>2</w:t>
      </w:r>
      <w:r>
        <w:rPr>
          <w:spacing w:val="-3"/>
        </w:rPr>
        <w:t>）可收回金额的确定方法及依据</w:t>
      </w:r>
      <w:r>
        <w:rPr>
          <w:spacing w:val="-40"/>
        </w:rPr>
        <w:t> </w:t>
      </w:r>
      <w:r>
        <w:rPr>
          <w:spacing w:val="-40"/>
        </w:rPr>
      </w:r>
      <w:r>
        <w:rPr>
          <w:spacing w:val="-3"/>
        </w:rPr>
        <w:t>北京亿美软通科技有限公司资产组的可收回金额参考利用北京北方亚事资产评估事务所于</w:t>
      </w:r>
      <w:r>
        <w:rPr>
          <w:spacing w:val="-21"/>
        </w:rPr>
        <w:t> </w:t>
      </w:r>
      <w:r>
        <w:rPr>
          <w:rFonts w:ascii="Times New Roman" w:hAnsi="Times New Roman" w:cs="Times New Roman" w:eastAsia="Times New Roman" w:hint="default"/>
        </w:rPr>
        <w:t>2020</w:t>
      </w:r>
      <w:r>
        <w:rPr>
          <w:rFonts w:ascii="Times New Roman" w:hAnsi="Times New Roman" w:cs="Times New Roman" w:eastAsia="Times New Roman" w:hint="default"/>
          <w:spacing w:val="14"/>
        </w:rPr>
        <w:t> </w:t>
      </w:r>
      <w:r>
        <w:rPr/>
        <w:t>年</w:t>
      </w:r>
      <w:r>
        <w:rPr>
          <w:spacing w:val="-31"/>
        </w:rPr>
        <w:t> </w:t>
      </w:r>
      <w:r>
        <w:rPr>
          <w:rFonts w:ascii="Times New Roman" w:hAnsi="Times New Roman" w:cs="Times New Roman" w:eastAsia="Times New Roman" w:hint="default"/>
        </w:rPr>
        <w:t>04</w:t>
      </w:r>
      <w:r>
        <w:rPr>
          <w:rFonts w:ascii="Times New Roman" w:hAnsi="Times New Roman" w:cs="Times New Roman" w:eastAsia="Times New Roman" w:hint="default"/>
          <w:spacing w:val="14"/>
        </w:rPr>
        <w:t> </w:t>
      </w:r>
      <w:r>
        <w:rPr/>
        <w:t>月</w:t>
      </w:r>
      <w:r>
        <w:rPr>
          <w:spacing w:val="-31"/>
        </w:rPr>
        <w:t> </w:t>
      </w:r>
      <w:r>
        <w:rPr>
          <w:rFonts w:ascii="Times New Roman" w:hAnsi="Times New Roman" w:cs="Times New Roman" w:eastAsia="Times New Roman" w:hint="default"/>
        </w:rPr>
        <w:t>20</w:t>
      </w:r>
      <w:r>
        <w:rPr>
          <w:rFonts w:ascii="Times New Roman" w:hAnsi="Times New Roman" w:cs="Times New Roman" w:eastAsia="Times New Roman" w:hint="default"/>
          <w:spacing w:val="6"/>
        </w:rPr>
        <w:t> </w:t>
      </w:r>
      <w:r>
        <w:rPr/>
        <w:t>日出具的北</w:t>
      </w:r>
    </w:p>
    <w:p>
      <w:pPr>
        <w:pStyle w:val="BodyText"/>
        <w:spacing w:line="463" w:lineRule="auto" w:before="39"/>
        <w:ind w:right="1128"/>
        <w:jc w:val="both"/>
      </w:pPr>
      <w:r>
        <w:rPr/>
        <w:t>方亚事评报字</w:t>
      </w:r>
      <w:r>
        <w:rPr>
          <w:rFonts w:ascii="Times New Roman" w:hAnsi="Times New Roman" w:cs="Times New Roman" w:eastAsia="Times New Roman" w:hint="default"/>
        </w:rPr>
        <w:t>[2020]</w:t>
      </w:r>
      <w:r>
        <w:rPr/>
        <w:t>第 </w:t>
      </w:r>
      <w:r>
        <w:rPr>
          <w:rFonts w:ascii="Times New Roman" w:hAnsi="Times New Roman" w:cs="Times New Roman" w:eastAsia="Times New Roman" w:hint="default"/>
        </w:rPr>
        <w:t>01-233 </w:t>
      </w:r>
      <w:r>
        <w:rPr>
          <w:spacing w:val="-3"/>
        </w:rPr>
        <w:t>号《深圳市银之杰科技股份有限公司拟对合并北京亿美软通科技有限公司形成的商誉进行减</w:t>
      </w:r>
      <w:r>
        <w:rPr>
          <w:spacing w:val="-62"/>
        </w:rPr>
        <w:t> </w:t>
      </w:r>
      <w:r>
        <w:rPr>
          <w:spacing w:val="-62"/>
        </w:rPr>
      </w:r>
      <w:r>
        <w:rPr>
          <w:spacing w:val="-4"/>
        </w:rPr>
        <w:t>值测试涉及的资产组可回收价值项目》资产评估报告，按被评估资产预计未来现金流量的现值与公允价值减处置费用和相关</w:t>
      </w:r>
      <w:r>
        <w:rPr>
          <w:spacing w:val="39"/>
        </w:rPr>
        <w:t> </w:t>
      </w:r>
      <w:r>
        <w:rPr>
          <w:spacing w:val="39"/>
        </w:rPr>
      </w:r>
      <w:r>
        <w:rPr>
          <w:spacing w:val="-3"/>
        </w:rPr>
        <w:t>税费后的净额孰高原则确定资产组的可回收价值。</w:t>
      </w:r>
    </w:p>
    <w:p>
      <w:pPr>
        <w:pStyle w:val="BodyText"/>
        <w:spacing w:line="458" w:lineRule="auto" w:before="67"/>
        <w:ind w:right="1123" w:firstLine="360"/>
        <w:jc w:val="both"/>
      </w:pPr>
      <w:r>
        <w:rPr>
          <w:spacing w:val="-3"/>
        </w:rPr>
        <w:t>安科创新（深圳）有限公司资产组的可收回金额参考利用北京北方亚事资产评估事务所于</w:t>
      </w:r>
      <w:r>
        <w:rPr>
          <w:spacing w:val="-24"/>
        </w:rPr>
        <w:t> </w:t>
      </w:r>
      <w:r>
        <w:rPr>
          <w:rFonts w:ascii="Times New Roman" w:hAnsi="Times New Roman" w:cs="Times New Roman" w:eastAsia="Times New Roman" w:hint="default"/>
        </w:rPr>
        <w:t>2020</w:t>
      </w:r>
      <w:r>
        <w:rPr>
          <w:rFonts w:ascii="Times New Roman" w:hAnsi="Times New Roman" w:cs="Times New Roman" w:eastAsia="Times New Roman" w:hint="default"/>
          <w:spacing w:val="18"/>
        </w:rPr>
        <w:t> </w:t>
      </w:r>
      <w:r>
        <w:rPr/>
        <w:t>年</w:t>
      </w:r>
      <w:r>
        <w:rPr>
          <w:spacing w:val="-34"/>
        </w:rPr>
        <w:t> </w:t>
      </w:r>
      <w:r>
        <w:rPr>
          <w:rFonts w:ascii="Times New Roman" w:hAnsi="Times New Roman" w:cs="Times New Roman" w:eastAsia="Times New Roman" w:hint="default"/>
        </w:rPr>
        <w:t>04</w:t>
      </w:r>
      <w:r>
        <w:rPr>
          <w:rFonts w:ascii="Times New Roman" w:hAnsi="Times New Roman" w:cs="Times New Roman" w:eastAsia="Times New Roman" w:hint="default"/>
          <w:spacing w:val="18"/>
        </w:rPr>
        <w:t> </w:t>
      </w:r>
      <w:r>
        <w:rPr/>
        <w:t>月</w:t>
      </w:r>
      <w:r>
        <w:rPr>
          <w:spacing w:val="-27"/>
        </w:rPr>
        <w:t> </w:t>
      </w:r>
      <w:r>
        <w:rPr>
          <w:rFonts w:ascii="Times New Roman" w:hAnsi="Times New Roman" w:cs="Times New Roman" w:eastAsia="Times New Roman" w:hint="default"/>
        </w:rPr>
        <w:t>20</w:t>
      </w:r>
      <w:r>
        <w:rPr>
          <w:rFonts w:ascii="Times New Roman" w:hAnsi="Times New Roman" w:cs="Times New Roman" w:eastAsia="Times New Roman" w:hint="default"/>
          <w:spacing w:val="18"/>
        </w:rPr>
        <w:t> </w:t>
      </w:r>
      <w:r>
        <w:rPr/>
        <w:t>日出具的北</w:t>
      </w:r>
      <w:r>
        <w:rPr>
          <w:w w:val="101"/>
        </w:rPr>
        <w:t> </w:t>
      </w:r>
      <w:r>
        <w:rPr/>
        <w:t>方亚事评报字</w:t>
      </w:r>
      <w:r>
        <w:rPr>
          <w:rFonts w:ascii="Times New Roman" w:hAnsi="Times New Roman" w:cs="Times New Roman" w:eastAsia="Times New Roman" w:hint="default"/>
        </w:rPr>
        <w:t>[2020]</w:t>
      </w:r>
      <w:r>
        <w:rPr/>
        <w:t>第 </w:t>
      </w:r>
      <w:r>
        <w:rPr>
          <w:rFonts w:ascii="Times New Roman" w:hAnsi="Times New Roman" w:cs="Times New Roman" w:eastAsia="Times New Roman" w:hint="default"/>
        </w:rPr>
        <w:t>01-234 </w:t>
      </w:r>
      <w:r>
        <w:rPr>
          <w:spacing w:val="-5"/>
        </w:rPr>
        <w:t>号《深圳市银之杰科技股份有限公司拟对合并安科创新（深圳）有限公司形成的商誉进行减值</w:t>
      </w:r>
      <w:r>
        <w:rPr>
          <w:spacing w:val="-59"/>
        </w:rPr>
        <w:t> </w:t>
      </w:r>
      <w:r>
        <w:rPr>
          <w:spacing w:val="-59"/>
        </w:rPr>
      </w:r>
      <w:r>
        <w:rPr>
          <w:spacing w:val="-5"/>
        </w:rPr>
        <w:t>测试涉及的资产组可回收价值项目》资产评估报告，按被评估资产预计未来现金流量的现值与公允价值减处置费用和相关税</w:t>
      </w:r>
      <w:r>
        <w:rPr>
          <w:spacing w:val="6"/>
        </w:rPr>
        <w:t> </w:t>
      </w:r>
      <w:r>
        <w:rPr>
          <w:spacing w:val="6"/>
        </w:rPr>
      </w:r>
      <w:r>
        <w:rPr>
          <w:spacing w:val="-3"/>
        </w:rPr>
        <w:t>费后的净额孰高原则确定资产组的可回收价值。</w:t>
      </w:r>
    </w:p>
    <w:p>
      <w:pPr>
        <w:pStyle w:val="BodyText"/>
        <w:spacing w:line="240" w:lineRule="auto" w:before="71"/>
        <w:ind w:left="513" w:right="0"/>
        <w:jc w:val="left"/>
      </w:pPr>
      <w:r>
        <w:rPr/>
        <w:t>关键参数：</w:t>
      </w:r>
    </w:p>
    <w:p>
      <w:pPr>
        <w:spacing w:line="240" w:lineRule="auto" w:before="7"/>
        <w:rPr>
          <w:rFonts w:ascii="宋体" w:hAnsi="宋体" w:cs="宋体" w:eastAsia="宋体" w:hint="default"/>
          <w:sz w:val="10"/>
          <w:szCs w:val="10"/>
        </w:rPr>
      </w:pPr>
    </w:p>
    <w:tbl>
      <w:tblPr>
        <w:tblW w:w="0" w:type="auto"/>
        <w:jc w:val="left"/>
        <w:tblInd w:w="138" w:type="dxa"/>
        <w:tblLayout w:type="fixed"/>
        <w:tblCellMar>
          <w:top w:w="0" w:type="dxa"/>
          <w:left w:w="0" w:type="dxa"/>
          <w:bottom w:w="0" w:type="dxa"/>
          <w:right w:w="0" w:type="dxa"/>
        </w:tblCellMar>
        <w:tblLook w:val="01E0"/>
      </w:tblPr>
      <w:tblGrid>
        <w:gridCol w:w="1609"/>
        <w:gridCol w:w="1608"/>
        <w:gridCol w:w="1614"/>
        <w:gridCol w:w="1608"/>
        <w:gridCol w:w="1609"/>
        <w:gridCol w:w="1614"/>
      </w:tblGrid>
      <w:tr>
        <w:trPr>
          <w:trHeight w:val="346" w:hRule="exact"/>
        </w:trPr>
        <w:tc>
          <w:tcPr>
            <w:tcW w:w="1609"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436"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8053" w:type="dxa"/>
            <w:gridSpan w:val="5"/>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关键参数</w:t>
            </w:r>
          </w:p>
        </w:tc>
      </w:tr>
      <w:tr>
        <w:trPr>
          <w:trHeight w:val="341" w:hRule="exact"/>
        </w:trPr>
        <w:tc>
          <w:tcPr>
            <w:tcW w:w="1609" w:type="dxa"/>
            <w:vMerge/>
            <w:tcBorders>
              <w:left w:val="single" w:sz="4" w:space="0" w:color="000000"/>
              <w:bottom w:val="single" w:sz="4" w:space="0" w:color="000000"/>
              <w:right w:val="single" w:sz="4" w:space="0" w:color="000000"/>
            </w:tcBorders>
            <w:shd w:val="clear" w:color="auto" w:fill="D9D9D9"/>
          </w:tcPr>
          <w:p>
            <w:pPr/>
          </w:p>
        </w:tc>
        <w:tc>
          <w:tcPr>
            <w:tcW w:w="160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left="528" w:right="0"/>
              <w:jc w:val="left"/>
              <w:rPr>
                <w:rFonts w:ascii="宋体" w:hAnsi="宋体" w:cs="宋体" w:eastAsia="宋体" w:hint="default"/>
                <w:sz w:val="18"/>
                <w:szCs w:val="18"/>
              </w:rPr>
            </w:pPr>
            <w:r>
              <w:rPr>
                <w:rFonts w:ascii="宋体" w:hAnsi="宋体" w:cs="宋体" w:eastAsia="宋体" w:hint="default"/>
                <w:sz w:val="18"/>
                <w:szCs w:val="18"/>
              </w:rPr>
              <w:t>预测期</w:t>
            </w:r>
          </w:p>
        </w:tc>
        <w:tc>
          <w:tcPr>
            <w:tcW w:w="161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left="264" w:right="0"/>
              <w:jc w:val="left"/>
              <w:rPr>
                <w:rFonts w:ascii="宋体" w:hAnsi="宋体" w:cs="宋体" w:eastAsia="宋体" w:hint="default"/>
                <w:sz w:val="18"/>
                <w:szCs w:val="18"/>
              </w:rPr>
            </w:pPr>
            <w:r>
              <w:rPr>
                <w:rFonts w:ascii="宋体" w:hAnsi="宋体" w:cs="宋体" w:eastAsia="宋体" w:hint="default"/>
                <w:sz w:val="18"/>
                <w:szCs w:val="18"/>
              </w:rPr>
              <w:t>预测期增长率</w:t>
            </w:r>
          </w:p>
        </w:tc>
        <w:tc>
          <w:tcPr>
            <w:tcW w:w="160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left="259" w:right="0"/>
              <w:jc w:val="left"/>
              <w:rPr>
                <w:rFonts w:ascii="宋体" w:hAnsi="宋体" w:cs="宋体" w:eastAsia="宋体" w:hint="default"/>
                <w:sz w:val="18"/>
                <w:szCs w:val="18"/>
              </w:rPr>
            </w:pPr>
            <w:r>
              <w:rPr>
                <w:rFonts w:ascii="宋体" w:hAnsi="宋体" w:cs="宋体" w:eastAsia="宋体" w:hint="default"/>
                <w:sz w:val="18"/>
                <w:szCs w:val="18"/>
              </w:rPr>
              <w:t>稳定期增长率</w:t>
            </w:r>
          </w:p>
        </w:tc>
        <w:tc>
          <w:tcPr>
            <w:tcW w:w="160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left="527" w:right="0"/>
              <w:jc w:val="left"/>
              <w:rPr>
                <w:rFonts w:ascii="宋体" w:hAnsi="宋体" w:cs="宋体" w:eastAsia="宋体" w:hint="default"/>
                <w:sz w:val="18"/>
                <w:szCs w:val="18"/>
              </w:rPr>
            </w:pPr>
            <w:r>
              <w:rPr>
                <w:rFonts w:ascii="宋体" w:hAnsi="宋体" w:cs="宋体" w:eastAsia="宋体" w:hint="default"/>
                <w:sz w:val="18"/>
                <w:szCs w:val="18"/>
              </w:rPr>
              <w:t>利润率</w:t>
            </w:r>
          </w:p>
        </w:tc>
        <w:tc>
          <w:tcPr>
            <w:tcW w:w="161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left="533" w:right="0"/>
              <w:jc w:val="left"/>
              <w:rPr>
                <w:rFonts w:ascii="宋体" w:hAnsi="宋体" w:cs="宋体" w:eastAsia="宋体" w:hint="default"/>
                <w:sz w:val="18"/>
                <w:szCs w:val="18"/>
              </w:rPr>
            </w:pPr>
            <w:r>
              <w:rPr>
                <w:rFonts w:ascii="宋体" w:hAnsi="宋体" w:cs="宋体" w:eastAsia="宋体" w:hint="default"/>
                <w:sz w:val="18"/>
                <w:szCs w:val="18"/>
              </w:rPr>
              <w:t>折现率</w:t>
            </w:r>
          </w:p>
        </w:tc>
      </w:tr>
      <w:tr>
        <w:trPr>
          <w:trHeight w:val="965" w:hRule="exact"/>
        </w:trPr>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316" w:lineRule="auto"/>
              <w:ind w:left="4" w:right="-19"/>
              <w:jc w:val="left"/>
              <w:rPr>
                <w:rFonts w:ascii="宋体" w:hAnsi="宋体" w:cs="宋体" w:eastAsia="宋体" w:hint="default"/>
                <w:sz w:val="18"/>
                <w:szCs w:val="18"/>
              </w:rPr>
            </w:pPr>
            <w:r>
              <w:rPr>
                <w:rFonts w:ascii="宋体" w:hAnsi="宋体" w:cs="宋体" w:eastAsia="宋体" w:hint="default"/>
                <w:spacing w:val="15"/>
                <w:sz w:val="18"/>
                <w:szCs w:val="18"/>
              </w:rPr>
              <w:t>北京亿美软通科技</w:t>
            </w:r>
            <w:r>
              <w:rPr>
                <w:rFonts w:ascii="宋体" w:hAnsi="宋体" w:cs="宋体" w:eastAsia="宋体" w:hint="default"/>
                <w:spacing w:val="-58"/>
                <w:sz w:val="18"/>
                <w:szCs w:val="18"/>
              </w:rPr>
              <w:t> </w:t>
            </w:r>
            <w:r>
              <w:rPr>
                <w:rFonts w:ascii="宋体" w:hAnsi="宋体" w:cs="宋体" w:eastAsia="宋体" w:hint="default"/>
                <w:sz w:val="18"/>
                <w:szCs w:val="18"/>
              </w:rPr>
              <w:t>有限公司</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4" w:right="-5"/>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宋体" w:hAnsi="宋体" w:cs="宋体" w:eastAsia="宋体" w:hint="default"/>
                <w:sz w:val="18"/>
                <w:szCs w:val="18"/>
              </w:rPr>
              <w:t>年</w:t>
            </w:r>
            <w:r>
              <w:rPr>
                <w:rFonts w:ascii="Times New Roman" w:hAnsi="Times New Roman" w:cs="Times New Roman" w:eastAsia="Times New Roman" w:hint="default"/>
                <w:sz w:val="18"/>
                <w:szCs w:val="18"/>
              </w:rPr>
              <w:t>-2024</w:t>
            </w:r>
            <w:r>
              <w:rPr>
                <w:rFonts w:ascii="宋体" w:hAnsi="宋体" w:cs="宋体" w:eastAsia="宋体" w:hint="default"/>
                <w:sz w:val="18"/>
                <w:szCs w:val="18"/>
              </w:rPr>
              <w:t>年</w:t>
            </w:r>
            <w:r>
              <w:rPr>
                <w:rFonts w:ascii="Times New Roman" w:hAnsi="Times New Roman" w:cs="Times New Roman" w:eastAsia="Times New Roman" w:hint="default"/>
                <w:sz w:val="18"/>
                <w:szCs w:val="18"/>
              </w:rPr>
              <w:t>(</w:t>
            </w:r>
            <w:r>
              <w:rPr>
                <w:rFonts w:ascii="宋体" w:hAnsi="宋体" w:cs="宋体" w:eastAsia="宋体" w:hint="default"/>
                <w:sz w:val="18"/>
                <w:szCs w:val="18"/>
              </w:rPr>
              <w:t>后续</w:t>
            </w:r>
          </w:p>
          <w:p>
            <w:pPr>
              <w:pStyle w:val="TableParagraph"/>
              <w:spacing w:line="240" w:lineRule="auto" w:before="63"/>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为稳定期</w:t>
            </w:r>
            <w:r>
              <w:rPr>
                <w:rFonts w:ascii="Times New Roman" w:hAnsi="Times New Roman" w:cs="Times New Roman" w:eastAsia="Times New Roman" w:hint="default"/>
                <w:sz w:val="18"/>
                <w:szCs w:val="18"/>
              </w:rPr>
              <w:t>)</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9" w:right="-1"/>
              <w:jc w:val="left"/>
              <w:rPr>
                <w:rFonts w:ascii="宋体" w:hAnsi="宋体" w:cs="宋体" w:eastAsia="宋体" w:hint="default"/>
                <w:sz w:val="18"/>
                <w:szCs w:val="18"/>
              </w:rPr>
            </w:pPr>
            <w:r>
              <w:rPr>
                <w:rFonts w:ascii="Times New Roman" w:hAnsi="Times New Roman" w:cs="Times New Roman" w:eastAsia="Times New Roman" w:hint="default"/>
                <w:sz w:val="18"/>
                <w:szCs w:val="18"/>
              </w:rPr>
              <w:t>-2.82%  </w:t>
            </w:r>
            <w:r>
              <w:rPr>
                <w:rFonts w:ascii="宋体" w:hAnsi="宋体" w:cs="宋体" w:eastAsia="宋体" w:hint="default"/>
                <w:sz w:val="18"/>
                <w:szCs w:val="18"/>
              </w:rPr>
              <w:t>、 </w:t>
            </w:r>
            <w:r>
              <w:rPr>
                <w:rFonts w:ascii="Times New Roman" w:hAnsi="Times New Roman" w:cs="Times New Roman" w:eastAsia="Times New Roman" w:hint="default"/>
                <w:sz w:val="18"/>
                <w:szCs w:val="18"/>
              </w:rPr>
              <w:t>1.34%</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w:t>
            </w:r>
          </w:p>
          <w:p>
            <w:pPr>
              <w:pStyle w:val="TableParagraph"/>
              <w:spacing w:line="240" w:lineRule="auto" w:before="63"/>
              <w:ind w:left="9"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w w:val="101"/>
                <w:sz w:val="18"/>
                <w:szCs w:val="18"/>
              </w:rPr>
              <w:t>1</w:t>
            </w:r>
            <w:r>
              <w:rPr>
                <w:rFonts w:ascii="Times New Roman" w:hAnsi="Times New Roman" w:cs="Times New Roman" w:eastAsia="Times New Roman" w:hint="default"/>
                <w:spacing w:val="2"/>
                <w:w w:val="101"/>
                <w:sz w:val="18"/>
                <w:szCs w:val="18"/>
              </w:rPr>
              <w:t>.</w:t>
            </w:r>
            <w:r>
              <w:rPr>
                <w:rFonts w:ascii="Times New Roman" w:hAnsi="Times New Roman" w:cs="Times New Roman" w:eastAsia="Times New Roman" w:hint="default"/>
                <w:w w:val="101"/>
                <w:sz w:val="18"/>
                <w:szCs w:val="18"/>
              </w:rPr>
              <w:t>7</w:t>
            </w:r>
            <w:r>
              <w:rPr>
                <w:rFonts w:ascii="Times New Roman" w:hAnsi="Times New Roman" w:cs="Times New Roman" w:eastAsia="Times New Roman" w:hint="default"/>
                <w:spacing w:val="-5"/>
                <w:w w:val="101"/>
                <w:sz w:val="18"/>
                <w:szCs w:val="18"/>
              </w:rPr>
              <w:t>9</w:t>
            </w:r>
            <w:r>
              <w:rPr>
                <w:rFonts w:ascii="Times New Roman" w:hAnsi="Times New Roman" w:cs="Times New Roman" w:eastAsia="Times New Roman" w:hint="default"/>
                <w:spacing w:val="-3"/>
                <w:w w:val="101"/>
                <w:sz w:val="18"/>
                <w:szCs w:val="18"/>
              </w:rPr>
              <w:t>%</w:t>
            </w:r>
            <w:r>
              <w:rPr>
                <w:rFonts w:ascii="宋体" w:hAnsi="宋体" w:cs="宋体" w:eastAsia="宋体" w:hint="default"/>
                <w:spacing w:val="-82"/>
                <w:w w:val="101"/>
                <w:sz w:val="18"/>
                <w:szCs w:val="18"/>
              </w:rPr>
              <w:t>、</w:t>
            </w:r>
            <w:r>
              <w:rPr>
                <w:rFonts w:ascii="Times New Roman" w:hAnsi="Times New Roman" w:cs="Times New Roman" w:eastAsia="Times New Roman" w:hint="default"/>
                <w:spacing w:val="-5"/>
                <w:w w:val="101"/>
                <w:sz w:val="18"/>
                <w:szCs w:val="18"/>
              </w:rPr>
              <w:t>1</w:t>
            </w:r>
            <w:r>
              <w:rPr>
                <w:rFonts w:ascii="Times New Roman" w:hAnsi="Times New Roman" w:cs="Times New Roman" w:eastAsia="Times New Roman" w:hint="default"/>
                <w:spacing w:val="2"/>
                <w:w w:val="101"/>
                <w:sz w:val="18"/>
                <w:szCs w:val="18"/>
              </w:rPr>
              <w:t>.</w:t>
            </w:r>
            <w:r>
              <w:rPr>
                <w:rFonts w:ascii="Times New Roman" w:hAnsi="Times New Roman" w:cs="Times New Roman" w:eastAsia="Times New Roman" w:hint="default"/>
                <w:w w:val="101"/>
                <w:sz w:val="18"/>
                <w:szCs w:val="18"/>
              </w:rPr>
              <w:t>5</w:t>
            </w:r>
            <w:r>
              <w:rPr>
                <w:rFonts w:ascii="Times New Roman" w:hAnsi="Times New Roman" w:cs="Times New Roman" w:eastAsia="Times New Roman" w:hint="default"/>
                <w:spacing w:val="-5"/>
                <w:w w:val="101"/>
                <w:sz w:val="18"/>
                <w:szCs w:val="18"/>
              </w:rPr>
              <w:t>5</w:t>
            </w:r>
            <w:r>
              <w:rPr>
                <w:rFonts w:ascii="Times New Roman" w:hAnsi="Times New Roman" w:cs="Times New Roman" w:eastAsia="Times New Roman" w:hint="default"/>
                <w:spacing w:val="-4"/>
                <w:w w:val="101"/>
                <w:sz w:val="18"/>
                <w:szCs w:val="18"/>
              </w:rPr>
              <w:t>%</w:t>
            </w:r>
            <w:r>
              <w:rPr>
                <w:rFonts w:ascii="宋体" w:hAnsi="宋体" w:cs="宋体" w:eastAsia="宋体" w:hint="default"/>
                <w:spacing w:val="-82"/>
                <w:w w:val="101"/>
                <w:sz w:val="18"/>
                <w:szCs w:val="18"/>
              </w:rPr>
              <w:t>、</w:t>
            </w:r>
            <w:r>
              <w:rPr>
                <w:rFonts w:ascii="Times New Roman" w:hAnsi="Times New Roman" w:cs="Times New Roman" w:eastAsia="Times New Roman" w:hint="default"/>
                <w:spacing w:val="-5"/>
                <w:w w:val="101"/>
                <w:sz w:val="18"/>
                <w:szCs w:val="18"/>
              </w:rPr>
              <w:t>1</w:t>
            </w:r>
            <w:r>
              <w:rPr>
                <w:rFonts w:ascii="Times New Roman" w:hAnsi="Times New Roman" w:cs="Times New Roman" w:eastAsia="Times New Roman" w:hint="default"/>
                <w:spacing w:val="2"/>
                <w:w w:val="101"/>
                <w:sz w:val="18"/>
                <w:szCs w:val="18"/>
              </w:rPr>
              <w:t>.</w:t>
            </w:r>
            <w:r>
              <w:rPr>
                <w:rFonts w:ascii="Times New Roman" w:hAnsi="Times New Roman" w:cs="Times New Roman" w:eastAsia="Times New Roman" w:hint="default"/>
                <w:w w:val="101"/>
                <w:sz w:val="18"/>
                <w:szCs w:val="18"/>
              </w:rPr>
              <w:t>0</w:t>
            </w:r>
            <w:r>
              <w:rPr>
                <w:rFonts w:ascii="Times New Roman" w:hAnsi="Times New Roman" w:cs="Times New Roman" w:eastAsia="Times New Roman" w:hint="default"/>
                <w:spacing w:val="-5"/>
                <w:w w:val="101"/>
                <w:sz w:val="18"/>
                <w:szCs w:val="18"/>
              </w:rPr>
              <w:t>3</w:t>
            </w:r>
            <w:r>
              <w:rPr>
                <w:rFonts w:ascii="Times New Roman" w:hAnsi="Times New Roman" w:cs="Times New Roman" w:eastAsia="Times New Roman" w:hint="default"/>
                <w:w w:val="101"/>
                <w:sz w:val="18"/>
                <w:szCs w:val="18"/>
              </w:rPr>
              <w:t>%</w:t>
            </w:r>
            <w:r>
              <w:rPr>
                <w:rFonts w:ascii="Times New Roman" w:hAnsi="Times New Roman" w:cs="Times New Roman" w:eastAsia="Times New Roman" w:hint="default"/>
                <w:sz w:val="18"/>
                <w:szCs w:val="18"/>
              </w:rPr>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7"/>
                <w:szCs w:val="27"/>
              </w:rPr>
            </w:pPr>
          </w:p>
          <w:p>
            <w:pPr>
              <w:pStyle w:val="TableParagraph"/>
              <w:spacing w:line="240" w:lineRule="auto"/>
              <w:ind w:left="4" w:right="0"/>
              <w:jc w:val="left"/>
              <w:rPr>
                <w:rFonts w:ascii="Times New Roman" w:hAnsi="Times New Roman" w:cs="Times New Roman" w:eastAsia="Times New Roman" w:hint="default"/>
                <w:sz w:val="21"/>
                <w:szCs w:val="21"/>
              </w:rPr>
            </w:pPr>
            <w:r>
              <w:rPr>
                <w:rFonts w:ascii="Times New Roman"/>
                <w:sz w:val="21"/>
              </w:rPr>
              <w:t>0.00%</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1"/>
              <w:jc w:val="left"/>
              <w:rPr>
                <w:rFonts w:ascii="宋体" w:hAnsi="宋体" w:cs="宋体" w:eastAsia="宋体" w:hint="default"/>
                <w:sz w:val="18"/>
                <w:szCs w:val="18"/>
              </w:rPr>
            </w:pPr>
            <w:r>
              <w:rPr>
                <w:rFonts w:ascii="Times New Roman" w:hAnsi="Times New Roman" w:cs="Times New Roman" w:eastAsia="Times New Roman" w:hint="default"/>
                <w:sz w:val="18"/>
                <w:szCs w:val="18"/>
              </w:rPr>
              <w:t>8.93%  </w:t>
            </w:r>
            <w:r>
              <w:rPr>
                <w:rFonts w:ascii="宋体" w:hAnsi="宋体" w:cs="宋体" w:eastAsia="宋体" w:hint="default"/>
                <w:sz w:val="18"/>
                <w:szCs w:val="18"/>
              </w:rPr>
              <w:t>、 </w:t>
            </w:r>
            <w:r>
              <w:rPr>
                <w:rFonts w:ascii="Times New Roman" w:hAnsi="Times New Roman" w:cs="Times New Roman" w:eastAsia="Times New Roman" w:hint="default"/>
                <w:spacing w:val="-3"/>
                <w:sz w:val="18"/>
                <w:szCs w:val="18"/>
              </w:rPr>
              <w:t>9.10%  </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w:t>
            </w:r>
          </w:p>
          <w:p>
            <w:pPr>
              <w:pStyle w:val="TableParagraph"/>
              <w:spacing w:line="240" w:lineRule="auto" w:before="63"/>
              <w:ind w:left="4" w:right="-1"/>
              <w:jc w:val="left"/>
              <w:rPr>
                <w:rFonts w:ascii="宋体" w:hAnsi="宋体" w:cs="宋体" w:eastAsia="宋体" w:hint="default"/>
                <w:sz w:val="18"/>
                <w:szCs w:val="18"/>
              </w:rPr>
            </w:pPr>
            <w:r>
              <w:rPr>
                <w:rFonts w:ascii="Times New Roman" w:hAnsi="Times New Roman" w:cs="Times New Roman" w:eastAsia="Times New Roman" w:hint="default"/>
                <w:sz w:val="18"/>
                <w:szCs w:val="18"/>
              </w:rPr>
              <w:t>9.65%  </w:t>
            </w:r>
            <w:r>
              <w:rPr>
                <w:rFonts w:ascii="宋体" w:hAnsi="宋体" w:cs="宋体" w:eastAsia="宋体" w:hint="default"/>
                <w:sz w:val="18"/>
                <w:szCs w:val="18"/>
              </w:rPr>
              <w:t>、 </w:t>
            </w:r>
            <w:r>
              <w:rPr>
                <w:rFonts w:ascii="Times New Roman" w:hAnsi="Times New Roman" w:cs="Times New Roman" w:eastAsia="Times New Roman" w:hint="default"/>
                <w:sz w:val="18"/>
                <w:szCs w:val="18"/>
              </w:rPr>
              <w:t>10.19%</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w:t>
            </w:r>
          </w:p>
          <w:p>
            <w:pPr>
              <w:pStyle w:val="TableParagraph"/>
              <w:spacing w:line="240" w:lineRule="auto" w:before="105"/>
              <w:ind w:left="4" w:right="0"/>
              <w:jc w:val="left"/>
              <w:rPr>
                <w:rFonts w:ascii="Times New Roman" w:hAnsi="Times New Roman" w:cs="Times New Roman" w:eastAsia="Times New Roman" w:hint="default"/>
                <w:sz w:val="18"/>
                <w:szCs w:val="18"/>
              </w:rPr>
            </w:pPr>
            <w:r>
              <w:rPr>
                <w:rFonts w:ascii="Times New Roman"/>
                <w:sz w:val="18"/>
              </w:rPr>
              <w:t>10.26%</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9"/>
              <w:ind w:left="4" w:right="0"/>
              <w:jc w:val="left"/>
              <w:rPr>
                <w:rFonts w:ascii="Times New Roman" w:hAnsi="Times New Roman" w:cs="Times New Roman" w:eastAsia="Times New Roman" w:hint="default"/>
                <w:sz w:val="18"/>
                <w:szCs w:val="18"/>
              </w:rPr>
            </w:pPr>
            <w:r>
              <w:rPr>
                <w:rFonts w:ascii="Times New Roman"/>
                <w:sz w:val="18"/>
              </w:rPr>
              <w:t>15.06%</w:t>
            </w:r>
          </w:p>
        </w:tc>
      </w:tr>
      <w:tr>
        <w:trPr>
          <w:trHeight w:val="653" w:hRule="exact"/>
        </w:trPr>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4" w:right="0"/>
              <w:jc w:val="left"/>
              <w:rPr>
                <w:rFonts w:ascii="宋体" w:hAnsi="宋体" w:cs="宋体" w:eastAsia="宋体" w:hint="default"/>
                <w:sz w:val="18"/>
                <w:szCs w:val="18"/>
              </w:rPr>
            </w:pPr>
            <w:r>
              <w:rPr>
                <w:rFonts w:ascii="宋体" w:hAnsi="宋体" w:cs="宋体" w:eastAsia="宋体" w:hint="default"/>
                <w:spacing w:val="-6"/>
                <w:sz w:val="18"/>
                <w:szCs w:val="18"/>
              </w:rPr>
              <w:t>安科创新（深圳）有</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限公司</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5"/>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宋体" w:hAnsi="宋体" w:cs="宋体" w:eastAsia="宋体" w:hint="default"/>
                <w:sz w:val="18"/>
                <w:szCs w:val="18"/>
              </w:rPr>
              <w:t>年</w:t>
            </w:r>
            <w:r>
              <w:rPr>
                <w:rFonts w:ascii="Times New Roman" w:hAnsi="Times New Roman" w:cs="Times New Roman" w:eastAsia="Times New Roman" w:hint="default"/>
                <w:sz w:val="18"/>
                <w:szCs w:val="18"/>
              </w:rPr>
              <w:t>-2024</w:t>
            </w:r>
            <w:r>
              <w:rPr>
                <w:rFonts w:ascii="宋体" w:hAnsi="宋体" w:cs="宋体" w:eastAsia="宋体" w:hint="default"/>
                <w:sz w:val="18"/>
                <w:szCs w:val="18"/>
              </w:rPr>
              <w:t>年</w:t>
            </w:r>
            <w:r>
              <w:rPr>
                <w:rFonts w:ascii="Times New Roman" w:hAnsi="Times New Roman" w:cs="Times New Roman" w:eastAsia="Times New Roman" w:hint="default"/>
                <w:sz w:val="18"/>
                <w:szCs w:val="18"/>
              </w:rPr>
              <w:t>(</w:t>
            </w:r>
            <w:r>
              <w:rPr>
                <w:rFonts w:ascii="宋体" w:hAnsi="宋体" w:cs="宋体" w:eastAsia="宋体" w:hint="default"/>
                <w:sz w:val="18"/>
                <w:szCs w:val="18"/>
              </w:rPr>
              <w:t>后续</w:t>
            </w:r>
          </w:p>
          <w:p>
            <w:pPr>
              <w:pStyle w:val="TableParagraph"/>
              <w:spacing w:line="240" w:lineRule="auto" w:before="63"/>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为稳定期</w:t>
            </w:r>
            <w:r>
              <w:rPr>
                <w:rFonts w:ascii="Times New Roman" w:hAnsi="Times New Roman" w:cs="Times New Roman" w:eastAsia="Times New Roman" w:hint="default"/>
                <w:sz w:val="18"/>
                <w:szCs w:val="18"/>
              </w:rPr>
              <w:t>)</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9" w:right="-1"/>
              <w:jc w:val="left"/>
              <w:rPr>
                <w:rFonts w:ascii="宋体" w:hAnsi="宋体" w:cs="宋体" w:eastAsia="宋体" w:hint="default"/>
                <w:sz w:val="18"/>
                <w:szCs w:val="18"/>
              </w:rPr>
            </w:pPr>
            <w:r>
              <w:rPr>
                <w:rFonts w:ascii="Times New Roman" w:hAnsi="Times New Roman" w:cs="Times New Roman" w:eastAsia="Times New Roman" w:hint="default"/>
                <w:sz w:val="18"/>
                <w:szCs w:val="18"/>
              </w:rPr>
              <w:t>-5.24%</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11.69%</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w:t>
            </w:r>
          </w:p>
          <w:p>
            <w:pPr>
              <w:pStyle w:val="TableParagraph"/>
              <w:spacing w:line="240" w:lineRule="auto" w:before="63"/>
              <w:ind w:left="9"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w w:val="101"/>
                <w:sz w:val="18"/>
                <w:szCs w:val="18"/>
              </w:rPr>
              <w:t>9</w:t>
            </w:r>
            <w:r>
              <w:rPr>
                <w:rFonts w:ascii="Times New Roman" w:hAnsi="Times New Roman" w:cs="Times New Roman" w:eastAsia="Times New Roman" w:hint="default"/>
                <w:spacing w:val="2"/>
                <w:w w:val="101"/>
                <w:sz w:val="18"/>
                <w:szCs w:val="18"/>
              </w:rPr>
              <w:t>.</w:t>
            </w:r>
            <w:r>
              <w:rPr>
                <w:rFonts w:ascii="Times New Roman" w:hAnsi="Times New Roman" w:cs="Times New Roman" w:eastAsia="Times New Roman" w:hint="default"/>
                <w:w w:val="101"/>
                <w:sz w:val="18"/>
                <w:szCs w:val="18"/>
              </w:rPr>
              <w:t>8</w:t>
            </w:r>
            <w:r>
              <w:rPr>
                <w:rFonts w:ascii="Times New Roman" w:hAnsi="Times New Roman" w:cs="Times New Roman" w:eastAsia="Times New Roman" w:hint="default"/>
                <w:spacing w:val="-5"/>
                <w:w w:val="101"/>
                <w:sz w:val="18"/>
                <w:szCs w:val="18"/>
              </w:rPr>
              <w:t>1</w:t>
            </w:r>
            <w:r>
              <w:rPr>
                <w:rFonts w:ascii="Times New Roman" w:hAnsi="Times New Roman" w:cs="Times New Roman" w:eastAsia="Times New Roman" w:hint="default"/>
                <w:spacing w:val="-3"/>
                <w:w w:val="101"/>
                <w:sz w:val="18"/>
                <w:szCs w:val="18"/>
              </w:rPr>
              <w:t>%</w:t>
            </w:r>
            <w:r>
              <w:rPr>
                <w:rFonts w:ascii="宋体" w:hAnsi="宋体" w:cs="宋体" w:eastAsia="宋体" w:hint="default"/>
                <w:spacing w:val="-82"/>
                <w:w w:val="101"/>
                <w:sz w:val="18"/>
                <w:szCs w:val="18"/>
              </w:rPr>
              <w:t>、</w:t>
            </w:r>
            <w:r>
              <w:rPr>
                <w:rFonts w:ascii="Times New Roman" w:hAnsi="Times New Roman" w:cs="Times New Roman" w:eastAsia="Times New Roman" w:hint="default"/>
                <w:spacing w:val="-5"/>
                <w:w w:val="101"/>
                <w:sz w:val="18"/>
                <w:szCs w:val="18"/>
              </w:rPr>
              <w:t>7</w:t>
            </w:r>
            <w:r>
              <w:rPr>
                <w:rFonts w:ascii="Times New Roman" w:hAnsi="Times New Roman" w:cs="Times New Roman" w:eastAsia="Times New Roman" w:hint="default"/>
                <w:spacing w:val="2"/>
                <w:w w:val="101"/>
                <w:sz w:val="18"/>
                <w:szCs w:val="18"/>
              </w:rPr>
              <w:t>.</w:t>
            </w:r>
            <w:r>
              <w:rPr>
                <w:rFonts w:ascii="Times New Roman" w:hAnsi="Times New Roman" w:cs="Times New Roman" w:eastAsia="Times New Roman" w:hint="default"/>
                <w:w w:val="101"/>
                <w:sz w:val="18"/>
                <w:szCs w:val="18"/>
              </w:rPr>
              <w:t>8</w:t>
            </w:r>
            <w:r>
              <w:rPr>
                <w:rFonts w:ascii="Times New Roman" w:hAnsi="Times New Roman" w:cs="Times New Roman" w:eastAsia="Times New Roman" w:hint="default"/>
                <w:spacing w:val="-5"/>
                <w:w w:val="101"/>
                <w:sz w:val="18"/>
                <w:szCs w:val="18"/>
              </w:rPr>
              <w:t>5</w:t>
            </w:r>
            <w:r>
              <w:rPr>
                <w:rFonts w:ascii="Times New Roman" w:hAnsi="Times New Roman" w:cs="Times New Roman" w:eastAsia="Times New Roman" w:hint="default"/>
                <w:spacing w:val="-4"/>
                <w:w w:val="101"/>
                <w:sz w:val="18"/>
                <w:szCs w:val="18"/>
              </w:rPr>
              <w:t>%</w:t>
            </w:r>
            <w:r>
              <w:rPr>
                <w:rFonts w:ascii="宋体" w:hAnsi="宋体" w:cs="宋体" w:eastAsia="宋体" w:hint="default"/>
                <w:spacing w:val="-82"/>
                <w:w w:val="101"/>
                <w:sz w:val="18"/>
                <w:szCs w:val="18"/>
              </w:rPr>
              <w:t>、</w:t>
            </w:r>
            <w:r>
              <w:rPr>
                <w:rFonts w:ascii="Times New Roman" w:hAnsi="Times New Roman" w:cs="Times New Roman" w:eastAsia="Times New Roman" w:hint="default"/>
                <w:spacing w:val="-5"/>
                <w:w w:val="101"/>
                <w:sz w:val="18"/>
                <w:szCs w:val="18"/>
              </w:rPr>
              <w:t>4</w:t>
            </w:r>
            <w:r>
              <w:rPr>
                <w:rFonts w:ascii="Times New Roman" w:hAnsi="Times New Roman" w:cs="Times New Roman" w:eastAsia="Times New Roman" w:hint="default"/>
                <w:spacing w:val="2"/>
                <w:w w:val="101"/>
                <w:sz w:val="18"/>
                <w:szCs w:val="18"/>
              </w:rPr>
              <w:t>.</w:t>
            </w:r>
            <w:r>
              <w:rPr>
                <w:rFonts w:ascii="Times New Roman" w:hAnsi="Times New Roman" w:cs="Times New Roman" w:eastAsia="Times New Roman" w:hint="default"/>
                <w:w w:val="101"/>
                <w:sz w:val="18"/>
                <w:szCs w:val="18"/>
              </w:rPr>
              <w:t>5</w:t>
            </w:r>
            <w:r>
              <w:rPr>
                <w:rFonts w:ascii="Times New Roman" w:hAnsi="Times New Roman" w:cs="Times New Roman" w:eastAsia="Times New Roman" w:hint="default"/>
                <w:spacing w:val="-5"/>
                <w:w w:val="101"/>
                <w:sz w:val="18"/>
                <w:szCs w:val="18"/>
              </w:rPr>
              <w:t>4</w:t>
            </w:r>
            <w:r>
              <w:rPr>
                <w:rFonts w:ascii="Times New Roman" w:hAnsi="Times New Roman" w:cs="Times New Roman" w:eastAsia="Times New Roman" w:hint="default"/>
                <w:w w:val="101"/>
                <w:sz w:val="18"/>
                <w:szCs w:val="18"/>
              </w:rPr>
              <w:t>%</w:t>
            </w:r>
            <w:r>
              <w:rPr>
                <w:rFonts w:ascii="Times New Roman" w:hAnsi="Times New Roman" w:cs="Times New Roman" w:eastAsia="Times New Roman" w:hint="default"/>
                <w:sz w:val="18"/>
                <w:szCs w:val="18"/>
              </w:rPr>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4" w:right="0"/>
              <w:jc w:val="left"/>
              <w:rPr>
                <w:rFonts w:ascii="Times New Roman" w:hAnsi="Times New Roman" w:cs="Times New Roman" w:eastAsia="Times New Roman" w:hint="default"/>
                <w:sz w:val="21"/>
                <w:szCs w:val="21"/>
              </w:rPr>
            </w:pPr>
            <w:r>
              <w:rPr>
                <w:rFonts w:ascii="Times New Roman"/>
                <w:sz w:val="21"/>
              </w:rPr>
              <w:t>0.00%</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1"/>
              <w:jc w:val="left"/>
              <w:rPr>
                <w:rFonts w:ascii="宋体" w:hAnsi="宋体" w:cs="宋体" w:eastAsia="宋体" w:hint="default"/>
                <w:sz w:val="18"/>
                <w:szCs w:val="18"/>
              </w:rPr>
            </w:pPr>
            <w:r>
              <w:rPr>
                <w:rFonts w:ascii="Times New Roman" w:hAnsi="Times New Roman" w:cs="Times New Roman" w:eastAsia="Times New Roman" w:hint="default"/>
                <w:sz w:val="18"/>
                <w:szCs w:val="18"/>
              </w:rPr>
              <w:t>1.97%  </w:t>
            </w:r>
            <w:r>
              <w:rPr>
                <w:rFonts w:ascii="宋体" w:hAnsi="宋体" w:cs="宋体" w:eastAsia="宋体" w:hint="default"/>
                <w:sz w:val="18"/>
                <w:szCs w:val="18"/>
              </w:rPr>
              <w:t>、 </w:t>
            </w:r>
            <w:r>
              <w:rPr>
                <w:rFonts w:ascii="Times New Roman" w:hAnsi="Times New Roman" w:cs="Times New Roman" w:eastAsia="Times New Roman" w:hint="default"/>
                <w:spacing w:val="-3"/>
                <w:sz w:val="18"/>
                <w:szCs w:val="18"/>
              </w:rPr>
              <w:t>2.78%  </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w:t>
            </w:r>
          </w:p>
          <w:p>
            <w:pPr>
              <w:pStyle w:val="TableParagraph"/>
              <w:spacing w:line="240" w:lineRule="auto" w:before="63"/>
              <w:ind w:left="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w w:val="101"/>
                <w:sz w:val="18"/>
                <w:szCs w:val="18"/>
              </w:rPr>
              <w:t>3</w:t>
            </w:r>
            <w:r>
              <w:rPr>
                <w:rFonts w:ascii="Times New Roman" w:hAnsi="Times New Roman" w:cs="Times New Roman" w:eastAsia="Times New Roman" w:hint="default"/>
                <w:spacing w:val="2"/>
                <w:w w:val="101"/>
                <w:sz w:val="18"/>
                <w:szCs w:val="18"/>
              </w:rPr>
              <w:t>.</w:t>
            </w:r>
            <w:r>
              <w:rPr>
                <w:rFonts w:ascii="Times New Roman" w:hAnsi="Times New Roman" w:cs="Times New Roman" w:eastAsia="Times New Roman" w:hint="default"/>
                <w:w w:val="101"/>
                <w:sz w:val="18"/>
                <w:szCs w:val="18"/>
              </w:rPr>
              <w:t>2</w:t>
            </w:r>
            <w:r>
              <w:rPr>
                <w:rFonts w:ascii="Times New Roman" w:hAnsi="Times New Roman" w:cs="Times New Roman" w:eastAsia="Times New Roman" w:hint="default"/>
                <w:spacing w:val="-5"/>
                <w:w w:val="101"/>
                <w:sz w:val="18"/>
                <w:szCs w:val="18"/>
              </w:rPr>
              <w:t>2</w:t>
            </w:r>
            <w:r>
              <w:rPr>
                <w:rFonts w:ascii="Times New Roman" w:hAnsi="Times New Roman" w:cs="Times New Roman" w:eastAsia="Times New Roman" w:hint="default"/>
                <w:spacing w:val="-3"/>
                <w:w w:val="101"/>
                <w:sz w:val="18"/>
                <w:szCs w:val="18"/>
              </w:rPr>
              <w:t>%</w:t>
            </w:r>
            <w:r>
              <w:rPr>
                <w:rFonts w:ascii="宋体" w:hAnsi="宋体" w:cs="宋体" w:eastAsia="宋体" w:hint="default"/>
                <w:spacing w:val="-82"/>
                <w:w w:val="101"/>
                <w:sz w:val="18"/>
                <w:szCs w:val="18"/>
              </w:rPr>
              <w:t>、</w:t>
            </w:r>
            <w:r>
              <w:rPr>
                <w:rFonts w:ascii="Times New Roman" w:hAnsi="Times New Roman" w:cs="Times New Roman" w:eastAsia="Times New Roman" w:hint="default"/>
                <w:spacing w:val="-5"/>
                <w:w w:val="101"/>
                <w:sz w:val="18"/>
                <w:szCs w:val="18"/>
              </w:rPr>
              <w:t>3</w:t>
            </w:r>
            <w:r>
              <w:rPr>
                <w:rFonts w:ascii="Times New Roman" w:hAnsi="Times New Roman" w:cs="Times New Roman" w:eastAsia="Times New Roman" w:hint="default"/>
                <w:spacing w:val="2"/>
                <w:w w:val="101"/>
                <w:sz w:val="18"/>
                <w:szCs w:val="18"/>
              </w:rPr>
              <w:t>.</w:t>
            </w:r>
            <w:r>
              <w:rPr>
                <w:rFonts w:ascii="Times New Roman" w:hAnsi="Times New Roman" w:cs="Times New Roman" w:eastAsia="Times New Roman" w:hint="default"/>
                <w:w w:val="101"/>
                <w:sz w:val="18"/>
                <w:szCs w:val="18"/>
              </w:rPr>
              <w:t>3</w:t>
            </w:r>
            <w:r>
              <w:rPr>
                <w:rFonts w:ascii="Times New Roman" w:hAnsi="Times New Roman" w:cs="Times New Roman" w:eastAsia="Times New Roman" w:hint="default"/>
                <w:spacing w:val="-5"/>
                <w:w w:val="101"/>
                <w:sz w:val="18"/>
                <w:szCs w:val="18"/>
              </w:rPr>
              <w:t>1</w:t>
            </w:r>
            <w:r>
              <w:rPr>
                <w:rFonts w:ascii="Times New Roman" w:hAnsi="Times New Roman" w:cs="Times New Roman" w:eastAsia="Times New Roman" w:hint="default"/>
                <w:spacing w:val="-3"/>
                <w:w w:val="101"/>
                <w:sz w:val="18"/>
                <w:szCs w:val="18"/>
              </w:rPr>
              <w:t>%</w:t>
            </w:r>
            <w:r>
              <w:rPr>
                <w:rFonts w:ascii="宋体" w:hAnsi="宋体" w:cs="宋体" w:eastAsia="宋体" w:hint="default"/>
                <w:spacing w:val="-82"/>
                <w:w w:val="101"/>
                <w:sz w:val="18"/>
                <w:szCs w:val="18"/>
              </w:rPr>
              <w:t>、</w:t>
            </w:r>
            <w:r>
              <w:rPr>
                <w:rFonts w:ascii="Times New Roman" w:hAnsi="Times New Roman" w:cs="Times New Roman" w:eastAsia="Times New Roman" w:hint="default"/>
                <w:spacing w:val="-5"/>
                <w:w w:val="101"/>
                <w:sz w:val="18"/>
                <w:szCs w:val="18"/>
              </w:rPr>
              <w:t>3</w:t>
            </w:r>
            <w:r>
              <w:rPr>
                <w:rFonts w:ascii="Times New Roman" w:hAnsi="Times New Roman" w:cs="Times New Roman" w:eastAsia="Times New Roman" w:hint="default"/>
                <w:spacing w:val="2"/>
                <w:w w:val="101"/>
                <w:sz w:val="18"/>
                <w:szCs w:val="18"/>
              </w:rPr>
              <w:t>.</w:t>
            </w:r>
            <w:r>
              <w:rPr>
                <w:rFonts w:ascii="Times New Roman" w:hAnsi="Times New Roman" w:cs="Times New Roman" w:eastAsia="Times New Roman" w:hint="default"/>
                <w:w w:val="101"/>
                <w:sz w:val="18"/>
                <w:szCs w:val="18"/>
              </w:rPr>
              <w:t>4</w:t>
            </w:r>
            <w:r>
              <w:rPr>
                <w:rFonts w:ascii="Times New Roman" w:hAnsi="Times New Roman" w:cs="Times New Roman" w:eastAsia="Times New Roman" w:hint="default"/>
                <w:spacing w:val="-5"/>
                <w:w w:val="101"/>
                <w:sz w:val="18"/>
                <w:szCs w:val="18"/>
              </w:rPr>
              <w:t>4</w:t>
            </w:r>
            <w:r>
              <w:rPr>
                <w:rFonts w:ascii="Times New Roman" w:hAnsi="Times New Roman" w:cs="Times New Roman" w:eastAsia="Times New Roman" w:hint="default"/>
                <w:w w:val="101"/>
                <w:sz w:val="18"/>
                <w:szCs w:val="18"/>
              </w:rPr>
              <w:t>%</w:t>
            </w:r>
            <w:r>
              <w:rPr>
                <w:rFonts w:ascii="Times New Roman" w:hAnsi="Times New Roman" w:cs="Times New Roman" w:eastAsia="Times New Roman" w:hint="default"/>
                <w:sz w:val="18"/>
                <w:szCs w:val="18"/>
              </w:rPr>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4" w:right="0"/>
              <w:jc w:val="left"/>
              <w:rPr>
                <w:rFonts w:ascii="Times New Roman" w:hAnsi="Times New Roman" w:cs="Times New Roman" w:eastAsia="Times New Roman" w:hint="default"/>
                <w:sz w:val="18"/>
                <w:szCs w:val="18"/>
              </w:rPr>
            </w:pPr>
            <w:r>
              <w:rPr>
                <w:rFonts w:ascii="Times New Roman"/>
                <w:sz w:val="18"/>
              </w:rPr>
              <w:t>12.94%</w:t>
            </w:r>
          </w:p>
        </w:tc>
      </w:tr>
    </w:tbl>
    <w:p>
      <w:pPr>
        <w:pStyle w:val="BodyText"/>
        <w:spacing w:line="240" w:lineRule="auto" w:before="92"/>
        <w:ind w:left="513" w:right="0"/>
        <w:jc w:val="left"/>
      </w:pPr>
      <w:r>
        <w:rPr>
          <w:spacing w:val="-3"/>
        </w:rPr>
        <w:t>经测试，公司管理层预计报告期内，商誉无需计提减值准备。</w:t>
      </w: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20"/>
          <w:szCs w:val="20"/>
        </w:rPr>
      </w:pPr>
    </w:p>
    <w:p>
      <w:pPr>
        <w:pStyle w:val="BodyText"/>
        <w:spacing w:line="439" w:lineRule="auto"/>
        <w:ind w:left="513" w:right="8838" w:hanging="360"/>
        <w:jc w:val="left"/>
      </w:pPr>
      <w:r>
        <w:rPr>
          <w:spacing w:val="-3"/>
        </w:rPr>
        <w:t>商誉减值测试的影响</w:t>
      </w:r>
      <w:r>
        <w:rPr>
          <w:spacing w:val="-62"/>
        </w:rPr>
        <w:t> </w:t>
      </w:r>
      <w:r>
        <w:rPr>
          <w:spacing w:val="-62"/>
        </w:rPr>
      </w:r>
      <w:r>
        <w:rPr/>
        <w:t>无。</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bookmarkStart w:name="14、长期待摊费用" w:id="271"/>
      <w:bookmarkEnd w:id="271"/>
      <w:r>
        <w:rPr>
          <w:b w:val="0"/>
          <w:bCs w:val="0"/>
        </w:rPr>
      </w:r>
      <w:r>
        <w:rPr>
          <w:rFonts w:ascii="Times New Roman" w:hAnsi="Times New Roman" w:cs="Times New Roman" w:eastAsia="Times New Roman" w:hint="default"/>
        </w:rPr>
        <w:t>14</w:t>
      </w:r>
      <w:r>
        <w:rPr/>
        <w:t>、长期待摊费用</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594"/>
        <w:gridCol w:w="1599"/>
        <w:gridCol w:w="1595"/>
        <w:gridCol w:w="1594"/>
        <w:gridCol w:w="1594"/>
        <w:gridCol w:w="1594"/>
      </w:tblGrid>
      <w:tr>
        <w:trPr>
          <w:trHeight w:val="398"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50"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9"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9"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办公室装修</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1,649,844.84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46,663.47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708,956.71</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987,551.60</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企业邮箱</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107,053.89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78,772.97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63,252.39</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122,574.47</w:t>
            </w:r>
          </w:p>
        </w:tc>
      </w:tr>
      <w:tr>
        <w:trPr>
          <w:trHeight w:val="40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模具开发费</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266,991.68</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106,796.64</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160,195.04</w:t>
            </w:r>
          </w:p>
        </w:tc>
      </w:tr>
      <w:tr>
        <w:trPr>
          <w:trHeight w:val="398"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服务费</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3,783,626.84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1,266,059.97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1,492,745.82</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3,556,940.99</w:t>
            </w:r>
          </w:p>
        </w:tc>
      </w:tr>
    </w:tbl>
    <w:p>
      <w:pPr>
        <w:spacing w:after="0" w:line="240" w:lineRule="auto"/>
        <w:jc w:val="right"/>
        <w:rPr>
          <w:rFonts w:ascii="Times New Roman" w:hAnsi="Times New Roman" w:cs="Times New Roman" w:eastAsia="Times New Roman" w:hint="default"/>
          <w:sz w:val="18"/>
          <w:szCs w:val="18"/>
        </w:rPr>
        <w:sectPr>
          <w:pgSz w:w="11910" w:h="16840"/>
          <w:pgMar w:header="871" w:footer="1186" w:top="1100" w:bottom="1380" w:left="980" w:right="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1594"/>
        <w:gridCol w:w="1599"/>
        <w:gridCol w:w="1595"/>
        <w:gridCol w:w="1594"/>
        <w:gridCol w:w="1594"/>
        <w:gridCol w:w="1594"/>
      </w:tblGrid>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1,072,733.92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455,133.54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882,897.80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644,969.66</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6,880,251.17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1,846,629.95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3,254,649.36</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5,472,231.76</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15、递延所得税资产/递延所得税负债" w:id="272"/>
      <w:bookmarkEnd w:id="272"/>
      <w:r>
        <w:rPr>
          <w:b w:val="0"/>
          <w:bCs w:val="0"/>
        </w:rPr>
      </w:r>
      <w:r>
        <w:rPr>
          <w:rFonts w:ascii="Times New Roman" w:hAnsi="Times New Roman" w:cs="Times New Roman" w:eastAsia="Times New Roman" w:hint="default"/>
        </w:rPr>
        <w:t>15</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5"/>
        <w:rPr>
          <w:rFonts w:ascii="宋体" w:hAnsi="宋体" w:cs="宋体" w:eastAsia="宋体" w:hint="default"/>
          <w:b/>
          <w:bCs/>
          <w:sz w:val="24"/>
          <w:szCs w:val="24"/>
        </w:rPr>
      </w:pPr>
    </w:p>
    <w:p>
      <w:pPr>
        <w:pStyle w:val="Heading3"/>
        <w:spacing w:line="240" w:lineRule="auto"/>
        <w:ind w:right="0"/>
        <w:jc w:val="left"/>
        <w:rPr>
          <w:b w:val="0"/>
          <w:bCs w:val="0"/>
        </w:rPr>
      </w:pPr>
      <w:bookmarkStart w:name="（1）未经抵销的递延所得税资产" w:id="273"/>
      <w:bookmarkEnd w:id="273"/>
      <w:r>
        <w:rPr>
          <w:b w:val="0"/>
          <w:bCs w:val="0"/>
        </w:rPr>
      </w:r>
      <w:r>
        <w:rPr/>
        <w:t>（</w:t>
      </w:r>
      <w:r>
        <w:rPr>
          <w:rFonts w:ascii="Times New Roman" w:hAnsi="Times New Roman" w:cs="Times New Roman" w:eastAsia="Times New Roman" w:hint="default"/>
        </w:rPr>
        <w:t>1</w:t>
      </w:r>
      <w:r>
        <w:rPr/>
        <w:t>）未经抵销的递延所得税资产</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11"/>
        <w:gridCol w:w="1921"/>
        <w:gridCol w:w="1911"/>
        <w:gridCol w:w="1916"/>
        <w:gridCol w:w="1916"/>
      </w:tblGrid>
      <w:tr>
        <w:trPr>
          <w:trHeight w:val="404" w:hRule="exact"/>
        </w:trPr>
        <w:tc>
          <w:tcPr>
            <w:tcW w:w="191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1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5"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3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5"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98" w:hRule="exact"/>
        </w:trPr>
        <w:tc>
          <w:tcPr>
            <w:tcW w:w="1911" w:type="dxa"/>
            <w:vMerge/>
            <w:tcBorders>
              <w:left w:val="single" w:sz="4" w:space="0" w:color="000000"/>
              <w:bottom w:val="single" w:sz="4" w:space="0" w:color="000000"/>
              <w:right w:val="single" w:sz="4" w:space="0" w:color="000000"/>
            </w:tcBorders>
            <w:shd w:val="clear" w:color="auto" w:fill="D2D2D2"/>
          </w:tcPr>
          <w:p>
            <w:pPr/>
          </w:p>
        </w:tc>
        <w:tc>
          <w:tcPr>
            <w:tcW w:w="1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35"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21" w:right="0"/>
              <w:jc w:val="left"/>
              <w:rPr>
                <w:rFonts w:ascii="宋体" w:hAnsi="宋体" w:cs="宋体" w:eastAsia="宋体" w:hint="default"/>
                <w:sz w:val="18"/>
                <w:szCs w:val="18"/>
              </w:rPr>
            </w:pPr>
            <w:r>
              <w:rPr>
                <w:rFonts w:ascii="宋体" w:hAnsi="宋体" w:cs="宋体" w:eastAsia="宋体" w:hint="default"/>
                <w:spacing w:val="-3"/>
                <w:sz w:val="18"/>
                <w:szCs w:val="18"/>
              </w:rPr>
              <w:t>递延所得税资产</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30"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21" w:right="0"/>
              <w:jc w:val="left"/>
              <w:rPr>
                <w:rFonts w:ascii="宋体" w:hAnsi="宋体" w:cs="宋体" w:eastAsia="宋体" w:hint="default"/>
                <w:sz w:val="18"/>
                <w:szCs w:val="18"/>
              </w:rPr>
            </w:pPr>
            <w:r>
              <w:rPr>
                <w:rFonts w:ascii="宋体" w:hAnsi="宋体" w:cs="宋体" w:eastAsia="宋体" w:hint="default"/>
                <w:spacing w:val="-3"/>
                <w:sz w:val="18"/>
                <w:szCs w:val="18"/>
              </w:rPr>
              <w:t>递延所得税资产</w:t>
            </w:r>
          </w:p>
        </w:tc>
      </w:tr>
      <w:tr>
        <w:trPr>
          <w:trHeight w:val="403" w:hRule="exact"/>
        </w:trPr>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61,417,693.88</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9,339,639.17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45,661,441.56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6,919,213.55</w:t>
            </w:r>
          </w:p>
        </w:tc>
      </w:tr>
      <w:tr>
        <w:trPr>
          <w:trHeight w:val="403" w:hRule="exact"/>
        </w:trPr>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存货跌价准备</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1,422,163.50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231,930.79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560,500.60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93,826.80</w:t>
            </w:r>
          </w:p>
        </w:tc>
      </w:tr>
      <w:tr>
        <w:trPr>
          <w:trHeight w:val="404" w:hRule="exact"/>
        </w:trPr>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pacing w:val="-3"/>
                <w:sz w:val="18"/>
                <w:szCs w:val="18"/>
              </w:rPr>
              <w:t>内部交易未实现利润</w:t>
            </w:r>
          </w:p>
        </w:tc>
        <w:tc>
          <w:tcPr>
            <w:tcW w:w="1921"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253,003.03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37,950.45</w:t>
            </w:r>
          </w:p>
        </w:tc>
      </w:tr>
      <w:tr>
        <w:trPr>
          <w:trHeight w:val="398" w:hRule="exact"/>
        </w:trPr>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未抵扣亏损</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224,491,779.09</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35,437,372.75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155,515,481.50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24,392,867.03</w:t>
            </w:r>
          </w:p>
        </w:tc>
      </w:tr>
      <w:tr>
        <w:trPr>
          <w:trHeight w:val="403"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287,331,636.47</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45,008,942.71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201,990,426.69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31,443,857.83</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2）未经抵销的递延所得税负债" w:id="274"/>
      <w:bookmarkEnd w:id="274"/>
      <w:r>
        <w:rPr>
          <w:b w:val="0"/>
          <w:bCs w:val="0"/>
        </w:rPr>
      </w:r>
      <w:r>
        <w:rPr/>
        <w:t>（</w:t>
      </w:r>
      <w:r>
        <w:rPr>
          <w:rFonts w:ascii="Times New Roman" w:hAnsi="Times New Roman" w:cs="Times New Roman" w:eastAsia="Times New Roman" w:hint="default"/>
        </w:rPr>
        <w:t>2</w:t>
      </w:r>
      <w:r>
        <w:rPr/>
        <w:t>）未经抵销的递延所得税负债</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99"/>
        <w:gridCol w:w="1921"/>
        <w:gridCol w:w="1911"/>
        <w:gridCol w:w="1916"/>
        <w:gridCol w:w="1916"/>
      </w:tblGrid>
      <w:tr>
        <w:trPr>
          <w:trHeight w:val="206" w:hRule="exact"/>
        </w:trPr>
        <w:tc>
          <w:tcPr>
            <w:tcW w:w="1899"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3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2" w:hRule="exact"/>
        </w:trPr>
        <w:tc>
          <w:tcPr>
            <w:tcW w:w="189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832" w:type="dxa"/>
            <w:gridSpan w:val="2"/>
            <w:vMerge/>
            <w:tcBorders>
              <w:left w:val="single" w:sz="4" w:space="0" w:color="000000"/>
              <w:bottom w:val="single" w:sz="4" w:space="0" w:color="000000"/>
              <w:right w:val="single" w:sz="4" w:space="0" w:color="000000"/>
            </w:tcBorders>
            <w:shd w:val="clear" w:color="auto" w:fill="D2D2D2"/>
          </w:tcPr>
          <w:p>
            <w:pPr/>
          </w:p>
        </w:tc>
        <w:tc>
          <w:tcPr>
            <w:tcW w:w="3832"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899" w:type="dxa"/>
            <w:vMerge/>
            <w:tcBorders>
              <w:left w:val="single" w:sz="4" w:space="0" w:color="000000"/>
              <w:bottom w:val="nil" w:sz="6" w:space="0" w:color="auto"/>
              <w:right w:val="single" w:sz="4" w:space="0" w:color="000000"/>
            </w:tcBorders>
            <w:shd w:val="clear" w:color="auto" w:fill="D2D2D2"/>
          </w:tcPr>
          <w:p>
            <w:pPr/>
          </w:p>
        </w:tc>
        <w:tc>
          <w:tcPr>
            <w:tcW w:w="192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235"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321" w:right="0"/>
              <w:jc w:val="left"/>
              <w:rPr>
                <w:rFonts w:ascii="宋体" w:hAnsi="宋体" w:cs="宋体" w:eastAsia="宋体" w:hint="default"/>
                <w:sz w:val="18"/>
                <w:szCs w:val="18"/>
              </w:rPr>
            </w:pPr>
            <w:r>
              <w:rPr>
                <w:rFonts w:ascii="宋体" w:hAnsi="宋体" w:cs="宋体" w:eastAsia="宋体" w:hint="default"/>
                <w:spacing w:val="-3"/>
                <w:sz w:val="18"/>
                <w:szCs w:val="18"/>
              </w:rPr>
              <w:t>递延所得税负债</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230"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321" w:right="0"/>
              <w:jc w:val="left"/>
              <w:rPr>
                <w:rFonts w:ascii="宋体" w:hAnsi="宋体" w:cs="宋体" w:eastAsia="宋体" w:hint="default"/>
                <w:sz w:val="18"/>
                <w:szCs w:val="18"/>
              </w:rPr>
            </w:pPr>
            <w:r>
              <w:rPr>
                <w:rFonts w:ascii="宋体" w:hAnsi="宋体" w:cs="宋体" w:eastAsia="宋体" w:hint="default"/>
                <w:spacing w:val="-3"/>
                <w:sz w:val="18"/>
                <w:szCs w:val="18"/>
              </w:rPr>
              <w:t>递延所得税负债</w:t>
            </w:r>
          </w:p>
        </w:tc>
      </w:tr>
      <w:tr>
        <w:trPr>
          <w:trHeight w:val="202" w:hRule="exact"/>
        </w:trPr>
        <w:tc>
          <w:tcPr>
            <w:tcW w:w="1899" w:type="dxa"/>
            <w:tcBorders>
              <w:top w:val="nil" w:sz="6" w:space="0" w:color="auto"/>
              <w:left w:val="single" w:sz="4" w:space="0" w:color="000000"/>
              <w:bottom w:val="single" w:sz="4" w:space="0" w:color="000000"/>
              <w:right w:val="single" w:sz="4" w:space="0" w:color="000000"/>
            </w:tcBorders>
            <w:shd w:val="clear" w:color="auto" w:fill="D2D2D2"/>
          </w:tcPr>
          <w:p>
            <w:pPr/>
          </w:p>
        </w:tc>
        <w:tc>
          <w:tcPr>
            <w:tcW w:w="1921" w:type="dxa"/>
            <w:vMerge/>
            <w:tcBorders>
              <w:left w:val="single" w:sz="4" w:space="0" w:color="000000"/>
              <w:bottom w:val="single" w:sz="4" w:space="0" w:color="000000"/>
              <w:right w:val="single" w:sz="4" w:space="0" w:color="000000"/>
            </w:tcBorders>
            <w:shd w:val="clear" w:color="auto" w:fill="D2D2D2"/>
          </w:tcPr>
          <w:p>
            <w:pPr/>
          </w:p>
        </w:tc>
        <w:tc>
          <w:tcPr>
            <w:tcW w:w="1911"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r>
      <w:tr>
        <w:trPr>
          <w:trHeight w:val="716" w:hRule="exact"/>
        </w:trPr>
        <w:tc>
          <w:tcPr>
            <w:tcW w:w="18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4"/>
              <w:ind w:left="11" w:right="70"/>
              <w:jc w:val="left"/>
              <w:rPr>
                <w:rFonts w:ascii="宋体" w:hAnsi="宋体" w:cs="宋体" w:eastAsia="宋体" w:hint="default"/>
                <w:sz w:val="18"/>
                <w:szCs w:val="18"/>
              </w:rPr>
            </w:pPr>
            <w:r>
              <w:rPr>
                <w:rFonts w:ascii="宋体" w:hAnsi="宋体" w:cs="宋体" w:eastAsia="宋体" w:hint="default"/>
                <w:spacing w:val="-2"/>
                <w:sz w:val="18"/>
                <w:szCs w:val="18"/>
              </w:rPr>
              <w:t>非同一控制企业合并资</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产评估增值</w:t>
            </w:r>
          </w:p>
        </w:tc>
        <w:tc>
          <w:tcPr>
            <w:tcW w:w="19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25,737,954.60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3,860,693.19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17,701,391.07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2,655,208.66</w:t>
            </w:r>
          </w:p>
        </w:tc>
      </w:tr>
      <w:tr>
        <w:trPr>
          <w:trHeight w:val="403" w:hRule="exact"/>
        </w:trPr>
        <w:tc>
          <w:tcPr>
            <w:tcW w:w="18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25,737,954.60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3,860,693.19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17,701,391.07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2,655,208.66</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3）以抵销后净额列示的递延所得税资产或负债" w:id="275"/>
      <w:bookmarkEnd w:id="275"/>
      <w:r>
        <w:rPr>
          <w:b w:val="0"/>
          <w:bCs w:val="0"/>
        </w:rPr>
      </w:r>
      <w:r>
        <w:rPr/>
        <w:t>（</w:t>
      </w:r>
      <w:r>
        <w:rPr>
          <w:rFonts w:ascii="Times New Roman" w:hAnsi="Times New Roman" w:cs="Times New Roman" w:eastAsia="Times New Roman" w:hint="default"/>
        </w:rPr>
        <w:t>3</w:t>
      </w:r>
      <w:r>
        <w:rPr/>
        <w:t>）以抵销后净额列示的递延所得税资产或负债</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901"/>
        <w:gridCol w:w="1919"/>
        <w:gridCol w:w="1911"/>
        <w:gridCol w:w="1916"/>
        <w:gridCol w:w="1916"/>
      </w:tblGrid>
      <w:tr>
        <w:trPr>
          <w:trHeight w:val="158" w:hRule="exact"/>
        </w:trPr>
        <w:tc>
          <w:tcPr>
            <w:tcW w:w="1901"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9"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410" w:right="51" w:hanging="361"/>
              <w:jc w:val="left"/>
              <w:rPr>
                <w:rFonts w:ascii="宋体" w:hAnsi="宋体" w:cs="宋体" w:eastAsia="宋体" w:hint="default"/>
                <w:sz w:val="18"/>
                <w:szCs w:val="18"/>
              </w:rPr>
            </w:pPr>
            <w:r>
              <w:rPr>
                <w:rFonts w:ascii="宋体" w:hAnsi="宋体" w:cs="宋体" w:eastAsia="宋体" w:hint="default"/>
                <w:spacing w:val="-2"/>
                <w:sz w:val="18"/>
                <w:szCs w:val="18"/>
              </w:rPr>
              <w:t>递延所得税资产和负债</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期末互抵金额</w:t>
            </w:r>
          </w:p>
        </w:tc>
        <w:tc>
          <w:tcPr>
            <w:tcW w:w="191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321" w:right="41" w:hanging="269"/>
              <w:jc w:val="left"/>
              <w:rPr>
                <w:rFonts w:ascii="宋体" w:hAnsi="宋体" w:cs="宋体" w:eastAsia="宋体" w:hint="default"/>
                <w:sz w:val="18"/>
                <w:szCs w:val="18"/>
              </w:rPr>
            </w:pPr>
            <w:r>
              <w:rPr>
                <w:rFonts w:ascii="宋体" w:hAnsi="宋体" w:cs="宋体" w:eastAsia="宋体" w:hint="default"/>
                <w:spacing w:val="-2"/>
                <w:sz w:val="18"/>
                <w:szCs w:val="18"/>
              </w:rPr>
              <w:t>抵销后递延所得税资产</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3"/>
                <w:sz w:val="18"/>
                <w:szCs w:val="18"/>
              </w:rPr>
              <w:t>或负债期末余额</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413" w:right="46" w:hanging="360"/>
              <w:jc w:val="left"/>
              <w:rPr>
                <w:rFonts w:ascii="宋体" w:hAnsi="宋体" w:cs="宋体" w:eastAsia="宋体" w:hint="default"/>
                <w:sz w:val="18"/>
                <w:szCs w:val="18"/>
              </w:rPr>
            </w:pPr>
            <w:r>
              <w:rPr>
                <w:rFonts w:ascii="宋体" w:hAnsi="宋体" w:cs="宋体" w:eastAsia="宋体" w:hint="default"/>
                <w:spacing w:val="-2"/>
                <w:sz w:val="18"/>
                <w:szCs w:val="18"/>
              </w:rPr>
              <w:t>递延所得税资产和负债</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期初互抵金额</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321" w:right="46" w:hanging="269"/>
              <w:jc w:val="left"/>
              <w:rPr>
                <w:rFonts w:ascii="宋体" w:hAnsi="宋体" w:cs="宋体" w:eastAsia="宋体" w:hint="default"/>
                <w:sz w:val="18"/>
                <w:szCs w:val="18"/>
              </w:rPr>
            </w:pPr>
            <w:r>
              <w:rPr>
                <w:rFonts w:ascii="宋体" w:hAnsi="宋体" w:cs="宋体" w:eastAsia="宋体" w:hint="default"/>
                <w:spacing w:val="-2"/>
                <w:sz w:val="18"/>
                <w:szCs w:val="18"/>
              </w:rPr>
              <w:t>抵销后递延所得税资产</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3"/>
                <w:sz w:val="18"/>
                <w:szCs w:val="18"/>
              </w:rPr>
              <w:t>或负债期初余额</w:t>
            </w:r>
          </w:p>
        </w:tc>
      </w:tr>
      <w:tr>
        <w:trPr>
          <w:trHeight w:val="394" w:hRule="exact"/>
        </w:trPr>
        <w:tc>
          <w:tcPr>
            <w:tcW w:w="190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1919" w:type="dxa"/>
            <w:vMerge/>
            <w:tcBorders>
              <w:left w:val="single" w:sz="4" w:space="0" w:color="000000"/>
              <w:right w:val="single" w:sz="4" w:space="0" w:color="000000"/>
            </w:tcBorders>
            <w:shd w:val="clear" w:color="auto" w:fill="D2D2D2"/>
          </w:tcPr>
          <w:p>
            <w:pPr/>
          </w:p>
        </w:tc>
        <w:tc>
          <w:tcPr>
            <w:tcW w:w="1911" w:type="dxa"/>
            <w:vMerge/>
            <w:tcBorders>
              <w:left w:val="single" w:sz="4" w:space="0" w:color="000000"/>
              <w:right w:val="single" w:sz="4" w:space="0" w:color="000000"/>
            </w:tcBorders>
            <w:shd w:val="clear" w:color="auto" w:fill="D2D2D2"/>
          </w:tcPr>
          <w:p>
            <w:pPr/>
          </w:p>
        </w:tc>
        <w:tc>
          <w:tcPr>
            <w:tcW w:w="1916" w:type="dxa"/>
            <w:vMerge/>
            <w:tcBorders>
              <w:left w:val="single" w:sz="4" w:space="0" w:color="000000"/>
              <w:right w:val="single" w:sz="4" w:space="0" w:color="000000"/>
            </w:tcBorders>
            <w:shd w:val="clear" w:color="auto" w:fill="D2D2D2"/>
          </w:tcPr>
          <w:p>
            <w:pPr/>
          </w:p>
        </w:tc>
        <w:tc>
          <w:tcPr>
            <w:tcW w:w="1916" w:type="dxa"/>
            <w:vMerge/>
            <w:tcBorders>
              <w:left w:val="single" w:sz="4" w:space="0" w:color="000000"/>
              <w:right w:val="single" w:sz="4" w:space="0" w:color="000000"/>
            </w:tcBorders>
            <w:shd w:val="clear" w:color="auto" w:fill="D2D2D2"/>
          </w:tcPr>
          <w:p>
            <w:pPr/>
          </w:p>
        </w:tc>
      </w:tr>
      <w:tr>
        <w:trPr>
          <w:trHeight w:val="158" w:hRule="exact"/>
        </w:trPr>
        <w:tc>
          <w:tcPr>
            <w:tcW w:w="19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9" w:type="dxa"/>
            <w:vMerge/>
            <w:tcBorders>
              <w:left w:val="single" w:sz="4" w:space="0" w:color="000000"/>
              <w:bottom w:val="single" w:sz="4" w:space="0" w:color="000000"/>
              <w:right w:val="single" w:sz="4" w:space="0" w:color="000000"/>
            </w:tcBorders>
            <w:shd w:val="clear" w:color="auto" w:fill="D2D2D2"/>
          </w:tcPr>
          <w:p>
            <w:pPr/>
          </w:p>
        </w:tc>
        <w:tc>
          <w:tcPr>
            <w:tcW w:w="1911"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递延所得税资产</w:t>
            </w:r>
          </w:p>
        </w:tc>
        <w:tc>
          <w:tcPr>
            <w:tcW w:w="1919" w:type="dxa"/>
            <w:tcBorders>
              <w:top w:val="single" w:sz="4" w:space="0" w:color="000000"/>
              <w:left w:val="single" w:sz="10" w:space="0" w:color="D2D2D2"/>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45,008,942.71</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31,443,857.83</w:t>
            </w:r>
          </w:p>
        </w:tc>
      </w:tr>
      <w:tr>
        <w:trPr>
          <w:trHeight w:val="404"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pacing w:val="-3"/>
                <w:sz w:val="18"/>
                <w:szCs w:val="18"/>
              </w:rPr>
              <w:t>递延所得税负债</w:t>
            </w:r>
          </w:p>
        </w:tc>
        <w:tc>
          <w:tcPr>
            <w:tcW w:w="1919" w:type="dxa"/>
            <w:tcBorders>
              <w:top w:val="single" w:sz="4" w:space="0" w:color="000000"/>
              <w:left w:val="single" w:sz="10" w:space="0" w:color="D2D2D2"/>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3,860,693.19</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2,655,208.66</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4）未确认递延所得税资产明细" w:id="276"/>
      <w:bookmarkEnd w:id="276"/>
      <w:r>
        <w:rPr>
          <w:b w:val="0"/>
          <w:bCs w:val="0"/>
        </w:rPr>
      </w:r>
      <w:r>
        <w:rPr/>
        <w:t>（</w:t>
      </w:r>
      <w:r>
        <w:rPr>
          <w:rFonts w:ascii="Times New Roman" w:hAnsi="Times New Roman" w:cs="Times New Roman" w:eastAsia="Times New Roman" w:hint="default"/>
        </w:rPr>
        <w:t>4</w:t>
      </w:r>
      <w:r>
        <w:rPr/>
        <w:t>）未确认递延所得税资产明细</w:t>
      </w:r>
      <w:r>
        <w:rPr>
          <w:b w:val="0"/>
          <w:bCs w:val="0"/>
        </w:rPr>
      </w:r>
    </w:p>
    <w:p>
      <w:pPr>
        <w:spacing w:line="240" w:lineRule="auto" w:before="7"/>
        <w:rPr>
          <w:rFonts w:ascii="宋体" w:hAnsi="宋体" w:cs="宋体" w:eastAsia="宋体" w:hint="default"/>
          <w:b/>
          <w:bCs/>
          <w:sz w:val="32"/>
          <w:szCs w:val="32"/>
        </w:rPr>
      </w:pPr>
    </w:p>
    <w:p>
      <w:pPr>
        <w:pStyle w:val="BodyText"/>
        <w:spacing w:line="240" w:lineRule="auto"/>
        <w:ind w:left="513" w:right="0"/>
        <w:jc w:val="left"/>
      </w:pPr>
      <w:r>
        <w:rPr/>
        <w:t>无。</w:t>
      </w:r>
    </w:p>
    <w:p>
      <w:pPr>
        <w:spacing w:after="0" w:line="240" w:lineRule="auto"/>
        <w:jc w:val="left"/>
        <w:sectPr>
          <w:pgSz w:w="11910" w:h="16840"/>
          <w:pgMar w:header="871" w:footer="1186" w:top="1100" w:bottom="1380" w:left="980" w:right="0"/>
        </w:sectPr>
      </w:pPr>
    </w:p>
    <w:p>
      <w:pPr>
        <w:spacing w:line="240" w:lineRule="auto" w:before="0"/>
        <w:rPr>
          <w:rFonts w:ascii="宋体" w:hAnsi="宋体" w:cs="宋体" w:eastAsia="宋体" w:hint="default"/>
          <w:sz w:val="21"/>
          <w:szCs w:val="21"/>
        </w:rPr>
      </w:pPr>
    </w:p>
    <w:p>
      <w:pPr>
        <w:pStyle w:val="Heading3"/>
        <w:spacing w:line="240" w:lineRule="auto" w:before="36"/>
        <w:ind w:right="0"/>
        <w:jc w:val="left"/>
        <w:rPr>
          <w:b w:val="0"/>
          <w:bCs w:val="0"/>
        </w:rPr>
      </w:pPr>
      <w:bookmarkStart w:name="（5）未确认递延所得税资产的可抵扣亏损将于以下年度到期" w:id="277"/>
      <w:bookmarkEnd w:id="277"/>
      <w:r>
        <w:rPr>
          <w:b w:val="0"/>
          <w:bCs w:val="0"/>
        </w:rPr>
      </w:r>
      <w:r>
        <w:rPr/>
        <w:t>（</w:t>
      </w:r>
      <w:r>
        <w:rPr>
          <w:rFonts w:ascii="Times New Roman" w:hAnsi="Times New Roman" w:cs="Times New Roman" w:eastAsia="Times New Roman" w:hint="default"/>
        </w:rPr>
        <w:t>5</w:t>
      </w:r>
      <w:r>
        <w:rPr/>
        <w:t>）未确认递延所得税资产的可抵扣亏损将于以下年度到期</w:t>
      </w:r>
      <w:r>
        <w:rPr>
          <w:b w:val="0"/>
          <w:bCs w:val="0"/>
        </w:rPr>
      </w:r>
    </w:p>
    <w:p>
      <w:pPr>
        <w:spacing w:line="240" w:lineRule="auto" w:before="7"/>
        <w:rPr>
          <w:rFonts w:ascii="宋体" w:hAnsi="宋体" w:cs="宋体" w:eastAsia="宋体" w:hint="default"/>
          <w:b/>
          <w:bCs/>
          <w:sz w:val="32"/>
          <w:szCs w:val="32"/>
        </w:rPr>
      </w:pPr>
    </w:p>
    <w:p>
      <w:pPr>
        <w:pStyle w:val="BodyText"/>
        <w:spacing w:line="240" w:lineRule="auto"/>
        <w:ind w:left="513" w:right="0"/>
        <w:jc w:val="left"/>
      </w:pPr>
      <w:r>
        <w:rPr/>
        <w:t>无。</w:t>
      </w: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14"/>
          <w:szCs w:val="14"/>
        </w:rPr>
      </w:pPr>
    </w:p>
    <w:p>
      <w:pPr>
        <w:pStyle w:val="Heading3"/>
        <w:spacing w:line="240" w:lineRule="auto"/>
        <w:ind w:right="0"/>
        <w:jc w:val="left"/>
        <w:rPr>
          <w:b w:val="0"/>
          <w:bCs w:val="0"/>
        </w:rPr>
      </w:pPr>
      <w:bookmarkStart w:name="16、其他非流动资产" w:id="278"/>
      <w:bookmarkEnd w:id="278"/>
      <w:r>
        <w:rPr>
          <w:b w:val="0"/>
          <w:bCs w:val="0"/>
        </w:rPr>
      </w:r>
      <w:r>
        <w:rPr>
          <w:rFonts w:ascii="Times New Roman" w:hAnsi="Times New Roman" w:cs="Times New Roman" w:eastAsia="Times New Roman" w:hint="default"/>
        </w:rPr>
        <w:t>16</w:t>
      </w:r>
      <w:r>
        <w:rPr/>
        <w:t>、其他非流动资产</w:t>
      </w:r>
      <w:r>
        <w:rPr>
          <w:b w:val="0"/>
          <w:bCs w:val="0"/>
        </w:rPr>
      </w:r>
    </w:p>
    <w:p>
      <w:pPr>
        <w:spacing w:line="240" w:lineRule="auto" w:before="6"/>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871" w:footer="1186" w:top="1100" w:bottom="1380" w:left="980" w:right="0"/>
        </w:sectPr>
      </w:pPr>
    </w:p>
    <w:p>
      <w:pPr>
        <w:pStyle w:val="BodyText"/>
        <w:spacing w:line="240" w:lineRule="auto" w:before="46"/>
        <w:ind w:right="0"/>
        <w:jc w:val="left"/>
      </w:pPr>
      <w:r>
        <w:rPr>
          <w:spacing w:val="-2"/>
        </w:rPr>
        <w:t>是否已执行新收入准则</w:t>
      </w:r>
    </w:p>
    <w:p>
      <w:pPr>
        <w:pStyle w:val="BodyText"/>
        <w:spacing w:line="240" w:lineRule="auto" w:before="115"/>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w:t>
      </w:r>
      <w:r>
        <w:rPr>
          <w:spacing w:val="5"/>
        </w:rPr>
        <w:t> </w:t>
      </w:r>
      <w:r>
        <w:rPr/>
        <w:t>元</w:t>
      </w:r>
    </w:p>
    <w:p>
      <w:pPr>
        <w:spacing w:after="0" w:line="240" w:lineRule="auto"/>
        <w:jc w:val="left"/>
        <w:sectPr>
          <w:type w:val="continuous"/>
          <w:pgSz w:w="11910" w:h="16840"/>
          <w:pgMar w:top="1580" w:bottom="700" w:left="980" w:right="0"/>
          <w:cols w:num="2" w:equalWidth="0">
            <w:col w:w="1959" w:space="6872"/>
            <w:col w:w="2099"/>
          </w:cols>
        </w:sectPr>
      </w:pP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398"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预付房款</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1,527,148.00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投资意向金</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10,000,000.00</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11,527,148.00</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17、短期借款" w:id="279"/>
      <w:bookmarkEnd w:id="279"/>
      <w:r>
        <w:rPr>
          <w:b w:val="0"/>
          <w:bCs w:val="0"/>
        </w:rPr>
      </w:r>
      <w:r>
        <w:rPr>
          <w:rFonts w:ascii="Times New Roman" w:hAnsi="Times New Roman" w:cs="Times New Roman" w:eastAsia="Times New Roman" w:hint="default"/>
        </w:rPr>
        <w:t>17</w:t>
      </w:r>
      <w:r>
        <w:rPr/>
        <w:t>、短期借款</w:t>
      </w:r>
      <w:r>
        <w:rPr>
          <w:b w:val="0"/>
          <w:bCs w:val="0"/>
        </w:rPr>
      </w:r>
    </w:p>
    <w:p>
      <w:pPr>
        <w:spacing w:line="240" w:lineRule="auto" w:before="5"/>
        <w:rPr>
          <w:rFonts w:ascii="宋体" w:hAnsi="宋体" w:cs="宋体" w:eastAsia="宋体" w:hint="default"/>
          <w:b/>
          <w:bCs/>
          <w:sz w:val="24"/>
          <w:szCs w:val="24"/>
        </w:rPr>
      </w:pPr>
    </w:p>
    <w:p>
      <w:pPr>
        <w:pStyle w:val="Heading3"/>
        <w:spacing w:line="240" w:lineRule="auto"/>
        <w:ind w:right="0"/>
        <w:jc w:val="left"/>
        <w:rPr>
          <w:b w:val="0"/>
          <w:bCs w:val="0"/>
        </w:rPr>
      </w:pPr>
      <w:bookmarkStart w:name="（1）短期借款分类" w:id="280"/>
      <w:bookmarkEnd w:id="280"/>
      <w:r>
        <w:rPr>
          <w:b w:val="0"/>
          <w:bCs w:val="0"/>
        </w:rPr>
      </w:r>
      <w:r>
        <w:rPr/>
        <w:t>（</w:t>
      </w:r>
      <w:r>
        <w:rPr>
          <w:rFonts w:ascii="Times New Roman" w:hAnsi="Times New Roman" w:cs="Times New Roman" w:eastAsia="Times New Roman" w:hint="default"/>
        </w:rPr>
        <w:t>1</w:t>
      </w:r>
      <w:r>
        <w:rPr/>
        <w:t>）短期借款分类</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质押借款</w:t>
            </w:r>
          </w:p>
        </w:tc>
        <w:tc>
          <w:tcPr>
            <w:tcW w:w="31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10,000,000.00</w:t>
            </w:r>
          </w:p>
        </w:tc>
        <w:tc>
          <w:tcPr>
            <w:tcW w:w="31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31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65,000,000.00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60,000,000.00</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31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255,000,000.00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218,000,000.00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未到期应付利息</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456,086.25</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347,329.17</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银行承兑汇票贴现</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7,900,000.00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信用证借款</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2,000,000.00</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330,456,086.25</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288,247,329.17</w:t>
            </w:r>
          </w:p>
        </w:tc>
      </w:tr>
    </w:tbl>
    <w:p>
      <w:pPr>
        <w:pStyle w:val="BodyText"/>
        <w:spacing w:line="240" w:lineRule="auto" w:before="53"/>
        <w:ind w:right="0"/>
        <w:jc w:val="left"/>
      </w:pPr>
      <w:r>
        <w:rPr/>
        <w:t>短期借款分类的说明：</w:t>
      </w:r>
    </w:p>
    <w:p>
      <w:pPr>
        <w:spacing w:line="240" w:lineRule="auto" w:before="0"/>
        <w:rPr>
          <w:rFonts w:ascii="宋体" w:hAnsi="宋体" w:cs="宋体" w:eastAsia="宋体" w:hint="default"/>
          <w:sz w:val="15"/>
          <w:szCs w:val="15"/>
        </w:rPr>
      </w:pPr>
    </w:p>
    <w:p>
      <w:pPr>
        <w:pStyle w:val="BodyText"/>
        <w:spacing w:line="448" w:lineRule="auto"/>
        <w:ind w:right="0" w:firstLine="360"/>
        <w:jc w:val="left"/>
      </w:pPr>
      <w:r>
        <w:rPr>
          <w:rFonts w:ascii="Times New Roman" w:hAnsi="Times New Roman" w:cs="Times New Roman" w:eastAsia="Times New Roman" w:hint="default"/>
          <w:spacing w:val="-3"/>
        </w:rPr>
        <w:t>1</w:t>
      </w:r>
      <w:r>
        <w:rPr>
          <w:spacing w:val="-3"/>
        </w:rPr>
        <w:t>、质押借款期末余额中人民币 </w:t>
      </w:r>
      <w:r>
        <w:rPr>
          <w:rFonts w:ascii="Times New Roman" w:hAnsi="Times New Roman" w:cs="Times New Roman" w:eastAsia="Times New Roman" w:hint="default"/>
        </w:rPr>
        <w:t>10,000,000.00</w:t>
      </w:r>
      <w:r>
        <w:rPr>
          <w:rFonts w:ascii="Times New Roman" w:hAnsi="Times New Roman" w:cs="Times New Roman" w:eastAsia="Times New Roman" w:hint="default"/>
          <w:spacing w:val="30"/>
        </w:rPr>
        <w:t> </w:t>
      </w:r>
      <w:r>
        <w:rPr>
          <w:spacing w:val="-3"/>
        </w:rPr>
        <w:t>元系本公司之全资子公司北京亿美软通科技有限公司取得的借款，由该公</w:t>
      </w:r>
      <w:r>
        <w:rPr>
          <w:w w:val="101"/>
        </w:rPr>
        <w:t> </w:t>
      </w:r>
      <w:r>
        <w:rPr>
          <w:spacing w:val="-3"/>
        </w:rPr>
        <w:t>司应收账款质押担保，并由该公司董事长冯军及配偶刘佳提供连带责任保证；</w:t>
      </w:r>
    </w:p>
    <w:p>
      <w:pPr>
        <w:pStyle w:val="BodyText"/>
        <w:spacing w:line="240" w:lineRule="auto" w:before="78"/>
        <w:ind w:left="513" w:right="0"/>
        <w:jc w:val="left"/>
      </w:pPr>
      <w:r>
        <w:rPr>
          <w:rFonts w:ascii="Times New Roman" w:hAnsi="Times New Roman" w:cs="Times New Roman" w:eastAsia="Times New Roman" w:hint="default"/>
          <w:spacing w:val="-3"/>
        </w:rPr>
        <w:t>2</w:t>
      </w:r>
      <w:r>
        <w:rPr>
          <w:spacing w:val="-3"/>
        </w:rPr>
        <w:t>、保证借款期末余额中人民币 </w:t>
      </w:r>
      <w:r>
        <w:rPr>
          <w:rFonts w:ascii="Times New Roman" w:hAnsi="Times New Roman" w:cs="Times New Roman" w:eastAsia="Times New Roman" w:hint="default"/>
        </w:rPr>
        <w:t>20,000,000.00 </w:t>
      </w:r>
      <w:r>
        <w:rPr>
          <w:rFonts w:ascii="Times New Roman" w:hAnsi="Times New Roman" w:cs="Times New Roman" w:eastAsia="Times New Roman" w:hint="default"/>
          <w:spacing w:val="7"/>
        </w:rPr>
        <w:t> </w:t>
      </w:r>
      <w:r>
        <w:rPr>
          <w:spacing w:val="-3"/>
        </w:rPr>
        <w:t>元系本公司取得的借款，由深圳市高新投融资担保有限公司提供连带责任</w:t>
      </w:r>
    </w:p>
    <w:p>
      <w:pPr>
        <w:spacing w:line="240" w:lineRule="auto" w:before="7"/>
        <w:rPr>
          <w:rFonts w:ascii="宋体" w:hAnsi="宋体" w:cs="宋体" w:eastAsia="宋体" w:hint="default"/>
          <w:sz w:val="16"/>
          <w:szCs w:val="16"/>
        </w:rPr>
      </w:pPr>
    </w:p>
    <w:p>
      <w:pPr>
        <w:pStyle w:val="BodyText"/>
        <w:spacing w:line="453" w:lineRule="auto"/>
        <w:ind w:right="0"/>
        <w:jc w:val="left"/>
      </w:pPr>
      <w:r>
        <w:rPr>
          <w:spacing w:val="-4"/>
        </w:rPr>
        <w:t>保证；期末余额中人民币 </w:t>
      </w:r>
      <w:r>
        <w:rPr>
          <w:rFonts w:ascii="Times New Roman" w:hAnsi="Times New Roman" w:cs="Times New Roman" w:eastAsia="Times New Roman" w:hint="default"/>
        </w:rPr>
        <w:t>5,000,000.00 </w:t>
      </w:r>
      <w:r>
        <w:rPr>
          <w:spacing w:val="-3"/>
        </w:rPr>
        <w:t>元系本公司之全资子公司北京亿美软通科技有限公司取得的借款，由北京海淀科技企</w:t>
      </w:r>
      <w:r>
        <w:rPr>
          <w:spacing w:val="-67"/>
        </w:rPr>
        <w:t> </w:t>
      </w:r>
      <w:r>
        <w:rPr>
          <w:spacing w:val="-67"/>
        </w:rPr>
      </w:r>
      <w:r>
        <w:rPr>
          <w:spacing w:val="-3"/>
        </w:rPr>
        <w:t>业融资担保有限公司提供连带责任保证；其他保证借款见附注十二、</w:t>
      </w:r>
      <w:r>
        <w:rPr>
          <w:rFonts w:ascii="Times New Roman" w:hAnsi="Times New Roman" w:cs="Times New Roman" w:eastAsia="Times New Roman" w:hint="default"/>
          <w:spacing w:val="-3"/>
        </w:rPr>
        <w:t>2  </w:t>
      </w:r>
      <w:r>
        <w:rPr>
          <w:rFonts w:ascii="Times New Roman" w:hAnsi="Times New Roman" w:cs="Times New Roman" w:eastAsia="Times New Roman" w:hint="default"/>
          <w:spacing w:val="28"/>
        </w:rPr>
        <w:t> </w:t>
      </w:r>
      <w:r>
        <w:rPr>
          <w:spacing w:val="-3"/>
        </w:rPr>
        <w:t>关联担保情况。</w:t>
      </w:r>
    </w:p>
    <w:p>
      <w:pPr>
        <w:spacing w:line="240" w:lineRule="auto" w:before="13"/>
        <w:rPr>
          <w:rFonts w:ascii="宋体" w:hAnsi="宋体" w:cs="宋体" w:eastAsia="宋体" w:hint="default"/>
          <w:sz w:val="17"/>
          <w:szCs w:val="17"/>
        </w:rPr>
      </w:pPr>
    </w:p>
    <w:p>
      <w:pPr>
        <w:pStyle w:val="Heading3"/>
        <w:spacing w:line="240" w:lineRule="auto"/>
        <w:ind w:right="0"/>
        <w:jc w:val="left"/>
        <w:rPr>
          <w:b w:val="0"/>
          <w:bCs w:val="0"/>
        </w:rPr>
      </w:pPr>
      <w:bookmarkStart w:name="（2）已逾期未偿还的短期借款情况" w:id="281"/>
      <w:bookmarkEnd w:id="281"/>
      <w:r>
        <w:rPr>
          <w:b w:val="0"/>
          <w:bCs w:val="0"/>
        </w:rPr>
      </w:r>
      <w:r>
        <w:rPr/>
        <w:t>（</w:t>
      </w:r>
      <w:r>
        <w:rPr>
          <w:rFonts w:ascii="Times New Roman" w:hAnsi="Times New Roman" w:cs="Times New Roman" w:eastAsia="Times New Roman" w:hint="default"/>
        </w:rPr>
        <w:t>2</w:t>
      </w:r>
      <w:r>
        <w:rPr/>
        <w:t>）已逾期未偿还的短期借款情况</w:t>
      </w:r>
      <w:r>
        <w:rPr>
          <w:b w:val="0"/>
          <w:bCs w:val="0"/>
        </w:rPr>
      </w:r>
    </w:p>
    <w:p>
      <w:pPr>
        <w:spacing w:line="240" w:lineRule="auto" w:before="7"/>
        <w:rPr>
          <w:rFonts w:ascii="宋体" w:hAnsi="宋体" w:cs="宋体" w:eastAsia="宋体" w:hint="default"/>
          <w:b/>
          <w:bCs/>
          <w:sz w:val="32"/>
          <w:szCs w:val="32"/>
        </w:rPr>
      </w:pPr>
    </w:p>
    <w:p>
      <w:pPr>
        <w:pStyle w:val="BodyText"/>
        <w:spacing w:line="240" w:lineRule="auto"/>
        <w:ind w:left="513" w:right="0"/>
        <w:jc w:val="left"/>
      </w:pPr>
      <w:r>
        <w:rPr>
          <w:spacing w:val="-3"/>
        </w:rPr>
        <w:t>本期末已逾期未偿还的短期借款总额为 </w:t>
      </w:r>
      <w:r>
        <w:rPr>
          <w:rFonts w:ascii="Times New Roman" w:hAnsi="Times New Roman" w:cs="Times New Roman" w:eastAsia="Times New Roman" w:hint="default"/>
        </w:rPr>
        <w:t>0.00 </w:t>
      </w:r>
      <w:r>
        <w:rPr>
          <w:rFonts w:ascii="Times New Roman" w:hAnsi="Times New Roman" w:cs="Times New Roman" w:eastAsia="Times New Roman" w:hint="default"/>
          <w:spacing w:val="32"/>
        </w:rPr>
        <w:t> </w:t>
      </w:r>
      <w:r>
        <w:rPr>
          <w:spacing w:val="-3"/>
        </w:rPr>
        <w:t>元，其中重要的已逾期未偿还的短期借款情况如下：</w:t>
      </w:r>
    </w:p>
    <w:p>
      <w:pPr>
        <w:spacing w:after="0" w:line="240" w:lineRule="auto"/>
        <w:jc w:val="left"/>
        <w:sectPr>
          <w:type w:val="continuous"/>
          <w:pgSz w:w="11910" w:h="16840"/>
          <w:pgMar w:top="1580" w:bottom="700" w:left="980" w:right="0"/>
        </w:sectPr>
      </w:pPr>
    </w:p>
    <w:p>
      <w:pPr>
        <w:spacing w:line="240" w:lineRule="auto" w:before="1"/>
        <w:rPr>
          <w:rFonts w:ascii="宋体" w:hAnsi="宋体" w:cs="宋体" w:eastAsia="宋体" w:hint="default"/>
          <w:sz w:val="28"/>
          <w:szCs w:val="28"/>
        </w:rPr>
      </w:pPr>
    </w:p>
    <w:p>
      <w:pPr>
        <w:pStyle w:val="BodyText"/>
        <w:spacing w:line="240" w:lineRule="auto" w:before="46"/>
        <w:ind w:left="513" w:right="0"/>
        <w:jc w:val="left"/>
      </w:pPr>
      <w:r>
        <w:rPr/>
        <w:t>无。</w:t>
      </w: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14"/>
          <w:szCs w:val="14"/>
        </w:rPr>
      </w:pPr>
    </w:p>
    <w:p>
      <w:pPr>
        <w:pStyle w:val="Heading3"/>
        <w:spacing w:line="240" w:lineRule="auto"/>
        <w:ind w:right="0"/>
        <w:jc w:val="left"/>
        <w:rPr>
          <w:b w:val="0"/>
          <w:bCs w:val="0"/>
        </w:rPr>
      </w:pPr>
      <w:bookmarkStart w:name="18、交易性金融负债" w:id="282"/>
      <w:bookmarkEnd w:id="282"/>
      <w:r>
        <w:rPr>
          <w:b w:val="0"/>
          <w:bCs w:val="0"/>
        </w:rPr>
      </w:r>
      <w:r>
        <w:rPr>
          <w:rFonts w:ascii="Times New Roman" w:hAnsi="Times New Roman" w:cs="Times New Roman" w:eastAsia="Times New Roman" w:hint="default"/>
        </w:rPr>
        <w:t>18</w:t>
      </w:r>
      <w:r>
        <w:rPr/>
        <w:t>、交易性金融负债</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5"/>
        <w:gridCol w:w="3193"/>
      </w:tblGrid>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交易性金融负债</w:t>
            </w:r>
          </w:p>
        </w:tc>
        <w:tc>
          <w:tcPr>
            <w:tcW w:w="32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50,455.50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0.00</w:t>
            </w:r>
          </w:p>
        </w:tc>
      </w:tr>
      <w:tr>
        <w:trPr>
          <w:trHeight w:val="399"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pacing w:val="-3"/>
                <w:sz w:val="18"/>
                <w:szCs w:val="18"/>
              </w:rPr>
              <w:t>其中：远期外汇交易</w:t>
            </w:r>
          </w:p>
        </w:tc>
        <w:tc>
          <w:tcPr>
            <w:tcW w:w="3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50,455.50</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50,455.50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3"/>
        <w:ind w:right="0"/>
        <w:jc w:val="left"/>
      </w:pPr>
      <w:r>
        <w:rPr/>
        <w:t>其他说明：</w:t>
      </w:r>
    </w:p>
    <w:p>
      <w:pPr>
        <w:spacing w:line="240" w:lineRule="auto" w:before="0"/>
        <w:rPr>
          <w:rFonts w:ascii="宋体" w:hAnsi="宋体" w:cs="宋体" w:eastAsia="宋体" w:hint="default"/>
          <w:sz w:val="15"/>
          <w:szCs w:val="15"/>
        </w:rPr>
      </w:pPr>
    </w:p>
    <w:p>
      <w:pPr>
        <w:pStyle w:val="BodyText"/>
        <w:spacing w:line="475" w:lineRule="auto"/>
        <w:ind w:right="0" w:firstLine="360"/>
        <w:jc w:val="left"/>
      </w:pPr>
      <w:r>
        <w:rPr>
          <w:spacing w:val="-4"/>
        </w:rPr>
        <w:t>本公司子公司安科创新（深圳）有限公司委托宁波银行办理的远期结汇业务，运用销售实现的外汇收入在汇率波动幅度</w:t>
      </w:r>
      <w:r>
        <w:rPr>
          <w:w w:val="101"/>
        </w:rPr>
        <w:t> </w:t>
      </w:r>
      <w:r>
        <w:rPr>
          <w:spacing w:val="-3"/>
        </w:rPr>
        <w:t>较小的范围内提前锁定远期汇率，规避汇率剧烈波动风险。</w:t>
      </w:r>
    </w:p>
    <w:p>
      <w:pPr>
        <w:pStyle w:val="BodyText"/>
        <w:spacing w:line="240" w:lineRule="auto" w:before="58"/>
        <w:ind w:left="513" w:right="0"/>
        <w:jc w:val="left"/>
      </w:pPr>
      <w:r>
        <w:rPr>
          <w:spacing w:val="-4"/>
        </w:rPr>
        <w:t>截至报告期末，未交割的远期结汇合约金额合计为 </w:t>
      </w:r>
      <w:r>
        <w:rPr>
          <w:rFonts w:ascii="Times New Roman" w:hAnsi="Times New Roman" w:cs="Times New Roman" w:eastAsia="Times New Roman" w:hint="default"/>
        </w:rPr>
        <w:t>399,963.50 </w:t>
      </w:r>
      <w:r>
        <w:rPr>
          <w:rFonts w:ascii="Times New Roman" w:hAnsi="Times New Roman" w:cs="Times New Roman" w:eastAsia="Times New Roman" w:hint="default"/>
          <w:spacing w:val="21"/>
        </w:rPr>
        <w:t> </w:t>
      </w:r>
      <w:r>
        <w:rPr>
          <w:spacing w:val="-4"/>
        </w:rPr>
        <w:t>美元，按照资产负债表日预期的远期结汇汇率与当初约定</w:t>
      </w:r>
    </w:p>
    <w:p>
      <w:pPr>
        <w:spacing w:line="240" w:lineRule="auto" w:before="7"/>
        <w:rPr>
          <w:rFonts w:ascii="宋体" w:hAnsi="宋体" w:cs="宋体" w:eastAsia="宋体" w:hint="default"/>
          <w:sz w:val="16"/>
          <w:szCs w:val="16"/>
        </w:rPr>
      </w:pPr>
    </w:p>
    <w:p>
      <w:pPr>
        <w:pStyle w:val="BodyText"/>
        <w:spacing w:line="240" w:lineRule="auto"/>
        <w:ind w:right="0"/>
        <w:jc w:val="left"/>
      </w:pPr>
      <w:r>
        <w:rPr>
          <w:w w:val="101"/>
        </w:rPr>
        <w:t>的</w:t>
      </w:r>
      <w:r>
        <w:rPr>
          <w:spacing w:val="-5"/>
          <w:w w:val="101"/>
        </w:rPr>
        <w:t>远</w:t>
      </w:r>
      <w:r>
        <w:rPr>
          <w:w w:val="101"/>
        </w:rPr>
        <w:t>期</w:t>
      </w:r>
      <w:r>
        <w:rPr>
          <w:spacing w:val="-5"/>
          <w:w w:val="101"/>
        </w:rPr>
        <w:t>结</w:t>
      </w:r>
      <w:r>
        <w:rPr>
          <w:w w:val="101"/>
        </w:rPr>
        <w:t>汇</w:t>
      </w:r>
      <w:r>
        <w:rPr>
          <w:spacing w:val="-5"/>
          <w:w w:val="101"/>
        </w:rPr>
        <w:t>合</w:t>
      </w:r>
      <w:r>
        <w:rPr>
          <w:w w:val="101"/>
        </w:rPr>
        <w:t>约</w:t>
      </w:r>
      <w:r>
        <w:rPr>
          <w:spacing w:val="-5"/>
          <w:w w:val="101"/>
        </w:rPr>
        <w:t>汇</w:t>
      </w:r>
      <w:r>
        <w:rPr>
          <w:w w:val="101"/>
        </w:rPr>
        <w:t>率</w:t>
      </w:r>
      <w:r>
        <w:rPr>
          <w:spacing w:val="-5"/>
          <w:w w:val="101"/>
        </w:rPr>
        <w:t>的</w:t>
      </w:r>
      <w:r>
        <w:rPr>
          <w:w w:val="101"/>
        </w:rPr>
        <w:t>差</w:t>
      </w:r>
      <w:r>
        <w:rPr>
          <w:spacing w:val="-5"/>
          <w:w w:val="101"/>
        </w:rPr>
        <w:t>异</w:t>
      </w:r>
      <w:r>
        <w:rPr>
          <w:spacing w:val="-73"/>
          <w:w w:val="101"/>
        </w:rPr>
        <w:t>，</w:t>
      </w:r>
      <w:r>
        <w:rPr>
          <w:spacing w:val="-5"/>
          <w:w w:val="101"/>
        </w:rPr>
        <w:t>确</w:t>
      </w:r>
      <w:r>
        <w:rPr>
          <w:w w:val="101"/>
        </w:rPr>
        <w:t>认</w:t>
      </w:r>
      <w:r>
        <w:rPr>
          <w:spacing w:val="-5"/>
          <w:w w:val="101"/>
        </w:rPr>
        <w:t>公</w:t>
      </w:r>
      <w:r>
        <w:rPr>
          <w:w w:val="101"/>
        </w:rPr>
        <w:t>允</w:t>
      </w:r>
      <w:r>
        <w:rPr>
          <w:spacing w:val="-5"/>
          <w:w w:val="101"/>
        </w:rPr>
        <w:t>价</w:t>
      </w:r>
      <w:r>
        <w:rPr>
          <w:w w:val="101"/>
        </w:rPr>
        <w:t>值</w:t>
      </w:r>
      <w:r>
        <w:rPr>
          <w:spacing w:val="-5"/>
          <w:w w:val="101"/>
        </w:rPr>
        <w:t>变</w:t>
      </w:r>
      <w:r>
        <w:rPr>
          <w:w w:val="101"/>
        </w:rPr>
        <w:t>动</w:t>
      </w:r>
      <w:r>
        <w:rPr>
          <w:spacing w:val="-5"/>
          <w:w w:val="101"/>
        </w:rPr>
        <w:t>收</w:t>
      </w:r>
      <w:r>
        <w:rPr>
          <w:w w:val="101"/>
        </w:rPr>
        <w:t>益</w:t>
      </w:r>
      <w:r>
        <w:rPr>
          <w:spacing w:val="-5"/>
          <w:w w:val="101"/>
        </w:rPr>
        <w:t>及</w:t>
      </w:r>
      <w:r>
        <w:rPr>
          <w:w w:val="101"/>
        </w:rPr>
        <w:t>以</w:t>
      </w:r>
      <w:r>
        <w:rPr>
          <w:spacing w:val="-5"/>
          <w:w w:val="101"/>
        </w:rPr>
        <w:t>公允</w:t>
      </w:r>
      <w:r>
        <w:rPr>
          <w:w w:val="101"/>
        </w:rPr>
        <w:t>价</w:t>
      </w:r>
      <w:r>
        <w:rPr>
          <w:spacing w:val="-5"/>
          <w:w w:val="101"/>
        </w:rPr>
        <w:t>值</w:t>
      </w:r>
      <w:r>
        <w:rPr>
          <w:spacing w:val="1"/>
          <w:w w:val="101"/>
        </w:rPr>
        <w:t>计</w:t>
      </w:r>
      <w:r>
        <w:rPr>
          <w:spacing w:val="-5"/>
          <w:w w:val="101"/>
        </w:rPr>
        <w:t>量</w:t>
      </w:r>
      <w:r>
        <w:rPr>
          <w:w w:val="101"/>
        </w:rPr>
        <w:t>且</w:t>
      </w:r>
      <w:r>
        <w:rPr>
          <w:spacing w:val="-5"/>
          <w:w w:val="101"/>
        </w:rPr>
        <w:t>变</w:t>
      </w:r>
      <w:r>
        <w:rPr>
          <w:w w:val="101"/>
        </w:rPr>
        <w:t>动</w:t>
      </w:r>
      <w:r>
        <w:rPr>
          <w:spacing w:val="-5"/>
          <w:w w:val="101"/>
        </w:rPr>
        <w:t>计</w:t>
      </w:r>
      <w:r>
        <w:rPr>
          <w:w w:val="101"/>
        </w:rPr>
        <w:t>入</w:t>
      </w:r>
      <w:r>
        <w:rPr>
          <w:spacing w:val="-5"/>
          <w:w w:val="101"/>
        </w:rPr>
        <w:t>当</w:t>
      </w:r>
      <w:r>
        <w:rPr>
          <w:w w:val="101"/>
        </w:rPr>
        <w:t>期</w:t>
      </w:r>
      <w:r>
        <w:rPr>
          <w:spacing w:val="-5"/>
          <w:w w:val="101"/>
        </w:rPr>
        <w:t>损</w:t>
      </w:r>
      <w:r>
        <w:rPr>
          <w:w w:val="101"/>
        </w:rPr>
        <w:t>益</w:t>
      </w:r>
      <w:r>
        <w:rPr>
          <w:spacing w:val="-5"/>
          <w:w w:val="101"/>
        </w:rPr>
        <w:t>的</w:t>
      </w:r>
      <w:r>
        <w:rPr>
          <w:w w:val="101"/>
        </w:rPr>
        <w:t>金</w:t>
      </w:r>
      <w:r>
        <w:rPr>
          <w:spacing w:val="-5"/>
          <w:w w:val="101"/>
        </w:rPr>
        <w:t>融</w:t>
      </w:r>
      <w:r>
        <w:rPr>
          <w:w w:val="101"/>
        </w:rPr>
        <w:t>负</w:t>
      </w:r>
      <w:r>
        <w:rPr>
          <w:spacing w:val="-5"/>
          <w:w w:val="101"/>
        </w:rPr>
        <w:t>债</w:t>
      </w:r>
      <w:r>
        <w:rPr>
          <w:w w:val="101"/>
        </w:rPr>
        <w:t>人民币</w:t>
      </w:r>
      <w:r>
        <w:rPr>
          <w:spacing w:val="-51"/>
        </w:rPr>
        <w:t> </w:t>
      </w:r>
      <w:r>
        <w:rPr>
          <w:rFonts w:ascii="Times New Roman" w:hAnsi="Times New Roman" w:cs="Times New Roman" w:eastAsia="Times New Roman" w:hint="default"/>
          <w:w w:val="101"/>
        </w:rPr>
        <w:t>50</w:t>
      </w:r>
      <w:r>
        <w:rPr>
          <w:rFonts w:ascii="Times New Roman" w:hAnsi="Times New Roman" w:cs="Times New Roman" w:eastAsia="Times New Roman" w:hint="default"/>
          <w:spacing w:val="-3"/>
          <w:w w:val="101"/>
        </w:rPr>
        <w:t>,</w:t>
      </w:r>
      <w:r>
        <w:rPr>
          <w:rFonts w:ascii="Times New Roman" w:hAnsi="Times New Roman" w:cs="Times New Roman" w:eastAsia="Times New Roman" w:hint="default"/>
          <w:w w:val="101"/>
        </w:rPr>
        <w:t>45</w:t>
      </w:r>
      <w:r>
        <w:rPr>
          <w:rFonts w:ascii="Times New Roman" w:hAnsi="Times New Roman" w:cs="Times New Roman" w:eastAsia="Times New Roman" w:hint="default"/>
          <w:spacing w:val="-5"/>
          <w:w w:val="101"/>
        </w:rPr>
        <w:t>5</w:t>
      </w:r>
      <w:r>
        <w:rPr>
          <w:rFonts w:ascii="Times New Roman" w:hAnsi="Times New Roman" w:cs="Times New Roman" w:eastAsia="Times New Roman" w:hint="default"/>
          <w:spacing w:val="2"/>
          <w:w w:val="101"/>
        </w:rPr>
        <w:t>.</w:t>
      </w:r>
      <w:r>
        <w:rPr>
          <w:rFonts w:ascii="Times New Roman" w:hAnsi="Times New Roman" w:cs="Times New Roman" w:eastAsia="Times New Roman" w:hint="default"/>
          <w:spacing w:val="-5"/>
          <w:w w:val="101"/>
        </w:rPr>
        <w:t>5</w:t>
      </w:r>
      <w:r>
        <w:rPr>
          <w:rFonts w:ascii="Times New Roman" w:hAnsi="Times New Roman" w:cs="Times New Roman" w:eastAsia="Times New Roman" w:hint="default"/>
          <w:w w:val="101"/>
        </w:rPr>
        <w:t>0</w:t>
      </w:r>
      <w:r>
        <w:rPr>
          <w:rFonts w:ascii="Times New Roman" w:hAnsi="Times New Roman" w:cs="Times New Roman" w:eastAsia="Times New Roman" w:hint="default"/>
          <w:spacing w:val="-7"/>
        </w:rPr>
        <w:t> </w:t>
      </w:r>
      <w:r>
        <w:rPr>
          <w:spacing w:val="-5"/>
          <w:w w:val="101"/>
        </w:rPr>
        <w:t>元。</w:t>
      </w:r>
      <w:r>
        <w:rPr/>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3"/>
          <w:szCs w:val="13"/>
        </w:rPr>
      </w:pPr>
    </w:p>
    <w:p>
      <w:pPr>
        <w:pStyle w:val="Heading3"/>
        <w:spacing w:line="240" w:lineRule="auto"/>
        <w:ind w:right="0"/>
        <w:jc w:val="left"/>
        <w:rPr>
          <w:b w:val="0"/>
          <w:bCs w:val="0"/>
        </w:rPr>
      </w:pPr>
      <w:bookmarkStart w:name="19、应付票据" w:id="283"/>
      <w:bookmarkEnd w:id="283"/>
      <w:r>
        <w:rPr>
          <w:b w:val="0"/>
          <w:bCs w:val="0"/>
        </w:rPr>
      </w:r>
      <w:r>
        <w:rPr>
          <w:rFonts w:ascii="Times New Roman" w:hAnsi="Times New Roman" w:cs="Times New Roman" w:eastAsia="Times New Roman" w:hint="default"/>
        </w:rPr>
        <w:t>19</w:t>
      </w:r>
      <w:r>
        <w:rPr/>
        <w:t>、应付票据</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5"/>
        <w:gridCol w:w="3193"/>
      </w:tblGrid>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3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商业承兑汇票</w:t>
            </w:r>
          </w:p>
        </w:tc>
        <w:tc>
          <w:tcPr>
            <w:tcW w:w="32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3,000,000.00</w:t>
            </w:r>
          </w:p>
        </w:tc>
        <w:tc>
          <w:tcPr>
            <w:tcW w:w="319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32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22,159,856.89</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55,722,833.97</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25,159,856.89</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55,722,833.97</w:t>
            </w:r>
          </w:p>
        </w:tc>
      </w:tr>
    </w:tbl>
    <w:p>
      <w:pPr>
        <w:pStyle w:val="BodyText"/>
        <w:spacing w:line="240" w:lineRule="auto" w:before="92"/>
        <w:ind w:left="513" w:right="0"/>
        <w:jc w:val="left"/>
      </w:pPr>
      <w:r>
        <w:rPr>
          <w:spacing w:val="-3"/>
        </w:rPr>
        <w:t>本期末已到期未支付的应付票据总额为 </w:t>
      </w:r>
      <w:r>
        <w:rPr>
          <w:rFonts w:ascii="Times New Roman" w:hAnsi="Times New Roman" w:cs="Times New Roman" w:eastAsia="Times New Roman" w:hint="default"/>
        </w:rPr>
        <w:t>0.00</w:t>
      </w:r>
      <w:r>
        <w:rPr>
          <w:rFonts w:ascii="Times New Roman" w:hAnsi="Times New Roman" w:cs="Times New Roman" w:eastAsia="Times New Roman" w:hint="default"/>
          <w:spacing w:val="12"/>
        </w:rPr>
        <w:t> </w:t>
      </w:r>
      <w:r>
        <w:rPr/>
        <w:t>元。</w:t>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3"/>
          <w:szCs w:val="13"/>
        </w:rPr>
      </w:pPr>
    </w:p>
    <w:p>
      <w:pPr>
        <w:pStyle w:val="Heading3"/>
        <w:spacing w:line="240" w:lineRule="auto"/>
        <w:ind w:right="0"/>
        <w:jc w:val="left"/>
        <w:rPr>
          <w:b w:val="0"/>
          <w:bCs w:val="0"/>
        </w:rPr>
      </w:pPr>
      <w:bookmarkStart w:name="20、应付账款" w:id="284"/>
      <w:bookmarkEnd w:id="284"/>
      <w:r>
        <w:rPr>
          <w:b w:val="0"/>
          <w:bCs w:val="0"/>
        </w:rPr>
      </w:r>
      <w:r>
        <w:rPr>
          <w:rFonts w:ascii="Times New Roman" w:hAnsi="Times New Roman" w:cs="Times New Roman" w:eastAsia="Times New Roman" w:hint="default"/>
        </w:rPr>
        <w:t>20</w:t>
      </w:r>
      <w:r>
        <w:rPr/>
        <w:t>、应付账款</w:t>
      </w:r>
      <w:r>
        <w:rPr>
          <w:b w:val="0"/>
          <w:bCs w:val="0"/>
        </w:rPr>
      </w:r>
    </w:p>
    <w:p>
      <w:pPr>
        <w:spacing w:line="240" w:lineRule="auto" w:before="5"/>
        <w:rPr>
          <w:rFonts w:ascii="宋体" w:hAnsi="宋体" w:cs="宋体" w:eastAsia="宋体" w:hint="default"/>
          <w:b/>
          <w:bCs/>
          <w:sz w:val="24"/>
          <w:szCs w:val="24"/>
        </w:rPr>
      </w:pPr>
    </w:p>
    <w:p>
      <w:pPr>
        <w:pStyle w:val="Heading3"/>
        <w:spacing w:line="240" w:lineRule="auto"/>
        <w:ind w:right="0"/>
        <w:jc w:val="left"/>
        <w:rPr>
          <w:b w:val="0"/>
          <w:bCs w:val="0"/>
        </w:rPr>
      </w:pPr>
      <w:bookmarkStart w:name="（1）应付账款列示" w:id="285"/>
      <w:bookmarkEnd w:id="285"/>
      <w:r>
        <w:rPr>
          <w:b w:val="0"/>
          <w:bCs w:val="0"/>
        </w:rPr>
      </w:r>
      <w:r>
        <w:rPr/>
        <w:t>（</w:t>
      </w:r>
      <w:r>
        <w:rPr>
          <w:rFonts w:ascii="Times New Roman" w:hAnsi="Times New Roman" w:cs="Times New Roman" w:eastAsia="Times New Roman" w:hint="default"/>
        </w:rPr>
        <w:t>1</w:t>
      </w:r>
      <w:r>
        <w:rPr/>
        <w:t>）应付账款列示</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年以内</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54,740,409.48</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38,479,555.34</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年</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2,172,908.34</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6,040,162.38</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年</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1,150,548.84</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625,187.42</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年以上</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433,360.24</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417,537.10</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58,497,226.90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45,562,442.24</w:t>
            </w:r>
          </w:p>
        </w:tc>
      </w:tr>
    </w:tbl>
    <w:p>
      <w:pPr>
        <w:spacing w:after="0" w:line="240" w:lineRule="auto"/>
        <w:jc w:val="right"/>
        <w:rPr>
          <w:rFonts w:ascii="Times New Roman" w:hAnsi="Times New Roman" w:cs="Times New Roman" w:eastAsia="Times New Roman" w:hint="default"/>
          <w:sz w:val="18"/>
          <w:szCs w:val="18"/>
        </w:rPr>
        <w:sectPr>
          <w:pgSz w:w="11910" w:h="16840"/>
          <w:pgMar w:header="871" w:footer="1186" w:top="1100" w:bottom="1380" w:left="980" w:right="0"/>
        </w:sectPr>
      </w:pPr>
    </w:p>
    <w:p>
      <w:pPr>
        <w:spacing w:line="240" w:lineRule="auto" w:before="0"/>
        <w:rPr>
          <w:rFonts w:ascii="宋体" w:hAnsi="宋体" w:cs="宋体" w:eastAsia="宋体" w:hint="default"/>
          <w:sz w:val="21"/>
          <w:szCs w:val="21"/>
        </w:rPr>
      </w:pPr>
    </w:p>
    <w:p>
      <w:pPr>
        <w:pStyle w:val="Heading3"/>
        <w:spacing w:line="240" w:lineRule="auto" w:before="36"/>
        <w:ind w:right="0"/>
        <w:jc w:val="left"/>
        <w:rPr>
          <w:b w:val="0"/>
          <w:bCs w:val="0"/>
        </w:rPr>
      </w:pPr>
      <w:bookmarkStart w:name="（2）账龄超过1年的重要应付账款" w:id="286"/>
      <w:bookmarkEnd w:id="286"/>
      <w:r>
        <w:rPr>
          <w:b w:val="0"/>
          <w:bCs w:val="0"/>
        </w:rPr>
      </w:r>
      <w:r>
        <w:rPr/>
        <w:t>（</w:t>
      </w:r>
      <w:r>
        <w:rPr>
          <w:rFonts w:ascii="Times New Roman" w:hAnsi="Times New Roman" w:cs="Times New Roman" w:eastAsia="Times New Roman" w:hint="default"/>
        </w:rPr>
        <w:t>2</w:t>
      </w:r>
      <w:r>
        <w:rPr/>
        <w:t>）账龄超过</w:t>
      </w:r>
      <w:r>
        <w:rPr>
          <w:spacing w:val="-51"/>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年的重要应付账款</w:t>
      </w:r>
      <w:r>
        <w:rPr>
          <w:b w:val="0"/>
          <w:bCs w:val="0"/>
        </w:rPr>
      </w:r>
    </w:p>
    <w:p>
      <w:pPr>
        <w:spacing w:line="240" w:lineRule="auto" w:before="7"/>
        <w:rPr>
          <w:rFonts w:ascii="宋体" w:hAnsi="宋体" w:cs="宋体" w:eastAsia="宋体" w:hint="default"/>
          <w:b/>
          <w:bCs/>
          <w:sz w:val="32"/>
          <w:szCs w:val="32"/>
        </w:rPr>
      </w:pPr>
    </w:p>
    <w:p>
      <w:pPr>
        <w:pStyle w:val="BodyText"/>
        <w:spacing w:line="240" w:lineRule="auto"/>
        <w:ind w:left="136" w:right="9666"/>
        <w:jc w:val="center"/>
      </w:pPr>
      <w:r>
        <w:rPr/>
        <w:t>无。</w:t>
      </w: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14"/>
          <w:szCs w:val="14"/>
        </w:rPr>
      </w:pPr>
    </w:p>
    <w:p>
      <w:pPr>
        <w:pStyle w:val="Heading3"/>
        <w:spacing w:line="240" w:lineRule="auto"/>
        <w:ind w:right="0"/>
        <w:jc w:val="left"/>
        <w:rPr>
          <w:b w:val="0"/>
          <w:bCs w:val="0"/>
        </w:rPr>
      </w:pPr>
      <w:bookmarkStart w:name="21、预收款项" w:id="287"/>
      <w:bookmarkEnd w:id="287"/>
      <w:r>
        <w:rPr>
          <w:b w:val="0"/>
          <w:bCs w:val="0"/>
        </w:rPr>
      </w:r>
      <w:r>
        <w:rPr>
          <w:rFonts w:ascii="Times New Roman" w:hAnsi="Times New Roman" w:cs="Times New Roman" w:eastAsia="Times New Roman" w:hint="default"/>
        </w:rPr>
        <w:t>21</w:t>
      </w:r>
      <w:r>
        <w:rPr/>
        <w:t>、预收款项</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right="0"/>
        <w:jc w:val="left"/>
      </w:pPr>
      <w:r>
        <w:rPr/>
        <w:t>是否已执行新收入准则</w:t>
      </w:r>
    </w:p>
    <w:p>
      <w:pPr>
        <w:pStyle w:val="BodyText"/>
        <w:spacing w:line="240" w:lineRule="auto" w:before="115"/>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3"/>
        <w:rPr>
          <w:rFonts w:ascii="宋体" w:hAnsi="宋体" w:cs="宋体" w:eastAsia="宋体" w:hint="default"/>
          <w:sz w:val="25"/>
          <w:szCs w:val="25"/>
        </w:rPr>
      </w:pPr>
    </w:p>
    <w:p>
      <w:pPr>
        <w:pStyle w:val="Heading3"/>
        <w:spacing w:line="240" w:lineRule="auto"/>
        <w:ind w:right="0"/>
        <w:jc w:val="left"/>
        <w:rPr>
          <w:b w:val="0"/>
          <w:bCs w:val="0"/>
        </w:rPr>
      </w:pPr>
      <w:bookmarkStart w:name="（1）预收款项列示" w:id="288"/>
      <w:bookmarkEnd w:id="288"/>
      <w:r>
        <w:rPr>
          <w:b w:val="0"/>
          <w:bCs w:val="0"/>
        </w:rPr>
      </w:r>
      <w:r>
        <w:rPr/>
        <w:t>（</w:t>
      </w:r>
      <w:r>
        <w:rPr>
          <w:rFonts w:ascii="Times New Roman" w:hAnsi="Times New Roman" w:cs="Times New Roman" w:eastAsia="Times New Roman" w:hint="default"/>
        </w:rPr>
        <w:t>1</w:t>
      </w:r>
      <w:r>
        <w:rPr/>
        <w:t>）预收款项列示</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10"/>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年以内</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26,865,356.55</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43,109,572.94</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年</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15,825,171.10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28,119,759.58</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年</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17,231,492.74</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9,963,421.21</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年以上</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32,258,704.24</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33,179,598.83</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92,180,724.63</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114,372,352.56</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2）账龄超过1年的重要预收款项" w:id="289"/>
      <w:bookmarkEnd w:id="289"/>
      <w:r>
        <w:rPr>
          <w:b w:val="0"/>
          <w:bCs w:val="0"/>
        </w:rPr>
      </w:r>
      <w:r>
        <w:rPr/>
        <w:t>（</w:t>
      </w:r>
      <w:r>
        <w:rPr>
          <w:rFonts w:ascii="Times New Roman" w:hAnsi="Times New Roman" w:cs="Times New Roman" w:eastAsia="Times New Roman" w:hint="default"/>
        </w:rPr>
        <w:t>2</w:t>
      </w:r>
      <w:r>
        <w:rPr/>
        <w:t>）账龄超过</w:t>
      </w:r>
      <w:r>
        <w:rPr>
          <w:spacing w:val="-51"/>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年的重要预收款项</w:t>
      </w:r>
      <w:r>
        <w:rPr>
          <w:b w:val="0"/>
          <w:bCs w:val="0"/>
        </w:rPr>
      </w:r>
    </w:p>
    <w:p>
      <w:pPr>
        <w:spacing w:line="240" w:lineRule="auto" w:before="7"/>
        <w:rPr>
          <w:rFonts w:ascii="宋体" w:hAnsi="宋体" w:cs="宋体" w:eastAsia="宋体" w:hint="default"/>
          <w:b/>
          <w:bCs/>
          <w:sz w:val="32"/>
          <w:szCs w:val="32"/>
        </w:rPr>
      </w:pPr>
    </w:p>
    <w:p>
      <w:pPr>
        <w:pStyle w:val="BodyText"/>
        <w:spacing w:line="240" w:lineRule="auto"/>
        <w:ind w:left="513" w:right="0"/>
        <w:jc w:val="left"/>
      </w:pPr>
      <w:r>
        <w:rPr/>
        <w:t>无。</w:t>
      </w: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14"/>
          <w:szCs w:val="14"/>
        </w:rPr>
      </w:pPr>
    </w:p>
    <w:p>
      <w:pPr>
        <w:pStyle w:val="Heading3"/>
        <w:spacing w:line="240" w:lineRule="auto"/>
        <w:ind w:right="0"/>
        <w:jc w:val="left"/>
        <w:rPr>
          <w:b w:val="0"/>
          <w:bCs w:val="0"/>
        </w:rPr>
      </w:pPr>
      <w:bookmarkStart w:name="（3）期末建造合同形成的已结算未完工项目情况" w:id="290"/>
      <w:bookmarkEnd w:id="290"/>
      <w:r>
        <w:rPr>
          <w:b w:val="0"/>
          <w:bCs w:val="0"/>
        </w:rPr>
      </w:r>
      <w:r>
        <w:rPr/>
        <w:t>（</w:t>
      </w:r>
      <w:r>
        <w:rPr>
          <w:rFonts w:ascii="Times New Roman" w:hAnsi="Times New Roman" w:cs="Times New Roman" w:eastAsia="Times New Roman" w:hint="default"/>
        </w:rPr>
        <w:t>3</w:t>
      </w:r>
      <w:r>
        <w:rPr/>
        <w:t>）期末建造合同形成的已结算未完工项目情况</w:t>
      </w:r>
      <w:r>
        <w:rPr>
          <w:b w:val="0"/>
          <w:bCs w:val="0"/>
        </w:rPr>
      </w:r>
    </w:p>
    <w:p>
      <w:pPr>
        <w:spacing w:line="240" w:lineRule="auto" w:before="7"/>
        <w:rPr>
          <w:rFonts w:ascii="宋体" w:hAnsi="宋体" w:cs="宋体" w:eastAsia="宋体" w:hint="default"/>
          <w:b/>
          <w:bCs/>
          <w:sz w:val="32"/>
          <w:szCs w:val="32"/>
        </w:rPr>
      </w:pPr>
    </w:p>
    <w:p>
      <w:pPr>
        <w:pStyle w:val="BodyText"/>
        <w:spacing w:line="240" w:lineRule="auto"/>
        <w:ind w:left="513" w:right="0"/>
        <w:jc w:val="left"/>
      </w:pPr>
      <w:r>
        <w:rPr/>
        <w:t>无。</w:t>
      </w: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14"/>
          <w:szCs w:val="14"/>
        </w:rPr>
      </w:pPr>
    </w:p>
    <w:p>
      <w:pPr>
        <w:pStyle w:val="Heading3"/>
        <w:spacing w:line="240" w:lineRule="auto"/>
        <w:ind w:right="0"/>
        <w:jc w:val="left"/>
        <w:rPr>
          <w:b w:val="0"/>
          <w:bCs w:val="0"/>
        </w:rPr>
      </w:pPr>
      <w:bookmarkStart w:name="22、应付职工薪酬" w:id="291"/>
      <w:bookmarkEnd w:id="291"/>
      <w:r>
        <w:rPr>
          <w:b w:val="0"/>
          <w:bCs w:val="0"/>
        </w:rPr>
      </w:r>
      <w:r>
        <w:rPr>
          <w:rFonts w:ascii="Times New Roman" w:hAnsi="Times New Roman" w:cs="Times New Roman" w:eastAsia="Times New Roman" w:hint="default"/>
        </w:rPr>
        <w:t>22</w:t>
      </w:r>
      <w:r>
        <w:rPr/>
        <w:t>、应付职工薪酬</w:t>
      </w:r>
      <w:r>
        <w:rPr>
          <w:b w:val="0"/>
          <w:bCs w:val="0"/>
        </w:rPr>
      </w:r>
    </w:p>
    <w:p>
      <w:pPr>
        <w:spacing w:line="240" w:lineRule="auto" w:before="5"/>
        <w:rPr>
          <w:rFonts w:ascii="宋体" w:hAnsi="宋体" w:cs="宋体" w:eastAsia="宋体" w:hint="default"/>
          <w:b/>
          <w:bCs/>
          <w:sz w:val="24"/>
          <w:szCs w:val="24"/>
        </w:rPr>
      </w:pPr>
    </w:p>
    <w:p>
      <w:pPr>
        <w:pStyle w:val="Heading3"/>
        <w:spacing w:line="240" w:lineRule="auto"/>
        <w:ind w:right="0"/>
        <w:jc w:val="left"/>
        <w:rPr>
          <w:b w:val="0"/>
          <w:bCs w:val="0"/>
        </w:rPr>
      </w:pPr>
      <w:bookmarkStart w:name="（1）应付职工薪酬列示" w:id="292"/>
      <w:bookmarkEnd w:id="292"/>
      <w:r>
        <w:rPr>
          <w:b w:val="0"/>
          <w:bCs w:val="0"/>
        </w:rPr>
      </w:r>
      <w:r>
        <w:rPr/>
        <w:t>（</w:t>
      </w:r>
      <w:r>
        <w:rPr>
          <w:rFonts w:ascii="Times New Roman" w:hAnsi="Times New Roman" w:cs="Times New Roman" w:eastAsia="Times New Roman" w:hint="default"/>
        </w:rPr>
        <w:t>1</w:t>
      </w:r>
      <w:r>
        <w:rPr/>
        <w:t>）应付职工薪酬列示</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01"/>
        <w:gridCol w:w="1931"/>
        <w:gridCol w:w="1911"/>
        <w:gridCol w:w="1916"/>
        <w:gridCol w:w="1916"/>
      </w:tblGrid>
      <w:tr>
        <w:trPr>
          <w:trHeight w:val="404"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590"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590"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590"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98"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93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8,157,562.39</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2"/>
                <w:sz w:val="18"/>
              </w:rPr>
              <w:t>115,321,711.83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108,577,538.36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14,901,735.86</w:t>
            </w:r>
          </w:p>
        </w:tc>
      </w:tr>
      <w:tr>
        <w:trPr>
          <w:trHeight w:val="715"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8"/>
              <w:ind w:left="24" w:right="2"/>
              <w:jc w:val="left"/>
              <w:rPr>
                <w:rFonts w:ascii="宋体" w:hAnsi="宋体" w:cs="宋体" w:eastAsia="宋体" w:hint="default"/>
                <w:sz w:val="18"/>
                <w:szCs w:val="18"/>
              </w:rPr>
            </w:pPr>
            <w:r>
              <w:rPr>
                <w:rFonts w:ascii="宋体" w:hAnsi="宋体" w:cs="宋体" w:eastAsia="宋体" w:hint="default"/>
                <w:spacing w:val="-3"/>
                <w:sz w:val="18"/>
                <w:szCs w:val="18"/>
              </w:rPr>
              <w:t>二、离职后福利</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设定提</w:t>
            </w:r>
            <w:r>
              <w:rPr>
                <w:rFonts w:ascii="宋体" w:hAnsi="宋体" w:cs="宋体" w:eastAsia="宋体" w:hint="default"/>
                <w:spacing w:val="-57"/>
                <w:sz w:val="18"/>
                <w:szCs w:val="18"/>
              </w:rPr>
              <w:t> </w:t>
            </w:r>
            <w:r>
              <w:rPr>
                <w:rFonts w:ascii="宋体" w:hAnsi="宋体" w:cs="宋体" w:eastAsia="宋体" w:hint="default"/>
                <w:spacing w:val="-57"/>
                <w:sz w:val="18"/>
                <w:szCs w:val="18"/>
              </w:rPr>
            </w:r>
            <w:r>
              <w:rPr>
                <w:rFonts w:ascii="宋体" w:hAnsi="宋体" w:cs="宋体" w:eastAsia="宋体" w:hint="default"/>
                <w:sz w:val="18"/>
                <w:szCs w:val="18"/>
              </w:rPr>
              <w:t>存计划</w:t>
            </w:r>
          </w:p>
        </w:tc>
        <w:tc>
          <w:tcPr>
            <w:tcW w:w="193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320,143.81</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7,547,333.94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7,404,137.15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463,340.60</w:t>
            </w:r>
          </w:p>
        </w:tc>
      </w:tr>
      <w:tr>
        <w:trPr>
          <w:trHeight w:val="404"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3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8,477,706.20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122,869,045.77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2"/>
                <w:sz w:val="18"/>
              </w:rPr>
              <w:t>115,981,675.51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15,365,076.46</w:t>
            </w:r>
          </w:p>
        </w:tc>
      </w:tr>
    </w:tbl>
    <w:p>
      <w:pPr>
        <w:spacing w:after="0" w:line="240" w:lineRule="auto"/>
        <w:jc w:val="right"/>
        <w:rPr>
          <w:rFonts w:ascii="Times New Roman" w:hAnsi="Times New Roman" w:cs="Times New Roman" w:eastAsia="Times New Roman" w:hint="default"/>
          <w:sz w:val="18"/>
          <w:szCs w:val="18"/>
        </w:rPr>
        <w:sectPr>
          <w:pgSz w:w="11910" w:h="16840"/>
          <w:pgMar w:header="871" w:footer="1186" w:top="1100" w:bottom="1380" w:left="980" w:right="0"/>
        </w:sectPr>
      </w:pPr>
    </w:p>
    <w:p>
      <w:pPr>
        <w:spacing w:line="240" w:lineRule="auto" w:before="0"/>
        <w:rPr>
          <w:rFonts w:ascii="宋体" w:hAnsi="宋体" w:cs="宋体" w:eastAsia="宋体" w:hint="default"/>
          <w:sz w:val="21"/>
          <w:szCs w:val="21"/>
        </w:rPr>
      </w:pPr>
    </w:p>
    <w:p>
      <w:pPr>
        <w:pStyle w:val="Heading3"/>
        <w:spacing w:line="240" w:lineRule="auto" w:before="36"/>
        <w:ind w:right="0"/>
        <w:jc w:val="left"/>
        <w:rPr>
          <w:b w:val="0"/>
          <w:bCs w:val="0"/>
        </w:rPr>
      </w:pPr>
      <w:bookmarkStart w:name="（2）短期薪酬列示" w:id="293"/>
      <w:bookmarkEnd w:id="293"/>
      <w:r>
        <w:rPr>
          <w:b w:val="0"/>
          <w:bCs w:val="0"/>
        </w:rPr>
      </w:r>
      <w:r>
        <w:rPr/>
        <w:t>（</w:t>
      </w:r>
      <w:r>
        <w:rPr>
          <w:rFonts w:ascii="Times New Roman" w:hAnsi="Times New Roman" w:cs="Times New Roman" w:eastAsia="Times New Roman" w:hint="default"/>
        </w:rPr>
        <w:t>2</w:t>
      </w:r>
      <w:r>
        <w:rPr/>
        <w:t>）短期薪酬列示</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01"/>
        <w:gridCol w:w="1931"/>
        <w:gridCol w:w="1911"/>
        <w:gridCol w:w="1916"/>
        <w:gridCol w:w="1916"/>
      </w:tblGrid>
      <w:tr>
        <w:trPr>
          <w:trHeight w:val="404"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590"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590"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590"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5"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24" w:right="3"/>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、工资、奖金、津贴和</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补贴</w:t>
            </w:r>
          </w:p>
        </w:tc>
        <w:tc>
          <w:tcPr>
            <w:tcW w:w="193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7,974,907.71</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101,775,985.08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95,579,473.54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14,171,419.25</w:t>
            </w:r>
          </w:p>
        </w:tc>
      </w:tr>
      <w:tr>
        <w:trPr>
          <w:trHeight w:val="398"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931" w:type="dxa"/>
            <w:tcBorders>
              <w:top w:val="single" w:sz="4" w:space="0" w:color="000000"/>
              <w:left w:val="single" w:sz="10" w:space="0" w:color="D2D2D2"/>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4,903,133.21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4,583,955.21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319,178.00</w:t>
            </w:r>
          </w:p>
        </w:tc>
      </w:tr>
      <w:tr>
        <w:trPr>
          <w:trHeight w:val="404"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93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182,654.68</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4,473,879.08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4,326,661.39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329,872.37</w:t>
            </w: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60"/>
              <w:jc w:val="right"/>
              <w:rPr>
                <w:rFonts w:ascii="宋体" w:hAnsi="宋体" w:cs="宋体" w:eastAsia="宋体" w:hint="default"/>
                <w:sz w:val="18"/>
                <w:szCs w:val="18"/>
              </w:rPr>
            </w:pPr>
            <w:r>
              <w:rPr>
                <w:rFonts w:ascii="宋体" w:hAnsi="宋体" w:cs="宋体" w:eastAsia="宋体" w:hint="default"/>
                <w:spacing w:val="-2"/>
                <w:sz w:val="18"/>
                <w:szCs w:val="18"/>
              </w:rPr>
              <w:t>其中：医疗保险费</w:t>
            </w:r>
          </w:p>
        </w:tc>
        <w:tc>
          <w:tcPr>
            <w:tcW w:w="193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162,991.06</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4,012,913.01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3,879,775.59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296,128.48</w:t>
            </w: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60"/>
              <w:jc w:val="right"/>
              <w:rPr>
                <w:rFonts w:ascii="宋体" w:hAnsi="宋体" w:cs="宋体" w:eastAsia="宋体" w:hint="default"/>
                <w:sz w:val="18"/>
                <w:szCs w:val="18"/>
              </w:rPr>
            </w:pPr>
            <w:r>
              <w:rPr>
                <w:rFonts w:ascii="宋体" w:hAnsi="宋体" w:cs="宋体" w:eastAsia="宋体" w:hint="default"/>
                <w:spacing w:val="-2"/>
                <w:sz w:val="18"/>
                <w:szCs w:val="18"/>
              </w:rPr>
              <w:t>工伤保险费</w:t>
            </w:r>
          </w:p>
        </w:tc>
        <w:tc>
          <w:tcPr>
            <w:tcW w:w="193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5,872.25</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126,210.26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123,566.22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8,516.29</w:t>
            </w:r>
          </w:p>
        </w:tc>
      </w:tr>
      <w:tr>
        <w:trPr>
          <w:trHeight w:val="398"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60"/>
              <w:jc w:val="right"/>
              <w:rPr>
                <w:rFonts w:ascii="宋体" w:hAnsi="宋体" w:cs="宋体" w:eastAsia="宋体" w:hint="default"/>
                <w:sz w:val="18"/>
                <w:szCs w:val="18"/>
              </w:rPr>
            </w:pPr>
            <w:r>
              <w:rPr>
                <w:rFonts w:ascii="宋体" w:hAnsi="宋体" w:cs="宋体" w:eastAsia="宋体" w:hint="default"/>
                <w:spacing w:val="-2"/>
                <w:sz w:val="18"/>
                <w:szCs w:val="18"/>
              </w:rPr>
              <w:t>生育保险费</w:t>
            </w:r>
          </w:p>
        </w:tc>
        <w:tc>
          <w:tcPr>
            <w:tcW w:w="193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13,791.37</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334,755.81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323,319.58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25,227.60</w:t>
            </w:r>
          </w:p>
        </w:tc>
      </w:tr>
      <w:tr>
        <w:trPr>
          <w:trHeight w:val="404"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931" w:type="dxa"/>
            <w:tcBorders>
              <w:top w:val="single" w:sz="4" w:space="0" w:color="000000"/>
              <w:left w:val="single" w:sz="10" w:space="0" w:color="D2D2D2"/>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4,035,924.80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3,982,178.56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53,746.24</w:t>
            </w:r>
          </w:p>
        </w:tc>
      </w:tr>
      <w:tr>
        <w:trPr>
          <w:trHeight w:val="715"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4" w:lineRule="auto" w:before="53"/>
              <w:ind w:left="24" w:right="3"/>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5</w:t>
            </w:r>
            <w:r>
              <w:rPr>
                <w:rFonts w:ascii="宋体" w:hAnsi="宋体" w:cs="宋体" w:eastAsia="宋体" w:hint="default"/>
                <w:spacing w:val="-5"/>
                <w:sz w:val="18"/>
                <w:szCs w:val="18"/>
              </w:rPr>
              <w:t>、工会经费和职工教育</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经费</w:t>
            </w:r>
          </w:p>
        </w:tc>
        <w:tc>
          <w:tcPr>
            <w:tcW w:w="1931" w:type="dxa"/>
            <w:tcBorders>
              <w:top w:val="single" w:sz="4" w:space="0" w:color="000000"/>
              <w:left w:val="single" w:sz="10" w:space="0" w:color="D2D2D2"/>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78,149.66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78,149.66</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、商业保险</w:t>
            </w:r>
          </w:p>
        </w:tc>
        <w:tc>
          <w:tcPr>
            <w:tcW w:w="1931" w:type="dxa"/>
            <w:tcBorders>
              <w:top w:val="single" w:sz="4" w:space="0" w:color="000000"/>
              <w:left w:val="single" w:sz="10" w:space="0" w:color="D2D2D2"/>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54,640.00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27,120.00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27,520.00</w:t>
            </w:r>
          </w:p>
        </w:tc>
      </w:tr>
      <w:tr>
        <w:trPr>
          <w:trHeight w:val="398"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3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8,157,562.39</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2"/>
                <w:sz w:val="18"/>
              </w:rPr>
              <w:t>115,321,711.83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108,577,538.36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14,901,735.86</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3）设定提存计划列示" w:id="294"/>
      <w:bookmarkEnd w:id="294"/>
      <w:r>
        <w:rPr>
          <w:b w:val="0"/>
          <w:bCs w:val="0"/>
        </w:rPr>
      </w:r>
      <w:r>
        <w:rPr/>
        <w:t>（</w:t>
      </w:r>
      <w:r>
        <w:rPr>
          <w:rFonts w:ascii="Times New Roman" w:hAnsi="Times New Roman" w:cs="Times New Roman" w:eastAsia="Times New Roman" w:hint="default"/>
        </w:rPr>
        <w:t>3</w:t>
      </w:r>
      <w:r>
        <w:rPr/>
        <w:t>）设定提存计划列示</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01"/>
        <w:gridCol w:w="1931"/>
        <w:gridCol w:w="1911"/>
        <w:gridCol w:w="1916"/>
        <w:gridCol w:w="1916"/>
      </w:tblGrid>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4"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w:t>
            </w:r>
          </w:p>
        </w:tc>
        <w:tc>
          <w:tcPr>
            <w:tcW w:w="193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307,249.72</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7,185,483.81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7,050,078.09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442,655.44</w:t>
            </w:r>
          </w:p>
        </w:tc>
      </w:tr>
      <w:tr>
        <w:trPr>
          <w:trHeight w:val="398"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、失业保险费</w:t>
            </w:r>
          </w:p>
        </w:tc>
        <w:tc>
          <w:tcPr>
            <w:tcW w:w="193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12,894.09</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300,405.39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292,614.32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20,685.16</w:t>
            </w: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、残疾人就业保障金</w:t>
            </w:r>
          </w:p>
        </w:tc>
        <w:tc>
          <w:tcPr>
            <w:tcW w:w="1931" w:type="dxa"/>
            <w:tcBorders>
              <w:top w:val="single" w:sz="4" w:space="0" w:color="000000"/>
              <w:left w:val="single" w:sz="10" w:space="0" w:color="D2D2D2"/>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61,444.74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61,444.74</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3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320,143.81</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7,547,333.94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7,404,137.15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463,340.60</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23、应交税费" w:id="295"/>
      <w:bookmarkEnd w:id="295"/>
      <w:r>
        <w:rPr>
          <w:b w:val="0"/>
          <w:bCs w:val="0"/>
        </w:rPr>
      </w:r>
      <w:r>
        <w:rPr>
          <w:rFonts w:ascii="Times New Roman" w:hAnsi="Times New Roman" w:cs="Times New Roman" w:eastAsia="Times New Roman" w:hint="default"/>
        </w:rPr>
        <w:t>23</w:t>
      </w:r>
      <w:r>
        <w:rPr/>
        <w:t>、应交税费</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5"/>
        <w:gridCol w:w="3193"/>
      </w:tblGrid>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4"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2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32,000,730.72</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30,207,274.44</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2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43,127,851.82</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48,351,048.07</w:t>
            </w:r>
          </w:p>
        </w:tc>
      </w:tr>
      <w:tr>
        <w:trPr>
          <w:trHeight w:val="398"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2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418,137.56</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211,145.00</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1" w:right="0"/>
              <w:jc w:val="left"/>
              <w:rPr>
                <w:rFonts w:ascii="宋体" w:hAnsi="宋体" w:cs="宋体" w:eastAsia="宋体" w:hint="default"/>
                <w:sz w:val="18"/>
                <w:szCs w:val="18"/>
              </w:rPr>
            </w:pPr>
            <w:r>
              <w:rPr>
                <w:rFonts w:ascii="宋体" w:hAnsi="宋体" w:cs="宋体" w:eastAsia="宋体" w:hint="default"/>
                <w:spacing w:val="-3"/>
                <w:sz w:val="18"/>
                <w:szCs w:val="18"/>
              </w:rPr>
              <w:t>城市维护建设税</w:t>
            </w:r>
          </w:p>
        </w:tc>
        <w:tc>
          <w:tcPr>
            <w:tcW w:w="32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422,293.91</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674,394.22</w:t>
            </w:r>
          </w:p>
        </w:tc>
      </w:tr>
      <w:tr>
        <w:trPr>
          <w:trHeight w:val="404" w:hRule="exact"/>
        </w:trPr>
        <w:tc>
          <w:tcPr>
            <w:tcW w:w="3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301,638.53</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481,473.04</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28,286.87</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104,617.60</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76,298,939.41</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80,029,952.37</w:t>
            </w:r>
          </w:p>
        </w:tc>
      </w:tr>
    </w:tbl>
    <w:p>
      <w:pPr>
        <w:spacing w:after="0" w:line="240" w:lineRule="auto"/>
        <w:jc w:val="right"/>
        <w:rPr>
          <w:rFonts w:ascii="Times New Roman" w:hAnsi="Times New Roman" w:cs="Times New Roman" w:eastAsia="Times New Roman" w:hint="default"/>
          <w:sz w:val="18"/>
          <w:szCs w:val="18"/>
        </w:rPr>
        <w:sectPr>
          <w:pgSz w:w="11910" w:h="16840"/>
          <w:pgMar w:header="871" w:footer="1186" w:top="1100" w:bottom="1380" w:left="980" w:right="0"/>
        </w:sectPr>
      </w:pPr>
    </w:p>
    <w:p>
      <w:pPr>
        <w:spacing w:line="240" w:lineRule="auto" w:before="0"/>
        <w:rPr>
          <w:rFonts w:ascii="宋体" w:hAnsi="宋体" w:cs="宋体" w:eastAsia="宋体" w:hint="default"/>
          <w:sz w:val="21"/>
          <w:szCs w:val="21"/>
        </w:rPr>
      </w:pPr>
    </w:p>
    <w:p>
      <w:pPr>
        <w:pStyle w:val="Heading3"/>
        <w:spacing w:line="240" w:lineRule="auto" w:before="36"/>
        <w:ind w:right="0"/>
        <w:jc w:val="left"/>
        <w:rPr>
          <w:b w:val="0"/>
          <w:bCs w:val="0"/>
        </w:rPr>
      </w:pPr>
      <w:bookmarkStart w:name="24、其他应付款" w:id="296"/>
      <w:bookmarkEnd w:id="296"/>
      <w:r>
        <w:rPr>
          <w:b w:val="0"/>
          <w:bCs w:val="0"/>
        </w:rPr>
      </w:r>
      <w:r>
        <w:rPr>
          <w:rFonts w:ascii="Times New Roman" w:hAnsi="Times New Roman" w:cs="Times New Roman" w:eastAsia="Times New Roman" w:hint="default"/>
        </w:rPr>
        <w:t>24</w:t>
      </w:r>
      <w:r>
        <w:rPr/>
        <w:t>、其他应付款</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5"/>
        <w:gridCol w:w="3193"/>
      </w:tblGrid>
      <w:tr>
        <w:trPr>
          <w:trHeight w:val="404"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2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z w:val="18"/>
              </w:rPr>
              <w:t>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0.00</w:t>
            </w:r>
          </w:p>
        </w:tc>
      </w:tr>
      <w:tr>
        <w:trPr>
          <w:trHeight w:val="398"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2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z w:val="18"/>
              </w:rPr>
              <w:t>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2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4,023,030.58</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18,213,033.35</w:t>
            </w:r>
          </w:p>
        </w:tc>
      </w:tr>
      <w:tr>
        <w:trPr>
          <w:trHeight w:val="404"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4,023,030.58</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18,213,033.35</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1）应付利息" w:id="297"/>
      <w:bookmarkEnd w:id="297"/>
      <w:r>
        <w:rPr>
          <w:b w:val="0"/>
          <w:bCs w:val="0"/>
        </w:rPr>
      </w:r>
      <w:r>
        <w:rPr/>
        <w:t>（</w:t>
      </w:r>
      <w:r>
        <w:rPr>
          <w:rFonts w:ascii="Times New Roman" w:hAnsi="Times New Roman" w:cs="Times New Roman" w:eastAsia="Times New Roman" w:hint="default"/>
        </w:rPr>
        <w:t>1</w:t>
      </w:r>
      <w:r>
        <w:rPr/>
        <w:t>）应付利息</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5"/>
        <w:gridCol w:w="3193"/>
      </w:tblGrid>
      <w:tr>
        <w:trPr>
          <w:trHeight w:val="399"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z w:val="18"/>
              </w:rPr>
              <w:t>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439" w:lineRule="auto" w:before="53"/>
        <w:ind w:left="513" w:right="8069" w:hanging="360"/>
        <w:jc w:val="left"/>
      </w:pPr>
      <w:r>
        <w:rPr>
          <w:spacing w:val="-3"/>
        </w:rPr>
        <w:t>重要的已逾期未支付的利息情况：</w:t>
      </w:r>
      <w:r>
        <w:rPr>
          <w:spacing w:val="-44"/>
        </w:rPr>
        <w:t> </w:t>
      </w:r>
      <w:r>
        <w:rPr>
          <w:spacing w:val="-44"/>
        </w:rPr>
      </w:r>
      <w:r>
        <w:rPr/>
        <w:t>无。</w:t>
      </w:r>
    </w:p>
    <w:p>
      <w:pPr>
        <w:spacing w:line="240" w:lineRule="auto" w:before="2"/>
        <w:rPr>
          <w:rFonts w:ascii="宋体" w:hAnsi="宋体" w:cs="宋体" w:eastAsia="宋体" w:hint="default"/>
          <w:sz w:val="21"/>
          <w:szCs w:val="21"/>
        </w:rPr>
      </w:pPr>
    </w:p>
    <w:p>
      <w:pPr>
        <w:pStyle w:val="Heading3"/>
        <w:spacing w:line="240" w:lineRule="auto"/>
        <w:ind w:right="0"/>
        <w:jc w:val="left"/>
        <w:rPr>
          <w:b w:val="0"/>
          <w:bCs w:val="0"/>
        </w:rPr>
      </w:pPr>
      <w:bookmarkStart w:name="（2）应付股利" w:id="298"/>
      <w:bookmarkEnd w:id="298"/>
      <w:r>
        <w:rPr>
          <w:b w:val="0"/>
          <w:bCs w:val="0"/>
        </w:rPr>
      </w:r>
      <w:r>
        <w:rPr/>
        <w:t>（</w:t>
      </w:r>
      <w:r>
        <w:rPr>
          <w:rFonts w:ascii="Times New Roman" w:hAnsi="Times New Roman" w:cs="Times New Roman" w:eastAsia="Times New Roman" w:hint="default"/>
        </w:rPr>
        <w:t>2</w:t>
      </w:r>
      <w:r>
        <w:rPr/>
        <w:t>）应付股利</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5"/>
        <w:gridCol w:w="3193"/>
      </w:tblGrid>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99"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z w:val="18"/>
              </w:rPr>
              <w:t>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415" w:lineRule="auto" w:before="53"/>
        <w:ind w:left="513" w:right="4688" w:hanging="360"/>
        <w:jc w:val="left"/>
      </w:pPr>
      <w:r>
        <w:rPr>
          <w:spacing w:val="-3"/>
        </w:rPr>
        <w:t>其他说明，包括重要的超过</w:t>
      </w:r>
      <w:r>
        <w:rPr>
          <w:spacing w:val="-7"/>
        </w:rPr>
        <w:t> </w:t>
      </w:r>
      <w:r>
        <w:rPr>
          <w:rFonts w:ascii="Times New Roman" w:hAnsi="Times New Roman" w:cs="Times New Roman" w:eastAsia="Times New Roman" w:hint="default"/>
        </w:rPr>
        <w:t>1</w:t>
      </w:r>
      <w:r>
        <w:rPr>
          <w:rFonts w:ascii="Times New Roman" w:hAnsi="Times New Roman" w:cs="Times New Roman" w:eastAsia="Times New Roman" w:hint="default"/>
          <w:spacing w:val="38"/>
        </w:rPr>
        <w:t> </w:t>
      </w:r>
      <w:r>
        <w:rPr>
          <w:spacing w:val="-3"/>
        </w:rPr>
        <w:t>年未支付的应付股利，应披露未支付原因：</w:t>
      </w:r>
      <w:r>
        <w:rPr>
          <w:spacing w:val="-78"/>
        </w:rPr>
        <w:t> </w:t>
      </w:r>
      <w:r>
        <w:rPr>
          <w:spacing w:val="-78"/>
        </w:rPr>
      </w:r>
      <w:r>
        <w:rPr/>
        <w:t>无。</w:t>
      </w:r>
    </w:p>
    <w:p>
      <w:pPr>
        <w:spacing w:line="240" w:lineRule="auto" w:before="11"/>
        <w:rPr>
          <w:rFonts w:ascii="宋体" w:hAnsi="宋体" w:cs="宋体" w:eastAsia="宋体" w:hint="default"/>
          <w:sz w:val="22"/>
          <w:szCs w:val="22"/>
        </w:rPr>
      </w:pPr>
    </w:p>
    <w:p>
      <w:pPr>
        <w:pStyle w:val="Heading3"/>
        <w:spacing w:line="240" w:lineRule="auto"/>
        <w:ind w:right="0"/>
        <w:jc w:val="left"/>
        <w:rPr>
          <w:b w:val="0"/>
          <w:bCs w:val="0"/>
        </w:rPr>
      </w:pPr>
      <w:bookmarkStart w:name="（3）其他应付款" w:id="299"/>
      <w:bookmarkEnd w:id="299"/>
      <w:r>
        <w:rPr>
          <w:b w:val="0"/>
          <w:bCs w:val="0"/>
        </w:rPr>
      </w:r>
      <w:r>
        <w:rPr/>
        <w:t>（</w:t>
      </w:r>
      <w:r>
        <w:rPr>
          <w:rFonts w:ascii="Times New Roman" w:hAnsi="Times New Roman" w:cs="Times New Roman" w:eastAsia="Times New Roman" w:hint="default"/>
        </w:rPr>
        <w:t>3</w:t>
      </w:r>
      <w:r>
        <w:rPr/>
        <w:t>）其他应付款</w:t>
      </w:r>
      <w:r>
        <w:rPr>
          <w:b w:val="0"/>
          <w:bCs w:val="0"/>
        </w:rPr>
      </w:r>
    </w:p>
    <w:p>
      <w:pPr>
        <w:spacing w:line="240" w:lineRule="auto" w:before="5"/>
        <w:rPr>
          <w:rFonts w:ascii="宋体" w:hAnsi="宋体" w:cs="宋体" w:eastAsia="宋体" w:hint="default"/>
          <w:b/>
          <w:bCs/>
          <w:sz w:val="24"/>
          <w:szCs w:val="24"/>
        </w:rPr>
      </w:pPr>
    </w:p>
    <w:p>
      <w:pPr>
        <w:pStyle w:val="Heading3"/>
        <w:spacing w:line="240" w:lineRule="auto"/>
        <w:ind w:right="0"/>
        <w:jc w:val="left"/>
        <w:rPr>
          <w:b w:val="0"/>
          <w:bCs w:val="0"/>
        </w:rPr>
      </w:pPr>
      <w:bookmarkStart w:name="1）按款项性质列示其他应付款" w:id="300"/>
      <w:bookmarkEnd w:id="300"/>
      <w:r>
        <w:rPr>
          <w:b w:val="0"/>
          <w:bCs w:val="0"/>
        </w:rPr>
      </w:r>
      <w:r>
        <w:rPr>
          <w:rFonts w:ascii="Times New Roman" w:hAnsi="Times New Roman" w:cs="Times New Roman" w:eastAsia="Times New Roman" w:hint="default"/>
        </w:rPr>
        <w:t>1</w:t>
      </w:r>
      <w:r>
        <w:rPr/>
        <w:t>）按款项性质列示其他应付款</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333,255.47</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15,842,400.00</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员工报销</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3,003,640.55</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1,184,322.08</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686,134.56</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1,186,311.27</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4,023,030.58</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18,213,033.35</w:t>
            </w:r>
          </w:p>
        </w:tc>
      </w:tr>
    </w:tbl>
    <w:p>
      <w:pPr>
        <w:spacing w:after="0" w:line="240" w:lineRule="auto"/>
        <w:jc w:val="right"/>
        <w:rPr>
          <w:rFonts w:ascii="Times New Roman" w:hAnsi="Times New Roman" w:cs="Times New Roman" w:eastAsia="Times New Roman" w:hint="default"/>
          <w:sz w:val="18"/>
          <w:szCs w:val="18"/>
        </w:rPr>
        <w:sectPr>
          <w:pgSz w:w="11910" w:h="16840"/>
          <w:pgMar w:header="871" w:footer="1186" w:top="1100" w:bottom="1380" w:left="980" w:right="0"/>
        </w:sectPr>
      </w:pPr>
    </w:p>
    <w:p>
      <w:pPr>
        <w:spacing w:line="240" w:lineRule="auto" w:before="0"/>
        <w:rPr>
          <w:rFonts w:ascii="宋体" w:hAnsi="宋体" w:cs="宋体" w:eastAsia="宋体" w:hint="default"/>
          <w:sz w:val="21"/>
          <w:szCs w:val="21"/>
        </w:rPr>
      </w:pPr>
    </w:p>
    <w:p>
      <w:pPr>
        <w:pStyle w:val="Heading3"/>
        <w:spacing w:line="240" w:lineRule="auto" w:before="36"/>
        <w:ind w:right="0"/>
        <w:jc w:val="left"/>
        <w:rPr>
          <w:b w:val="0"/>
          <w:bCs w:val="0"/>
        </w:rPr>
      </w:pPr>
      <w:bookmarkStart w:name="2）账龄超过1年的重要其他应付款" w:id="301"/>
      <w:bookmarkEnd w:id="301"/>
      <w:r>
        <w:rPr>
          <w:b w:val="0"/>
          <w:bCs w:val="0"/>
        </w:rPr>
      </w:r>
      <w:r>
        <w:rPr>
          <w:rFonts w:ascii="Times New Roman" w:hAnsi="Times New Roman" w:cs="Times New Roman" w:eastAsia="Times New Roman" w:hint="default"/>
        </w:rPr>
        <w:t>2</w:t>
      </w:r>
      <w:r>
        <w:rPr/>
        <w:t>）账龄超过</w:t>
      </w:r>
      <w:r>
        <w:rPr>
          <w:spacing w:val="-50"/>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年的重要其他应付款</w:t>
      </w:r>
      <w:r>
        <w:rPr>
          <w:b w:val="0"/>
          <w:bCs w:val="0"/>
        </w:rPr>
      </w:r>
    </w:p>
    <w:p>
      <w:pPr>
        <w:spacing w:line="240" w:lineRule="auto" w:before="7"/>
        <w:rPr>
          <w:rFonts w:ascii="宋体" w:hAnsi="宋体" w:cs="宋体" w:eastAsia="宋体" w:hint="default"/>
          <w:b/>
          <w:bCs/>
          <w:sz w:val="32"/>
          <w:szCs w:val="32"/>
        </w:rPr>
      </w:pPr>
    </w:p>
    <w:p>
      <w:pPr>
        <w:pStyle w:val="BodyText"/>
        <w:spacing w:line="240" w:lineRule="auto"/>
        <w:ind w:left="513" w:right="0"/>
        <w:jc w:val="left"/>
      </w:pPr>
      <w:r>
        <w:rPr/>
        <w:t>无。</w:t>
      </w: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14"/>
          <w:szCs w:val="14"/>
        </w:rPr>
      </w:pPr>
    </w:p>
    <w:p>
      <w:pPr>
        <w:pStyle w:val="Heading3"/>
        <w:spacing w:line="240" w:lineRule="auto"/>
        <w:ind w:right="0"/>
        <w:jc w:val="left"/>
        <w:rPr>
          <w:b w:val="0"/>
          <w:bCs w:val="0"/>
        </w:rPr>
      </w:pPr>
      <w:bookmarkStart w:name="25、一年内到期的非流动负债" w:id="302"/>
      <w:bookmarkEnd w:id="302"/>
      <w:r>
        <w:rPr>
          <w:b w:val="0"/>
          <w:bCs w:val="0"/>
        </w:rPr>
      </w:r>
      <w:r>
        <w:rPr>
          <w:rFonts w:ascii="Times New Roman" w:hAnsi="Times New Roman" w:cs="Times New Roman" w:eastAsia="Times New Roman" w:hint="default"/>
        </w:rPr>
        <w:t>25</w:t>
      </w:r>
      <w:r>
        <w:rPr/>
        <w:t>、一年内到期的非流动负债</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99"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一年内到期的长期借款</w:t>
            </w:r>
          </w:p>
        </w:tc>
        <w:tc>
          <w:tcPr>
            <w:tcW w:w="31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110,000,000.00</w:t>
            </w:r>
          </w:p>
        </w:tc>
        <w:tc>
          <w:tcPr>
            <w:tcW w:w="31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未到期应付利息</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169,897.26</w:t>
            </w:r>
          </w:p>
        </w:tc>
        <w:tc>
          <w:tcPr>
            <w:tcW w:w="31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110,169,897.26</w:t>
            </w:r>
          </w:p>
        </w:tc>
        <w:tc>
          <w:tcPr>
            <w:tcW w:w="319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26、长期借款" w:id="303"/>
      <w:bookmarkEnd w:id="303"/>
      <w:r>
        <w:rPr>
          <w:b w:val="0"/>
          <w:bCs w:val="0"/>
        </w:rPr>
      </w:r>
      <w:r>
        <w:rPr>
          <w:rFonts w:ascii="Times New Roman" w:hAnsi="Times New Roman" w:cs="Times New Roman" w:eastAsia="Times New Roman" w:hint="default"/>
        </w:rPr>
        <w:t>26</w:t>
      </w:r>
      <w:r>
        <w:rPr/>
        <w:t>、长期借款</w:t>
      </w:r>
      <w:r>
        <w:rPr>
          <w:b w:val="0"/>
          <w:bCs w:val="0"/>
        </w:rPr>
      </w:r>
    </w:p>
    <w:p>
      <w:pPr>
        <w:spacing w:line="240" w:lineRule="auto" w:before="5"/>
        <w:rPr>
          <w:rFonts w:ascii="宋体" w:hAnsi="宋体" w:cs="宋体" w:eastAsia="宋体" w:hint="default"/>
          <w:b/>
          <w:bCs/>
          <w:sz w:val="24"/>
          <w:szCs w:val="24"/>
        </w:rPr>
      </w:pPr>
    </w:p>
    <w:p>
      <w:pPr>
        <w:pStyle w:val="Heading3"/>
        <w:spacing w:line="240" w:lineRule="auto"/>
        <w:ind w:right="0"/>
        <w:jc w:val="left"/>
        <w:rPr>
          <w:b w:val="0"/>
          <w:bCs w:val="0"/>
        </w:rPr>
      </w:pPr>
      <w:bookmarkStart w:name="（1）长期借款分类" w:id="304"/>
      <w:bookmarkEnd w:id="304"/>
      <w:r>
        <w:rPr>
          <w:b w:val="0"/>
          <w:bCs w:val="0"/>
        </w:rPr>
      </w:r>
      <w:r>
        <w:rPr/>
        <w:t>（</w:t>
      </w:r>
      <w:r>
        <w:rPr>
          <w:rFonts w:ascii="Times New Roman" w:hAnsi="Times New Roman" w:cs="Times New Roman" w:eastAsia="Times New Roman" w:hint="default"/>
        </w:rPr>
        <w:t>1</w:t>
      </w:r>
      <w:r>
        <w:rPr/>
        <w:t>）长期借款分类</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31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z w:val="18"/>
              </w:rPr>
              <w:t>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170,000,000.00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减：一年内到期的长期借款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z w:val="18"/>
              </w:rPr>
              <w:t>0.00</w:t>
            </w:r>
          </w:p>
        </w:tc>
        <w:tc>
          <w:tcPr>
            <w:tcW w:w="319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未到期应付利息</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z w:val="18"/>
              </w:rPr>
              <w:t>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321,905.54</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z w:val="18"/>
              </w:rPr>
              <w:t>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170,321,905.54</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27、递延收益" w:id="305"/>
      <w:bookmarkEnd w:id="305"/>
      <w:r>
        <w:rPr>
          <w:b w:val="0"/>
          <w:bCs w:val="0"/>
        </w:rPr>
      </w:r>
      <w:r>
        <w:rPr>
          <w:rFonts w:ascii="Times New Roman" w:hAnsi="Times New Roman" w:cs="Times New Roman" w:eastAsia="Times New Roman" w:hint="default"/>
        </w:rPr>
        <w:t>27</w:t>
      </w:r>
      <w:r>
        <w:rPr/>
        <w:t>、递延收益</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570"/>
        <w:gridCol w:w="1611"/>
        <w:gridCol w:w="1595"/>
        <w:gridCol w:w="1594"/>
        <w:gridCol w:w="1594"/>
        <w:gridCol w:w="1594"/>
      </w:tblGrid>
      <w:tr>
        <w:trPr>
          <w:trHeight w:val="404" w:hRule="exact"/>
        </w:trPr>
        <w:tc>
          <w:tcPr>
            <w:tcW w:w="15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4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3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3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32" w:right="0"/>
              <w:jc w:val="left"/>
              <w:rPr>
                <w:rFonts w:ascii="宋体" w:hAnsi="宋体" w:cs="宋体" w:eastAsia="宋体" w:hint="default"/>
                <w:sz w:val="18"/>
                <w:szCs w:val="18"/>
              </w:rPr>
            </w:pPr>
            <w:r>
              <w:rPr>
                <w:rFonts w:ascii="宋体" w:hAnsi="宋体" w:cs="宋体" w:eastAsia="宋体" w:hint="default"/>
                <w:sz w:val="18"/>
                <w:szCs w:val="18"/>
              </w:rPr>
              <w:t>形成原因</w:t>
            </w:r>
          </w:p>
        </w:tc>
      </w:tr>
      <w:tr>
        <w:trPr>
          <w:trHeight w:val="398" w:hRule="exact"/>
        </w:trPr>
        <w:tc>
          <w:tcPr>
            <w:tcW w:w="15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61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5,056,825.79</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685,935.60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4,370,890.19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r>
      <w:tr>
        <w:trPr>
          <w:trHeight w:val="403" w:hRule="exact"/>
        </w:trPr>
        <w:tc>
          <w:tcPr>
            <w:tcW w:w="15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1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5,056,825.79</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685,935.60</w:t>
            </w:r>
          </w:p>
        </w:tc>
        <w:tc>
          <w:tcPr>
            <w:tcW w:w="1594"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96"/>
              <w:ind w:right="10"/>
              <w:jc w:val="right"/>
              <w:rPr>
                <w:rFonts w:ascii="Times New Roman" w:hAnsi="Times New Roman" w:cs="Times New Roman" w:eastAsia="Times New Roman" w:hint="default"/>
                <w:sz w:val="18"/>
                <w:szCs w:val="18"/>
              </w:rPr>
            </w:pPr>
            <w:r>
              <w:rPr>
                <w:rFonts w:ascii="Times New Roman"/>
                <w:spacing w:val="-1"/>
                <w:sz w:val="18"/>
              </w:rPr>
              <w:t>4,370,890.19</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7"/>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bl>
    <w:p>
      <w:pPr>
        <w:pStyle w:val="BodyText"/>
        <w:spacing w:line="240" w:lineRule="auto" w:before="53"/>
        <w:ind w:right="0"/>
        <w:jc w:val="left"/>
      </w:pPr>
      <w:r>
        <w:rPr/>
        <w:t>涉及政府补助的项目：</w:t>
      </w:r>
    </w:p>
    <w:p>
      <w:pPr>
        <w:pStyle w:val="BodyText"/>
        <w:spacing w:line="240" w:lineRule="auto" w:before="119"/>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013"/>
        <w:gridCol w:w="1248"/>
        <w:gridCol w:w="1008"/>
        <w:gridCol w:w="1013"/>
        <w:gridCol w:w="1008"/>
        <w:gridCol w:w="1013"/>
        <w:gridCol w:w="1009"/>
        <w:gridCol w:w="1248"/>
        <w:gridCol w:w="1013"/>
      </w:tblGrid>
      <w:tr>
        <w:trPr>
          <w:trHeight w:val="1028" w:hRule="exact"/>
        </w:trPr>
        <w:tc>
          <w:tcPr>
            <w:tcW w:w="10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139" w:right="0"/>
              <w:jc w:val="left"/>
              <w:rPr>
                <w:rFonts w:ascii="宋体" w:hAnsi="宋体" w:cs="宋体" w:eastAsia="宋体" w:hint="default"/>
                <w:sz w:val="18"/>
                <w:szCs w:val="18"/>
              </w:rPr>
            </w:pPr>
            <w:r>
              <w:rPr>
                <w:rFonts w:ascii="宋体" w:hAnsi="宋体" w:cs="宋体" w:eastAsia="宋体" w:hint="default"/>
                <w:sz w:val="18"/>
                <w:szCs w:val="18"/>
              </w:rPr>
              <w:t>负债项目</w:t>
            </w:r>
          </w:p>
        </w:tc>
        <w:tc>
          <w:tcPr>
            <w:tcW w:w="12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5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0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316" w:lineRule="auto"/>
              <w:ind w:left="230" w:right="41" w:hanging="178"/>
              <w:jc w:val="left"/>
              <w:rPr>
                <w:rFonts w:ascii="宋体" w:hAnsi="宋体" w:cs="宋体" w:eastAsia="宋体" w:hint="default"/>
                <w:sz w:val="18"/>
                <w:szCs w:val="18"/>
              </w:rPr>
            </w:pPr>
            <w:r>
              <w:rPr>
                <w:rFonts w:ascii="宋体" w:hAnsi="宋体" w:cs="宋体" w:eastAsia="宋体" w:hint="default"/>
                <w:spacing w:val="-2"/>
                <w:sz w:val="18"/>
                <w:szCs w:val="18"/>
              </w:rPr>
              <w:t>本期新增补</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助金额</w:t>
            </w:r>
          </w:p>
        </w:tc>
        <w:tc>
          <w:tcPr>
            <w:tcW w:w="10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4"/>
              <w:ind w:left="58" w:right="41"/>
              <w:jc w:val="center"/>
              <w:rPr>
                <w:rFonts w:ascii="宋体" w:hAnsi="宋体" w:cs="宋体" w:eastAsia="宋体" w:hint="default"/>
                <w:sz w:val="18"/>
                <w:szCs w:val="18"/>
              </w:rPr>
            </w:pPr>
            <w:r>
              <w:rPr>
                <w:rFonts w:ascii="宋体" w:hAnsi="宋体" w:cs="宋体" w:eastAsia="宋体" w:hint="default"/>
                <w:spacing w:val="-2"/>
                <w:sz w:val="18"/>
                <w:szCs w:val="18"/>
              </w:rPr>
              <w:t>本期计入营</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业外收入金</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额</w:t>
            </w:r>
          </w:p>
        </w:tc>
        <w:tc>
          <w:tcPr>
            <w:tcW w:w="10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316" w:lineRule="auto"/>
              <w:ind w:left="52" w:right="41"/>
              <w:jc w:val="left"/>
              <w:rPr>
                <w:rFonts w:ascii="宋体" w:hAnsi="宋体" w:cs="宋体" w:eastAsia="宋体" w:hint="default"/>
                <w:sz w:val="18"/>
                <w:szCs w:val="18"/>
              </w:rPr>
            </w:pPr>
            <w:r>
              <w:rPr>
                <w:rFonts w:ascii="宋体" w:hAnsi="宋体" w:cs="宋体" w:eastAsia="宋体" w:hint="default"/>
                <w:spacing w:val="-2"/>
                <w:sz w:val="18"/>
                <w:szCs w:val="18"/>
              </w:rPr>
              <w:t>本期计入其</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他收益金额</w:t>
            </w:r>
          </w:p>
        </w:tc>
        <w:tc>
          <w:tcPr>
            <w:tcW w:w="10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316" w:lineRule="auto"/>
              <w:ind w:left="52" w:right="46"/>
              <w:jc w:val="left"/>
              <w:rPr>
                <w:rFonts w:ascii="宋体" w:hAnsi="宋体" w:cs="宋体" w:eastAsia="宋体" w:hint="default"/>
                <w:sz w:val="18"/>
                <w:szCs w:val="18"/>
              </w:rPr>
            </w:pPr>
            <w:r>
              <w:rPr>
                <w:rFonts w:ascii="宋体" w:hAnsi="宋体" w:cs="宋体" w:eastAsia="宋体" w:hint="default"/>
                <w:spacing w:val="-2"/>
                <w:sz w:val="18"/>
                <w:szCs w:val="18"/>
              </w:rPr>
              <w:t>本期冲减成</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本费用金额</w:t>
            </w:r>
          </w:p>
        </w:tc>
        <w:tc>
          <w:tcPr>
            <w:tcW w:w="10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139"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2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59"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0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300" w:lineRule="auto"/>
              <w:ind w:left="52" w:right="24" w:hanging="29"/>
              <w:jc w:val="left"/>
              <w:rPr>
                <w:rFonts w:ascii="宋体" w:hAnsi="宋体" w:cs="宋体" w:eastAsia="宋体" w:hint="default"/>
                <w:sz w:val="18"/>
                <w:szCs w:val="18"/>
              </w:rPr>
            </w:pPr>
            <w:r>
              <w:rPr>
                <w:rFonts w:ascii="宋体" w:hAnsi="宋体" w:cs="宋体" w:eastAsia="宋体" w:hint="default"/>
                <w:spacing w:val="-2"/>
                <w:sz w:val="18"/>
                <w:szCs w:val="18"/>
              </w:rPr>
              <w:t>与资产相关</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32"/>
                <w:sz w:val="18"/>
                <w:szCs w:val="18"/>
              </w:rPr>
              <w:t> </w:t>
            </w:r>
            <w:r>
              <w:rPr>
                <w:rFonts w:ascii="宋体" w:hAnsi="宋体" w:cs="宋体" w:eastAsia="宋体" w:hint="default"/>
                <w:sz w:val="18"/>
                <w:szCs w:val="18"/>
              </w:rPr>
              <w:t>与收益相关</w:t>
            </w:r>
          </w:p>
        </w:tc>
      </w:tr>
      <w:tr>
        <w:trPr>
          <w:trHeight w:val="715"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75"/>
              <w:jc w:val="left"/>
              <w:rPr>
                <w:rFonts w:ascii="Times New Roman" w:hAnsi="Times New Roman" w:cs="Times New Roman" w:eastAsia="Times New Roman" w:hint="default"/>
                <w:sz w:val="18"/>
                <w:szCs w:val="18"/>
              </w:rPr>
            </w:pPr>
            <w:r>
              <w:rPr>
                <w:rFonts w:ascii="宋体" w:hAnsi="宋体" w:cs="宋体" w:eastAsia="宋体" w:hint="default"/>
                <w:spacing w:val="-2"/>
                <w:sz w:val="18"/>
                <w:szCs w:val="18"/>
              </w:rPr>
              <w:t>企业人才安</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居房</w:t>
            </w:r>
            <w:r>
              <w:rPr>
                <w:rFonts w:ascii="Times New Roman" w:hAnsi="Times New Roman" w:cs="Times New Roman" w:eastAsia="Times New Roman" w:hint="default"/>
                <w:sz w:val="18"/>
                <w:szCs w:val="18"/>
              </w:rPr>
              <w:t>*</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73" w:right="0"/>
              <w:jc w:val="left"/>
              <w:rPr>
                <w:rFonts w:ascii="Times New Roman" w:hAnsi="Times New Roman" w:cs="Times New Roman" w:eastAsia="Times New Roman" w:hint="default"/>
                <w:sz w:val="18"/>
                <w:szCs w:val="18"/>
              </w:rPr>
            </w:pPr>
            <w:r>
              <w:rPr>
                <w:rFonts w:ascii="Times New Roman"/>
                <w:sz w:val="18"/>
              </w:rPr>
              <w:t>2,267,984.14</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13"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35,800.68</w:t>
            </w:r>
          </w:p>
        </w:tc>
        <w:tc>
          <w:tcPr>
            <w:tcW w:w="1013" w:type="dxa"/>
            <w:tcBorders>
              <w:top w:val="single" w:sz="4" w:space="0" w:color="000000"/>
              <w:left w:val="single" w:sz="4" w:space="0" w:color="000000"/>
              <w:bottom w:val="single" w:sz="4" w:space="0" w:color="000000"/>
              <w:right w:val="single" w:sz="4" w:space="0" w:color="000000"/>
            </w:tcBorders>
          </w:tcPr>
          <w:p>
            <w:pPr/>
          </w:p>
        </w:tc>
        <w:tc>
          <w:tcPr>
            <w:tcW w:w="1009"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68" w:right="0"/>
              <w:jc w:val="left"/>
              <w:rPr>
                <w:rFonts w:ascii="Times New Roman" w:hAnsi="Times New Roman" w:cs="Times New Roman" w:eastAsia="Times New Roman" w:hint="default"/>
                <w:sz w:val="18"/>
                <w:szCs w:val="18"/>
              </w:rPr>
            </w:pPr>
            <w:r>
              <w:rPr>
                <w:rFonts w:ascii="Times New Roman"/>
                <w:sz w:val="18"/>
              </w:rPr>
              <w:t>2,232,183.46</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50"/>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3"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4"/>
              <w:ind w:left="24" w:right="75"/>
              <w:jc w:val="both"/>
              <w:rPr>
                <w:rFonts w:ascii="宋体" w:hAnsi="宋体" w:cs="宋体" w:eastAsia="宋体" w:hint="default"/>
                <w:sz w:val="18"/>
                <w:szCs w:val="18"/>
              </w:rPr>
            </w:pPr>
            <w:r>
              <w:rPr>
                <w:rFonts w:ascii="宋体" w:hAnsi="宋体" w:cs="宋体" w:eastAsia="宋体" w:hint="default"/>
                <w:spacing w:val="-2"/>
                <w:sz w:val="18"/>
                <w:szCs w:val="18"/>
              </w:rPr>
              <w:t>大数据征信</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平台研发经</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费</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273" w:right="0"/>
              <w:jc w:val="left"/>
              <w:rPr>
                <w:rFonts w:ascii="Times New Roman" w:hAnsi="Times New Roman" w:cs="Times New Roman" w:eastAsia="Times New Roman" w:hint="default"/>
                <w:sz w:val="18"/>
                <w:szCs w:val="18"/>
              </w:rPr>
            </w:pPr>
            <w:r>
              <w:rPr>
                <w:rFonts w:ascii="Times New Roman"/>
                <w:sz w:val="18"/>
              </w:rPr>
              <w:t>2,788,841.65</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13"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650,134.92</w:t>
            </w:r>
          </w:p>
        </w:tc>
        <w:tc>
          <w:tcPr>
            <w:tcW w:w="1013" w:type="dxa"/>
            <w:tcBorders>
              <w:top w:val="single" w:sz="4" w:space="0" w:color="000000"/>
              <w:left w:val="single" w:sz="4" w:space="0" w:color="000000"/>
              <w:bottom w:val="single" w:sz="4" w:space="0" w:color="000000"/>
              <w:right w:val="single" w:sz="4" w:space="0" w:color="000000"/>
            </w:tcBorders>
          </w:tcPr>
          <w:p>
            <w:pPr/>
          </w:p>
        </w:tc>
        <w:tc>
          <w:tcPr>
            <w:tcW w:w="1009"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268" w:right="0"/>
              <w:jc w:val="left"/>
              <w:rPr>
                <w:rFonts w:ascii="Times New Roman" w:hAnsi="Times New Roman" w:cs="Times New Roman" w:eastAsia="Times New Roman" w:hint="default"/>
                <w:sz w:val="18"/>
                <w:szCs w:val="18"/>
              </w:rPr>
            </w:pPr>
            <w:r>
              <w:rPr>
                <w:rFonts w:ascii="Times New Roman"/>
                <w:sz w:val="18"/>
              </w:rPr>
              <w:t>2,138,706.73</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right="50"/>
              <w:jc w:val="center"/>
              <w:rPr>
                <w:rFonts w:ascii="宋体" w:hAnsi="宋体" w:cs="宋体" w:eastAsia="宋体" w:hint="default"/>
                <w:sz w:val="18"/>
                <w:szCs w:val="18"/>
              </w:rPr>
            </w:pPr>
            <w:r>
              <w:rPr>
                <w:rFonts w:ascii="宋体" w:hAnsi="宋体" w:cs="宋体" w:eastAsia="宋体" w:hint="default"/>
                <w:sz w:val="18"/>
                <w:szCs w:val="18"/>
              </w:rPr>
              <w:t>与资产相关</w:t>
            </w:r>
          </w:p>
        </w:tc>
      </w:tr>
    </w:tbl>
    <w:p>
      <w:pPr>
        <w:spacing w:after="0" w:line="240" w:lineRule="auto"/>
        <w:jc w:val="center"/>
        <w:rPr>
          <w:rFonts w:ascii="宋体" w:hAnsi="宋体" w:cs="宋体" w:eastAsia="宋体" w:hint="default"/>
          <w:sz w:val="18"/>
          <w:szCs w:val="18"/>
        </w:rPr>
        <w:sectPr>
          <w:pgSz w:w="11910" w:h="16840"/>
          <w:pgMar w:header="871" w:footer="1186" w:top="1100" w:bottom="1380" w:left="980" w:right="0"/>
        </w:sectPr>
      </w:pPr>
    </w:p>
    <w:p>
      <w:pPr>
        <w:spacing w:line="240" w:lineRule="auto" w:before="8"/>
        <w:rPr>
          <w:rFonts w:ascii="宋体" w:hAnsi="宋体" w:cs="宋体" w:eastAsia="宋体" w:hint="default"/>
          <w:sz w:val="24"/>
          <w:szCs w:val="24"/>
        </w:rPr>
      </w:pPr>
    </w:p>
    <w:tbl>
      <w:tblPr>
        <w:tblW w:w="0" w:type="auto"/>
        <w:jc w:val="left"/>
        <w:tblInd w:w="146" w:type="dxa"/>
        <w:tblLayout w:type="fixed"/>
        <w:tblCellMar>
          <w:top w:w="0" w:type="dxa"/>
          <w:left w:w="0" w:type="dxa"/>
          <w:bottom w:w="0" w:type="dxa"/>
          <w:right w:w="0" w:type="dxa"/>
        </w:tblCellMar>
        <w:tblLook w:val="01E0"/>
      </w:tblPr>
      <w:tblGrid>
        <w:gridCol w:w="1016"/>
        <w:gridCol w:w="1248"/>
        <w:gridCol w:w="1008"/>
        <w:gridCol w:w="1013"/>
        <w:gridCol w:w="1008"/>
        <w:gridCol w:w="1013"/>
        <w:gridCol w:w="1009"/>
        <w:gridCol w:w="1248"/>
        <w:gridCol w:w="1013"/>
      </w:tblGrid>
      <w:tr>
        <w:trPr>
          <w:trHeight w:val="403" w:hRule="exact"/>
        </w:trPr>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5"/>
                <w:sz w:val="18"/>
                <w:szCs w:val="18"/>
              </w:rPr>
              <w:t> </w:t>
            </w:r>
            <w:r>
              <w:rPr>
                <w:rFonts w:ascii="宋体" w:hAnsi="宋体" w:cs="宋体" w:eastAsia="宋体" w:hint="default"/>
                <w:sz w:val="18"/>
                <w:szCs w:val="18"/>
              </w:rPr>
              <w:t>计</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73" w:right="0"/>
              <w:jc w:val="left"/>
              <w:rPr>
                <w:rFonts w:ascii="Times New Roman" w:hAnsi="Times New Roman" w:cs="Times New Roman" w:eastAsia="Times New Roman" w:hint="default"/>
                <w:sz w:val="18"/>
                <w:szCs w:val="18"/>
              </w:rPr>
            </w:pPr>
            <w:r>
              <w:rPr>
                <w:rFonts w:ascii="Times New Roman"/>
                <w:sz w:val="18"/>
              </w:rPr>
              <w:t>5,056,825.79</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13"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67" w:right="0"/>
              <w:jc w:val="left"/>
              <w:rPr>
                <w:rFonts w:ascii="Times New Roman" w:hAnsi="Times New Roman" w:cs="Times New Roman" w:eastAsia="Times New Roman" w:hint="default"/>
                <w:sz w:val="18"/>
                <w:szCs w:val="18"/>
              </w:rPr>
            </w:pPr>
            <w:r>
              <w:rPr>
                <w:rFonts w:ascii="Times New Roman"/>
                <w:sz w:val="18"/>
              </w:rPr>
              <w:t>685,935.60</w:t>
            </w:r>
          </w:p>
        </w:tc>
        <w:tc>
          <w:tcPr>
            <w:tcW w:w="1013" w:type="dxa"/>
            <w:tcBorders>
              <w:top w:val="single" w:sz="4" w:space="0" w:color="000000"/>
              <w:left w:val="single" w:sz="4" w:space="0" w:color="000000"/>
              <w:bottom w:val="single" w:sz="4" w:space="0" w:color="000000"/>
              <w:right w:val="single" w:sz="4" w:space="0" w:color="000000"/>
            </w:tcBorders>
          </w:tcPr>
          <w:p>
            <w:pPr/>
          </w:p>
        </w:tc>
        <w:tc>
          <w:tcPr>
            <w:tcW w:w="1009"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68" w:right="0"/>
              <w:jc w:val="left"/>
              <w:rPr>
                <w:rFonts w:ascii="Times New Roman" w:hAnsi="Times New Roman" w:cs="Times New Roman" w:eastAsia="Times New Roman" w:hint="default"/>
                <w:sz w:val="18"/>
                <w:szCs w:val="18"/>
              </w:rPr>
            </w:pPr>
            <w:r>
              <w:rPr>
                <w:rFonts w:ascii="Times New Roman"/>
                <w:sz w:val="18"/>
              </w:rPr>
              <w:t>4,370,890.19</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r>
    </w:tbl>
    <w:p>
      <w:pPr>
        <w:pStyle w:val="BodyText"/>
        <w:spacing w:line="240" w:lineRule="auto" w:before="53"/>
        <w:ind w:right="0"/>
        <w:jc w:val="left"/>
      </w:pPr>
      <w:r>
        <w:rPr/>
        <w:t>其他说明：</w:t>
      </w:r>
    </w:p>
    <w:p>
      <w:pPr>
        <w:spacing w:line="240" w:lineRule="auto" w:before="9"/>
        <w:rPr>
          <w:rFonts w:ascii="宋体" w:hAnsi="宋体" w:cs="宋体" w:eastAsia="宋体" w:hint="default"/>
          <w:sz w:val="14"/>
          <w:szCs w:val="14"/>
        </w:rPr>
      </w:pPr>
    </w:p>
    <w:p>
      <w:pPr>
        <w:pStyle w:val="BodyText"/>
        <w:spacing w:line="463" w:lineRule="auto"/>
        <w:ind w:right="1122" w:firstLine="360"/>
        <w:jc w:val="both"/>
      </w:pPr>
      <w:r>
        <w:rPr>
          <w:spacing w:val="-15"/>
          <w:w w:val="101"/>
        </w:rPr>
        <w:t>本公司根据《深圳市保障性住房条例》、《深圳市人才安居暂行办法》、《福田区企业人才住房配售管理办法》、《福田</w:t>
      </w:r>
      <w:r>
        <w:rPr>
          <w:spacing w:val="-50"/>
          <w:w w:val="101"/>
        </w:rPr>
        <w:t> </w:t>
      </w:r>
      <w:r>
        <w:rPr>
          <w:rFonts w:ascii="Times New Roman" w:hAnsi="Times New Roman" w:cs="Times New Roman" w:eastAsia="Times New Roman" w:hint="default"/>
          <w:w w:val="101"/>
        </w:rPr>
        <w:t>2013 </w:t>
      </w:r>
      <w:r>
        <w:rPr>
          <w:spacing w:val="-4"/>
        </w:rPr>
        <w:t>年度企业人才住房配售方案》等规定，向深圳市福田区政府申请并取得企业人才住房，公司将取得企业人才住房购买价与公</w:t>
      </w:r>
      <w:r>
        <w:rPr>
          <w:spacing w:val="43"/>
        </w:rPr>
        <w:t> </w:t>
      </w:r>
      <w:r>
        <w:rPr>
          <w:spacing w:val="43"/>
        </w:rPr>
      </w:r>
      <w:r>
        <w:rPr>
          <w:spacing w:val="-3"/>
        </w:rPr>
        <w:t>允价值之间的差异确认为政府补助。</w:t>
      </w:r>
    </w:p>
    <w:p>
      <w:pPr>
        <w:spacing w:line="240" w:lineRule="auto" w:before="1"/>
        <w:rPr>
          <w:rFonts w:ascii="宋体" w:hAnsi="宋体" w:cs="宋体" w:eastAsia="宋体" w:hint="default"/>
          <w:sz w:val="20"/>
          <w:szCs w:val="20"/>
        </w:rPr>
      </w:pPr>
    </w:p>
    <w:p>
      <w:pPr>
        <w:pStyle w:val="Heading3"/>
        <w:spacing w:line="240" w:lineRule="auto"/>
        <w:ind w:right="0"/>
        <w:jc w:val="left"/>
        <w:rPr>
          <w:b w:val="0"/>
          <w:bCs w:val="0"/>
        </w:rPr>
      </w:pPr>
      <w:bookmarkStart w:name="28、股本" w:id="306"/>
      <w:bookmarkEnd w:id="306"/>
      <w:r>
        <w:rPr>
          <w:b w:val="0"/>
          <w:bCs w:val="0"/>
        </w:rPr>
      </w:r>
      <w:r>
        <w:rPr>
          <w:rFonts w:ascii="Times New Roman" w:hAnsi="Times New Roman" w:cs="Times New Roman" w:eastAsia="Times New Roman" w:hint="default"/>
        </w:rPr>
        <w:t>28</w:t>
      </w:r>
      <w:r>
        <w:rPr/>
        <w:t>、股本</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0" w:right="1122"/>
        <w:jc w:val="right"/>
      </w:pPr>
      <w:r>
        <w:rPr>
          <w:spacing w:val="-2"/>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184"/>
        <w:gridCol w:w="1208"/>
        <w:gridCol w:w="1189"/>
        <w:gridCol w:w="1196"/>
        <w:gridCol w:w="1196"/>
        <w:gridCol w:w="1196"/>
        <w:gridCol w:w="1186"/>
        <w:gridCol w:w="1205"/>
      </w:tblGrid>
      <w:tr>
        <w:trPr>
          <w:trHeight w:val="206" w:hRule="exact"/>
        </w:trPr>
        <w:tc>
          <w:tcPr>
            <w:tcW w:w="1184" w:type="dxa"/>
            <w:tcBorders>
              <w:top w:val="single" w:sz="4" w:space="0" w:color="000000"/>
              <w:left w:val="single" w:sz="4" w:space="0" w:color="000000"/>
              <w:bottom w:val="nil" w:sz="6" w:space="0" w:color="auto"/>
              <w:right w:val="single" w:sz="4" w:space="0" w:color="000000"/>
            </w:tcBorders>
            <w:shd w:val="clear" w:color="auto" w:fill="D2D2D2"/>
          </w:tcPr>
          <w:p>
            <w:pPr/>
          </w:p>
        </w:tc>
        <w:tc>
          <w:tcPr>
            <w:tcW w:w="1208" w:type="dxa"/>
            <w:tcBorders>
              <w:top w:val="single" w:sz="4" w:space="0" w:color="000000"/>
              <w:left w:val="single" w:sz="4" w:space="0" w:color="000000"/>
              <w:bottom w:val="nil" w:sz="6" w:space="0" w:color="auto"/>
              <w:right w:val="single" w:sz="4" w:space="0" w:color="000000"/>
            </w:tcBorders>
            <w:shd w:val="clear" w:color="auto" w:fill="D2D2D2"/>
          </w:tcPr>
          <w:p>
            <w:pPr/>
          </w:p>
        </w:tc>
        <w:tc>
          <w:tcPr>
            <w:tcW w:w="5962"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20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87" w:hRule="exact"/>
        </w:trPr>
        <w:tc>
          <w:tcPr>
            <w:tcW w:w="1184" w:type="dxa"/>
            <w:vMerge w:val="restart"/>
            <w:tcBorders>
              <w:top w:val="nil" w:sz="6" w:space="0" w:color="auto"/>
              <w:left w:val="single" w:sz="4" w:space="0" w:color="000000"/>
              <w:right w:val="single" w:sz="4" w:space="0" w:color="000000"/>
            </w:tcBorders>
            <w:shd w:val="clear" w:color="auto" w:fill="D2D2D2"/>
          </w:tcPr>
          <w:p>
            <w:pPr/>
          </w:p>
        </w:tc>
        <w:tc>
          <w:tcPr>
            <w:tcW w:w="120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3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962" w:type="dxa"/>
            <w:gridSpan w:val="5"/>
            <w:vMerge/>
            <w:tcBorders>
              <w:left w:val="single" w:sz="4" w:space="0" w:color="000000"/>
              <w:bottom w:val="single" w:sz="4" w:space="0" w:color="000000"/>
              <w:right w:val="single" w:sz="4" w:space="0" w:color="000000"/>
            </w:tcBorders>
            <w:shd w:val="clear" w:color="auto" w:fill="D2D2D2"/>
          </w:tcPr>
          <w:p>
            <w:pPr/>
          </w:p>
        </w:tc>
        <w:tc>
          <w:tcPr>
            <w:tcW w:w="120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44"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202" w:hRule="exact"/>
        </w:trPr>
        <w:tc>
          <w:tcPr>
            <w:tcW w:w="1184" w:type="dxa"/>
            <w:vMerge/>
            <w:tcBorders>
              <w:left w:val="single" w:sz="4" w:space="0" w:color="000000"/>
              <w:bottom w:val="nil" w:sz="6" w:space="0" w:color="auto"/>
              <w:right w:val="single" w:sz="4" w:space="0" w:color="000000"/>
            </w:tcBorders>
            <w:shd w:val="clear" w:color="auto" w:fill="D2D2D2"/>
          </w:tcPr>
          <w:p>
            <w:pPr/>
          </w:p>
        </w:tc>
        <w:tc>
          <w:tcPr>
            <w:tcW w:w="1208" w:type="dxa"/>
            <w:vMerge/>
            <w:tcBorders>
              <w:left w:val="single" w:sz="4" w:space="0" w:color="000000"/>
              <w:bottom w:val="nil" w:sz="6" w:space="0" w:color="auto"/>
              <w:right w:val="single" w:sz="4" w:space="0" w:color="000000"/>
            </w:tcBorders>
            <w:shd w:val="clear" w:color="auto" w:fill="D2D2D2"/>
          </w:tcPr>
          <w:p>
            <w:pPr/>
          </w:p>
        </w:tc>
        <w:tc>
          <w:tcPr>
            <w:tcW w:w="118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223"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4"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143"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4"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8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14"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205"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11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89"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86" w:type="dxa"/>
            <w:vMerge/>
            <w:tcBorders>
              <w:left w:val="single" w:sz="4" w:space="0" w:color="000000"/>
              <w:bottom w:val="single" w:sz="4" w:space="0" w:color="000000"/>
              <w:right w:val="single" w:sz="4" w:space="0" w:color="000000"/>
            </w:tcBorders>
            <w:shd w:val="clear" w:color="auto" w:fill="D2D2D2"/>
          </w:tcPr>
          <w:p>
            <w:pPr/>
          </w:p>
        </w:tc>
        <w:tc>
          <w:tcPr>
            <w:tcW w:w="120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4" w:hRule="exact"/>
        </w:trPr>
        <w:tc>
          <w:tcPr>
            <w:tcW w:w="1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20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left="36" w:right="0"/>
              <w:jc w:val="left"/>
              <w:rPr>
                <w:rFonts w:ascii="Times New Roman" w:hAnsi="Times New Roman" w:cs="Times New Roman" w:eastAsia="Times New Roman" w:hint="default"/>
                <w:sz w:val="18"/>
                <w:szCs w:val="18"/>
              </w:rPr>
            </w:pPr>
            <w:r>
              <w:rPr>
                <w:rFonts w:ascii="Times New Roman"/>
                <w:sz w:val="18"/>
              </w:rPr>
              <w:t>706,640,535.00</w:t>
            </w:r>
          </w:p>
        </w:tc>
        <w:tc>
          <w:tcPr>
            <w:tcW w:w="1189"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2" w:right="0"/>
              <w:jc w:val="left"/>
              <w:rPr>
                <w:rFonts w:ascii="Times New Roman" w:hAnsi="Times New Roman" w:cs="Times New Roman" w:eastAsia="Times New Roman" w:hint="default"/>
                <w:sz w:val="18"/>
                <w:szCs w:val="18"/>
              </w:rPr>
            </w:pPr>
            <w:r>
              <w:rPr>
                <w:rFonts w:ascii="Times New Roman"/>
                <w:sz w:val="18"/>
              </w:rPr>
              <w:t>706,640,535.00</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29、资本公积" w:id="307"/>
      <w:bookmarkEnd w:id="307"/>
      <w:r>
        <w:rPr>
          <w:b w:val="0"/>
          <w:bCs w:val="0"/>
        </w:rPr>
      </w:r>
      <w:r>
        <w:rPr>
          <w:rFonts w:ascii="Times New Roman" w:hAnsi="Times New Roman" w:cs="Times New Roman" w:eastAsia="Times New Roman" w:hint="default"/>
        </w:rPr>
        <w:t>29</w:t>
      </w:r>
      <w:r>
        <w:rPr/>
        <w:t>、资本公积</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01"/>
        <w:gridCol w:w="1931"/>
        <w:gridCol w:w="1911"/>
        <w:gridCol w:w="1916"/>
        <w:gridCol w:w="1916"/>
      </w:tblGrid>
      <w:tr>
        <w:trPr>
          <w:trHeight w:val="399"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590"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590"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590"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3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374,051,960.37</w:t>
            </w: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374,051,960.37</w:t>
            </w: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93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1,927,790.84</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16,918,304.01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3,531,573.12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15,314,521.73</w:t>
            </w: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3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375,979,751.21</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16,918,304.01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3,531,573.12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389,366,482.10</w:t>
            </w:r>
          </w:p>
        </w:tc>
      </w:tr>
    </w:tbl>
    <w:p>
      <w:pPr>
        <w:pStyle w:val="BodyText"/>
        <w:spacing w:line="240" w:lineRule="auto" w:before="54"/>
        <w:ind w:right="0"/>
        <w:jc w:val="left"/>
      </w:pPr>
      <w:r>
        <w:rPr>
          <w:spacing w:val="-3"/>
        </w:rPr>
        <w:t>其他说明，包括本期增减变动情况、变动原因说明：</w:t>
      </w:r>
    </w:p>
    <w:p>
      <w:pPr>
        <w:spacing w:line="240" w:lineRule="auto" w:before="8"/>
        <w:rPr>
          <w:rFonts w:ascii="宋体" w:hAnsi="宋体" w:cs="宋体" w:eastAsia="宋体" w:hint="default"/>
          <w:sz w:val="14"/>
          <w:szCs w:val="14"/>
        </w:rPr>
      </w:pPr>
    </w:p>
    <w:p>
      <w:pPr>
        <w:pStyle w:val="BodyText"/>
        <w:spacing w:line="453" w:lineRule="auto"/>
        <w:ind w:right="0" w:firstLine="360"/>
        <w:jc w:val="left"/>
      </w:pPr>
      <w:r>
        <w:rPr>
          <w:rFonts w:ascii="Times New Roman" w:hAnsi="Times New Roman" w:cs="Times New Roman" w:eastAsia="Times New Roman" w:hint="default"/>
          <w:spacing w:val="-3"/>
        </w:rPr>
        <w:t>1</w:t>
      </w:r>
      <w:r>
        <w:rPr>
          <w:spacing w:val="-3"/>
        </w:rPr>
        <w:t>）其他资本公积本期增加 </w:t>
      </w:r>
      <w:r>
        <w:rPr>
          <w:rFonts w:ascii="Times New Roman" w:hAnsi="Times New Roman" w:cs="Times New Roman" w:eastAsia="Times New Roman" w:hint="default"/>
        </w:rPr>
        <w:t>15,314,521.73</w:t>
      </w:r>
      <w:r>
        <w:rPr>
          <w:rFonts w:ascii="Times New Roman" w:hAnsi="Times New Roman" w:cs="Times New Roman" w:eastAsia="Times New Roman" w:hint="default"/>
          <w:spacing w:val="30"/>
        </w:rPr>
        <w:t> </w:t>
      </w:r>
      <w:r>
        <w:rPr>
          <w:spacing w:val="-3"/>
        </w:rPr>
        <w:t>元，系本公司之联营企业北京华道征信有限公司其他股东溢价实缴资本而形成</w:t>
      </w:r>
      <w:r>
        <w:rPr>
          <w:w w:val="101"/>
        </w:rPr>
        <w:t> </w:t>
      </w:r>
      <w:r>
        <w:rPr/>
        <w:t>的其他资本公积变动；</w:t>
      </w:r>
    </w:p>
    <w:p>
      <w:pPr>
        <w:pStyle w:val="BodyText"/>
        <w:spacing w:line="460" w:lineRule="auto" w:before="70"/>
        <w:ind w:right="0" w:firstLine="360"/>
        <w:jc w:val="left"/>
      </w:pPr>
      <w:r>
        <w:rPr>
          <w:rFonts w:ascii="Times New Roman" w:hAnsi="Times New Roman" w:cs="Times New Roman" w:eastAsia="Times New Roman" w:hint="default"/>
        </w:rPr>
        <w:t>2</w:t>
      </w:r>
      <w:r>
        <w:rPr/>
        <w:t>）其他资本公积本期增加 </w:t>
      </w:r>
      <w:r>
        <w:rPr>
          <w:rFonts w:ascii="Times New Roman" w:hAnsi="Times New Roman" w:cs="Times New Roman" w:eastAsia="Times New Roman" w:hint="default"/>
        </w:rPr>
        <w:t>1,574,134.79</w:t>
      </w:r>
      <w:r>
        <w:rPr>
          <w:rFonts w:ascii="Times New Roman" w:hAnsi="Times New Roman" w:cs="Times New Roman" w:eastAsia="Times New Roman" w:hint="default"/>
          <w:spacing w:val="-14"/>
        </w:rPr>
        <w:t> </w:t>
      </w:r>
      <w:r>
        <w:rPr>
          <w:spacing w:val="-3"/>
        </w:rPr>
        <w:t>元，系本公司原联营企业深圳票联金融服务有限公司（下文称</w:t>
      </w:r>
      <w:r>
        <w:rPr>
          <w:rFonts w:ascii="Times New Roman" w:hAnsi="Times New Roman" w:cs="Times New Roman" w:eastAsia="Times New Roman" w:hint="default"/>
          <w:spacing w:val="-3"/>
        </w:rPr>
        <w:t>“</w:t>
      </w:r>
      <w:r>
        <w:rPr>
          <w:spacing w:val="-3"/>
        </w:rPr>
        <w:t>票联金服</w:t>
      </w:r>
      <w:r>
        <w:rPr>
          <w:rFonts w:ascii="Times New Roman" w:hAnsi="Times New Roman" w:cs="Times New Roman" w:eastAsia="Times New Roman" w:hint="default"/>
          <w:spacing w:val="-3"/>
        </w:rPr>
        <w:t>”</w:t>
      </w:r>
      <w:r>
        <w:rPr>
          <w:spacing w:val="-3"/>
        </w:rPr>
        <w:t>）于</w:t>
      </w:r>
      <w:r>
        <w:rPr>
          <w:w w:val="101"/>
        </w:rPr>
        <w:t> </w:t>
      </w:r>
      <w:r>
        <w:rPr>
          <w:spacing w:val="-4"/>
        </w:rPr>
        <w:t>报告期内完成注册资本增资，本公司原持股比例被动稀释，按照新持股比例重新确认应享有的净资产，差额计入其他资本公</w:t>
      </w:r>
      <w:r>
        <w:rPr>
          <w:spacing w:val="43"/>
        </w:rPr>
        <w:t> </w:t>
      </w:r>
      <w:r>
        <w:rPr>
          <w:spacing w:val="43"/>
        </w:rPr>
      </w:r>
      <w:r>
        <w:rPr>
          <w:spacing w:val="-3"/>
        </w:rPr>
        <w:t>积；其他资本公积本期减少 </w:t>
      </w:r>
      <w:r>
        <w:rPr>
          <w:rFonts w:ascii="Times New Roman" w:hAnsi="Times New Roman" w:cs="Times New Roman" w:eastAsia="Times New Roman" w:hint="default"/>
        </w:rPr>
        <w:t>3,501,925.64 </w:t>
      </w:r>
      <w:r>
        <w:rPr>
          <w:spacing w:val="-4"/>
        </w:rPr>
        <w:t>元，系本公司对票联金服持股比例被动稀释，且本公司未在票联金融董事会中继续</w:t>
      </w:r>
      <w:r>
        <w:rPr>
          <w:spacing w:val="-43"/>
        </w:rPr>
        <w:t> </w:t>
      </w:r>
      <w:r>
        <w:rPr>
          <w:spacing w:val="-43"/>
        </w:rPr>
      </w:r>
      <w:r>
        <w:rPr>
          <w:spacing w:val="-3"/>
        </w:rPr>
        <w:t>派驻人员，导致公司失去对票联金服的经营管理重大影响所致。</w:t>
      </w:r>
    </w:p>
    <w:p>
      <w:pPr>
        <w:pStyle w:val="BodyText"/>
        <w:spacing w:line="460" w:lineRule="auto" w:before="64"/>
        <w:ind w:right="1124" w:firstLine="360"/>
        <w:jc w:val="both"/>
      </w:pPr>
      <w:r>
        <w:rPr>
          <w:rFonts w:ascii="Times New Roman" w:hAnsi="Times New Roman" w:cs="Times New Roman" w:eastAsia="Times New Roman" w:hint="default"/>
          <w:spacing w:val="-3"/>
        </w:rPr>
        <w:t>3</w:t>
      </w:r>
      <w:r>
        <w:rPr>
          <w:spacing w:val="-3"/>
        </w:rPr>
        <w:t>）其他资本公积本期增加 </w:t>
      </w:r>
      <w:r>
        <w:rPr>
          <w:rFonts w:ascii="Times New Roman" w:hAnsi="Times New Roman" w:cs="Times New Roman" w:eastAsia="Times New Roman" w:hint="default"/>
        </w:rPr>
        <w:t>29,647.48</w:t>
      </w:r>
      <w:r>
        <w:rPr>
          <w:rFonts w:ascii="Times New Roman" w:hAnsi="Times New Roman" w:cs="Times New Roman" w:eastAsia="Times New Roman" w:hint="default"/>
          <w:spacing w:val="28"/>
        </w:rPr>
        <w:t> </w:t>
      </w:r>
      <w:r>
        <w:rPr>
          <w:spacing w:val="-4"/>
        </w:rPr>
        <w:t>元，系本公司原联营企业北京智帆金科信息服务有限公司（下文称</w:t>
      </w:r>
      <w:r>
        <w:rPr>
          <w:rFonts w:ascii="Times New Roman" w:hAnsi="Times New Roman" w:cs="Times New Roman" w:eastAsia="Times New Roman" w:hint="default"/>
          <w:spacing w:val="-4"/>
        </w:rPr>
        <w:t>“</w:t>
      </w:r>
      <w:r>
        <w:rPr>
          <w:spacing w:val="-4"/>
        </w:rPr>
        <w:t>智帆金科</w:t>
      </w:r>
      <w:r>
        <w:rPr>
          <w:rFonts w:ascii="Times New Roman" w:hAnsi="Times New Roman" w:cs="Times New Roman" w:eastAsia="Times New Roman" w:hint="default"/>
          <w:spacing w:val="-4"/>
        </w:rPr>
        <w:t>”</w:t>
      </w:r>
      <w:r>
        <w:rPr>
          <w:spacing w:val="-4"/>
        </w:rPr>
        <w:t>）于</w:t>
      </w:r>
      <w:r>
        <w:rPr>
          <w:spacing w:val="-15"/>
          <w:w w:val="101"/>
        </w:rPr>
        <w:t> </w:t>
      </w:r>
      <w:r>
        <w:rPr>
          <w:spacing w:val="-4"/>
        </w:rPr>
        <w:t>报告期内完成注册资本增资，本公司原持股比例被动稀释，按照新持股比例重新确认应享有的净资产，差额计入其他资本公</w:t>
      </w:r>
      <w:r>
        <w:rPr>
          <w:spacing w:val="43"/>
        </w:rPr>
        <w:t> </w:t>
      </w:r>
      <w:r>
        <w:rPr>
          <w:spacing w:val="43"/>
        </w:rPr>
      </w:r>
      <w:r>
        <w:rPr>
          <w:spacing w:val="-3"/>
        </w:rPr>
        <w:t>积；其他资本公积本期减少 </w:t>
      </w:r>
      <w:r>
        <w:rPr>
          <w:rFonts w:ascii="Times New Roman" w:hAnsi="Times New Roman" w:cs="Times New Roman" w:eastAsia="Times New Roman" w:hint="default"/>
        </w:rPr>
        <w:t>29,647.48 </w:t>
      </w:r>
      <w:r>
        <w:rPr>
          <w:spacing w:val="-3"/>
        </w:rPr>
        <w:t>元，系本公司对智帆金科持股比例被动稀释，且本公司未在智帆金科董事会中继续派</w:t>
      </w:r>
      <w:r>
        <w:rPr>
          <w:spacing w:val="-43"/>
        </w:rPr>
        <w:t> </w:t>
      </w:r>
      <w:r>
        <w:rPr>
          <w:spacing w:val="-43"/>
        </w:rPr>
      </w:r>
      <w:r>
        <w:rPr>
          <w:spacing w:val="-3"/>
        </w:rPr>
        <w:t>驻人员，导致公司失去对票联金服的经营管理重大影响所致。</w:t>
      </w:r>
    </w:p>
    <w:p>
      <w:pPr>
        <w:spacing w:line="240" w:lineRule="auto" w:before="12"/>
        <w:rPr>
          <w:rFonts w:ascii="宋体" w:hAnsi="宋体" w:cs="宋体" w:eastAsia="宋体" w:hint="default"/>
          <w:sz w:val="19"/>
          <w:szCs w:val="19"/>
        </w:rPr>
      </w:pPr>
    </w:p>
    <w:p>
      <w:pPr>
        <w:pStyle w:val="Heading3"/>
        <w:spacing w:line="240" w:lineRule="auto"/>
        <w:ind w:right="0"/>
        <w:jc w:val="left"/>
        <w:rPr>
          <w:b w:val="0"/>
          <w:bCs w:val="0"/>
        </w:rPr>
      </w:pPr>
      <w:bookmarkStart w:name="30、其他综合收益" w:id="308"/>
      <w:bookmarkEnd w:id="308"/>
      <w:r>
        <w:rPr>
          <w:b w:val="0"/>
          <w:bCs w:val="0"/>
        </w:rPr>
      </w:r>
      <w:r>
        <w:rPr>
          <w:rFonts w:ascii="Times New Roman" w:hAnsi="Times New Roman" w:cs="Times New Roman" w:eastAsia="Times New Roman" w:hint="default"/>
        </w:rPr>
        <w:t>30</w:t>
      </w:r>
      <w:r>
        <w:rPr/>
        <w:t>、其他综合收益</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left="0" w:right="1122"/>
        <w:jc w:val="right"/>
      </w:pPr>
      <w:r>
        <w:rPr/>
        <w:t>单位：</w:t>
      </w:r>
      <w:r>
        <w:rPr>
          <w:spacing w:val="5"/>
        </w:rPr>
        <w:t> </w:t>
      </w:r>
      <w:r>
        <w:rPr/>
        <w:t>元</w:t>
      </w:r>
    </w:p>
    <w:p>
      <w:pPr>
        <w:spacing w:after="0" w:line="240" w:lineRule="auto"/>
        <w:jc w:val="right"/>
        <w:sectPr>
          <w:pgSz w:w="11910" w:h="16840"/>
          <w:pgMar w:header="871" w:footer="1186" w:top="1100" w:bottom="1380" w:left="980" w:right="0"/>
        </w:sectPr>
      </w:pPr>
    </w:p>
    <w:p>
      <w:pPr>
        <w:spacing w:line="240" w:lineRule="auto" w:before="8"/>
        <w:rPr>
          <w:rFonts w:ascii="宋体" w:hAnsi="宋体" w:cs="宋体" w:eastAsia="宋体" w:hint="default"/>
          <w:sz w:val="24"/>
          <w:szCs w:val="24"/>
        </w:rPr>
      </w:pPr>
    </w:p>
    <w:tbl>
      <w:tblPr>
        <w:tblW w:w="0" w:type="auto"/>
        <w:jc w:val="left"/>
        <w:tblInd w:w="160" w:type="dxa"/>
        <w:tblLayout w:type="fixed"/>
        <w:tblCellMar>
          <w:top w:w="0" w:type="dxa"/>
          <w:left w:w="0" w:type="dxa"/>
          <w:bottom w:w="0" w:type="dxa"/>
          <w:right w:w="0" w:type="dxa"/>
        </w:tblCellMar>
        <w:tblLook w:val="01E0"/>
      </w:tblPr>
      <w:tblGrid>
        <w:gridCol w:w="2547"/>
        <w:gridCol w:w="975"/>
        <w:gridCol w:w="850"/>
        <w:gridCol w:w="1052"/>
        <w:gridCol w:w="850"/>
        <w:gridCol w:w="855"/>
        <w:gridCol w:w="854"/>
        <w:gridCol w:w="850"/>
        <w:gridCol w:w="725"/>
      </w:tblGrid>
      <w:tr>
        <w:trPr>
          <w:trHeight w:val="398" w:hRule="exact"/>
        </w:trPr>
        <w:tc>
          <w:tcPr>
            <w:tcW w:w="2547" w:type="dxa"/>
            <w:vMerge w:val="restart"/>
            <w:tcBorders>
              <w:top w:val="single" w:sz="4" w:space="0" w:color="000000"/>
              <w:left w:val="single" w:sz="4" w:space="0" w:color="000000"/>
              <w:right w:val="single" w:sz="4" w:space="0" w:color="000000"/>
            </w:tcBorders>
            <w:shd w:val="clear" w:color="auto" w:fill="D2D2D2"/>
          </w:tcPr>
          <w:p>
            <w:pPr/>
          </w:p>
        </w:tc>
        <w:tc>
          <w:tcPr>
            <w:tcW w:w="975" w:type="dxa"/>
            <w:vMerge w:val="restart"/>
            <w:tcBorders>
              <w:top w:val="single" w:sz="4" w:space="0" w:color="000000"/>
              <w:left w:val="single" w:sz="4" w:space="0" w:color="000000"/>
              <w:right w:val="single" w:sz="4" w:space="0" w:color="000000"/>
            </w:tcBorders>
            <w:shd w:val="clear" w:color="auto" w:fill="D2D2D2"/>
          </w:tcPr>
          <w:p>
            <w:pPr/>
          </w:p>
        </w:tc>
        <w:tc>
          <w:tcPr>
            <w:tcW w:w="5311"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8"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725" w:type="dxa"/>
            <w:vMerge w:val="restart"/>
            <w:tcBorders>
              <w:top w:val="single" w:sz="4" w:space="0" w:color="000000"/>
              <w:left w:val="single" w:sz="4" w:space="0" w:color="000000"/>
              <w:right w:val="single" w:sz="4" w:space="0" w:color="000000"/>
            </w:tcBorders>
            <w:shd w:val="clear" w:color="auto" w:fill="D2D2D2"/>
          </w:tcPr>
          <w:p>
            <w:pPr/>
          </w:p>
        </w:tc>
      </w:tr>
      <w:tr>
        <w:trPr>
          <w:trHeight w:val="163" w:hRule="exact"/>
        </w:trPr>
        <w:tc>
          <w:tcPr>
            <w:tcW w:w="2547" w:type="dxa"/>
            <w:vMerge/>
            <w:tcBorders>
              <w:left w:val="single" w:sz="4" w:space="0" w:color="000000"/>
              <w:right w:val="single" w:sz="4" w:space="0" w:color="000000"/>
            </w:tcBorders>
            <w:shd w:val="clear" w:color="auto" w:fill="D2D2D2"/>
          </w:tcPr>
          <w:p>
            <w:pPr/>
          </w:p>
        </w:tc>
        <w:tc>
          <w:tcPr>
            <w:tcW w:w="975" w:type="dxa"/>
            <w:vMerge/>
            <w:tcBorders>
              <w:left w:val="single" w:sz="4" w:space="0" w:color="000000"/>
              <w:right w:val="single" w:sz="4" w:space="0" w:color="000000"/>
            </w:tcBorders>
            <w:shd w:val="clear" w:color="auto" w:fill="D2D2D2"/>
          </w:tcPr>
          <w:p>
            <w:pPr/>
          </w:p>
        </w:tc>
        <w:tc>
          <w:tcPr>
            <w:tcW w:w="850" w:type="dxa"/>
            <w:vMerge w:val="restart"/>
            <w:tcBorders>
              <w:top w:val="single" w:sz="4" w:space="0" w:color="000000"/>
              <w:left w:val="single" w:sz="4" w:space="0" w:color="000000"/>
              <w:right w:val="single" w:sz="4" w:space="0" w:color="000000"/>
            </w:tcBorders>
            <w:shd w:val="clear" w:color="auto" w:fill="D2D2D2"/>
          </w:tcPr>
          <w:p>
            <w:pPr/>
          </w:p>
        </w:tc>
        <w:tc>
          <w:tcPr>
            <w:tcW w:w="1052" w:type="dxa"/>
            <w:tcBorders>
              <w:top w:val="single" w:sz="4" w:space="0" w:color="000000"/>
              <w:left w:val="single" w:sz="4" w:space="0" w:color="000000"/>
              <w:bottom w:val="nil" w:sz="6" w:space="0" w:color="auto"/>
              <w:right w:val="single" w:sz="4" w:space="0" w:color="000000"/>
            </w:tcBorders>
            <w:shd w:val="clear" w:color="auto" w:fill="D2D2D2"/>
          </w:tcPr>
          <w:p>
            <w:pPr/>
          </w:p>
        </w:tc>
        <w:tc>
          <w:tcPr>
            <w:tcW w:w="850"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8"/>
              <w:ind w:left="62" w:right="51"/>
              <w:jc w:val="both"/>
              <w:rPr>
                <w:rFonts w:ascii="宋体" w:hAnsi="宋体" w:cs="宋体" w:eastAsia="宋体" w:hint="default"/>
                <w:sz w:val="18"/>
                <w:szCs w:val="18"/>
              </w:rPr>
            </w:pPr>
            <w:r>
              <w:rPr>
                <w:rFonts w:ascii="宋体" w:hAnsi="宋体" w:cs="宋体" w:eastAsia="宋体" w:hint="default"/>
                <w:sz w:val="18"/>
                <w:szCs w:val="18"/>
              </w:rPr>
              <w:t>减：前期</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计入其他</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综合收益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当期转入</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留存收益</w:t>
            </w:r>
          </w:p>
        </w:tc>
        <w:tc>
          <w:tcPr>
            <w:tcW w:w="855" w:type="dxa"/>
            <w:vMerge w:val="restart"/>
            <w:tcBorders>
              <w:top w:val="single" w:sz="4" w:space="0" w:color="000000"/>
              <w:left w:val="single" w:sz="4" w:space="0" w:color="000000"/>
              <w:right w:val="single" w:sz="4" w:space="0" w:color="000000"/>
            </w:tcBorders>
            <w:shd w:val="clear" w:color="auto" w:fill="D2D2D2"/>
          </w:tcPr>
          <w:p>
            <w:pPr/>
          </w:p>
        </w:tc>
        <w:tc>
          <w:tcPr>
            <w:tcW w:w="854" w:type="dxa"/>
            <w:vMerge w:val="restart"/>
            <w:tcBorders>
              <w:top w:val="single" w:sz="4" w:space="0" w:color="000000"/>
              <w:left w:val="single" w:sz="4" w:space="0" w:color="000000"/>
              <w:right w:val="single" w:sz="4" w:space="0" w:color="000000"/>
            </w:tcBorders>
            <w:shd w:val="clear" w:color="auto" w:fill="D2D2D2"/>
          </w:tcPr>
          <w:p>
            <w:pPr/>
          </w:p>
        </w:tc>
        <w:tc>
          <w:tcPr>
            <w:tcW w:w="850" w:type="dxa"/>
            <w:vMerge w:val="restart"/>
            <w:tcBorders>
              <w:top w:val="single" w:sz="4" w:space="0" w:color="000000"/>
              <w:left w:val="single" w:sz="4" w:space="0" w:color="000000"/>
              <w:right w:val="single" w:sz="4" w:space="0" w:color="000000"/>
            </w:tcBorders>
            <w:shd w:val="clear" w:color="auto" w:fill="D2D2D2"/>
          </w:tcPr>
          <w:p>
            <w:pPr/>
          </w:p>
        </w:tc>
        <w:tc>
          <w:tcPr>
            <w:tcW w:w="725" w:type="dxa"/>
            <w:vMerge/>
            <w:tcBorders>
              <w:left w:val="single" w:sz="4" w:space="0" w:color="000000"/>
              <w:right w:val="single" w:sz="4" w:space="0" w:color="000000"/>
            </w:tcBorders>
            <w:shd w:val="clear" w:color="auto" w:fill="D2D2D2"/>
          </w:tcPr>
          <w:p>
            <w:pPr/>
          </w:p>
        </w:tc>
      </w:tr>
      <w:tr>
        <w:trPr>
          <w:trHeight w:val="146" w:hRule="exact"/>
        </w:trPr>
        <w:tc>
          <w:tcPr>
            <w:tcW w:w="2547" w:type="dxa"/>
            <w:vMerge/>
            <w:tcBorders>
              <w:left w:val="single" w:sz="4" w:space="0" w:color="000000"/>
              <w:right w:val="single" w:sz="4" w:space="0" w:color="000000"/>
            </w:tcBorders>
            <w:shd w:val="clear" w:color="auto" w:fill="D2D2D2"/>
          </w:tcPr>
          <w:p>
            <w:pPr/>
          </w:p>
        </w:tc>
        <w:tc>
          <w:tcPr>
            <w:tcW w:w="975" w:type="dxa"/>
            <w:vMerge/>
            <w:tcBorders>
              <w:left w:val="single" w:sz="4" w:space="0" w:color="000000"/>
              <w:right w:val="single" w:sz="4" w:space="0" w:color="000000"/>
            </w:tcBorders>
            <w:shd w:val="clear" w:color="auto" w:fill="D2D2D2"/>
          </w:tcPr>
          <w:p>
            <w:pPr/>
          </w:p>
        </w:tc>
        <w:tc>
          <w:tcPr>
            <w:tcW w:w="850" w:type="dxa"/>
            <w:vMerge/>
            <w:tcBorders>
              <w:left w:val="single" w:sz="4" w:space="0" w:color="000000"/>
              <w:bottom w:val="nil" w:sz="6" w:space="0" w:color="auto"/>
              <w:right w:val="single" w:sz="4" w:space="0" w:color="000000"/>
            </w:tcBorders>
            <w:shd w:val="clear" w:color="auto" w:fill="D2D2D2"/>
          </w:tcPr>
          <w:p>
            <w:pPr/>
          </w:p>
        </w:tc>
        <w:tc>
          <w:tcPr>
            <w:tcW w:w="1052"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3"/>
              <w:ind w:left="23" w:right="17"/>
              <w:jc w:val="center"/>
              <w:rPr>
                <w:rFonts w:ascii="宋体" w:hAnsi="宋体" w:cs="宋体" w:eastAsia="宋体" w:hint="default"/>
                <w:sz w:val="18"/>
                <w:szCs w:val="18"/>
              </w:rPr>
            </w:pPr>
            <w:r>
              <w:rPr>
                <w:rFonts w:ascii="宋体" w:hAnsi="宋体" w:cs="宋体" w:eastAsia="宋体" w:hint="default"/>
                <w:spacing w:val="-16"/>
                <w:w w:val="101"/>
                <w:sz w:val="18"/>
                <w:szCs w:val="18"/>
              </w:rPr>
              <w:t>减：前期计入</w:t>
            </w:r>
            <w:r>
              <w:rPr>
                <w:rFonts w:ascii="宋体" w:hAnsi="宋体" w:cs="宋体" w:eastAsia="宋体" w:hint="default"/>
                <w:w w:val="101"/>
                <w:sz w:val="18"/>
                <w:szCs w:val="18"/>
              </w:rPr>
              <w:t> </w:t>
            </w:r>
            <w:r>
              <w:rPr>
                <w:rFonts w:ascii="宋体" w:hAnsi="宋体" w:cs="宋体" w:eastAsia="宋体" w:hint="default"/>
                <w:sz w:val="18"/>
                <w:szCs w:val="18"/>
              </w:rPr>
              <w:t>其他综合收</w:t>
            </w:r>
            <w:r>
              <w:rPr>
                <w:rFonts w:ascii="宋体" w:hAnsi="宋体" w:cs="宋体" w:eastAsia="宋体" w:hint="default"/>
                <w:w w:val="101"/>
                <w:sz w:val="18"/>
                <w:szCs w:val="18"/>
              </w:rPr>
              <w:t> </w:t>
            </w:r>
            <w:r>
              <w:rPr>
                <w:rFonts w:ascii="宋体" w:hAnsi="宋体" w:cs="宋体" w:eastAsia="宋体" w:hint="default"/>
                <w:sz w:val="18"/>
                <w:szCs w:val="18"/>
              </w:rPr>
              <w:t>益当期转入</w:t>
            </w:r>
            <w:r>
              <w:rPr>
                <w:rFonts w:ascii="宋体" w:hAnsi="宋体" w:cs="宋体" w:eastAsia="宋体" w:hint="default"/>
                <w:w w:val="101"/>
                <w:sz w:val="18"/>
                <w:szCs w:val="18"/>
              </w:rPr>
              <w:t> </w:t>
            </w:r>
            <w:r>
              <w:rPr>
                <w:rFonts w:ascii="宋体" w:hAnsi="宋体" w:cs="宋体" w:eastAsia="宋体" w:hint="default"/>
                <w:sz w:val="18"/>
                <w:szCs w:val="18"/>
              </w:rPr>
              <w:t>损益</w:t>
            </w:r>
          </w:p>
        </w:tc>
        <w:tc>
          <w:tcPr>
            <w:tcW w:w="850" w:type="dxa"/>
            <w:vMerge/>
            <w:tcBorders>
              <w:left w:val="single" w:sz="4" w:space="0" w:color="000000"/>
              <w:right w:val="single" w:sz="4" w:space="0" w:color="000000"/>
            </w:tcBorders>
            <w:shd w:val="clear" w:color="auto" w:fill="D2D2D2"/>
          </w:tcPr>
          <w:p>
            <w:pPr/>
          </w:p>
        </w:tc>
        <w:tc>
          <w:tcPr>
            <w:tcW w:w="855" w:type="dxa"/>
            <w:vMerge/>
            <w:tcBorders>
              <w:left w:val="single" w:sz="4" w:space="0" w:color="000000"/>
              <w:right w:val="single" w:sz="4" w:space="0" w:color="000000"/>
            </w:tcBorders>
            <w:shd w:val="clear" w:color="auto" w:fill="D2D2D2"/>
          </w:tcPr>
          <w:p>
            <w:pPr/>
          </w:p>
        </w:tc>
        <w:tc>
          <w:tcPr>
            <w:tcW w:w="854" w:type="dxa"/>
            <w:vMerge/>
            <w:tcBorders>
              <w:left w:val="single" w:sz="4" w:space="0" w:color="000000"/>
              <w:right w:val="single" w:sz="4" w:space="0" w:color="000000"/>
            </w:tcBorders>
            <w:shd w:val="clear" w:color="auto" w:fill="D2D2D2"/>
          </w:tcPr>
          <w:p>
            <w:pPr/>
          </w:p>
        </w:tc>
        <w:tc>
          <w:tcPr>
            <w:tcW w:w="850" w:type="dxa"/>
            <w:vMerge/>
            <w:tcBorders>
              <w:left w:val="single" w:sz="4" w:space="0" w:color="000000"/>
              <w:bottom w:val="single" w:sz="19" w:space="0" w:color="FFFFFF"/>
              <w:right w:val="single" w:sz="4" w:space="0" w:color="000000"/>
            </w:tcBorders>
            <w:shd w:val="clear" w:color="auto" w:fill="D2D2D2"/>
          </w:tcPr>
          <w:p>
            <w:pPr/>
          </w:p>
        </w:tc>
        <w:tc>
          <w:tcPr>
            <w:tcW w:w="725" w:type="dxa"/>
            <w:vMerge/>
            <w:tcBorders>
              <w:left w:val="single" w:sz="4" w:space="0" w:color="000000"/>
              <w:bottom w:val="single" w:sz="19" w:space="0" w:color="FFFFFF"/>
              <w:right w:val="single" w:sz="4" w:space="0" w:color="000000"/>
            </w:tcBorders>
            <w:shd w:val="clear" w:color="auto" w:fill="D2D2D2"/>
          </w:tcPr>
          <w:p>
            <w:pPr/>
          </w:p>
        </w:tc>
      </w:tr>
      <w:tr>
        <w:trPr>
          <w:trHeight w:val="144" w:hRule="exact"/>
        </w:trPr>
        <w:tc>
          <w:tcPr>
            <w:tcW w:w="2547" w:type="dxa"/>
            <w:vMerge/>
            <w:tcBorders>
              <w:left w:val="single" w:sz="4" w:space="0" w:color="000000"/>
              <w:bottom w:val="nil" w:sz="6" w:space="0" w:color="auto"/>
              <w:right w:val="single" w:sz="4" w:space="0" w:color="000000"/>
            </w:tcBorders>
            <w:shd w:val="clear" w:color="auto" w:fill="D2D2D2"/>
          </w:tcPr>
          <w:p>
            <w:pPr/>
          </w:p>
        </w:tc>
        <w:tc>
          <w:tcPr>
            <w:tcW w:w="975" w:type="dxa"/>
            <w:vMerge/>
            <w:tcBorders>
              <w:left w:val="single" w:sz="4" w:space="0" w:color="000000"/>
              <w:bottom w:val="nil" w:sz="6" w:space="0" w:color="auto"/>
              <w:right w:val="single" w:sz="4" w:space="0" w:color="000000"/>
            </w:tcBorders>
            <w:shd w:val="clear" w:color="auto" w:fill="D2D2D2"/>
          </w:tcPr>
          <w:p>
            <w:pPr/>
          </w:p>
        </w:tc>
        <w:tc>
          <w:tcPr>
            <w:tcW w:w="850"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65"/>
              <w:ind w:left="62" w:right="50"/>
              <w:jc w:val="center"/>
              <w:rPr>
                <w:rFonts w:ascii="宋体" w:hAnsi="宋体" w:cs="宋体" w:eastAsia="宋体" w:hint="default"/>
                <w:sz w:val="18"/>
                <w:szCs w:val="18"/>
              </w:rPr>
            </w:pPr>
            <w:r>
              <w:rPr>
                <w:rFonts w:ascii="宋体" w:hAnsi="宋体" w:cs="宋体" w:eastAsia="宋体" w:hint="default"/>
                <w:spacing w:val="-2"/>
                <w:sz w:val="18"/>
                <w:szCs w:val="18"/>
              </w:rPr>
              <w:t>本期所得</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税前发生</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1052"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shd w:val="clear" w:color="auto" w:fill="D2D2D2"/>
          </w:tcPr>
          <w:p>
            <w:pPr/>
          </w:p>
        </w:tc>
        <w:tc>
          <w:tcPr>
            <w:tcW w:w="855" w:type="dxa"/>
            <w:vMerge/>
            <w:tcBorders>
              <w:left w:val="single" w:sz="4" w:space="0" w:color="000000"/>
              <w:bottom w:val="nil" w:sz="6" w:space="0" w:color="auto"/>
              <w:right w:val="single" w:sz="4" w:space="0" w:color="000000"/>
            </w:tcBorders>
            <w:shd w:val="clear" w:color="auto" w:fill="D2D2D2"/>
          </w:tcPr>
          <w:p>
            <w:pPr/>
          </w:p>
        </w:tc>
        <w:tc>
          <w:tcPr>
            <w:tcW w:w="854" w:type="dxa"/>
            <w:vMerge/>
            <w:tcBorders>
              <w:left w:val="single" w:sz="4" w:space="0" w:color="000000"/>
              <w:bottom w:val="nil" w:sz="6" w:space="0" w:color="auto"/>
              <w:right w:val="single" w:sz="4" w:space="0" w:color="000000"/>
            </w:tcBorders>
            <w:shd w:val="clear" w:color="auto" w:fill="D2D2D2"/>
          </w:tcPr>
          <w:p>
            <w:pPr/>
          </w:p>
        </w:tc>
        <w:tc>
          <w:tcPr>
            <w:tcW w:w="850" w:type="dxa"/>
            <w:vMerge w:val="restart"/>
            <w:tcBorders>
              <w:top w:val="single" w:sz="19" w:space="0" w:color="FFFFFF"/>
              <w:left w:val="single" w:sz="4" w:space="0" w:color="000000"/>
              <w:right w:val="single" w:sz="4" w:space="0" w:color="000000"/>
            </w:tcBorders>
            <w:shd w:val="clear" w:color="auto" w:fill="D2D2D2"/>
          </w:tcPr>
          <w:p>
            <w:pPr>
              <w:pStyle w:val="TableParagraph"/>
              <w:spacing w:line="319" w:lineRule="auto" w:before="41"/>
              <w:ind w:left="62" w:right="51"/>
              <w:jc w:val="center"/>
              <w:rPr>
                <w:rFonts w:ascii="宋体" w:hAnsi="宋体" w:cs="宋体" w:eastAsia="宋体" w:hint="default"/>
                <w:sz w:val="18"/>
                <w:szCs w:val="18"/>
              </w:rPr>
            </w:pPr>
            <w:r>
              <w:rPr>
                <w:rFonts w:ascii="宋体" w:hAnsi="宋体" w:cs="宋体" w:eastAsia="宋体" w:hint="default"/>
                <w:spacing w:val="-2"/>
                <w:sz w:val="18"/>
                <w:szCs w:val="18"/>
              </w:rPr>
              <w:t>税后归属</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于少数股</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东</w:t>
            </w:r>
          </w:p>
        </w:tc>
        <w:tc>
          <w:tcPr>
            <w:tcW w:w="725" w:type="dxa"/>
            <w:vMerge w:val="restart"/>
            <w:tcBorders>
              <w:top w:val="single" w:sz="19" w:space="0" w:color="FFFFFF"/>
              <w:left w:val="single" w:sz="4" w:space="0" w:color="000000"/>
              <w:right w:val="single" w:sz="4" w:space="0" w:color="000000"/>
            </w:tcBorders>
            <w:shd w:val="clear" w:color="auto" w:fill="D2D2D2"/>
          </w:tcPr>
          <w:p>
            <w:pPr>
              <w:pStyle w:val="TableParagraph"/>
              <w:spacing w:line="324" w:lineRule="auto"/>
              <w:ind w:left="268" w:right="79" w:hanging="178"/>
              <w:jc w:val="left"/>
              <w:rPr>
                <w:rFonts w:ascii="宋体" w:hAnsi="宋体" w:cs="宋体" w:eastAsia="宋体" w:hint="default"/>
                <w:sz w:val="18"/>
                <w:szCs w:val="18"/>
              </w:rPr>
            </w:pPr>
            <w:r>
              <w:rPr>
                <w:rFonts w:ascii="宋体" w:hAnsi="宋体" w:cs="宋体" w:eastAsia="宋体" w:hint="default"/>
                <w:sz w:val="18"/>
                <w:szCs w:val="18"/>
              </w:rPr>
              <w:t>期末余</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额</w:t>
            </w:r>
          </w:p>
        </w:tc>
      </w:tr>
      <w:tr>
        <w:trPr>
          <w:trHeight w:val="373" w:hRule="exact"/>
        </w:trPr>
        <w:tc>
          <w:tcPr>
            <w:tcW w:w="254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32"/>
              <w:ind w:right="1089"/>
              <w:jc w:val="right"/>
              <w:rPr>
                <w:rFonts w:ascii="宋体" w:hAnsi="宋体" w:cs="宋体" w:eastAsia="宋体" w:hint="default"/>
                <w:sz w:val="18"/>
                <w:szCs w:val="18"/>
              </w:rPr>
            </w:pPr>
            <w:r>
              <w:rPr>
                <w:rFonts w:ascii="宋体" w:hAnsi="宋体" w:cs="宋体" w:eastAsia="宋体" w:hint="default"/>
                <w:sz w:val="18"/>
                <w:szCs w:val="18"/>
              </w:rPr>
              <w:t>项目</w:t>
            </w:r>
          </w:p>
        </w:tc>
        <w:tc>
          <w:tcPr>
            <w:tcW w:w="97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32"/>
              <w:ind w:left="120"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850" w:type="dxa"/>
            <w:vMerge/>
            <w:tcBorders>
              <w:left w:val="single" w:sz="4" w:space="0" w:color="000000"/>
              <w:right w:val="single" w:sz="4" w:space="0" w:color="000000"/>
            </w:tcBorders>
            <w:shd w:val="clear" w:color="auto" w:fill="D2D2D2"/>
          </w:tcPr>
          <w:p>
            <w:pPr/>
          </w:p>
        </w:tc>
        <w:tc>
          <w:tcPr>
            <w:tcW w:w="1052"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shd w:val="clear" w:color="auto" w:fill="D2D2D2"/>
          </w:tcPr>
          <w:p>
            <w:pPr/>
          </w:p>
        </w:tc>
        <w:tc>
          <w:tcPr>
            <w:tcW w:w="855" w:type="dxa"/>
            <w:vMerge w:val="restart"/>
            <w:tcBorders>
              <w:top w:val="nil" w:sz="6" w:space="0" w:color="auto"/>
              <w:left w:val="single" w:sz="4" w:space="0" w:color="000000"/>
              <w:right w:val="single" w:sz="4" w:space="0" w:color="000000"/>
            </w:tcBorders>
            <w:shd w:val="clear" w:color="auto" w:fill="D2D2D2"/>
          </w:tcPr>
          <w:p>
            <w:pPr>
              <w:pStyle w:val="TableParagraph"/>
              <w:spacing w:line="321" w:lineRule="auto" w:before="76"/>
              <w:ind w:left="153" w:right="56" w:hanging="92"/>
              <w:jc w:val="left"/>
              <w:rPr>
                <w:rFonts w:ascii="宋体" w:hAnsi="宋体" w:cs="宋体" w:eastAsia="宋体" w:hint="default"/>
                <w:sz w:val="18"/>
                <w:szCs w:val="18"/>
              </w:rPr>
            </w:pPr>
            <w:r>
              <w:rPr>
                <w:rFonts w:ascii="宋体" w:hAnsi="宋体" w:cs="宋体" w:eastAsia="宋体" w:hint="default"/>
                <w:sz w:val="18"/>
                <w:szCs w:val="18"/>
              </w:rPr>
              <w:t>减：所得</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税费用</w:t>
            </w:r>
          </w:p>
        </w:tc>
        <w:tc>
          <w:tcPr>
            <w:tcW w:w="854" w:type="dxa"/>
            <w:vMerge w:val="restart"/>
            <w:tcBorders>
              <w:top w:val="nil" w:sz="6" w:space="0" w:color="auto"/>
              <w:left w:val="single" w:sz="4" w:space="0" w:color="000000"/>
              <w:right w:val="single" w:sz="4" w:space="0" w:color="000000"/>
            </w:tcBorders>
            <w:shd w:val="clear" w:color="auto" w:fill="D2D2D2"/>
          </w:tcPr>
          <w:p>
            <w:pPr>
              <w:pStyle w:val="TableParagraph"/>
              <w:spacing w:line="321" w:lineRule="auto" w:before="76"/>
              <w:ind w:left="62" w:right="55"/>
              <w:jc w:val="left"/>
              <w:rPr>
                <w:rFonts w:ascii="宋体" w:hAnsi="宋体" w:cs="宋体" w:eastAsia="宋体" w:hint="default"/>
                <w:sz w:val="18"/>
                <w:szCs w:val="18"/>
              </w:rPr>
            </w:pPr>
            <w:r>
              <w:rPr>
                <w:rFonts w:ascii="宋体" w:hAnsi="宋体" w:cs="宋体" w:eastAsia="宋体" w:hint="default"/>
                <w:sz w:val="18"/>
                <w:szCs w:val="18"/>
              </w:rPr>
              <w:t>税后归属</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于母公司</w:t>
            </w:r>
          </w:p>
        </w:tc>
        <w:tc>
          <w:tcPr>
            <w:tcW w:w="850" w:type="dxa"/>
            <w:vMerge/>
            <w:tcBorders>
              <w:left w:val="single" w:sz="4" w:space="0" w:color="000000"/>
              <w:right w:val="single" w:sz="4" w:space="0" w:color="000000"/>
            </w:tcBorders>
            <w:shd w:val="clear" w:color="auto" w:fill="D2D2D2"/>
          </w:tcPr>
          <w:p>
            <w:pPr/>
          </w:p>
        </w:tc>
        <w:tc>
          <w:tcPr>
            <w:tcW w:w="725" w:type="dxa"/>
            <w:vMerge/>
            <w:tcBorders>
              <w:left w:val="single" w:sz="4" w:space="0" w:color="000000"/>
              <w:right w:val="single" w:sz="4" w:space="0" w:color="000000"/>
            </w:tcBorders>
            <w:shd w:val="clear" w:color="auto" w:fill="D2D2D2"/>
          </w:tcPr>
          <w:p>
            <w:pPr/>
          </w:p>
        </w:tc>
      </w:tr>
      <w:tr>
        <w:trPr>
          <w:trHeight w:val="154" w:hRule="exact"/>
        </w:trPr>
        <w:tc>
          <w:tcPr>
            <w:tcW w:w="2547" w:type="dxa"/>
            <w:vMerge w:val="restart"/>
            <w:tcBorders>
              <w:top w:val="nil" w:sz="6" w:space="0" w:color="auto"/>
              <w:left w:val="single" w:sz="4" w:space="0" w:color="000000"/>
              <w:right w:val="single" w:sz="4" w:space="0" w:color="000000"/>
            </w:tcBorders>
            <w:shd w:val="clear" w:color="auto" w:fill="D2D2D2"/>
          </w:tcPr>
          <w:p>
            <w:pPr/>
          </w:p>
        </w:tc>
        <w:tc>
          <w:tcPr>
            <w:tcW w:w="975" w:type="dxa"/>
            <w:vMerge w:val="restart"/>
            <w:tcBorders>
              <w:top w:val="nil" w:sz="6" w:space="0" w:color="auto"/>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shd w:val="clear" w:color="auto" w:fill="D2D2D2"/>
          </w:tcPr>
          <w:p>
            <w:pPr/>
          </w:p>
        </w:tc>
        <w:tc>
          <w:tcPr>
            <w:tcW w:w="1052"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shd w:val="clear" w:color="auto" w:fill="D2D2D2"/>
          </w:tcPr>
          <w:p>
            <w:pPr/>
          </w:p>
        </w:tc>
        <w:tc>
          <w:tcPr>
            <w:tcW w:w="855" w:type="dxa"/>
            <w:vMerge/>
            <w:tcBorders>
              <w:left w:val="single" w:sz="4" w:space="0" w:color="000000"/>
              <w:right w:val="single" w:sz="4" w:space="0" w:color="000000"/>
            </w:tcBorders>
            <w:shd w:val="clear" w:color="auto" w:fill="D2D2D2"/>
          </w:tcPr>
          <w:p>
            <w:pPr/>
          </w:p>
        </w:tc>
        <w:tc>
          <w:tcPr>
            <w:tcW w:w="854"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shd w:val="clear" w:color="auto" w:fill="D2D2D2"/>
          </w:tcPr>
          <w:p>
            <w:pPr/>
          </w:p>
        </w:tc>
        <w:tc>
          <w:tcPr>
            <w:tcW w:w="725"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2547" w:type="dxa"/>
            <w:vMerge/>
            <w:tcBorders>
              <w:left w:val="single" w:sz="4" w:space="0" w:color="000000"/>
              <w:right w:val="single" w:sz="4" w:space="0" w:color="000000"/>
            </w:tcBorders>
            <w:shd w:val="clear" w:color="auto" w:fill="D2D2D2"/>
          </w:tcPr>
          <w:p>
            <w:pPr/>
          </w:p>
        </w:tc>
        <w:tc>
          <w:tcPr>
            <w:tcW w:w="975"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shd w:val="clear" w:color="auto" w:fill="D2D2D2"/>
          </w:tcPr>
          <w:p>
            <w:pPr/>
          </w:p>
        </w:tc>
        <w:tc>
          <w:tcPr>
            <w:tcW w:w="1052"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shd w:val="clear" w:color="auto" w:fill="D2D2D2"/>
          </w:tcPr>
          <w:p>
            <w:pPr/>
          </w:p>
        </w:tc>
        <w:tc>
          <w:tcPr>
            <w:tcW w:w="855" w:type="dxa"/>
            <w:vMerge/>
            <w:tcBorders>
              <w:left w:val="single" w:sz="4" w:space="0" w:color="000000"/>
              <w:bottom w:val="nil" w:sz="6" w:space="0" w:color="auto"/>
              <w:right w:val="single" w:sz="4" w:space="0" w:color="000000"/>
            </w:tcBorders>
            <w:shd w:val="clear" w:color="auto" w:fill="D2D2D2"/>
          </w:tcPr>
          <w:p>
            <w:pPr/>
          </w:p>
        </w:tc>
        <w:tc>
          <w:tcPr>
            <w:tcW w:w="854" w:type="dxa"/>
            <w:vMerge/>
            <w:tcBorders>
              <w:left w:val="single" w:sz="4" w:space="0" w:color="000000"/>
              <w:bottom w:val="nil" w:sz="6" w:space="0" w:color="auto"/>
              <w:right w:val="single" w:sz="4" w:space="0" w:color="000000"/>
            </w:tcBorders>
            <w:shd w:val="clear" w:color="auto" w:fill="D2D2D2"/>
          </w:tcPr>
          <w:p>
            <w:pPr/>
          </w:p>
        </w:tc>
        <w:tc>
          <w:tcPr>
            <w:tcW w:w="850" w:type="dxa"/>
            <w:vMerge/>
            <w:tcBorders>
              <w:left w:val="single" w:sz="4" w:space="0" w:color="000000"/>
              <w:right w:val="single" w:sz="4" w:space="0" w:color="000000"/>
            </w:tcBorders>
            <w:shd w:val="clear" w:color="auto" w:fill="D2D2D2"/>
          </w:tcPr>
          <w:p>
            <w:pPr/>
          </w:p>
        </w:tc>
        <w:tc>
          <w:tcPr>
            <w:tcW w:w="725" w:type="dxa"/>
            <w:vMerge w:val="restart"/>
            <w:tcBorders>
              <w:top w:val="nil" w:sz="6" w:space="0" w:color="auto"/>
              <w:left w:val="single" w:sz="4" w:space="0" w:color="000000"/>
              <w:right w:val="single" w:sz="4" w:space="0" w:color="000000"/>
            </w:tcBorders>
            <w:shd w:val="clear" w:color="auto" w:fill="D2D2D2"/>
          </w:tcPr>
          <w:p>
            <w:pPr/>
          </w:p>
        </w:tc>
      </w:tr>
      <w:tr>
        <w:trPr>
          <w:trHeight w:val="154" w:hRule="exact"/>
        </w:trPr>
        <w:tc>
          <w:tcPr>
            <w:tcW w:w="2547" w:type="dxa"/>
            <w:vMerge/>
            <w:tcBorders>
              <w:left w:val="single" w:sz="4" w:space="0" w:color="000000"/>
              <w:right w:val="single" w:sz="4" w:space="0" w:color="000000"/>
            </w:tcBorders>
            <w:shd w:val="clear" w:color="auto" w:fill="D2D2D2"/>
          </w:tcPr>
          <w:p>
            <w:pPr/>
          </w:p>
        </w:tc>
        <w:tc>
          <w:tcPr>
            <w:tcW w:w="975" w:type="dxa"/>
            <w:vMerge/>
            <w:tcBorders>
              <w:left w:val="single" w:sz="4" w:space="0" w:color="000000"/>
              <w:right w:val="single" w:sz="4" w:space="0" w:color="000000"/>
            </w:tcBorders>
            <w:shd w:val="clear" w:color="auto" w:fill="D2D2D2"/>
          </w:tcPr>
          <w:p>
            <w:pPr/>
          </w:p>
        </w:tc>
        <w:tc>
          <w:tcPr>
            <w:tcW w:w="850" w:type="dxa"/>
            <w:vMerge/>
            <w:tcBorders>
              <w:left w:val="single" w:sz="4" w:space="0" w:color="000000"/>
              <w:bottom w:val="nil" w:sz="6" w:space="0" w:color="auto"/>
              <w:right w:val="single" w:sz="4" w:space="0" w:color="000000"/>
            </w:tcBorders>
            <w:shd w:val="clear" w:color="auto" w:fill="D2D2D2"/>
          </w:tcPr>
          <w:p>
            <w:pPr/>
          </w:p>
        </w:tc>
        <w:tc>
          <w:tcPr>
            <w:tcW w:w="1052"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shd w:val="clear" w:color="auto" w:fill="D2D2D2"/>
          </w:tcPr>
          <w:p>
            <w:pPr/>
          </w:p>
        </w:tc>
        <w:tc>
          <w:tcPr>
            <w:tcW w:w="855" w:type="dxa"/>
            <w:vMerge w:val="restart"/>
            <w:tcBorders>
              <w:top w:val="nil" w:sz="6" w:space="0" w:color="auto"/>
              <w:left w:val="single" w:sz="4" w:space="0" w:color="000000"/>
              <w:right w:val="single" w:sz="4" w:space="0" w:color="000000"/>
            </w:tcBorders>
            <w:shd w:val="clear" w:color="auto" w:fill="D2D2D2"/>
          </w:tcPr>
          <w:p>
            <w:pPr/>
          </w:p>
        </w:tc>
        <w:tc>
          <w:tcPr>
            <w:tcW w:w="854" w:type="dxa"/>
            <w:vMerge w:val="restart"/>
            <w:tcBorders>
              <w:top w:val="nil" w:sz="6" w:space="0" w:color="auto"/>
              <w:left w:val="single" w:sz="4" w:space="0" w:color="000000"/>
              <w:right w:val="single" w:sz="4" w:space="0" w:color="000000"/>
            </w:tcBorders>
            <w:shd w:val="clear" w:color="auto" w:fill="D2D2D2"/>
          </w:tcPr>
          <w:p>
            <w:pPr/>
          </w:p>
        </w:tc>
        <w:tc>
          <w:tcPr>
            <w:tcW w:w="850" w:type="dxa"/>
            <w:vMerge/>
            <w:tcBorders>
              <w:left w:val="single" w:sz="4" w:space="0" w:color="000000"/>
              <w:bottom w:val="nil" w:sz="6" w:space="0" w:color="auto"/>
              <w:right w:val="single" w:sz="4" w:space="0" w:color="000000"/>
            </w:tcBorders>
            <w:shd w:val="clear" w:color="auto" w:fill="D2D2D2"/>
          </w:tcPr>
          <w:p>
            <w:pPr/>
          </w:p>
        </w:tc>
        <w:tc>
          <w:tcPr>
            <w:tcW w:w="725" w:type="dxa"/>
            <w:vMerge/>
            <w:tcBorders>
              <w:left w:val="single" w:sz="4" w:space="0" w:color="000000"/>
              <w:right w:val="single" w:sz="4" w:space="0" w:color="000000"/>
            </w:tcBorders>
            <w:shd w:val="clear" w:color="auto" w:fill="D2D2D2"/>
          </w:tcPr>
          <w:p>
            <w:pPr/>
          </w:p>
        </w:tc>
      </w:tr>
      <w:tr>
        <w:trPr>
          <w:trHeight w:val="158" w:hRule="exact"/>
        </w:trPr>
        <w:tc>
          <w:tcPr>
            <w:tcW w:w="2547" w:type="dxa"/>
            <w:vMerge/>
            <w:tcBorders>
              <w:left w:val="single" w:sz="4" w:space="0" w:color="000000"/>
              <w:right w:val="single" w:sz="4" w:space="0" w:color="000000"/>
            </w:tcBorders>
            <w:shd w:val="clear" w:color="auto" w:fill="D2D2D2"/>
          </w:tcPr>
          <w:p>
            <w:pPr/>
          </w:p>
        </w:tc>
        <w:tc>
          <w:tcPr>
            <w:tcW w:w="975" w:type="dxa"/>
            <w:vMerge/>
            <w:tcBorders>
              <w:left w:val="single" w:sz="4" w:space="0" w:color="000000"/>
              <w:right w:val="single" w:sz="4" w:space="0" w:color="000000"/>
            </w:tcBorders>
            <w:shd w:val="clear" w:color="auto" w:fill="D2D2D2"/>
          </w:tcPr>
          <w:p>
            <w:pPr/>
          </w:p>
        </w:tc>
        <w:tc>
          <w:tcPr>
            <w:tcW w:w="850" w:type="dxa"/>
            <w:vMerge w:val="restart"/>
            <w:tcBorders>
              <w:top w:val="nil" w:sz="6" w:space="0" w:color="auto"/>
              <w:left w:val="single" w:sz="4" w:space="0" w:color="000000"/>
              <w:right w:val="single" w:sz="4" w:space="0" w:color="000000"/>
            </w:tcBorders>
            <w:shd w:val="clear" w:color="auto" w:fill="D2D2D2"/>
          </w:tcPr>
          <w:p>
            <w:pPr/>
          </w:p>
        </w:tc>
        <w:tc>
          <w:tcPr>
            <w:tcW w:w="1052" w:type="dxa"/>
            <w:vMerge/>
            <w:tcBorders>
              <w:left w:val="single" w:sz="4" w:space="0" w:color="000000"/>
              <w:bottom w:val="nil" w:sz="6" w:space="0" w:color="auto"/>
              <w:right w:val="single" w:sz="4" w:space="0" w:color="000000"/>
            </w:tcBorders>
            <w:shd w:val="clear" w:color="auto" w:fill="D2D2D2"/>
          </w:tcPr>
          <w:p>
            <w:pPr/>
          </w:p>
        </w:tc>
        <w:tc>
          <w:tcPr>
            <w:tcW w:w="850" w:type="dxa"/>
            <w:vMerge/>
            <w:tcBorders>
              <w:left w:val="single" w:sz="4" w:space="0" w:color="000000"/>
              <w:right w:val="single" w:sz="4" w:space="0" w:color="000000"/>
            </w:tcBorders>
            <w:shd w:val="clear" w:color="auto" w:fill="D2D2D2"/>
          </w:tcPr>
          <w:p>
            <w:pPr/>
          </w:p>
        </w:tc>
        <w:tc>
          <w:tcPr>
            <w:tcW w:w="855" w:type="dxa"/>
            <w:vMerge/>
            <w:tcBorders>
              <w:left w:val="single" w:sz="4" w:space="0" w:color="000000"/>
              <w:right w:val="single" w:sz="4" w:space="0" w:color="000000"/>
            </w:tcBorders>
            <w:shd w:val="clear" w:color="auto" w:fill="D2D2D2"/>
          </w:tcPr>
          <w:p>
            <w:pPr/>
          </w:p>
        </w:tc>
        <w:tc>
          <w:tcPr>
            <w:tcW w:w="854" w:type="dxa"/>
            <w:vMerge/>
            <w:tcBorders>
              <w:left w:val="single" w:sz="4" w:space="0" w:color="000000"/>
              <w:right w:val="single" w:sz="4" w:space="0" w:color="000000"/>
            </w:tcBorders>
            <w:shd w:val="clear" w:color="auto" w:fill="D2D2D2"/>
          </w:tcPr>
          <w:p>
            <w:pPr/>
          </w:p>
        </w:tc>
        <w:tc>
          <w:tcPr>
            <w:tcW w:w="850" w:type="dxa"/>
            <w:vMerge w:val="restart"/>
            <w:tcBorders>
              <w:top w:val="nil" w:sz="6" w:space="0" w:color="auto"/>
              <w:left w:val="single" w:sz="4" w:space="0" w:color="000000"/>
              <w:right w:val="single" w:sz="4" w:space="0" w:color="000000"/>
            </w:tcBorders>
            <w:shd w:val="clear" w:color="auto" w:fill="D2D2D2"/>
          </w:tcPr>
          <w:p>
            <w:pPr/>
          </w:p>
        </w:tc>
        <w:tc>
          <w:tcPr>
            <w:tcW w:w="725" w:type="dxa"/>
            <w:vMerge/>
            <w:tcBorders>
              <w:left w:val="single" w:sz="4" w:space="0" w:color="000000"/>
              <w:right w:val="single" w:sz="4" w:space="0" w:color="000000"/>
            </w:tcBorders>
            <w:shd w:val="clear" w:color="auto" w:fill="D2D2D2"/>
          </w:tcPr>
          <w:p>
            <w:pPr/>
          </w:p>
        </w:tc>
      </w:tr>
      <w:tr>
        <w:trPr>
          <w:trHeight w:val="158" w:hRule="exact"/>
        </w:trPr>
        <w:tc>
          <w:tcPr>
            <w:tcW w:w="2547" w:type="dxa"/>
            <w:vMerge/>
            <w:tcBorders>
              <w:left w:val="single" w:sz="4" w:space="0" w:color="000000"/>
              <w:bottom w:val="single" w:sz="4" w:space="0" w:color="000000"/>
              <w:right w:val="single" w:sz="4" w:space="0" w:color="000000"/>
            </w:tcBorders>
            <w:shd w:val="clear" w:color="auto" w:fill="D2D2D2"/>
          </w:tcPr>
          <w:p>
            <w:pPr/>
          </w:p>
        </w:tc>
        <w:tc>
          <w:tcPr>
            <w:tcW w:w="975" w:type="dxa"/>
            <w:vMerge/>
            <w:tcBorders>
              <w:left w:val="single" w:sz="4" w:space="0" w:color="000000"/>
              <w:bottom w:val="single" w:sz="4" w:space="0" w:color="000000"/>
              <w:right w:val="single" w:sz="4" w:space="0" w:color="000000"/>
            </w:tcBorders>
            <w:shd w:val="clear" w:color="auto" w:fill="D2D2D2"/>
          </w:tcPr>
          <w:p>
            <w:pPr/>
          </w:p>
        </w:tc>
        <w:tc>
          <w:tcPr>
            <w:tcW w:w="850" w:type="dxa"/>
            <w:vMerge/>
            <w:tcBorders>
              <w:left w:val="single" w:sz="4" w:space="0" w:color="000000"/>
              <w:bottom w:val="single" w:sz="4" w:space="0" w:color="000000"/>
              <w:right w:val="single" w:sz="4" w:space="0" w:color="000000"/>
            </w:tcBorders>
            <w:shd w:val="clear" w:color="auto" w:fill="D2D2D2"/>
          </w:tcPr>
          <w:p>
            <w:pPr/>
          </w:p>
        </w:tc>
        <w:tc>
          <w:tcPr>
            <w:tcW w:w="1052" w:type="dxa"/>
            <w:tcBorders>
              <w:top w:val="nil" w:sz="6" w:space="0" w:color="auto"/>
              <w:left w:val="single" w:sz="4" w:space="0" w:color="000000"/>
              <w:bottom w:val="single" w:sz="4" w:space="0" w:color="000000"/>
              <w:right w:val="single" w:sz="4" w:space="0" w:color="000000"/>
            </w:tcBorders>
            <w:shd w:val="clear" w:color="auto" w:fill="D2D2D2"/>
          </w:tcPr>
          <w:p>
            <w:pPr/>
          </w:p>
        </w:tc>
        <w:tc>
          <w:tcPr>
            <w:tcW w:w="850" w:type="dxa"/>
            <w:vMerge/>
            <w:tcBorders>
              <w:left w:val="single" w:sz="4" w:space="0" w:color="000000"/>
              <w:bottom w:val="single" w:sz="4" w:space="0" w:color="000000"/>
              <w:right w:val="single" w:sz="4" w:space="0" w:color="000000"/>
            </w:tcBorders>
            <w:shd w:val="clear" w:color="auto" w:fill="D2D2D2"/>
          </w:tcPr>
          <w:p>
            <w:pPr/>
          </w:p>
        </w:tc>
        <w:tc>
          <w:tcPr>
            <w:tcW w:w="855" w:type="dxa"/>
            <w:vMerge/>
            <w:tcBorders>
              <w:left w:val="single" w:sz="4" w:space="0" w:color="000000"/>
              <w:bottom w:val="single" w:sz="4" w:space="0" w:color="000000"/>
              <w:right w:val="single" w:sz="4" w:space="0" w:color="000000"/>
            </w:tcBorders>
            <w:shd w:val="clear" w:color="auto" w:fill="D2D2D2"/>
          </w:tcPr>
          <w:p>
            <w:pPr/>
          </w:p>
        </w:tc>
        <w:tc>
          <w:tcPr>
            <w:tcW w:w="854" w:type="dxa"/>
            <w:vMerge/>
            <w:tcBorders>
              <w:left w:val="single" w:sz="4" w:space="0" w:color="000000"/>
              <w:bottom w:val="single" w:sz="4" w:space="0" w:color="000000"/>
              <w:right w:val="single" w:sz="4" w:space="0" w:color="000000"/>
            </w:tcBorders>
            <w:shd w:val="clear" w:color="auto" w:fill="D2D2D2"/>
          </w:tcPr>
          <w:p>
            <w:pPr/>
          </w:p>
        </w:tc>
        <w:tc>
          <w:tcPr>
            <w:tcW w:w="850" w:type="dxa"/>
            <w:vMerge/>
            <w:tcBorders>
              <w:left w:val="single" w:sz="4" w:space="0" w:color="000000"/>
              <w:bottom w:val="single" w:sz="4" w:space="0" w:color="000000"/>
              <w:right w:val="single" w:sz="4" w:space="0" w:color="000000"/>
            </w:tcBorders>
            <w:shd w:val="clear" w:color="auto" w:fill="D2D2D2"/>
          </w:tcPr>
          <w:p>
            <w:pPr/>
          </w:p>
        </w:tc>
        <w:tc>
          <w:tcPr>
            <w:tcW w:w="725" w:type="dxa"/>
            <w:vMerge/>
            <w:tcBorders>
              <w:left w:val="single" w:sz="4" w:space="0" w:color="000000"/>
              <w:bottom w:val="single" w:sz="4" w:space="0" w:color="000000"/>
              <w:right w:val="single" w:sz="4" w:space="0" w:color="000000"/>
            </w:tcBorders>
            <w:shd w:val="clear" w:color="auto" w:fill="D2D2D2"/>
          </w:tcPr>
          <w:p>
            <w:pPr/>
          </w:p>
        </w:tc>
      </w:tr>
      <w:tr>
        <w:trPr>
          <w:trHeight w:val="715" w:hRule="exact"/>
        </w:trPr>
        <w:tc>
          <w:tcPr>
            <w:tcW w:w="25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8"/>
              <w:ind w:left="11" w:right="17"/>
              <w:jc w:val="left"/>
              <w:rPr>
                <w:rFonts w:ascii="宋体" w:hAnsi="宋体" w:cs="宋体" w:eastAsia="宋体" w:hint="default"/>
                <w:sz w:val="18"/>
                <w:szCs w:val="18"/>
              </w:rPr>
            </w:pPr>
            <w:r>
              <w:rPr>
                <w:rFonts w:ascii="宋体" w:hAnsi="宋体" w:cs="宋体" w:eastAsia="宋体" w:hint="default"/>
                <w:spacing w:val="-4"/>
                <w:sz w:val="18"/>
                <w:szCs w:val="18"/>
              </w:rPr>
              <w:t>二、将重分类进损益的其他综合</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收益</w:t>
            </w:r>
          </w:p>
        </w:tc>
        <w:tc>
          <w:tcPr>
            <w:tcW w:w="9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117" w:right="0"/>
              <w:jc w:val="left"/>
              <w:rPr>
                <w:rFonts w:ascii="Times New Roman" w:hAnsi="Times New Roman" w:cs="Times New Roman" w:eastAsia="Times New Roman" w:hint="default"/>
                <w:sz w:val="18"/>
                <w:szCs w:val="18"/>
              </w:rPr>
            </w:pPr>
            <w:r>
              <w:rPr>
                <w:rFonts w:ascii="Times New Roman"/>
                <w:sz w:val="18"/>
              </w:rPr>
              <w:t>412,924.58</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-102,449.3</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tc>
        <w:tc>
          <w:tcPr>
            <w:tcW w:w="10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-102,449.3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tc>
        <w:tc>
          <w:tcPr>
            <w:tcW w:w="85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4"/>
              <w:jc w:val="right"/>
              <w:rPr>
                <w:rFonts w:ascii="Times New Roman" w:hAnsi="Times New Roman" w:cs="Times New Roman" w:eastAsia="Times New Roman" w:hint="default"/>
                <w:sz w:val="18"/>
                <w:szCs w:val="18"/>
              </w:rPr>
            </w:pPr>
            <w:r>
              <w:rPr>
                <w:rFonts w:ascii="Times New Roman"/>
                <w:spacing w:val="-1"/>
                <w:sz w:val="18"/>
              </w:rPr>
              <w:t>310,475.</w:t>
            </w:r>
          </w:p>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z w:val="18"/>
              </w:rPr>
              <w:t>25</w:t>
            </w:r>
          </w:p>
        </w:tc>
      </w:tr>
      <w:tr>
        <w:trPr>
          <w:trHeight w:val="715" w:hRule="exact"/>
        </w:trPr>
        <w:tc>
          <w:tcPr>
            <w:tcW w:w="25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11" w:right="17"/>
              <w:jc w:val="left"/>
              <w:rPr>
                <w:rFonts w:ascii="宋体" w:hAnsi="宋体" w:cs="宋体" w:eastAsia="宋体" w:hint="default"/>
                <w:sz w:val="18"/>
                <w:szCs w:val="18"/>
              </w:rPr>
            </w:pPr>
            <w:r>
              <w:rPr>
                <w:rFonts w:ascii="宋体" w:hAnsi="宋体" w:cs="宋体" w:eastAsia="宋体" w:hint="default"/>
                <w:spacing w:val="-4"/>
                <w:sz w:val="18"/>
                <w:szCs w:val="18"/>
              </w:rPr>
              <w:t>其中：权益法下可转损益的其他</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综合收益</w:t>
            </w:r>
          </w:p>
        </w:tc>
        <w:tc>
          <w:tcPr>
            <w:tcW w:w="9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117" w:right="0"/>
              <w:jc w:val="left"/>
              <w:rPr>
                <w:rFonts w:ascii="Times New Roman" w:hAnsi="Times New Roman" w:cs="Times New Roman" w:eastAsia="Times New Roman" w:hint="default"/>
                <w:sz w:val="18"/>
                <w:szCs w:val="18"/>
              </w:rPr>
            </w:pPr>
            <w:r>
              <w:rPr>
                <w:rFonts w:ascii="Times New Roman"/>
                <w:sz w:val="18"/>
              </w:rPr>
              <w:t>412,924.58</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-102,449.3</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tc>
        <w:tc>
          <w:tcPr>
            <w:tcW w:w="10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-102,449.3</w:t>
            </w:r>
          </w:p>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tc>
        <w:tc>
          <w:tcPr>
            <w:tcW w:w="85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310,475.</w:t>
            </w:r>
          </w:p>
          <w:p>
            <w:pPr>
              <w:pStyle w:val="TableParagraph"/>
              <w:spacing w:line="240" w:lineRule="auto" w:before="110"/>
              <w:ind w:right="12"/>
              <w:jc w:val="right"/>
              <w:rPr>
                <w:rFonts w:ascii="Times New Roman" w:hAnsi="Times New Roman" w:cs="Times New Roman" w:eastAsia="Times New Roman" w:hint="default"/>
                <w:sz w:val="18"/>
                <w:szCs w:val="18"/>
              </w:rPr>
            </w:pPr>
            <w:r>
              <w:rPr>
                <w:rFonts w:ascii="Times New Roman"/>
                <w:sz w:val="18"/>
              </w:rPr>
              <w:t>25</w:t>
            </w:r>
          </w:p>
        </w:tc>
      </w:tr>
      <w:tr>
        <w:trPr>
          <w:trHeight w:val="163" w:hRule="exact"/>
        </w:trPr>
        <w:tc>
          <w:tcPr>
            <w:tcW w:w="2547" w:type="dxa"/>
            <w:tcBorders>
              <w:top w:val="single" w:sz="4" w:space="0" w:color="000000"/>
              <w:left w:val="single" w:sz="4" w:space="0" w:color="000000"/>
              <w:bottom w:val="nil" w:sz="6" w:space="0" w:color="auto"/>
              <w:right w:val="single" w:sz="4" w:space="0" w:color="000000"/>
            </w:tcBorders>
            <w:shd w:val="clear" w:color="auto" w:fill="D2D2D2"/>
          </w:tcPr>
          <w:p>
            <w:pPr/>
          </w:p>
        </w:tc>
        <w:tc>
          <w:tcPr>
            <w:tcW w:w="975" w:type="dxa"/>
            <w:vMerge w:val="restart"/>
            <w:tcBorders>
              <w:top w:val="single" w:sz="4" w:space="0" w:color="000000"/>
              <w:left w:val="single" w:sz="10" w:space="0" w:color="D2D2D2"/>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122" w:right="0"/>
              <w:jc w:val="left"/>
              <w:rPr>
                <w:rFonts w:ascii="Times New Roman" w:hAnsi="Times New Roman" w:cs="Times New Roman" w:eastAsia="Times New Roman" w:hint="default"/>
                <w:sz w:val="18"/>
                <w:szCs w:val="18"/>
              </w:rPr>
            </w:pPr>
            <w:r>
              <w:rPr>
                <w:rFonts w:ascii="Times New Roman"/>
                <w:sz w:val="18"/>
              </w:rPr>
              <w:t>412,924.58</w:t>
            </w:r>
          </w:p>
        </w:tc>
        <w:tc>
          <w:tcPr>
            <w:tcW w:w="850" w:type="dxa"/>
            <w:vMerge w:val="restart"/>
            <w:tcBorders>
              <w:top w:val="single" w:sz="4" w:space="0" w:color="000000"/>
              <w:left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-102,449.3</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tc>
        <w:tc>
          <w:tcPr>
            <w:tcW w:w="1052" w:type="dxa"/>
            <w:vMerge w:val="restart"/>
            <w:tcBorders>
              <w:top w:val="single" w:sz="4" w:space="0" w:color="000000"/>
              <w:left w:val="single" w:sz="4" w:space="0" w:color="000000"/>
              <w:right w:val="single" w:sz="4" w:space="0" w:color="000000"/>
            </w:tcBorders>
          </w:tcPr>
          <w:p>
            <w:pPr/>
          </w:p>
        </w:tc>
        <w:tc>
          <w:tcPr>
            <w:tcW w:w="850" w:type="dxa"/>
            <w:vMerge w:val="restart"/>
            <w:tcBorders>
              <w:top w:val="single" w:sz="4" w:space="0" w:color="000000"/>
              <w:left w:val="single" w:sz="4" w:space="0" w:color="000000"/>
              <w:right w:val="single" w:sz="4" w:space="0" w:color="000000"/>
            </w:tcBorders>
          </w:tcPr>
          <w:p>
            <w:pPr/>
          </w:p>
        </w:tc>
        <w:tc>
          <w:tcPr>
            <w:tcW w:w="855" w:type="dxa"/>
            <w:vMerge w:val="restart"/>
            <w:tcBorders>
              <w:top w:val="single" w:sz="4" w:space="0" w:color="000000"/>
              <w:left w:val="single" w:sz="4" w:space="0" w:color="000000"/>
              <w:right w:val="single" w:sz="4" w:space="0" w:color="000000"/>
            </w:tcBorders>
          </w:tcPr>
          <w:p>
            <w:pPr/>
          </w:p>
        </w:tc>
        <w:tc>
          <w:tcPr>
            <w:tcW w:w="854" w:type="dxa"/>
            <w:vMerge w:val="restart"/>
            <w:tcBorders>
              <w:top w:val="single" w:sz="4" w:space="0" w:color="000000"/>
              <w:left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-102,449.3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tc>
        <w:tc>
          <w:tcPr>
            <w:tcW w:w="850" w:type="dxa"/>
            <w:vMerge w:val="restart"/>
            <w:tcBorders>
              <w:top w:val="single" w:sz="4" w:space="0" w:color="000000"/>
              <w:left w:val="single" w:sz="4" w:space="0" w:color="000000"/>
              <w:right w:val="single" w:sz="4" w:space="0" w:color="000000"/>
            </w:tcBorders>
          </w:tcPr>
          <w:p>
            <w:pPr/>
          </w:p>
        </w:tc>
        <w:tc>
          <w:tcPr>
            <w:tcW w:w="725" w:type="dxa"/>
            <w:vMerge w:val="restart"/>
            <w:tcBorders>
              <w:top w:val="single" w:sz="4" w:space="0" w:color="000000"/>
              <w:left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310,475.</w:t>
            </w:r>
          </w:p>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z w:val="18"/>
              </w:rPr>
              <w:t>25</w:t>
            </w:r>
          </w:p>
        </w:tc>
      </w:tr>
      <w:tr>
        <w:trPr>
          <w:trHeight w:val="389" w:hRule="exact"/>
        </w:trPr>
        <w:tc>
          <w:tcPr>
            <w:tcW w:w="254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right="1078"/>
              <w:jc w:val="right"/>
              <w:rPr>
                <w:rFonts w:ascii="宋体" w:hAnsi="宋体" w:cs="宋体" w:eastAsia="宋体" w:hint="default"/>
                <w:sz w:val="18"/>
                <w:szCs w:val="18"/>
              </w:rPr>
            </w:pPr>
            <w:r>
              <w:rPr>
                <w:rFonts w:ascii="宋体" w:hAnsi="宋体" w:cs="宋体" w:eastAsia="宋体" w:hint="default"/>
                <w:spacing w:val="-2"/>
                <w:sz w:val="18"/>
                <w:szCs w:val="18"/>
              </w:rPr>
              <w:t>其他综合收益合计</w:t>
            </w:r>
          </w:p>
        </w:tc>
        <w:tc>
          <w:tcPr>
            <w:tcW w:w="975" w:type="dxa"/>
            <w:vMerge/>
            <w:tcBorders>
              <w:left w:val="single" w:sz="10" w:space="0" w:color="D2D2D2"/>
              <w:right w:val="single" w:sz="4" w:space="0" w:color="000000"/>
            </w:tcBorders>
          </w:tcPr>
          <w:p>
            <w:pPr/>
          </w:p>
        </w:tc>
        <w:tc>
          <w:tcPr>
            <w:tcW w:w="850" w:type="dxa"/>
            <w:vMerge/>
            <w:tcBorders>
              <w:left w:val="single" w:sz="4" w:space="0" w:color="000000"/>
              <w:right w:val="single" w:sz="4" w:space="0" w:color="000000"/>
            </w:tcBorders>
          </w:tcPr>
          <w:p>
            <w:pPr/>
          </w:p>
        </w:tc>
        <w:tc>
          <w:tcPr>
            <w:tcW w:w="1052"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855" w:type="dxa"/>
            <w:vMerge/>
            <w:tcBorders>
              <w:left w:val="single" w:sz="4" w:space="0" w:color="000000"/>
              <w:right w:val="single" w:sz="4" w:space="0" w:color="000000"/>
            </w:tcBorders>
          </w:tcPr>
          <w:p>
            <w:pPr/>
          </w:p>
        </w:tc>
        <w:tc>
          <w:tcPr>
            <w:tcW w:w="854"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25" w:type="dxa"/>
            <w:vMerge/>
            <w:tcBorders>
              <w:left w:val="single" w:sz="4" w:space="0" w:color="000000"/>
              <w:right w:val="single" w:sz="4" w:space="0" w:color="000000"/>
            </w:tcBorders>
          </w:tcPr>
          <w:p>
            <w:pPr/>
          </w:p>
        </w:tc>
      </w:tr>
      <w:tr>
        <w:trPr>
          <w:trHeight w:val="163" w:hRule="exact"/>
        </w:trPr>
        <w:tc>
          <w:tcPr>
            <w:tcW w:w="2547" w:type="dxa"/>
            <w:tcBorders>
              <w:top w:val="nil" w:sz="6" w:space="0" w:color="auto"/>
              <w:left w:val="single" w:sz="4" w:space="0" w:color="000000"/>
              <w:bottom w:val="single" w:sz="4" w:space="0" w:color="000000"/>
              <w:right w:val="single" w:sz="4" w:space="0" w:color="000000"/>
            </w:tcBorders>
            <w:shd w:val="clear" w:color="auto" w:fill="D2D2D2"/>
          </w:tcPr>
          <w:p>
            <w:pPr/>
          </w:p>
        </w:tc>
        <w:tc>
          <w:tcPr>
            <w:tcW w:w="975" w:type="dxa"/>
            <w:vMerge/>
            <w:tcBorders>
              <w:left w:val="single" w:sz="10" w:space="0" w:color="D2D2D2"/>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1052" w:type="dxa"/>
            <w:vMerge/>
            <w:tcBorders>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855" w:type="dxa"/>
            <w:vMerge/>
            <w:tcBorders>
              <w:left w:val="single" w:sz="4" w:space="0" w:color="000000"/>
              <w:bottom w:val="single" w:sz="4" w:space="0" w:color="000000"/>
              <w:right w:val="single" w:sz="4" w:space="0" w:color="000000"/>
            </w:tcBorders>
          </w:tcPr>
          <w:p>
            <w:pPr/>
          </w:p>
        </w:tc>
        <w:tc>
          <w:tcPr>
            <w:tcW w:w="854" w:type="dxa"/>
            <w:vMerge/>
            <w:tcBorders>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725" w:type="dxa"/>
            <w:vMerge/>
            <w:tcBorders>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31、盈余公积" w:id="309"/>
      <w:bookmarkEnd w:id="309"/>
      <w:r>
        <w:rPr>
          <w:b w:val="0"/>
          <w:bCs w:val="0"/>
        </w:rPr>
      </w:r>
      <w:r>
        <w:rPr>
          <w:rFonts w:ascii="Times New Roman" w:hAnsi="Times New Roman" w:cs="Times New Roman" w:eastAsia="Times New Roman" w:hint="default"/>
        </w:rPr>
        <w:t>31</w:t>
      </w:r>
      <w:r>
        <w:rPr/>
        <w:t>、盈余公积</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10"/>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01"/>
        <w:gridCol w:w="1931"/>
        <w:gridCol w:w="1911"/>
        <w:gridCol w:w="1916"/>
        <w:gridCol w:w="1916"/>
      </w:tblGrid>
      <w:tr>
        <w:trPr>
          <w:trHeight w:val="401"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590"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590"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590"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4"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3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27,821,403.26</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944,648.80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28,766,052.06</w:t>
            </w: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3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27,821,403.26</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944,648.80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28,766,052.06</w:t>
            </w:r>
          </w:p>
        </w:tc>
      </w:tr>
    </w:tbl>
    <w:p>
      <w:pPr>
        <w:pStyle w:val="BodyText"/>
        <w:spacing w:line="240" w:lineRule="auto" w:before="53"/>
        <w:ind w:right="0"/>
        <w:jc w:val="left"/>
      </w:pPr>
      <w:r>
        <w:rPr>
          <w:spacing w:val="-3"/>
        </w:rPr>
        <w:t>盈余公积说明，包括本期增减变动情况、变动原因说明：</w:t>
      </w:r>
    </w:p>
    <w:p>
      <w:pPr>
        <w:spacing w:line="240" w:lineRule="auto" w:before="8"/>
        <w:rPr>
          <w:rFonts w:ascii="宋体" w:hAnsi="宋体" w:cs="宋体" w:eastAsia="宋体" w:hint="default"/>
          <w:sz w:val="14"/>
          <w:szCs w:val="14"/>
        </w:rPr>
      </w:pPr>
    </w:p>
    <w:p>
      <w:pPr>
        <w:pStyle w:val="BodyText"/>
        <w:spacing w:line="453" w:lineRule="auto"/>
        <w:ind w:right="1117" w:firstLine="360"/>
        <w:jc w:val="left"/>
      </w:pPr>
      <w:r>
        <w:rPr>
          <w:spacing w:val="-6"/>
          <w:w w:val="101"/>
        </w:rPr>
        <w:t>注：根据《公司法》、公司章程的规定，本公司按净利润的</w:t>
      </w:r>
      <w:r>
        <w:rPr>
          <w:spacing w:val="-35"/>
          <w:w w:val="101"/>
        </w:rPr>
        <w:t> </w:t>
      </w:r>
      <w:r>
        <w:rPr>
          <w:rFonts w:ascii="Times New Roman" w:hAnsi="Times New Roman" w:cs="Times New Roman" w:eastAsia="Times New Roman" w:hint="default"/>
          <w:spacing w:val="-3"/>
          <w:w w:val="101"/>
        </w:rPr>
        <w:t>10%</w:t>
      </w:r>
      <w:r>
        <w:rPr>
          <w:spacing w:val="-3"/>
          <w:w w:val="101"/>
        </w:rPr>
        <w:t>提取法定盈余公积。法定盈余公积累计额达到本公司注</w:t>
      </w:r>
      <w:r>
        <w:rPr>
          <w:w w:val="101"/>
        </w:rPr>
        <w:t> </w:t>
      </w:r>
      <w:r>
        <w:rPr/>
        <w:t>册资本</w:t>
      </w:r>
      <w:r>
        <w:rPr>
          <w:spacing w:val="-6"/>
        </w:rPr>
        <w:t> </w:t>
      </w:r>
      <w:r>
        <w:rPr>
          <w:rFonts w:ascii="Times New Roman" w:hAnsi="Times New Roman" w:cs="Times New Roman" w:eastAsia="Times New Roman" w:hint="default"/>
          <w:spacing w:val="-3"/>
        </w:rPr>
        <w:t>50%</w:t>
      </w:r>
      <w:r>
        <w:rPr>
          <w:spacing w:val="-3"/>
        </w:rPr>
        <w:t>以上的，不再提取。</w:t>
      </w:r>
    </w:p>
    <w:p>
      <w:pPr>
        <w:pStyle w:val="BodyText"/>
        <w:spacing w:line="480" w:lineRule="auto" w:before="39"/>
        <w:ind w:right="1029" w:firstLine="360"/>
        <w:jc w:val="left"/>
      </w:pPr>
      <w:r>
        <w:rPr>
          <w:spacing w:val="-4"/>
        </w:rPr>
        <w:t>本公司在提取法定盈余公积金后，可提取任意盈余公积金。经批准，任意盈余公积金可用于弥补以前年度亏损或增加股</w:t>
      </w:r>
      <w:r>
        <w:rPr>
          <w:w w:val="101"/>
        </w:rPr>
        <w:t> </w:t>
      </w:r>
      <w:r>
        <w:rPr/>
        <w:t>本。</w:t>
      </w:r>
    </w:p>
    <w:p>
      <w:pPr>
        <w:spacing w:line="240" w:lineRule="auto" w:before="10"/>
        <w:rPr>
          <w:rFonts w:ascii="宋体" w:hAnsi="宋体" w:cs="宋体" w:eastAsia="宋体" w:hint="default"/>
          <w:sz w:val="18"/>
          <w:szCs w:val="18"/>
        </w:rPr>
      </w:pPr>
    </w:p>
    <w:p>
      <w:pPr>
        <w:pStyle w:val="Heading3"/>
        <w:spacing w:line="240" w:lineRule="auto"/>
        <w:ind w:right="0"/>
        <w:jc w:val="left"/>
        <w:rPr>
          <w:b w:val="0"/>
          <w:bCs w:val="0"/>
        </w:rPr>
      </w:pPr>
      <w:bookmarkStart w:name="32、未分配利润" w:id="310"/>
      <w:bookmarkEnd w:id="310"/>
      <w:r>
        <w:rPr>
          <w:b w:val="0"/>
          <w:bCs w:val="0"/>
        </w:rPr>
      </w:r>
      <w:r>
        <w:rPr>
          <w:rFonts w:ascii="Times New Roman" w:hAnsi="Times New Roman" w:cs="Times New Roman" w:eastAsia="Times New Roman" w:hint="default"/>
        </w:rPr>
        <w:t>32</w:t>
      </w:r>
      <w:r>
        <w:rPr/>
        <w:t>、未分配利润</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702"/>
        <w:gridCol w:w="2936"/>
        <w:gridCol w:w="2919"/>
      </w:tblGrid>
      <w:tr>
        <w:trPr>
          <w:trHeight w:val="403" w:hRule="exact"/>
        </w:trPr>
        <w:tc>
          <w:tcPr>
            <w:tcW w:w="3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6"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3" w:hRule="exact"/>
        </w:trPr>
        <w:tc>
          <w:tcPr>
            <w:tcW w:w="3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调整前上期末未分配利润</w:t>
            </w:r>
          </w:p>
        </w:tc>
        <w:tc>
          <w:tcPr>
            <w:tcW w:w="29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253,412,946.83</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219,302,589.49</w:t>
            </w:r>
          </w:p>
        </w:tc>
      </w:tr>
      <w:tr>
        <w:trPr>
          <w:trHeight w:val="399" w:hRule="exact"/>
        </w:trPr>
        <w:tc>
          <w:tcPr>
            <w:tcW w:w="3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pacing w:val="-3"/>
                <w:sz w:val="18"/>
                <w:szCs w:val="18"/>
              </w:rPr>
              <w:t>调整期初未分配利润合计数（调增</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，调减</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p>
        </w:tc>
        <w:tc>
          <w:tcPr>
            <w:tcW w:w="29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-15,168,540.56</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238,244,406.27</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219,302,589.49</w:t>
            </w:r>
          </w:p>
        </w:tc>
      </w:tr>
      <w:tr>
        <w:trPr>
          <w:trHeight w:val="403" w:hRule="exact"/>
        </w:trPr>
        <w:tc>
          <w:tcPr>
            <w:tcW w:w="3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加：本期归属于母公司所有者的净利润</w:t>
            </w:r>
          </w:p>
        </w:tc>
        <w:tc>
          <w:tcPr>
            <w:tcW w:w="29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4,917,894.10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35,750,737.69</w:t>
            </w:r>
          </w:p>
        </w:tc>
      </w:tr>
      <w:tr>
        <w:trPr>
          <w:trHeight w:val="403" w:hRule="exact"/>
        </w:trPr>
        <w:tc>
          <w:tcPr>
            <w:tcW w:w="3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9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944,648.80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1,640,380.35</w:t>
            </w:r>
          </w:p>
        </w:tc>
      </w:tr>
      <w:tr>
        <w:trPr>
          <w:trHeight w:val="399" w:hRule="exact"/>
        </w:trPr>
        <w:tc>
          <w:tcPr>
            <w:tcW w:w="3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pacing w:val="-3"/>
                <w:sz w:val="18"/>
                <w:szCs w:val="18"/>
              </w:rPr>
              <w:t>应付普通股股利</w:t>
            </w:r>
          </w:p>
        </w:tc>
        <w:tc>
          <w:tcPr>
            <w:tcW w:w="29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14,132,810.70</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期末未分配利润</w:t>
            </w:r>
          </w:p>
        </w:tc>
        <w:tc>
          <w:tcPr>
            <w:tcW w:w="29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228,084,840.87</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253,412,946.83</w:t>
            </w:r>
          </w:p>
        </w:tc>
      </w:tr>
    </w:tbl>
    <w:p>
      <w:pPr>
        <w:pStyle w:val="BodyText"/>
        <w:spacing w:line="240" w:lineRule="auto" w:before="53"/>
        <w:ind w:right="0"/>
        <w:jc w:val="left"/>
      </w:pPr>
      <w:r>
        <w:rPr>
          <w:spacing w:val="-3"/>
        </w:rPr>
        <w:t>调整期初未分配利润明细：</w:t>
      </w:r>
    </w:p>
    <w:p>
      <w:pPr>
        <w:spacing w:after="0" w:line="240" w:lineRule="auto"/>
        <w:jc w:val="left"/>
        <w:sectPr>
          <w:pgSz w:w="11910" w:h="16840"/>
          <w:pgMar w:header="871" w:footer="1186" w:top="1100" w:bottom="1380" w:left="980" w:right="0"/>
        </w:sectPr>
      </w:pPr>
    </w:p>
    <w:p>
      <w:pPr>
        <w:spacing w:line="240" w:lineRule="auto" w:before="1"/>
        <w:rPr>
          <w:rFonts w:ascii="宋体" w:hAnsi="宋体" w:cs="宋体" w:eastAsia="宋体" w:hint="default"/>
          <w:sz w:val="28"/>
          <w:szCs w:val="28"/>
        </w:rPr>
      </w:pPr>
    </w:p>
    <w:p>
      <w:pPr>
        <w:pStyle w:val="BodyText"/>
        <w:spacing w:line="240" w:lineRule="auto" w:before="46"/>
        <w:ind w:left="513" w:right="0"/>
        <w:jc w:val="left"/>
      </w:pPr>
      <w:r>
        <w:rPr>
          <w:rFonts w:ascii="Times New Roman" w:hAnsi="Times New Roman" w:cs="Times New Roman" w:eastAsia="Times New Roman" w:hint="default"/>
          <w:spacing w:val="-3"/>
        </w:rPr>
        <w:t>1)</w:t>
      </w:r>
      <w:r>
        <w:rPr>
          <w:spacing w:val="-3"/>
        </w:rPr>
        <w:t>、由于《企业会计准则》及其相关新规定进行追溯调整，影响期初未分配利润 </w:t>
      </w:r>
      <w:r>
        <w:rPr>
          <w:rFonts w:ascii="Times New Roman" w:hAnsi="Times New Roman" w:cs="Times New Roman" w:eastAsia="Times New Roman" w:hint="default"/>
        </w:rPr>
        <w:t>0.00 </w:t>
      </w:r>
      <w:r>
        <w:rPr>
          <w:rFonts w:ascii="Times New Roman" w:hAnsi="Times New Roman" w:cs="Times New Roman" w:eastAsia="Times New Roman" w:hint="default"/>
          <w:spacing w:val="23"/>
        </w:rPr>
        <w:t> </w:t>
      </w:r>
      <w:r>
        <w:rPr>
          <w:spacing w:val="-5"/>
        </w:rPr>
        <w:t>元。</w:t>
      </w:r>
      <w:r>
        <w:rPr/>
      </w:r>
    </w:p>
    <w:p>
      <w:pPr>
        <w:spacing w:line="240" w:lineRule="auto" w:before="7"/>
        <w:rPr>
          <w:rFonts w:ascii="宋体" w:hAnsi="宋体" w:cs="宋体" w:eastAsia="宋体" w:hint="default"/>
          <w:sz w:val="16"/>
          <w:szCs w:val="16"/>
        </w:rPr>
      </w:pPr>
    </w:p>
    <w:p>
      <w:pPr>
        <w:pStyle w:val="BodyText"/>
        <w:spacing w:line="240" w:lineRule="auto"/>
        <w:ind w:left="513" w:right="0"/>
        <w:jc w:val="left"/>
      </w:pPr>
      <w:r>
        <w:rPr>
          <w:rFonts w:ascii="Times New Roman" w:hAnsi="Times New Roman" w:cs="Times New Roman" w:eastAsia="Times New Roman" w:hint="default"/>
          <w:spacing w:val="-2"/>
        </w:rPr>
        <w:t>2)</w:t>
      </w:r>
      <w:r>
        <w:rPr>
          <w:spacing w:val="-2"/>
        </w:rPr>
        <w:t>、由于会计政策变更，影响期初未分配利润</w:t>
      </w:r>
      <w:r>
        <w:rPr>
          <w:rFonts w:ascii="Times New Roman" w:hAnsi="Times New Roman" w:cs="Times New Roman" w:eastAsia="Times New Roman" w:hint="default"/>
          <w:spacing w:val="-2"/>
        </w:rPr>
        <w:t>-15,168,540.56</w:t>
      </w:r>
      <w:r>
        <w:rPr>
          <w:rFonts w:ascii="Times New Roman" w:hAnsi="Times New Roman" w:cs="Times New Roman" w:eastAsia="Times New Roman" w:hint="default"/>
        </w:rPr>
        <w:t> </w:t>
      </w:r>
      <w:r>
        <w:rPr>
          <w:rFonts w:ascii="Times New Roman" w:hAnsi="Times New Roman" w:cs="Times New Roman" w:eastAsia="Times New Roman" w:hint="default"/>
          <w:spacing w:val="28"/>
        </w:rPr>
        <w:t> </w:t>
      </w:r>
      <w:r>
        <w:rPr>
          <w:spacing w:val="-5"/>
        </w:rPr>
        <w:t>元。</w:t>
      </w:r>
      <w:r>
        <w:rPr/>
      </w:r>
    </w:p>
    <w:p>
      <w:pPr>
        <w:spacing w:line="240" w:lineRule="auto" w:before="12"/>
        <w:rPr>
          <w:rFonts w:ascii="宋体" w:hAnsi="宋体" w:cs="宋体" w:eastAsia="宋体" w:hint="default"/>
          <w:sz w:val="16"/>
          <w:szCs w:val="16"/>
        </w:rPr>
      </w:pPr>
    </w:p>
    <w:p>
      <w:pPr>
        <w:pStyle w:val="BodyText"/>
        <w:spacing w:line="240" w:lineRule="auto"/>
        <w:ind w:left="513" w:right="0"/>
        <w:jc w:val="left"/>
      </w:pPr>
      <w:r>
        <w:rPr>
          <w:rFonts w:ascii="Times New Roman" w:hAnsi="Times New Roman" w:cs="Times New Roman" w:eastAsia="Times New Roman" w:hint="default"/>
          <w:spacing w:val="-3"/>
        </w:rPr>
        <w:t>3)</w:t>
      </w:r>
      <w:r>
        <w:rPr>
          <w:spacing w:val="-3"/>
        </w:rPr>
        <w:t>、由于重大会计差错更正，影响期初未分配利润 </w:t>
      </w:r>
      <w:r>
        <w:rPr>
          <w:rFonts w:ascii="Times New Roman" w:hAnsi="Times New Roman" w:cs="Times New Roman" w:eastAsia="Times New Roman" w:hint="default"/>
        </w:rPr>
        <w:t>0.00</w:t>
      </w:r>
      <w:r>
        <w:rPr>
          <w:rFonts w:ascii="Times New Roman" w:hAnsi="Times New Roman" w:cs="Times New Roman" w:eastAsia="Times New Roman" w:hint="default"/>
          <w:spacing w:val="28"/>
        </w:rPr>
        <w:t> </w:t>
      </w:r>
      <w:r>
        <w:rPr/>
        <w:t>元。</w:t>
      </w:r>
    </w:p>
    <w:p>
      <w:pPr>
        <w:spacing w:line="240" w:lineRule="auto" w:before="7"/>
        <w:rPr>
          <w:rFonts w:ascii="宋体" w:hAnsi="宋体" w:cs="宋体" w:eastAsia="宋体" w:hint="default"/>
          <w:sz w:val="16"/>
          <w:szCs w:val="16"/>
        </w:rPr>
      </w:pPr>
    </w:p>
    <w:p>
      <w:pPr>
        <w:pStyle w:val="BodyText"/>
        <w:spacing w:line="240" w:lineRule="auto"/>
        <w:ind w:left="513" w:right="0"/>
        <w:jc w:val="left"/>
      </w:pPr>
      <w:r>
        <w:rPr>
          <w:rFonts w:ascii="Times New Roman" w:hAnsi="Times New Roman" w:cs="Times New Roman" w:eastAsia="Times New Roman" w:hint="default"/>
          <w:spacing w:val="-3"/>
        </w:rPr>
        <w:t>4)</w:t>
      </w:r>
      <w:r>
        <w:rPr>
          <w:spacing w:val="-3"/>
        </w:rPr>
        <w:t>、由于同一控制导致的合并范围变更，影响期初未分配利润 </w:t>
      </w:r>
      <w:r>
        <w:rPr>
          <w:rFonts w:ascii="Times New Roman" w:hAnsi="Times New Roman" w:cs="Times New Roman" w:eastAsia="Times New Roman" w:hint="default"/>
        </w:rPr>
        <w:t>0.00</w:t>
      </w:r>
      <w:r>
        <w:rPr>
          <w:rFonts w:ascii="Times New Roman" w:hAnsi="Times New Roman" w:cs="Times New Roman" w:eastAsia="Times New Roman" w:hint="default"/>
          <w:spacing w:val="40"/>
        </w:rPr>
        <w:t> </w:t>
      </w:r>
      <w:r>
        <w:rPr/>
        <w:t>元。</w:t>
      </w:r>
    </w:p>
    <w:p>
      <w:pPr>
        <w:spacing w:line="240" w:lineRule="auto" w:before="12"/>
        <w:rPr>
          <w:rFonts w:ascii="宋体" w:hAnsi="宋体" w:cs="宋体" w:eastAsia="宋体" w:hint="default"/>
          <w:sz w:val="16"/>
          <w:szCs w:val="16"/>
        </w:rPr>
      </w:pPr>
    </w:p>
    <w:p>
      <w:pPr>
        <w:pStyle w:val="BodyText"/>
        <w:spacing w:line="240" w:lineRule="auto"/>
        <w:ind w:left="513" w:right="0"/>
        <w:jc w:val="left"/>
      </w:pPr>
      <w:r>
        <w:rPr>
          <w:rFonts w:ascii="Times New Roman" w:hAnsi="Times New Roman" w:cs="Times New Roman" w:eastAsia="Times New Roman" w:hint="default"/>
        </w:rPr>
        <w:t>5)</w:t>
      </w:r>
      <w:r>
        <w:rPr/>
        <w:t>、其他调整合计影响期初未分配利润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4"/>
        </w:rPr>
        <w:t> </w:t>
      </w:r>
      <w:r>
        <w:rPr>
          <w:spacing w:val="-5"/>
        </w:rPr>
        <w:t>元。</w:t>
      </w:r>
      <w:r>
        <w:rPr/>
      </w: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13"/>
          <w:szCs w:val="13"/>
        </w:rPr>
      </w:pPr>
    </w:p>
    <w:p>
      <w:pPr>
        <w:pStyle w:val="Heading3"/>
        <w:spacing w:line="240" w:lineRule="auto"/>
        <w:ind w:right="0"/>
        <w:jc w:val="left"/>
        <w:rPr>
          <w:b w:val="0"/>
          <w:bCs w:val="0"/>
        </w:rPr>
      </w:pPr>
      <w:bookmarkStart w:name="33、营业收入和营业成本" w:id="311"/>
      <w:bookmarkEnd w:id="311"/>
      <w:r>
        <w:rPr>
          <w:b w:val="0"/>
          <w:bCs w:val="0"/>
        </w:rPr>
      </w:r>
      <w:r>
        <w:rPr>
          <w:rFonts w:ascii="Times New Roman" w:hAnsi="Times New Roman" w:cs="Times New Roman" w:eastAsia="Times New Roman" w:hint="default"/>
        </w:rPr>
        <w:t>33</w:t>
      </w:r>
      <w:r>
        <w:rPr/>
        <w:t>、营业收入和营业成本</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13"/>
        <w:gridCol w:w="1919"/>
        <w:gridCol w:w="1911"/>
        <w:gridCol w:w="1916"/>
        <w:gridCol w:w="1916"/>
      </w:tblGrid>
      <w:tr>
        <w:trPr>
          <w:trHeight w:val="206" w:hRule="exact"/>
        </w:trPr>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c>
          <w:tcPr>
            <w:tcW w:w="382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3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2" w:hRule="exact"/>
        </w:trPr>
        <w:tc>
          <w:tcPr>
            <w:tcW w:w="19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7"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29" w:type="dxa"/>
            <w:gridSpan w:val="2"/>
            <w:vMerge/>
            <w:tcBorders>
              <w:left w:val="single" w:sz="4" w:space="0" w:color="000000"/>
              <w:bottom w:val="single" w:sz="4" w:space="0" w:color="000000"/>
              <w:right w:val="single" w:sz="4" w:space="0" w:color="000000"/>
            </w:tcBorders>
            <w:shd w:val="clear" w:color="auto" w:fill="D2D2D2"/>
          </w:tcPr>
          <w:p>
            <w:pPr/>
          </w:p>
        </w:tc>
        <w:tc>
          <w:tcPr>
            <w:tcW w:w="3832"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913" w:type="dxa"/>
            <w:vMerge/>
            <w:tcBorders>
              <w:left w:val="single" w:sz="4" w:space="0" w:color="000000"/>
              <w:bottom w:val="nil" w:sz="6" w:space="0" w:color="auto"/>
              <w:right w:val="single" w:sz="4" w:space="0" w:color="000000"/>
            </w:tcBorders>
            <w:shd w:val="clear" w:color="auto" w:fill="D2D2D2"/>
          </w:tcPr>
          <w:p>
            <w:pPr/>
          </w:p>
        </w:tc>
        <w:tc>
          <w:tcPr>
            <w:tcW w:w="191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10"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4"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5"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6" w:hRule="exact"/>
        </w:trPr>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9" w:type="dxa"/>
            <w:vMerge/>
            <w:tcBorders>
              <w:left w:val="single" w:sz="4" w:space="0" w:color="000000"/>
              <w:bottom w:val="single" w:sz="4" w:space="0" w:color="000000"/>
              <w:right w:val="single" w:sz="4" w:space="0" w:color="000000"/>
            </w:tcBorders>
            <w:shd w:val="clear" w:color="auto" w:fill="D2D2D2"/>
          </w:tcPr>
          <w:p>
            <w:pPr/>
          </w:p>
        </w:tc>
        <w:tc>
          <w:tcPr>
            <w:tcW w:w="1911"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r>
      <w:tr>
        <w:trPr>
          <w:trHeight w:val="399"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1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2"/>
                <w:sz w:val="18"/>
              </w:rPr>
              <w:t>1,181,006,553.61</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809,406,939.98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2"/>
                <w:sz w:val="18"/>
              </w:rPr>
              <w:t>1,294,907,609.99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883,016,587.78</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919" w:type="dxa"/>
            <w:tcBorders>
              <w:top w:val="single" w:sz="4" w:space="0" w:color="000000"/>
              <w:left w:val="single" w:sz="10" w:space="0" w:color="D2D2D2"/>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4,343,563.44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964,870.40</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2"/>
                <w:sz w:val="18"/>
              </w:rPr>
              <w:t>1,181,006,553.61</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809,406,939.98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2"/>
                <w:sz w:val="18"/>
              </w:rPr>
              <w:t>1,299,251,173.43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883,981,458.18</w:t>
            </w:r>
          </w:p>
        </w:tc>
      </w:tr>
    </w:tbl>
    <w:p>
      <w:pPr>
        <w:pStyle w:val="BodyText"/>
        <w:spacing w:line="240" w:lineRule="auto" w:before="53"/>
        <w:ind w:right="0"/>
        <w:jc w:val="left"/>
      </w:pPr>
      <w:r>
        <w:rPr/>
        <w:t>是否已执行新收入准则</w:t>
      </w:r>
    </w:p>
    <w:p>
      <w:pPr>
        <w:pStyle w:val="BodyText"/>
        <w:spacing w:line="240" w:lineRule="auto" w:before="120"/>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3"/>
        <w:rPr>
          <w:rFonts w:ascii="宋体" w:hAnsi="宋体" w:cs="宋体" w:eastAsia="宋体" w:hint="default"/>
          <w:sz w:val="25"/>
          <w:szCs w:val="25"/>
        </w:rPr>
      </w:pPr>
    </w:p>
    <w:p>
      <w:pPr>
        <w:pStyle w:val="Heading3"/>
        <w:spacing w:line="240" w:lineRule="auto"/>
        <w:ind w:right="0"/>
        <w:jc w:val="left"/>
        <w:rPr>
          <w:b w:val="0"/>
          <w:bCs w:val="0"/>
        </w:rPr>
      </w:pPr>
      <w:bookmarkStart w:name="34、税金及附加" w:id="312"/>
      <w:bookmarkEnd w:id="312"/>
      <w:r>
        <w:rPr>
          <w:b w:val="0"/>
          <w:bCs w:val="0"/>
        </w:rPr>
      </w:r>
      <w:r>
        <w:rPr>
          <w:rFonts w:ascii="Times New Roman" w:hAnsi="Times New Roman" w:cs="Times New Roman" w:eastAsia="Times New Roman" w:hint="default"/>
        </w:rPr>
        <w:t>34</w:t>
      </w:r>
      <w:r>
        <w:rPr/>
        <w:t>、税金及附加</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5"/>
        <w:gridCol w:w="3193"/>
      </w:tblGrid>
      <w:tr>
        <w:trPr>
          <w:trHeight w:val="404"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6"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5"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城市维护建设税</w:t>
            </w:r>
          </w:p>
        </w:tc>
        <w:tc>
          <w:tcPr>
            <w:tcW w:w="32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2"/>
                <w:sz w:val="18"/>
              </w:rPr>
              <w:t>711,392.08</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1,930,689.20</w:t>
            </w:r>
          </w:p>
        </w:tc>
      </w:tr>
      <w:tr>
        <w:trPr>
          <w:trHeight w:val="398"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2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507,001.91</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1,377,851.48</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1"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205" w:type="dxa"/>
            <w:tcBorders>
              <w:top w:val="single" w:sz="4" w:space="0" w:color="000000"/>
              <w:left w:val="single" w:sz="13" w:space="0" w:color="D2D2D2"/>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484,463.42</w:t>
            </w:r>
          </w:p>
        </w:tc>
      </w:tr>
      <w:tr>
        <w:trPr>
          <w:trHeight w:val="404"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205" w:type="dxa"/>
            <w:tcBorders>
              <w:top w:val="single" w:sz="4" w:space="0" w:color="000000"/>
              <w:left w:val="single" w:sz="13" w:space="0" w:color="D2D2D2"/>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2,296.47</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车船使用税</w:t>
            </w:r>
          </w:p>
        </w:tc>
        <w:tc>
          <w:tcPr>
            <w:tcW w:w="32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7,500.00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9,570.00</w:t>
            </w:r>
          </w:p>
        </w:tc>
      </w:tr>
      <w:tr>
        <w:trPr>
          <w:trHeight w:val="398"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2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153,508.27</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318,656.30</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1" w:right="0"/>
              <w:jc w:val="left"/>
              <w:rPr>
                <w:rFonts w:ascii="宋体" w:hAnsi="宋体" w:cs="宋体" w:eastAsia="宋体" w:hint="default"/>
                <w:sz w:val="18"/>
                <w:szCs w:val="18"/>
              </w:rPr>
            </w:pPr>
            <w:r>
              <w:rPr>
                <w:rFonts w:ascii="宋体" w:hAnsi="宋体" w:cs="宋体" w:eastAsia="宋体" w:hint="default"/>
                <w:spacing w:val="-3"/>
                <w:sz w:val="18"/>
                <w:szCs w:val="18"/>
              </w:rPr>
              <w:t>文化事业建设费</w:t>
            </w:r>
          </w:p>
        </w:tc>
        <w:tc>
          <w:tcPr>
            <w:tcW w:w="3205" w:type="dxa"/>
            <w:tcBorders>
              <w:top w:val="single" w:sz="4" w:space="0" w:color="000000"/>
              <w:left w:val="single" w:sz="4" w:space="0" w:color="000000"/>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1,500.00</w:t>
            </w:r>
          </w:p>
        </w:tc>
      </w:tr>
      <w:tr>
        <w:trPr>
          <w:trHeight w:val="404"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1,379,402.26</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4,125,026.87</w:t>
            </w: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5"/>
          <w:szCs w:val="25"/>
        </w:rPr>
      </w:pPr>
    </w:p>
    <w:p>
      <w:pPr>
        <w:pStyle w:val="Heading3"/>
        <w:spacing w:line="240" w:lineRule="auto" w:before="36"/>
        <w:ind w:right="0"/>
        <w:jc w:val="left"/>
        <w:rPr>
          <w:b w:val="0"/>
          <w:bCs w:val="0"/>
        </w:rPr>
      </w:pPr>
      <w:bookmarkStart w:name="35、销售费用" w:id="313"/>
      <w:bookmarkEnd w:id="313"/>
      <w:r>
        <w:rPr>
          <w:b w:val="0"/>
          <w:bCs w:val="0"/>
        </w:rPr>
      </w:r>
      <w:r>
        <w:rPr>
          <w:rFonts w:ascii="Times New Roman" w:hAnsi="Times New Roman" w:cs="Times New Roman" w:eastAsia="Times New Roman" w:hint="default"/>
        </w:rPr>
        <w:t>35</w:t>
      </w:r>
      <w:r>
        <w:rPr/>
        <w:t>、销售费用</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5"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29,460,242.38</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36,021,647.75</w:t>
            </w:r>
          </w:p>
        </w:tc>
      </w:tr>
    </w:tbl>
    <w:p>
      <w:pPr>
        <w:spacing w:after="0" w:line="240" w:lineRule="auto"/>
        <w:jc w:val="right"/>
        <w:rPr>
          <w:rFonts w:ascii="Times New Roman" w:hAnsi="Times New Roman" w:cs="Times New Roman" w:eastAsia="Times New Roman" w:hint="default"/>
          <w:sz w:val="18"/>
          <w:szCs w:val="18"/>
        </w:rPr>
        <w:sectPr>
          <w:pgSz w:w="11910" w:h="16840"/>
          <w:pgMar w:header="871" w:footer="1186" w:top="1100" w:bottom="1380" w:left="980" w:right="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平台服务费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59,026,999.06</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53,297,085.45</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运输费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33,975,718.96</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53,771,769.97</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广告咨询费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36,336,089.02</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2"/>
                <w:sz w:val="18"/>
              </w:rPr>
              <w:t>28,011,091.88</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办公差旅费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5,237,809.91</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7,804,327.90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7,026,550.45</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7,328,511.39</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21,137,712.49</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21,290,047.35</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192,201,122.27</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207,524,481.69</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36、管理费用" w:id="314"/>
      <w:bookmarkEnd w:id="314"/>
      <w:r>
        <w:rPr>
          <w:b w:val="0"/>
          <w:bCs w:val="0"/>
        </w:rPr>
      </w:r>
      <w:r>
        <w:rPr>
          <w:rFonts w:ascii="Times New Roman" w:hAnsi="Times New Roman" w:cs="Times New Roman" w:eastAsia="Times New Roman" w:hint="default"/>
        </w:rPr>
        <w:t>36</w:t>
      </w:r>
      <w:r>
        <w:rPr/>
        <w:t>、管理费用</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21,125,069.78</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26,703,497.87</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租赁管理费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9,569,935.64</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10,841,285.05</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折旧及摊销</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9,851,630.99</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8,489,782.20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办公差旅费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6,942,506.54</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7,474,869.69</w:t>
            </w:r>
          </w:p>
        </w:tc>
      </w:tr>
      <w:tr>
        <w:trPr>
          <w:trHeight w:val="399"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中介服务费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8,465,730.46</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6,206,034.00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税金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721,640.21</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2"/>
                <w:sz w:val="18"/>
              </w:rPr>
              <w:t>480,748.11</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5,382,093.07</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7,462,183.76</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62,058,606.69</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67,658,400.68</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37、研发费用" w:id="315"/>
      <w:bookmarkEnd w:id="315"/>
      <w:r>
        <w:rPr>
          <w:b w:val="0"/>
          <w:bCs w:val="0"/>
        </w:rPr>
      </w:r>
      <w:r>
        <w:rPr>
          <w:rFonts w:ascii="Times New Roman" w:hAnsi="Times New Roman" w:cs="Times New Roman" w:eastAsia="Times New Roman" w:hint="default"/>
        </w:rPr>
        <w:t>37</w:t>
      </w:r>
      <w:r>
        <w:rPr/>
        <w:t>、研发费用</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43,401,844.56</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33,239,577.24</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折旧及摊销</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13,866,137.95</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16,425,219.10</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租赁管理费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2,335,559.24</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2,484,068.67</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办公差旅费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3,829,605.12</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1,624,420.39</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材料费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1,566,138.28</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1,287,463.76</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中介服务费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3,327,674.87</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1,258,828.61</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485,244.28</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414,555.84</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68,812,204.30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56,734,133.61</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38、财务费用" w:id="316"/>
      <w:bookmarkEnd w:id="316"/>
      <w:r>
        <w:rPr>
          <w:b w:val="0"/>
          <w:bCs w:val="0"/>
        </w:rPr>
      </w:r>
      <w:r>
        <w:rPr>
          <w:rFonts w:ascii="Times New Roman" w:hAnsi="Times New Roman" w:cs="Times New Roman" w:eastAsia="Times New Roman" w:hint="default"/>
        </w:rPr>
        <w:t>38</w:t>
      </w:r>
      <w:r>
        <w:rPr/>
        <w:t>、财务费用</w:t>
      </w:r>
      <w:r>
        <w:rPr>
          <w:b w:val="0"/>
          <w:bCs w:val="0"/>
        </w:rPr>
      </w:r>
    </w:p>
    <w:p>
      <w:pPr>
        <w:spacing w:after="0" w:line="240" w:lineRule="auto"/>
        <w:jc w:val="left"/>
        <w:sectPr>
          <w:footerReference w:type="default" r:id="rId35"/>
          <w:pgSz w:w="11910" w:h="16840"/>
          <w:pgMar w:footer="1671" w:header="871" w:top="1100" w:bottom="1860" w:left="980" w:right="0"/>
          <w:pgNumType w:start="176"/>
        </w:sectPr>
      </w:pPr>
    </w:p>
    <w:p>
      <w:pPr>
        <w:spacing w:line="240" w:lineRule="auto" w:before="8"/>
        <w:rPr>
          <w:rFonts w:ascii="宋体" w:hAnsi="宋体" w:cs="宋体" w:eastAsia="宋体" w:hint="default"/>
          <w:b/>
          <w:bCs/>
          <w:sz w:val="24"/>
          <w:szCs w:val="24"/>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利息费用</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25,658,645.54</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27,642,058.61</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9,478,079.31</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10,715,656.85</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汇兑损益</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-1,067,278.74</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488,477.02</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手续费支出</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1,919,560.38</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1,572,056.98</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17,032,847.87</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18,986,935.76</w:t>
            </w:r>
          </w:p>
        </w:tc>
      </w:tr>
    </w:tbl>
    <w:p>
      <w:pPr>
        <w:spacing w:line="240" w:lineRule="auto" w:before="3"/>
        <w:rPr>
          <w:rFonts w:ascii="宋体" w:hAnsi="宋体" w:cs="宋体" w:eastAsia="宋体" w:hint="default"/>
          <w:b/>
          <w:bCs/>
          <w:sz w:val="19"/>
          <w:szCs w:val="19"/>
        </w:rPr>
      </w:pPr>
    </w:p>
    <w:p>
      <w:pPr>
        <w:pStyle w:val="Heading3"/>
        <w:spacing w:line="240" w:lineRule="auto" w:before="36"/>
        <w:ind w:right="0"/>
        <w:jc w:val="left"/>
        <w:rPr>
          <w:b w:val="0"/>
          <w:bCs w:val="0"/>
        </w:rPr>
      </w:pPr>
      <w:bookmarkStart w:name="39、其他收益" w:id="317"/>
      <w:bookmarkEnd w:id="317"/>
      <w:r>
        <w:rPr>
          <w:b w:val="0"/>
          <w:bCs w:val="0"/>
        </w:rPr>
      </w:r>
      <w:r>
        <w:rPr>
          <w:rFonts w:ascii="Times New Roman" w:hAnsi="Times New Roman" w:cs="Times New Roman" w:eastAsia="Times New Roman" w:hint="default"/>
        </w:rPr>
        <w:t>39</w:t>
      </w:r>
      <w:r>
        <w:rPr/>
        <w:t>、其他收益</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82" w:right="0"/>
              <w:jc w:val="left"/>
              <w:rPr>
                <w:rFonts w:ascii="宋体" w:hAnsi="宋体" w:cs="宋体" w:eastAsia="宋体" w:hint="default"/>
                <w:sz w:val="18"/>
                <w:szCs w:val="18"/>
              </w:rPr>
            </w:pPr>
            <w:r>
              <w:rPr>
                <w:rFonts w:ascii="宋体" w:hAnsi="宋体" w:cs="宋体" w:eastAsia="宋体" w:hint="default"/>
                <w:spacing w:val="-3"/>
                <w:sz w:val="18"/>
                <w:szCs w:val="18"/>
              </w:rPr>
              <w:t>产生其他收益的来源</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可抵扣进项税额加计抵减</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2,494,419.52</w:t>
            </w:r>
          </w:p>
        </w:tc>
        <w:tc>
          <w:tcPr>
            <w:tcW w:w="319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企业研究开发资助</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1,493,000.00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923,000.00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跨境电商补贴</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2"/>
                <w:sz w:val="18"/>
              </w:rPr>
              <w:t>1,311,506.01</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2,177,700.00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软件即征即退税款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1,425,226.45</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2,104,904.61</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大数据平台研究项目补贴摊销</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650,134.92</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544,284.45</w:t>
            </w:r>
          </w:p>
        </w:tc>
      </w:tr>
      <w:tr>
        <w:trPr>
          <w:trHeight w:val="399"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高新技术企业补贴</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400,000.00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424,000.00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展会补贴</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138,082.00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66,598.00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中小企业上规模补贴项目</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100,000.00</w:t>
            </w:r>
          </w:p>
        </w:tc>
        <w:tc>
          <w:tcPr>
            <w:tcW w:w="31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稳岗补贴</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69,400.35</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84,732.30</w:t>
            </w:r>
          </w:p>
        </w:tc>
      </w:tr>
      <w:tr>
        <w:trPr>
          <w:trHeight w:val="399"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青年人才培训补贴</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37,300.00</w:t>
            </w:r>
          </w:p>
        </w:tc>
        <w:tc>
          <w:tcPr>
            <w:tcW w:w="31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安居房</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35,800.68</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35,800.69</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专利支持补贴</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15,000.00</w:t>
            </w:r>
          </w:p>
        </w:tc>
        <w:tc>
          <w:tcPr>
            <w:tcW w:w="31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计算机软件补贴</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3,500.00</w:t>
            </w:r>
          </w:p>
        </w:tc>
        <w:tc>
          <w:tcPr>
            <w:tcW w:w="3193"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企业岗前补贴</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3,200.00</w:t>
            </w:r>
          </w:p>
        </w:tc>
        <w:tc>
          <w:tcPr>
            <w:tcW w:w="31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科技计划配套补贴</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1,533,100.00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提升国际化经营能力事项补助</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128,765.00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出口信用保险保费资助</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103,200.00</w:t>
            </w:r>
          </w:p>
        </w:tc>
      </w:tr>
      <w:tr>
        <w:trPr>
          <w:trHeight w:val="399"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pacing w:val="-3"/>
                <w:sz w:val="18"/>
                <w:szCs w:val="18"/>
              </w:rPr>
              <w:t>个税代扣手续费返还</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27,908.75</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3"/>
                <w:sz w:val="18"/>
                <w:szCs w:val="18"/>
              </w:rPr>
              <w:t>工业设计创新成果转化资助</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15,000.00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中关村资信评级补贴</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10,000.00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高技能人才企业补贴</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1,400.00</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40、投资收益" w:id="318"/>
      <w:bookmarkEnd w:id="318"/>
      <w:r>
        <w:rPr>
          <w:b w:val="0"/>
          <w:bCs w:val="0"/>
        </w:rPr>
      </w:r>
      <w:r>
        <w:rPr>
          <w:rFonts w:ascii="Times New Roman" w:hAnsi="Times New Roman" w:cs="Times New Roman" w:eastAsia="Times New Roman" w:hint="default"/>
        </w:rPr>
        <w:t>40</w:t>
      </w:r>
      <w:r>
        <w:rPr/>
        <w:t>、投资收益</w:t>
      </w:r>
      <w:r>
        <w:rPr>
          <w:b w:val="0"/>
          <w:bCs w:val="0"/>
        </w:rPr>
      </w:r>
    </w:p>
    <w:p>
      <w:pPr>
        <w:spacing w:after="0" w:line="240" w:lineRule="auto"/>
        <w:jc w:val="left"/>
        <w:sectPr>
          <w:pgSz w:w="11910" w:h="16840"/>
          <w:pgMar w:header="871" w:footer="1671" w:top="1100" w:bottom="1860" w:left="980" w:right="0"/>
        </w:sectPr>
      </w:pPr>
    </w:p>
    <w:p>
      <w:pPr>
        <w:spacing w:line="240" w:lineRule="auto" w:before="8"/>
        <w:rPr>
          <w:rFonts w:ascii="宋体" w:hAnsi="宋体" w:cs="宋体" w:eastAsia="宋体" w:hint="default"/>
          <w:b/>
          <w:bCs/>
          <w:sz w:val="24"/>
          <w:szCs w:val="24"/>
        </w:rPr>
      </w:pPr>
    </w:p>
    <w:tbl>
      <w:tblPr>
        <w:tblW w:w="0" w:type="auto"/>
        <w:jc w:val="left"/>
        <w:tblInd w:w="160" w:type="dxa"/>
        <w:tblLayout w:type="fixed"/>
        <w:tblCellMar>
          <w:top w:w="0" w:type="dxa"/>
          <w:left w:w="0" w:type="dxa"/>
          <w:bottom w:w="0" w:type="dxa"/>
          <w:right w:w="0" w:type="dxa"/>
        </w:tblCellMar>
        <w:tblLook w:val="01E0"/>
      </w:tblPr>
      <w:tblGrid>
        <w:gridCol w:w="3438"/>
        <w:gridCol w:w="3200"/>
        <w:gridCol w:w="2919"/>
      </w:tblGrid>
      <w:tr>
        <w:trPr>
          <w:trHeight w:val="403" w:hRule="exact"/>
        </w:trPr>
        <w:tc>
          <w:tcPr>
            <w:tcW w:w="3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98" w:hRule="exact"/>
        </w:trPr>
        <w:tc>
          <w:tcPr>
            <w:tcW w:w="3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权益法核算的长期股权投资收益</w:t>
            </w:r>
          </w:p>
        </w:tc>
        <w:tc>
          <w:tcPr>
            <w:tcW w:w="32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-35,887,523.89</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-62,411,753.54</w:t>
            </w:r>
          </w:p>
        </w:tc>
      </w:tr>
      <w:tr>
        <w:trPr>
          <w:trHeight w:val="404" w:hRule="exact"/>
        </w:trPr>
        <w:tc>
          <w:tcPr>
            <w:tcW w:w="3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1" w:right="0"/>
              <w:jc w:val="left"/>
              <w:rPr>
                <w:rFonts w:ascii="宋体" w:hAnsi="宋体" w:cs="宋体" w:eastAsia="宋体" w:hint="default"/>
                <w:sz w:val="18"/>
                <w:szCs w:val="18"/>
              </w:rPr>
            </w:pPr>
            <w:r>
              <w:rPr>
                <w:rFonts w:ascii="宋体" w:hAnsi="宋体" w:cs="宋体" w:eastAsia="宋体" w:hint="default"/>
                <w:spacing w:val="-3"/>
                <w:sz w:val="18"/>
                <w:szCs w:val="18"/>
              </w:rPr>
              <w:t>处置长期股权投资产生的投资收益</w:t>
            </w:r>
          </w:p>
        </w:tc>
        <w:tc>
          <w:tcPr>
            <w:tcW w:w="32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17,653,245.86</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交易性金融资产在持有期间的投资收益</w:t>
            </w:r>
          </w:p>
        </w:tc>
        <w:tc>
          <w:tcPr>
            <w:tcW w:w="32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1,229,995.89</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-17,004,282.14</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-62,411,753.54</w:t>
            </w:r>
          </w:p>
        </w:tc>
      </w:tr>
    </w:tbl>
    <w:p>
      <w:pPr>
        <w:spacing w:line="240" w:lineRule="auto" w:before="3"/>
        <w:rPr>
          <w:rFonts w:ascii="宋体" w:hAnsi="宋体" w:cs="宋体" w:eastAsia="宋体" w:hint="default"/>
          <w:b/>
          <w:bCs/>
          <w:sz w:val="19"/>
          <w:szCs w:val="19"/>
        </w:rPr>
      </w:pPr>
    </w:p>
    <w:p>
      <w:pPr>
        <w:pStyle w:val="Heading3"/>
        <w:spacing w:line="240" w:lineRule="auto" w:before="36"/>
        <w:ind w:right="0"/>
        <w:jc w:val="left"/>
        <w:rPr>
          <w:b w:val="0"/>
          <w:bCs w:val="0"/>
        </w:rPr>
      </w:pPr>
      <w:bookmarkStart w:name="41、公允价值变动收益" w:id="319"/>
      <w:bookmarkEnd w:id="319"/>
      <w:r>
        <w:rPr>
          <w:b w:val="0"/>
          <w:bCs w:val="0"/>
        </w:rPr>
      </w:r>
      <w:r>
        <w:rPr>
          <w:rFonts w:ascii="Times New Roman" w:hAnsi="Times New Roman" w:cs="Times New Roman" w:eastAsia="Times New Roman" w:hint="default"/>
        </w:rPr>
        <w:t>41</w:t>
      </w:r>
      <w:r>
        <w:rPr/>
        <w:t>、公允价值变动收益</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5"/>
        <w:gridCol w:w="3193"/>
      </w:tblGrid>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05" w:right="0"/>
              <w:jc w:val="left"/>
              <w:rPr>
                <w:rFonts w:ascii="宋体" w:hAnsi="宋体" w:cs="宋体" w:eastAsia="宋体" w:hint="default"/>
                <w:sz w:val="18"/>
                <w:szCs w:val="18"/>
              </w:rPr>
            </w:pPr>
            <w:r>
              <w:rPr>
                <w:rFonts w:ascii="宋体" w:hAnsi="宋体" w:cs="宋体" w:eastAsia="宋体" w:hint="default"/>
                <w:spacing w:val="-3"/>
                <w:sz w:val="18"/>
                <w:szCs w:val="18"/>
              </w:rPr>
              <w:t>产生公允价值变动收益的来源</w:t>
            </w:r>
          </w:p>
        </w:tc>
        <w:tc>
          <w:tcPr>
            <w:tcW w:w="3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6"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5"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汇率锁定收益</w:t>
            </w:r>
          </w:p>
        </w:tc>
        <w:tc>
          <w:tcPr>
            <w:tcW w:w="32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-50,455.50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0.00</w:t>
            </w:r>
          </w:p>
        </w:tc>
      </w:tr>
      <w:tr>
        <w:trPr>
          <w:trHeight w:val="404"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-50,455.50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0.00</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42、信用减值损失" w:id="320"/>
      <w:bookmarkEnd w:id="320"/>
      <w:r>
        <w:rPr>
          <w:b w:val="0"/>
          <w:bCs w:val="0"/>
        </w:rPr>
      </w:r>
      <w:r>
        <w:rPr>
          <w:rFonts w:ascii="Times New Roman" w:hAnsi="Times New Roman" w:cs="Times New Roman" w:eastAsia="Times New Roman" w:hint="default"/>
        </w:rPr>
        <w:t>42</w:t>
      </w:r>
      <w:r>
        <w:rPr/>
        <w:t>、信用减值损失</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其他应收款坏账损失</w:t>
            </w:r>
          </w:p>
        </w:tc>
        <w:tc>
          <w:tcPr>
            <w:tcW w:w="31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-158,873.40</w:t>
            </w:r>
          </w:p>
        </w:tc>
        <w:tc>
          <w:tcPr>
            <w:tcW w:w="31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应收账款坏账损失</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-15,383,645.58</w:t>
            </w:r>
          </w:p>
        </w:tc>
        <w:tc>
          <w:tcPr>
            <w:tcW w:w="319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-15,542,518.98</w:t>
            </w:r>
          </w:p>
        </w:tc>
        <w:tc>
          <w:tcPr>
            <w:tcW w:w="319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43、资产减值损失" w:id="321"/>
      <w:bookmarkEnd w:id="321"/>
      <w:r>
        <w:rPr>
          <w:b w:val="0"/>
          <w:bCs w:val="0"/>
        </w:rPr>
      </w:r>
      <w:r>
        <w:rPr>
          <w:rFonts w:ascii="Times New Roman" w:hAnsi="Times New Roman" w:cs="Times New Roman" w:eastAsia="Times New Roman" w:hint="default"/>
        </w:rPr>
        <w:t>43</w:t>
      </w:r>
      <w:r>
        <w:rPr/>
        <w:t>、资产减值损失</w:t>
      </w:r>
      <w:r>
        <w:rPr>
          <w:b w:val="0"/>
          <w:bCs w:val="0"/>
        </w:rPr>
      </w:r>
    </w:p>
    <w:p>
      <w:pPr>
        <w:spacing w:line="240" w:lineRule="auto" w:before="6"/>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footerReference w:type="default" r:id="rId36"/>
          <w:pgSz w:w="11910" w:h="16840"/>
          <w:pgMar w:footer="1186" w:header="871" w:top="1100" w:bottom="1380" w:left="980" w:right="0"/>
          <w:pgNumType w:start="178"/>
        </w:sectPr>
      </w:pPr>
    </w:p>
    <w:p>
      <w:pPr>
        <w:pStyle w:val="BodyText"/>
        <w:spacing w:line="240" w:lineRule="auto" w:before="46"/>
        <w:ind w:right="0"/>
        <w:jc w:val="left"/>
      </w:pPr>
      <w:r>
        <w:rPr>
          <w:spacing w:val="-2"/>
        </w:rPr>
        <w:t>是否已执行新收入准则</w:t>
      </w:r>
    </w:p>
    <w:p>
      <w:pPr>
        <w:pStyle w:val="BodyText"/>
        <w:spacing w:line="240" w:lineRule="auto" w:before="115"/>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21"/>
          <w:szCs w:val="21"/>
        </w:rPr>
      </w:pPr>
    </w:p>
    <w:p>
      <w:pPr>
        <w:pStyle w:val="BodyText"/>
        <w:spacing w:line="240" w:lineRule="auto"/>
        <w:ind w:right="0"/>
        <w:jc w:val="left"/>
      </w:pPr>
      <w:r>
        <w:rPr/>
        <w:t>单位：</w:t>
      </w:r>
      <w:r>
        <w:rPr>
          <w:spacing w:val="5"/>
        </w:rPr>
        <w:t> </w:t>
      </w:r>
      <w:r>
        <w:rPr/>
        <w:t>元</w:t>
      </w:r>
    </w:p>
    <w:p>
      <w:pPr>
        <w:spacing w:after="0" w:line="240" w:lineRule="auto"/>
        <w:jc w:val="left"/>
        <w:sectPr>
          <w:type w:val="continuous"/>
          <w:pgSz w:w="11910" w:h="16840"/>
          <w:pgMar w:top="1580" w:bottom="700" w:left="980" w:right="0"/>
          <w:cols w:num="2" w:equalWidth="0">
            <w:col w:w="1959" w:space="6872"/>
            <w:col w:w="2099"/>
          </w:cols>
        </w:sectPr>
      </w:pP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5"/>
        <w:gridCol w:w="3193"/>
      </w:tblGrid>
      <w:tr>
        <w:trPr>
          <w:trHeight w:val="399"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6"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5"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1"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205" w:type="dxa"/>
            <w:tcBorders>
              <w:top w:val="single" w:sz="4" w:space="0" w:color="000000"/>
              <w:left w:val="single" w:sz="13" w:space="0" w:color="D2D2D2"/>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3"/>
                <w:sz w:val="18"/>
              </w:rPr>
              <w:t>-11,113,092.12</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二、存货跌价损失</w:t>
            </w:r>
          </w:p>
        </w:tc>
        <w:tc>
          <w:tcPr>
            <w:tcW w:w="32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-801,245.61</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-560,500.60</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-801,245.61</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-11,673,592.72</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44、资产处置收益" w:id="322"/>
      <w:bookmarkEnd w:id="322"/>
      <w:r>
        <w:rPr>
          <w:b w:val="0"/>
          <w:bCs w:val="0"/>
        </w:rPr>
      </w:r>
      <w:r>
        <w:rPr>
          <w:rFonts w:ascii="Times New Roman" w:hAnsi="Times New Roman" w:cs="Times New Roman" w:eastAsia="Times New Roman" w:hint="default"/>
        </w:rPr>
        <w:t>44</w:t>
      </w:r>
      <w:r>
        <w:rPr/>
        <w:t>、资产处置收益</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771"/>
              <w:jc w:val="right"/>
              <w:rPr>
                <w:rFonts w:ascii="宋体" w:hAnsi="宋体" w:cs="宋体" w:eastAsia="宋体" w:hint="default"/>
                <w:sz w:val="18"/>
                <w:szCs w:val="18"/>
              </w:rPr>
            </w:pPr>
            <w:r>
              <w:rPr>
                <w:rFonts w:ascii="宋体" w:hAnsi="宋体" w:cs="宋体" w:eastAsia="宋体" w:hint="default"/>
                <w:spacing w:val="-3"/>
                <w:sz w:val="18"/>
                <w:szCs w:val="18"/>
              </w:rPr>
              <w:t>资产处置收益的来源</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pacing w:val="-3"/>
                <w:sz w:val="18"/>
                <w:szCs w:val="18"/>
              </w:rPr>
              <w:t>非流动资产处置利得合计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-15,688.52</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35,462,882.06</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其中：固定资产处置收益</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44,819.75</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71,724.49</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809"/>
              <w:jc w:val="right"/>
              <w:rPr>
                <w:rFonts w:ascii="宋体" w:hAnsi="宋体" w:cs="宋体" w:eastAsia="宋体" w:hint="default"/>
                <w:sz w:val="18"/>
                <w:szCs w:val="18"/>
              </w:rPr>
            </w:pPr>
            <w:r>
              <w:rPr>
                <w:rFonts w:ascii="宋体" w:hAnsi="宋体" w:cs="宋体" w:eastAsia="宋体" w:hint="default"/>
                <w:spacing w:val="-3"/>
                <w:sz w:val="18"/>
                <w:szCs w:val="18"/>
              </w:rPr>
              <w:t>无形资产处置收益</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-60,508.27</w:t>
            </w:r>
          </w:p>
        </w:tc>
        <w:tc>
          <w:tcPr>
            <w:tcW w:w="3193"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580" w:bottom="700" w:left="980" w:right="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926" w:right="0"/>
              <w:jc w:val="left"/>
              <w:rPr>
                <w:rFonts w:ascii="宋体" w:hAnsi="宋体" w:cs="宋体" w:eastAsia="宋体" w:hint="default"/>
                <w:sz w:val="18"/>
                <w:szCs w:val="18"/>
              </w:rPr>
            </w:pPr>
            <w:r>
              <w:rPr>
                <w:rFonts w:ascii="宋体" w:hAnsi="宋体" w:cs="宋体" w:eastAsia="宋体" w:hint="default"/>
                <w:spacing w:val="-3"/>
                <w:sz w:val="18"/>
                <w:szCs w:val="18"/>
              </w:rPr>
              <w:t>投资性房地产处置收益</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35,391,157.57</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-15,688.52</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35,462,882.06</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45、营业外收入" w:id="323"/>
      <w:bookmarkEnd w:id="323"/>
      <w:r>
        <w:rPr>
          <w:b w:val="0"/>
          <w:bCs w:val="0"/>
        </w:rPr>
      </w:r>
      <w:r>
        <w:rPr>
          <w:rFonts w:ascii="Times New Roman" w:hAnsi="Times New Roman" w:cs="Times New Roman" w:eastAsia="Times New Roman" w:hint="default"/>
        </w:rPr>
        <w:t>45</w:t>
      </w:r>
      <w:r>
        <w:rPr/>
        <w:t>、营业外收入</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391"/>
        <w:gridCol w:w="2396"/>
        <w:gridCol w:w="2391"/>
        <w:gridCol w:w="2391"/>
      </w:tblGrid>
      <w:tr>
        <w:trPr>
          <w:trHeight w:val="716"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743"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743"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1104" w:right="103" w:hanging="994"/>
              <w:jc w:val="left"/>
              <w:rPr>
                <w:rFonts w:ascii="宋体" w:hAnsi="宋体" w:cs="宋体" w:eastAsia="宋体" w:hint="default"/>
                <w:sz w:val="18"/>
                <w:szCs w:val="18"/>
              </w:rPr>
            </w:pPr>
            <w:r>
              <w:rPr>
                <w:rFonts w:ascii="宋体" w:hAnsi="宋体" w:cs="宋体" w:eastAsia="宋体" w:hint="default"/>
                <w:spacing w:val="-3"/>
                <w:sz w:val="18"/>
                <w:szCs w:val="18"/>
              </w:rPr>
              <w:t>计入当期非经常性损益的金</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额</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非流动资产毁损报废利得</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12,590.00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7,550.00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12,590.00</w:t>
            </w:r>
          </w:p>
        </w:tc>
      </w:tr>
      <w:tr>
        <w:trPr>
          <w:trHeight w:val="398"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其中：固定资产毁损报废利得</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12,590.00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7,550.00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12,590.00</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2"/>
                <w:sz w:val="18"/>
              </w:rPr>
              <w:t>110,521.14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3,715,520.21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2"/>
                <w:sz w:val="18"/>
              </w:rPr>
              <w:t>110,521.14</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3"/>
                <w:sz w:val="18"/>
              </w:rPr>
              <w:t>123,111.14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3,723,070.21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3"/>
                <w:sz w:val="18"/>
              </w:rPr>
              <w:t>123,111.14</w:t>
            </w:r>
          </w:p>
        </w:tc>
      </w:tr>
    </w:tbl>
    <w:p>
      <w:pPr>
        <w:pStyle w:val="BodyText"/>
        <w:spacing w:line="439" w:lineRule="auto" w:before="54"/>
        <w:ind w:left="513" w:right="8341" w:hanging="360"/>
        <w:jc w:val="left"/>
      </w:pPr>
      <w:r>
        <w:rPr>
          <w:spacing w:val="-3"/>
        </w:rPr>
        <w:t>计入当期损益的政府补助：</w:t>
      </w:r>
      <w:r>
        <w:rPr>
          <w:spacing w:val="-51"/>
        </w:rPr>
        <w:t> </w:t>
      </w:r>
      <w:r>
        <w:rPr>
          <w:spacing w:val="-51"/>
        </w:rPr>
      </w:r>
      <w:r>
        <w:rPr/>
        <w:t>无。</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bookmarkStart w:name="46、营业外支出" w:id="324"/>
      <w:bookmarkEnd w:id="324"/>
      <w:r>
        <w:rPr>
          <w:b w:val="0"/>
          <w:bCs w:val="0"/>
        </w:rPr>
      </w:r>
      <w:r>
        <w:rPr>
          <w:rFonts w:ascii="Times New Roman" w:hAnsi="Times New Roman" w:cs="Times New Roman" w:eastAsia="Times New Roman" w:hint="default"/>
        </w:rPr>
        <w:t>46</w:t>
      </w:r>
      <w:r>
        <w:rPr/>
        <w:t>、营业外支出</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391"/>
        <w:gridCol w:w="2396"/>
        <w:gridCol w:w="2391"/>
        <w:gridCol w:w="2391"/>
      </w:tblGrid>
      <w:tr>
        <w:trPr>
          <w:trHeight w:val="158" w:hRule="exact"/>
        </w:trPr>
        <w:tc>
          <w:tcPr>
            <w:tcW w:w="2391"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6"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1"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1104" w:right="103" w:hanging="994"/>
              <w:jc w:val="left"/>
              <w:rPr>
                <w:rFonts w:ascii="宋体" w:hAnsi="宋体" w:cs="宋体" w:eastAsia="宋体" w:hint="default"/>
                <w:sz w:val="18"/>
                <w:szCs w:val="18"/>
              </w:rPr>
            </w:pPr>
            <w:r>
              <w:rPr>
                <w:rFonts w:ascii="宋体" w:hAnsi="宋体" w:cs="宋体" w:eastAsia="宋体" w:hint="default"/>
                <w:spacing w:val="-3"/>
                <w:sz w:val="18"/>
                <w:szCs w:val="18"/>
              </w:rPr>
              <w:t>计入当期非经常性损益的金</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额</w:t>
            </w:r>
          </w:p>
        </w:tc>
      </w:tr>
      <w:tr>
        <w:trPr>
          <w:trHeight w:val="394" w:hRule="exact"/>
        </w:trPr>
        <w:tc>
          <w:tcPr>
            <w:tcW w:w="239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743"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743"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1" w:type="dxa"/>
            <w:vMerge/>
            <w:tcBorders>
              <w:left w:val="single" w:sz="4" w:space="0" w:color="000000"/>
              <w:right w:val="single" w:sz="4" w:space="0" w:color="000000"/>
            </w:tcBorders>
            <w:shd w:val="clear" w:color="auto" w:fill="D2D2D2"/>
          </w:tcPr>
          <w:p>
            <w:pPr/>
          </w:p>
        </w:tc>
      </w:tr>
      <w:tr>
        <w:trPr>
          <w:trHeight w:val="163" w:hRule="exact"/>
        </w:trPr>
        <w:tc>
          <w:tcPr>
            <w:tcW w:w="2391"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1"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1" w:type="dxa"/>
            <w:vMerge/>
            <w:tcBorders>
              <w:left w:val="single" w:sz="4" w:space="0" w:color="000000"/>
              <w:bottom w:val="single" w:sz="4" w:space="0" w:color="000000"/>
              <w:right w:val="single" w:sz="4" w:space="0" w:color="000000"/>
            </w:tcBorders>
            <w:shd w:val="clear" w:color="auto" w:fill="D2D2D2"/>
          </w:tcPr>
          <w:p>
            <w:pPr/>
          </w:p>
        </w:tc>
      </w:tr>
      <w:tr>
        <w:trPr>
          <w:trHeight w:val="398"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对外捐赠</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3,239.07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80,000.00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3,239.07</w:t>
            </w:r>
          </w:p>
        </w:tc>
      </w:tr>
      <w:tr>
        <w:trPr>
          <w:trHeight w:val="404"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pacing w:val="-3"/>
                <w:sz w:val="18"/>
                <w:szCs w:val="18"/>
              </w:rPr>
              <w:t>非流动资产毁损报废损失</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131,232.55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32,137.04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131,232.55</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其中：固定资产毁损报废损失</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131,232.55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32,137.04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131,232.55</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罚款及滞纳金</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401.75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2,555.61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401.75</w:t>
            </w:r>
          </w:p>
        </w:tc>
      </w:tr>
      <w:tr>
        <w:trPr>
          <w:trHeight w:val="398"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465,055.60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781,287.99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465,055.60</w:t>
            </w:r>
          </w:p>
        </w:tc>
      </w:tr>
      <w:tr>
        <w:trPr>
          <w:trHeight w:val="404"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599,928.97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895,980.64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599,928.97</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47、所得税费用" w:id="325"/>
      <w:bookmarkEnd w:id="325"/>
      <w:r>
        <w:rPr>
          <w:b w:val="0"/>
          <w:bCs w:val="0"/>
        </w:rPr>
      </w:r>
      <w:r>
        <w:rPr>
          <w:rFonts w:ascii="Times New Roman" w:hAnsi="Times New Roman" w:cs="Times New Roman" w:eastAsia="Times New Roman" w:hint="default"/>
        </w:rPr>
        <w:t>47</w:t>
      </w:r>
      <w:r>
        <w:rPr/>
        <w:t>、所得税费用</w:t>
      </w:r>
      <w:r>
        <w:rPr>
          <w:b w:val="0"/>
          <w:bCs w:val="0"/>
        </w:rPr>
      </w:r>
    </w:p>
    <w:p>
      <w:pPr>
        <w:spacing w:line="240" w:lineRule="auto" w:before="5"/>
        <w:rPr>
          <w:rFonts w:ascii="宋体" w:hAnsi="宋体" w:cs="宋体" w:eastAsia="宋体" w:hint="default"/>
          <w:b/>
          <w:bCs/>
          <w:sz w:val="24"/>
          <w:szCs w:val="24"/>
        </w:rPr>
      </w:pPr>
    </w:p>
    <w:p>
      <w:pPr>
        <w:pStyle w:val="Heading3"/>
        <w:spacing w:line="240" w:lineRule="auto"/>
        <w:ind w:right="0"/>
        <w:jc w:val="left"/>
        <w:rPr>
          <w:b w:val="0"/>
          <w:bCs w:val="0"/>
        </w:rPr>
      </w:pPr>
      <w:bookmarkStart w:name="（1）所得税费用表" w:id="326"/>
      <w:bookmarkEnd w:id="326"/>
      <w:r>
        <w:rPr>
          <w:b w:val="0"/>
          <w:bCs w:val="0"/>
        </w:rPr>
      </w:r>
      <w:r>
        <w:rPr/>
        <w:t>（</w:t>
      </w:r>
      <w:r>
        <w:rPr>
          <w:rFonts w:ascii="Times New Roman" w:hAnsi="Times New Roman" w:cs="Times New Roman" w:eastAsia="Times New Roman" w:hint="default"/>
        </w:rPr>
        <w:t>1</w:t>
      </w:r>
      <w:r>
        <w:rPr/>
        <w:t>）所得税费用表</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5"/>
        <w:gridCol w:w="3193"/>
      </w:tblGrid>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6"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5"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当期所得税费用</w:t>
            </w:r>
          </w:p>
        </w:tc>
        <w:tc>
          <w:tcPr>
            <w:tcW w:w="32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8,615,618.05</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11,529,395.34</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递延所得税费用</w:t>
            </w:r>
          </w:p>
        </w:tc>
        <w:tc>
          <w:tcPr>
            <w:tcW w:w="32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-11,616,225.48</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-577,443.28</w:t>
            </w:r>
          </w:p>
        </w:tc>
      </w:tr>
      <w:tr>
        <w:trPr>
          <w:trHeight w:val="404"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-3,000,607.43</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10,951,952.06</w:t>
            </w:r>
          </w:p>
        </w:tc>
      </w:tr>
    </w:tbl>
    <w:p>
      <w:pPr>
        <w:spacing w:after="0" w:line="240" w:lineRule="auto"/>
        <w:jc w:val="right"/>
        <w:rPr>
          <w:rFonts w:ascii="Times New Roman" w:hAnsi="Times New Roman" w:cs="Times New Roman" w:eastAsia="Times New Roman" w:hint="default"/>
          <w:sz w:val="18"/>
          <w:szCs w:val="18"/>
        </w:rPr>
        <w:sectPr>
          <w:pgSz w:w="11910" w:h="16840"/>
          <w:pgMar w:header="871" w:footer="1186" w:top="1100" w:bottom="1380" w:left="980" w:right="0"/>
        </w:sectPr>
      </w:pPr>
    </w:p>
    <w:p>
      <w:pPr>
        <w:spacing w:line="240" w:lineRule="auto" w:before="0"/>
        <w:rPr>
          <w:rFonts w:ascii="宋体" w:hAnsi="宋体" w:cs="宋体" w:eastAsia="宋体" w:hint="default"/>
          <w:sz w:val="21"/>
          <w:szCs w:val="21"/>
        </w:rPr>
      </w:pPr>
    </w:p>
    <w:p>
      <w:pPr>
        <w:pStyle w:val="Heading3"/>
        <w:spacing w:line="240" w:lineRule="auto" w:before="36"/>
        <w:ind w:right="0"/>
        <w:jc w:val="left"/>
        <w:rPr>
          <w:b w:val="0"/>
          <w:bCs w:val="0"/>
        </w:rPr>
      </w:pPr>
      <w:bookmarkStart w:name="（2）会计利润与所得税费用调整过程" w:id="327"/>
      <w:bookmarkEnd w:id="327"/>
      <w:r>
        <w:rPr>
          <w:b w:val="0"/>
          <w:bCs w:val="0"/>
        </w:rPr>
      </w:r>
      <w:r>
        <w:rPr/>
        <w:t>（</w:t>
      </w:r>
      <w:r>
        <w:rPr>
          <w:rFonts w:ascii="Times New Roman" w:hAnsi="Times New Roman" w:cs="Times New Roman" w:eastAsia="Times New Roman" w:hint="default"/>
        </w:rPr>
        <w:t>2</w:t>
      </w:r>
      <w:r>
        <w:rPr/>
        <w:t>）会计利润与所得税费用调整过程</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4759"/>
        <w:gridCol w:w="4799"/>
      </w:tblGrid>
      <w:tr>
        <w:trPr>
          <w:trHeight w:val="404" w:hRule="exact"/>
        </w:trPr>
        <w:tc>
          <w:tcPr>
            <w:tcW w:w="47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6"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03" w:hRule="exact"/>
        </w:trPr>
        <w:tc>
          <w:tcPr>
            <w:tcW w:w="47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479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4,400,991.59</w:t>
            </w:r>
          </w:p>
        </w:tc>
      </w:tr>
      <w:tr>
        <w:trPr>
          <w:trHeight w:val="398" w:hRule="exact"/>
        </w:trPr>
        <w:tc>
          <w:tcPr>
            <w:tcW w:w="47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按法定</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适用税率计算的所得税费用</w:t>
            </w:r>
          </w:p>
        </w:tc>
        <w:tc>
          <w:tcPr>
            <w:tcW w:w="479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660,148.73</w:t>
            </w:r>
          </w:p>
        </w:tc>
      </w:tr>
      <w:tr>
        <w:trPr>
          <w:trHeight w:val="403" w:hRule="exact"/>
        </w:trPr>
        <w:tc>
          <w:tcPr>
            <w:tcW w:w="47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子公司适用不同税率的影响</w:t>
            </w:r>
          </w:p>
        </w:tc>
        <w:tc>
          <w:tcPr>
            <w:tcW w:w="479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-132,850.94</w:t>
            </w:r>
          </w:p>
        </w:tc>
      </w:tr>
      <w:tr>
        <w:trPr>
          <w:trHeight w:val="404" w:hRule="exact"/>
        </w:trPr>
        <w:tc>
          <w:tcPr>
            <w:tcW w:w="47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pacing w:val="-3"/>
                <w:sz w:val="18"/>
                <w:szCs w:val="18"/>
              </w:rPr>
              <w:t>调整以前期间所得税的影响</w:t>
            </w:r>
          </w:p>
        </w:tc>
        <w:tc>
          <w:tcPr>
            <w:tcW w:w="479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177,971.77</w:t>
            </w:r>
          </w:p>
        </w:tc>
      </w:tr>
      <w:tr>
        <w:trPr>
          <w:trHeight w:val="403" w:hRule="exact"/>
        </w:trPr>
        <w:tc>
          <w:tcPr>
            <w:tcW w:w="47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非应税收入的影响</w:t>
            </w:r>
          </w:p>
        </w:tc>
        <w:tc>
          <w:tcPr>
            <w:tcW w:w="479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-4,346,629.57</w:t>
            </w:r>
          </w:p>
        </w:tc>
      </w:tr>
      <w:tr>
        <w:trPr>
          <w:trHeight w:val="398" w:hRule="exact"/>
        </w:trPr>
        <w:tc>
          <w:tcPr>
            <w:tcW w:w="47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不可抵扣的成本、费用和损失的影响</w:t>
            </w:r>
          </w:p>
        </w:tc>
        <w:tc>
          <w:tcPr>
            <w:tcW w:w="479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1,024,406.42</w:t>
            </w:r>
          </w:p>
        </w:tc>
      </w:tr>
      <w:tr>
        <w:trPr>
          <w:trHeight w:val="403" w:hRule="exact"/>
        </w:trPr>
        <w:tc>
          <w:tcPr>
            <w:tcW w:w="47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使用前期未确认递延所得税资产的可抵扣亏损的影响</w:t>
            </w:r>
          </w:p>
        </w:tc>
        <w:tc>
          <w:tcPr>
            <w:tcW w:w="479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-328,266.16</w:t>
            </w:r>
          </w:p>
        </w:tc>
      </w:tr>
      <w:tr>
        <w:trPr>
          <w:trHeight w:val="716" w:hRule="exact"/>
        </w:trPr>
        <w:tc>
          <w:tcPr>
            <w:tcW w:w="475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21" w:lineRule="auto" w:before="54"/>
              <w:ind w:left="11" w:right="49"/>
              <w:jc w:val="left"/>
              <w:rPr>
                <w:rFonts w:ascii="宋体" w:hAnsi="宋体" w:cs="宋体" w:eastAsia="宋体" w:hint="default"/>
                <w:sz w:val="18"/>
                <w:szCs w:val="18"/>
              </w:rPr>
            </w:pPr>
            <w:r>
              <w:rPr>
                <w:rFonts w:ascii="宋体" w:hAnsi="宋体" w:cs="宋体" w:eastAsia="宋体" w:hint="default"/>
                <w:spacing w:val="-3"/>
                <w:sz w:val="18"/>
                <w:szCs w:val="18"/>
              </w:rPr>
              <w:t>本期未确认递延所得税资产的可抵扣暂时性差异或可抵扣亏</w:t>
            </w:r>
            <w:r>
              <w:rPr>
                <w:rFonts w:ascii="宋体" w:hAnsi="宋体" w:cs="宋体" w:eastAsia="宋体" w:hint="default"/>
                <w:spacing w:val="-10"/>
                <w:sz w:val="18"/>
                <w:szCs w:val="18"/>
              </w:rPr>
              <w:t> </w:t>
            </w:r>
            <w:r>
              <w:rPr>
                <w:rFonts w:ascii="宋体" w:hAnsi="宋体" w:cs="宋体" w:eastAsia="宋体" w:hint="default"/>
                <w:spacing w:val="-10"/>
                <w:sz w:val="18"/>
                <w:szCs w:val="18"/>
              </w:rPr>
            </w:r>
            <w:r>
              <w:rPr>
                <w:rFonts w:ascii="宋体" w:hAnsi="宋体" w:cs="宋体" w:eastAsia="宋体" w:hint="default"/>
                <w:sz w:val="18"/>
                <w:szCs w:val="18"/>
              </w:rPr>
              <w:t>损的影响</w:t>
            </w:r>
          </w:p>
        </w:tc>
        <w:tc>
          <w:tcPr>
            <w:tcW w:w="4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-55,901.41</w:t>
            </w:r>
          </w:p>
        </w:tc>
      </w:tr>
      <w:tr>
        <w:trPr>
          <w:trHeight w:val="403" w:hRule="exact"/>
        </w:trPr>
        <w:tc>
          <w:tcPr>
            <w:tcW w:w="475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税率调整导致期初递延所得税资产</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负债余额的变化</w:t>
            </w:r>
          </w:p>
        </w:tc>
        <w:tc>
          <w:tcPr>
            <w:tcW w:w="4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513.73</w:t>
            </w:r>
          </w:p>
        </w:tc>
      </w:tr>
      <w:tr>
        <w:trPr>
          <w:trHeight w:val="398" w:hRule="exact"/>
        </w:trPr>
        <w:tc>
          <w:tcPr>
            <w:tcW w:w="47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4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-3,000,607.43</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48、其他综合收益" w:id="328"/>
      <w:bookmarkEnd w:id="328"/>
      <w:r>
        <w:rPr>
          <w:b w:val="0"/>
          <w:bCs w:val="0"/>
        </w:rPr>
      </w:r>
      <w:r>
        <w:rPr>
          <w:rFonts w:ascii="Times New Roman" w:hAnsi="Times New Roman" w:cs="Times New Roman" w:eastAsia="Times New Roman" w:hint="default"/>
        </w:rPr>
        <w:t>48</w:t>
      </w:r>
      <w:r>
        <w:rPr/>
        <w:t>、其他综合收益</w:t>
      </w:r>
      <w:r>
        <w:rPr>
          <w:b w:val="0"/>
          <w:bCs w:val="0"/>
        </w:rPr>
      </w:r>
    </w:p>
    <w:p>
      <w:pPr>
        <w:spacing w:line="240" w:lineRule="auto" w:before="12"/>
        <w:rPr>
          <w:rFonts w:ascii="宋体" w:hAnsi="宋体" w:cs="宋体" w:eastAsia="宋体" w:hint="default"/>
          <w:b/>
          <w:bCs/>
          <w:sz w:val="32"/>
          <w:szCs w:val="32"/>
        </w:rPr>
      </w:pPr>
    </w:p>
    <w:p>
      <w:pPr>
        <w:pStyle w:val="BodyText"/>
        <w:spacing w:line="240" w:lineRule="auto"/>
        <w:ind w:left="136" w:right="8902"/>
        <w:jc w:val="center"/>
      </w:pPr>
      <w:r>
        <w:rPr/>
        <w:t>详见附注</w:t>
      </w:r>
      <w:r>
        <w:rPr>
          <w:spacing w:val="-43"/>
        </w:rPr>
        <w:t> </w:t>
      </w:r>
      <w:r>
        <w:rPr>
          <w:rFonts w:ascii="Times New Roman" w:hAnsi="Times New Roman" w:cs="Times New Roman" w:eastAsia="Times New Roman" w:hint="default"/>
        </w:rPr>
        <w:t>30</w:t>
      </w:r>
      <w:r>
        <w:rPr/>
        <w:t>。</w:t>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3"/>
          <w:szCs w:val="13"/>
        </w:rPr>
      </w:pPr>
    </w:p>
    <w:p>
      <w:pPr>
        <w:pStyle w:val="Heading3"/>
        <w:spacing w:line="240" w:lineRule="auto"/>
        <w:ind w:right="0"/>
        <w:jc w:val="left"/>
        <w:rPr>
          <w:b w:val="0"/>
          <w:bCs w:val="0"/>
        </w:rPr>
      </w:pPr>
      <w:bookmarkStart w:name="49、现金流量表项目" w:id="329"/>
      <w:bookmarkEnd w:id="329"/>
      <w:r>
        <w:rPr>
          <w:b w:val="0"/>
          <w:bCs w:val="0"/>
        </w:rPr>
      </w:r>
      <w:r>
        <w:rPr>
          <w:rFonts w:ascii="Times New Roman" w:hAnsi="Times New Roman" w:cs="Times New Roman" w:eastAsia="Times New Roman" w:hint="default"/>
        </w:rPr>
        <w:t>49</w:t>
      </w:r>
      <w:r>
        <w:rPr/>
        <w:t>、现金流量表项目</w:t>
      </w:r>
      <w:r>
        <w:rPr>
          <w:b w:val="0"/>
          <w:bCs w:val="0"/>
        </w:rPr>
      </w:r>
    </w:p>
    <w:p>
      <w:pPr>
        <w:spacing w:line="240" w:lineRule="auto" w:before="5"/>
        <w:rPr>
          <w:rFonts w:ascii="宋体" w:hAnsi="宋体" w:cs="宋体" w:eastAsia="宋体" w:hint="default"/>
          <w:b/>
          <w:bCs/>
          <w:sz w:val="24"/>
          <w:szCs w:val="24"/>
        </w:rPr>
      </w:pPr>
    </w:p>
    <w:p>
      <w:pPr>
        <w:pStyle w:val="Heading3"/>
        <w:spacing w:line="240" w:lineRule="auto"/>
        <w:ind w:right="0"/>
        <w:jc w:val="left"/>
        <w:rPr>
          <w:b w:val="0"/>
          <w:bCs w:val="0"/>
        </w:rPr>
      </w:pPr>
      <w:bookmarkStart w:name="（1）收到的其他与经营活动有关的现金" w:id="330"/>
      <w:bookmarkEnd w:id="330"/>
      <w:r>
        <w:rPr>
          <w:b w:val="0"/>
          <w:bCs w:val="0"/>
        </w:rPr>
      </w: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398"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补贴收入</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3,842,203.98</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6,981,043.94</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其他业务收入</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4,927,651.76</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4,646,149.74</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5,075,194.98</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36,326,846.92</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12,211,679.26</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757,620.47</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3,269,345.19</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2"/>
                <w:sz w:val="18"/>
              </w:rPr>
              <w:t>45,572,821.11</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32,464,915.13</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2）支付的其他与经营活动有关的现金" w:id="331"/>
      <w:bookmarkEnd w:id="331"/>
      <w:r>
        <w:rPr>
          <w:b w:val="0"/>
          <w:bCs w:val="0"/>
        </w:rPr>
      </w: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398"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付现财务费用</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1,565,273.04</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940,136.14</w:t>
            </w:r>
          </w:p>
        </w:tc>
      </w:tr>
    </w:tbl>
    <w:p>
      <w:pPr>
        <w:spacing w:after="0" w:line="240" w:lineRule="auto"/>
        <w:jc w:val="right"/>
        <w:rPr>
          <w:rFonts w:ascii="Times New Roman" w:hAnsi="Times New Roman" w:cs="Times New Roman" w:eastAsia="Times New Roman" w:hint="default"/>
          <w:sz w:val="18"/>
          <w:szCs w:val="18"/>
        </w:rPr>
        <w:sectPr>
          <w:pgSz w:w="11910" w:h="16840"/>
          <w:pgMar w:header="871" w:footer="1186" w:top="1100" w:bottom="1380" w:left="980" w:right="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除工资外付现销售费用</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118,935,973.67</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153,587,426.31</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除工资、税金外付现管理费用</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41,177,352.77</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65,963,431.98</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59,425,629.00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52,070,036.19</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635,863.51</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2,669,492.48</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221,740,091.99</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275,230,523.10</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3）收到的其他与投资活动有关的现金" w:id="332"/>
      <w:bookmarkEnd w:id="332"/>
      <w:r>
        <w:rPr>
          <w:b w:val="0"/>
          <w:bCs w:val="0"/>
        </w:rPr>
      </w:r>
      <w:r>
        <w:rPr/>
        <w:t>（</w:t>
      </w:r>
      <w:r>
        <w:rPr>
          <w:rFonts w:ascii="Times New Roman" w:hAnsi="Times New Roman" w:cs="Times New Roman" w:eastAsia="Times New Roman" w:hint="default"/>
        </w:rPr>
        <w:t>3</w:t>
      </w:r>
      <w:r>
        <w:rPr/>
        <w:t>）收到的其他与投资活动有关的现金</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10"/>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4"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5"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收回理财产品</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405,004,444.44</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406,438,074.60</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重组补偿款</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5,000,000.00</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取得子公司支付的现金净额</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962,568.45</w:t>
            </w:r>
          </w:p>
        </w:tc>
        <w:tc>
          <w:tcPr>
            <w:tcW w:w="31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405,967,012.89</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2"/>
                <w:sz w:val="18"/>
              </w:rPr>
              <w:t>411,438,074.60</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4）支付的其他与投资活动有关的现金" w:id="333"/>
      <w:bookmarkEnd w:id="333"/>
      <w:r>
        <w:rPr>
          <w:b w:val="0"/>
          <w:bCs w:val="0"/>
        </w:rPr>
      </w:r>
      <w:r>
        <w:rPr/>
        <w:t>（</w:t>
      </w:r>
      <w:r>
        <w:rPr>
          <w:rFonts w:ascii="Times New Roman" w:hAnsi="Times New Roman" w:cs="Times New Roman" w:eastAsia="Times New Roman" w:hint="default"/>
        </w:rPr>
        <w:t>4</w:t>
      </w:r>
      <w:r>
        <w:rPr/>
        <w:t>）支付的其他与投资活动有关的现金</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购买理财产品</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402,000,000.00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407,954,187.91</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资产重组费用</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1,104,000.00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5,440,000.00</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403,104,000.00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413,394,187.91</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5）收到的其他与筹资活动有关的现金" w:id="334"/>
      <w:bookmarkEnd w:id="334"/>
      <w:r>
        <w:rPr>
          <w:b w:val="0"/>
          <w:bCs w:val="0"/>
        </w:rPr>
      </w:r>
      <w:r>
        <w:rPr/>
        <w:t>（</w:t>
      </w:r>
      <w:r>
        <w:rPr>
          <w:rFonts w:ascii="Times New Roman" w:hAnsi="Times New Roman" w:cs="Times New Roman" w:eastAsia="Times New Roman" w:hint="default"/>
        </w:rPr>
        <w:t>5</w:t>
      </w:r>
      <w:r>
        <w:rPr/>
        <w:t>）收到的其他与筹资活动有关的现金</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399"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5"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银行承兑汇票保证金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31,950,000.00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14,376,396.63</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31,950,000.00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14,376,396.63</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6）支付的其他与筹资活动有关的现金" w:id="335"/>
      <w:bookmarkEnd w:id="335"/>
      <w:r>
        <w:rPr>
          <w:b w:val="0"/>
          <w:bCs w:val="0"/>
        </w:rPr>
      </w:r>
      <w:r>
        <w:rPr/>
        <w:t>（</w:t>
      </w:r>
      <w:r>
        <w:rPr>
          <w:rFonts w:ascii="Times New Roman" w:hAnsi="Times New Roman" w:cs="Times New Roman" w:eastAsia="Times New Roman" w:hint="default"/>
        </w:rPr>
        <w:t>6</w:t>
      </w:r>
      <w:r>
        <w:rPr/>
        <w:t>）支付的其他与筹资活动有关的现金</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10"/>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4"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5"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银行承兑汇票保证金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28,580,186.29</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23,796,391.92</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信用卡保证金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2,092,860.00</w:t>
            </w:r>
          </w:p>
        </w:tc>
        <w:tc>
          <w:tcPr>
            <w:tcW w:w="319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保函保证金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616,008.00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449,506.60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购买结售汇业务保证金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4"/>
              <w:jc w:val="right"/>
              <w:rPr>
                <w:rFonts w:ascii="Times New Roman" w:hAnsi="Times New Roman" w:cs="Times New Roman" w:eastAsia="Times New Roman" w:hint="default"/>
                <w:sz w:val="18"/>
                <w:szCs w:val="18"/>
              </w:rPr>
            </w:pPr>
            <w:r>
              <w:rPr>
                <w:rFonts w:ascii="Times New Roman"/>
                <w:spacing w:val="-2"/>
                <w:sz w:val="18"/>
              </w:rPr>
              <w:t>209,411.01</w:t>
            </w:r>
          </w:p>
        </w:tc>
        <w:tc>
          <w:tcPr>
            <w:tcW w:w="319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1" w:footer="1186" w:top="1100" w:bottom="1380" w:left="980" w:right="0"/>
        </w:sectPr>
      </w:pPr>
    </w:p>
    <w:p>
      <w:pPr>
        <w:spacing w:line="240" w:lineRule="auto" w:before="8"/>
        <w:rPr>
          <w:rFonts w:ascii="宋体" w:hAnsi="宋体" w:cs="宋体" w:eastAsia="宋体" w:hint="default"/>
          <w:sz w:val="24"/>
          <w:szCs w:val="24"/>
        </w:rPr>
      </w:pPr>
      <w:r>
        <w:rPr/>
        <w:pict>
          <v:group style="position:absolute;margin-left:223.300003pt;margin-top:581.809998pt;width:151.25pt;height:20.65pt;mso-position-horizontal-relative:page;mso-position-vertical-relative:page;z-index:-1025848" coordorigin="4466,11636" coordsize="3025,413">
            <v:group style="position:absolute;left:4478;top:11648;width:2;height:389" coordorigin="4478,11648" coordsize="2,389">
              <v:shape style="position:absolute;left:4478;top:11648;width:2;height:389" coordorigin="4478,11648" coordsize="0,389" path="m4478,11648l4478,12037e" filled="false" stroked="true" strokeweight="1.2pt" strokecolor="#ffffff">
                <v:path arrowok="t"/>
              </v:shape>
            </v:group>
            <v:group style="position:absolute;left:4490;top:11648;width:3001;height:389" coordorigin="4490,11648" coordsize="3001,389">
              <v:shape style="position:absolute;left:4490;top:11648;width:3001;height:389" coordorigin="4490,11648" coordsize="3001,389" path="m4490,12037l7491,12037,7491,11648,4490,11648,4490,12037xe" filled="true" fillcolor="#ffffff" stroked="false">
                <v:path arrowok="t"/>
                <v:fill type="solid"/>
              </v:shape>
            </v:group>
            <w10:wrap type="none"/>
          </v:group>
        </w:pict>
      </w: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融资担保费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524,000.00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724,000.00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32,022,465.30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24,969,898.52</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50、现金流量表补充资料" w:id="336"/>
      <w:bookmarkEnd w:id="336"/>
      <w:r>
        <w:rPr>
          <w:b w:val="0"/>
          <w:bCs w:val="0"/>
        </w:rPr>
      </w:r>
      <w:r>
        <w:rPr>
          <w:rFonts w:ascii="Times New Roman" w:hAnsi="Times New Roman" w:cs="Times New Roman" w:eastAsia="Times New Roman" w:hint="default"/>
        </w:rPr>
        <w:t>50</w:t>
      </w:r>
      <w:r>
        <w:rPr/>
        <w:t>、现金流量表补充资料</w:t>
      </w:r>
      <w:r>
        <w:rPr>
          <w:b w:val="0"/>
          <w:bCs w:val="0"/>
        </w:rPr>
      </w:r>
    </w:p>
    <w:p>
      <w:pPr>
        <w:spacing w:line="240" w:lineRule="auto" w:before="5"/>
        <w:rPr>
          <w:rFonts w:ascii="宋体" w:hAnsi="宋体" w:cs="宋体" w:eastAsia="宋体" w:hint="default"/>
          <w:b/>
          <w:bCs/>
          <w:sz w:val="24"/>
          <w:szCs w:val="24"/>
        </w:rPr>
      </w:pPr>
    </w:p>
    <w:p>
      <w:pPr>
        <w:pStyle w:val="Heading3"/>
        <w:spacing w:line="240" w:lineRule="auto"/>
        <w:ind w:right="0"/>
        <w:jc w:val="left"/>
        <w:rPr>
          <w:b w:val="0"/>
          <w:bCs w:val="0"/>
        </w:rPr>
      </w:pPr>
      <w:bookmarkStart w:name="（1）现金流量表补充资料" w:id="337"/>
      <w:bookmarkEnd w:id="337"/>
      <w:r>
        <w:rPr>
          <w:b w:val="0"/>
          <w:bCs w:val="0"/>
        </w:rPr>
      </w:r>
      <w:r>
        <w:rPr/>
        <w:t>（</w:t>
      </w:r>
      <w:r>
        <w:rPr>
          <w:rFonts w:ascii="Times New Roman" w:hAnsi="Times New Roman" w:cs="Times New Roman" w:eastAsia="Times New Roman" w:hint="default"/>
        </w:rPr>
        <w:t>1</w:t>
      </w:r>
      <w:r>
        <w:rPr/>
        <w:t>）现金流量表补充资料</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11"/>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3306"/>
        <w:gridCol w:w="1039"/>
        <w:gridCol w:w="2029"/>
        <w:gridCol w:w="3183"/>
      </w:tblGrid>
      <w:tr>
        <w:trPr>
          <w:trHeight w:val="404" w:hRule="exact"/>
        </w:trPr>
        <w:tc>
          <w:tcPr>
            <w:tcW w:w="3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306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8"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9"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398" w:hRule="exact"/>
        </w:trPr>
        <w:tc>
          <w:tcPr>
            <w:tcW w:w="3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11"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．将净利润调节为经营活动现金流量：</w:t>
            </w:r>
          </w:p>
        </w:tc>
        <w:tc>
          <w:tcPr>
            <w:tcW w:w="306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5"/>
              <w:ind w:left="4"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3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5"/>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r>
        <w:trPr>
          <w:trHeight w:val="403" w:hRule="exact"/>
        </w:trPr>
        <w:tc>
          <w:tcPr>
            <w:tcW w:w="3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371"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068" w:type="dxa"/>
            <w:gridSpan w:val="2"/>
            <w:tcBorders>
              <w:top w:val="single" w:sz="4" w:space="0" w:color="000000"/>
              <w:left w:val="single" w:sz="8" w:space="0" w:color="D2D2D2"/>
              <w:bottom w:val="single" w:sz="4" w:space="0" w:color="000000"/>
              <w:right w:val="single" w:sz="4" w:space="0" w:color="000000"/>
            </w:tcBorders>
          </w:tcPr>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spacing w:val="-1"/>
                <w:sz w:val="18"/>
              </w:rPr>
              <w:t>7,401,599.02</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2"/>
              <w:jc w:val="right"/>
              <w:rPr>
                <w:rFonts w:ascii="Times New Roman" w:hAnsi="Times New Roman" w:cs="Times New Roman" w:eastAsia="Times New Roman" w:hint="default"/>
                <w:sz w:val="18"/>
                <w:szCs w:val="18"/>
              </w:rPr>
            </w:pPr>
            <w:r>
              <w:rPr>
                <w:rFonts w:ascii="Times New Roman"/>
                <w:spacing w:val="-1"/>
                <w:sz w:val="18"/>
              </w:rPr>
              <w:t>21,673,803.75</w:t>
            </w:r>
          </w:p>
        </w:tc>
      </w:tr>
      <w:tr>
        <w:trPr>
          <w:trHeight w:val="403" w:hRule="exact"/>
        </w:trPr>
        <w:tc>
          <w:tcPr>
            <w:tcW w:w="3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371"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3068" w:type="dxa"/>
            <w:gridSpan w:val="2"/>
            <w:tcBorders>
              <w:top w:val="single" w:sz="4" w:space="0" w:color="000000"/>
              <w:left w:val="single" w:sz="8" w:space="0" w:color="D2D2D2"/>
              <w:bottom w:val="single" w:sz="4" w:space="0" w:color="000000"/>
              <w:right w:val="single" w:sz="4" w:space="0" w:color="000000"/>
            </w:tcBorders>
          </w:tcPr>
          <w:p>
            <w:pPr>
              <w:pStyle w:val="TableParagraph"/>
              <w:spacing w:line="240" w:lineRule="auto" w:before="105"/>
              <w:ind w:left="1992" w:right="0"/>
              <w:jc w:val="left"/>
              <w:rPr>
                <w:rFonts w:ascii="Times New Roman" w:hAnsi="Times New Roman" w:cs="Times New Roman" w:eastAsia="Times New Roman" w:hint="default"/>
                <w:sz w:val="18"/>
                <w:szCs w:val="18"/>
              </w:rPr>
            </w:pPr>
            <w:r>
              <w:rPr>
                <w:rFonts w:ascii="Times New Roman"/>
                <w:sz w:val="18"/>
              </w:rPr>
              <w:t>16,343,764.59</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pacing w:val="-2"/>
                <w:sz w:val="18"/>
              </w:rPr>
              <w:t>11,673,592.72</w:t>
            </w:r>
          </w:p>
        </w:tc>
      </w:tr>
      <w:tr>
        <w:trPr>
          <w:trHeight w:val="716" w:hRule="exact"/>
        </w:trPr>
        <w:tc>
          <w:tcPr>
            <w:tcW w:w="3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4"/>
              <w:ind w:left="11" w:right="37" w:firstLine="720"/>
              <w:jc w:val="left"/>
              <w:rPr>
                <w:rFonts w:ascii="宋体" w:hAnsi="宋体" w:cs="宋体" w:eastAsia="宋体" w:hint="default"/>
                <w:sz w:val="18"/>
                <w:szCs w:val="18"/>
              </w:rPr>
            </w:pPr>
            <w:r>
              <w:rPr>
                <w:rFonts w:ascii="宋体" w:hAnsi="宋体" w:cs="宋体" w:eastAsia="宋体" w:hint="default"/>
                <w:spacing w:val="-3"/>
                <w:sz w:val="18"/>
                <w:szCs w:val="18"/>
              </w:rPr>
              <w:t>固定资产折旧、油气资产折耗、</w:t>
            </w:r>
            <w:r>
              <w:rPr>
                <w:rFonts w:ascii="宋体" w:hAnsi="宋体" w:cs="宋体" w:eastAsia="宋体" w:hint="default"/>
                <w:w w:val="101"/>
                <w:sz w:val="18"/>
                <w:szCs w:val="18"/>
              </w:rPr>
              <w:t> </w:t>
            </w:r>
            <w:r>
              <w:rPr>
                <w:rFonts w:ascii="宋体" w:hAnsi="宋体" w:cs="宋体" w:eastAsia="宋体" w:hint="default"/>
                <w:spacing w:val="-3"/>
                <w:sz w:val="18"/>
                <w:szCs w:val="18"/>
              </w:rPr>
              <w:t>生产性生物资产折旧</w:t>
            </w:r>
          </w:p>
        </w:tc>
        <w:tc>
          <w:tcPr>
            <w:tcW w:w="3068" w:type="dxa"/>
            <w:gridSpan w:val="2"/>
            <w:tcBorders>
              <w:top w:val="single" w:sz="4" w:space="0" w:color="000000"/>
              <w:left w:val="single" w:sz="8" w:space="0" w:color="D2D2D2"/>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4,176,264.78</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5,249,547.64</w:t>
            </w:r>
          </w:p>
        </w:tc>
      </w:tr>
      <w:tr>
        <w:trPr>
          <w:trHeight w:val="398" w:hRule="exact"/>
        </w:trPr>
        <w:tc>
          <w:tcPr>
            <w:tcW w:w="3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731"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068" w:type="dxa"/>
            <w:gridSpan w:val="2"/>
            <w:tcBorders>
              <w:top w:val="single" w:sz="4" w:space="0" w:color="000000"/>
              <w:left w:val="single" w:sz="8" w:space="0" w:color="D2D2D2"/>
              <w:bottom w:val="single" w:sz="4" w:space="0" w:color="000000"/>
              <w:right w:val="single" w:sz="4" w:space="0" w:color="000000"/>
            </w:tcBorders>
          </w:tcPr>
          <w:p>
            <w:pPr>
              <w:pStyle w:val="TableParagraph"/>
              <w:spacing w:line="240" w:lineRule="auto" w:before="105"/>
              <w:ind w:left="1992" w:right="0"/>
              <w:jc w:val="left"/>
              <w:rPr>
                <w:rFonts w:ascii="Times New Roman" w:hAnsi="Times New Roman" w:cs="Times New Roman" w:eastAsia="Times New Roman" w:hint="default"/>
                <w:sz w:val="18"/>
                <w:szCs w:val="18"/>
              </w:rPr>
            </w:pPr>
            <w:r>
              <w:rPr>
                <w:rFonts w:ascii="Times New Roman"/>
                <w:sz w:val="18"/>
              </w:rPr>
              <w:t>19,844,660.70</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pacing w:val="-1"/>
                <w:sz w:val="18"/>
              </w:rPr>
              <w:t>21,558,439.49</w:t>
            </w:r>
          </w:p>
        </w:tc>
      </w:tr>
      <w:tr>
        <w:trPr>
          <w:trHeight w:val="403" w:hRule="exact"/>
        </w:trPr>
        <w:tc>
          <w:tcPr>
            <w:tcW w:w="3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731"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3068" w:type="dxa"/>
            <w:gridSpan w:val="2"/>
            <w:tcBorders>
              <w:top w:val="single" w:sz="4" w:space="0" w:color="000000"/>
              <w:left w:val="single" w:sz="8" w:space="0" w:color="D2D2D2"/>
              <w:bottom w:val="single" w:sz="4" w:space="0" w:color="000000"/>
              <w:right w:val="single" w:sz="4" w:space="0" w:color="000000"/>
            </w:tcBorders>
          </w:tcPr>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spacing w:val="-1"/>
                <w:sz w:val="18"/>
              </w:rPr>
              <w:t>3,254,649.36</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2"/>
              <w:jc w:val="right"/>
              <w:rPr>
                <w:rFonts w:ascii="Times New Roman" w:hAnsi="Times New Roman" w:cs="Times New Roman" w:eastAsia="Times New Roman" w:hint="default"/>
                <w:sz w:val="18"/>
                <w:szCs w:val="18"/>
              </w:rPr>
            </w:pPr>
            <w:r>
              <w:rPr>
                <w:rFonts w:ascii="Times New Roman"/>
                <w:spacing w:val="-1"/>
                <w:sz w:val="18"/>
              </w:rPr>
              <w:t>2,827,271.20</w:t>
            </w:r>
          </w:p>
        </w:tc>
      </w:tr>
      <w:tr>
        <w:trPr>
          <w:trHeight w:val="716" w:hRule="exact"/>
        </w:trPr>
        <w:tc>
          <w:tcPr>
            <w:tcW w:w="3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4" w:lineRule="auto" w:before="63"/>
              <w:ind w:left="11" w:right="37" w:firstLine="720"/>
              <w:jc w:val="left"/>
              <w:rPr>
                <w:rFonts w:ascii="宋体" w:hAnsi="宋体" w:cs="宋体" w:eastAsia="宋体" w:hint="default"/>
                <w:sz w:val="18"/>
                <w:szCs w:val="18"/>
              </w:rPr>
            </w:pPr>
            <w:r>
              <w:rPr>
                <w:rFonts w:ascii="宋体" w:hAnsi="宋体" w:cs="宋体" w:eastAsia="宋体" w:hint="default"/>
                <w:spacing w:val="-3"/>
                <w:sz w:val="18"/>
                <w:szCs w:val="18"/>
              </w:rPr>
              <w:t>处置固定资产、无形资产和其他</w:t>
            </w:r>
            <w:r>
              <w:rPr>
                <w:rFonts w:ascii="宋体" w:hAnsi="宋体" w:cs="宋体" w:eastAsia="宋体" w:hint="default"/>
                <w:w w:val="101"/>
                <w:sz w:val="18"/>
                <w:szCs w:val="18"/>
              </w:rPr>
              <w:t> </w:t>
            </w:r>
            <w:r>
              <w:rPr>
                <w:rFonts w:ascii="宋体" w:hAnsi="宋体" w:cs="宋体" w:eastAsia="宋体" w:hint="default"/>
                <w:spacing w:val="-3"/>
                <w:sz w:val="18"/>
                <w:szCs w:val="18"/>
              </w:rPr>
              <w:t>长期资产的损失（收益以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3068" w:type="dxa"/>
            <w:gridSpan w:val="2"/>
            <w:tcBorders>
              <w:top w:val="single" w:sz="4" w:space="0" w:color="000000"/>
              <w:left w:val="single" w:sz="8" w:space="0" w:color="D2D2D2"/>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15,688.52</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-35,462,882.06</w:t>
            </w:r>
          </w:p>
        </w:tc>
      </w:tr>
      <w:tr>
        <w:trPr>
          <w:trHeight w:val="715" w:hRule="exact"/>
        </w:trPr>
        <w:tc>
          <w:tcPr>
            <w:tcW w:w="3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63"/>
              <w:ind w:left="11" w:right="56" w:firstLine="720"/>
              <w:jc w:val="left"/>
              <w:rPr>
                <w:rFonts w:ascii="宋体" w:hAnsi="宋体" w:cs="宋体" w:eastAsia="宋体" w:hint="default"/>
                <w:sz w:val="18"/>
                <w:szCs w:val="18"/>
              </w:rPr>
            </w:pPr>
            <w:r>
              <w:rPr>
                <w:rFonts w:ascii="宋体" w:hAnsi="宋体" w:cs="宋体" w:eastAsia="宋体" w:hint="default"/>
                <w:spacing w:val="-2"/>
                <w:sz w:val="18"/>
                <w:szCs w:val="18"/>
              </w:rPr>
              <w:t>固定资产报废损失（收益以</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w w:val="101"/>
                <w:sz w:val="18"/>
                <w:szCs w:val="18"/>
              </w:rPr>
              <w:t> </w:t>
            </w:r>
            <w:r>
              <w:rPr>
                <w:rFonts w:ascii="宋体" w:hAnsi="宋体" w:cs="宋体" w:eastAsia="宋体" w:hint="default"/>
                <w:sz w:val="18"/>
                <w:szCs w:val="18"/>
              </w:rPr>
              <w:t>号填列）</w:t>
            </w:r>
          </w:p>
        </w:tc>
        <w:tc>
          <w:tcPr>
            <w:tcW w:w="3068" w:type="dxa"/>
            <w:gridSpan w:val="2"/>
            <w:tcBorders>
              <w:top w:val="single" w:sz="4" w:space="0" w:color="000000"/>
              <w:left w:val="single" w:sz="8" w:space="0" w:color="D2D2D2"/>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2"/>
                <w:sz w:val="18"/>
              </w:rPr>
              <w:t>118,642.55</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24,587.04</w:t>
            </w:r>
          </w:p>
        </w:tc>
      </w:tr>
      <w:tr>
        <w:trPr>
          <w:trHeight w:val="711" w:hRule="exact"/>
        </w:trPr>
        <w:tc>
          <w:tcPr>
            <w:tcW w:w="3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63"/>
              <w:ind w:left="11" w:right="56" w:firstLine="720"/>
              <w:jc w:val="left"/>
              <w:rPr>
                <w:rFonts w:ascii="宋体" w:hAnsi="宋体" w:cs="宋体" w:eastAsia="宋体" w:hint="default"/>
                <w:sz w:val="18"/>
                <w:szCs w:val="18"/>
              </w:rPr>
            </w:pPr>
            <w:r>
              <w:rPr>
                <w:rFonts w:ascii="宋体" w:hAnsi="宋体" w:cs="宋体" w:eastAsia="宋体" w:hint="default"/>
                <w:spacing w:val="-2"/>
                <w:sz w:val="18"/>
                <w:szCs w:val="18"/>
              </w:rPr>
              <w:t>公允价值变动损失（收益以</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w w:val="101"/>
                <w:sz w:val="18"/>
                <w:szCs w:val="18"/>
              </w:rPr>
              <w:t> </w:t>
            </w:r>
            <w:r>
              <w:rPr>
                <w:rFonts w:ascii="宋体" w:hAnsi="宋体" w:cs="宋体" w:eastAsia="宋体" w:hint="default"/>
                <w:sz w:val="18"/>
                <w:szCs w:val="18"/>
              </w:rPr>
              <w:t>号填列）</w:t>
            </w:r>
          </w:p>
        </w:tc>
        <w:tc>
          <w:tcPr>
            <w:tcW w:w="3068" w:type="dxa"/>
            <w:gridSpan w:val="2"/>
            <w:tcBorders>
              <w:top w:val="single" w:sz="4" w:space="0" w:color="000000"/>
              <w:left w:val="single" w:sz="8"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50,455.50</w:t>
            </w:r>
          </w:p>
        </w:tc>
        <w:tc>
          <w:tcPr>
            <w:tcW w:w="318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right="56"/>
              <w:jc w:val="right"/>
              <w:rPr>
                <w:rFonts w:ascii="宋体" w:hAnsi="宋体" w:cs="宋体" w:eastAsia="宋体" w:hint="default"/>
                <w:sz w:val="18"/>
                <w:szCs w:val="18"/>
              </w:rPr>
            </w:pPr>
            <w:r>
              <w:rPr>
                <w:rFonts w:ascii="宋体" w:hAnsi="宋体" w:cs="宋体" w:eastAsia="宋体" w:hint="default"/>
                <w:spacing w:val="-2"/>
                <w:sz w:val="18"/>
                <w:szCs w:val="18"/>
              </w:rPr>
              <w:t>财务费用（收益以</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号填列）</w:t>
            </w:r>
          </w:p>
        </w:tc>
        <w:tc>
          <w:tcPr>
            <w:tcW w:w="3068" w:type="dxa"/>
            <w:gridSpan w:val="2"/>
            <w:tcBorders>
              <w:top w:val="single" w:sz="4" w:space="0" w:color="000000"/>
              <w:left w:val="single" w:sz="8" w:space="0" w:color="D2D2D2"/>
              <w:bottom w:val="single" w:sz="4" w:space="0" w:color="000000"/>
              <w:right w:val="single" w:sz="4" w:space="0" w:color="000000"/>
            </w:tcBorders>
          </w:tcPr>
          <w:p>
            <w:pPr>
              <w:pStyle w:val="TableParagraph"/>
              <w:spacing w:line="240" w:lineRule="auto" w:before="110"/>
              <w:ind w:left="1992" w:right="0"/>
              <w:jc w:val="left"/>
              <w:rPr>
                <w:rFonts w:ascii="Times New Roman" w:hAnsi="Times New Roman" w:cs="Times New Roman" w:eastAsia="Times New Roman" w:hint="default"/>
                <w:sz w:val="18"/>
                <w:szCs w:val="18"/>
              </w:rPr>
            </w:pPr>
            <w:r>
              <w:rPr>
                <w:rFonts w:ascii="Times New Roman"/>
                <w:sz w:val="18"/>
              </w:rPr>
              <w:t>19,178,793.14</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2"/>
              <w:jc w:val="right"/>
              <w:rPr>
                <w:rFonts w:ascii="Times New Roman" w:hAnsi="Times New Roman" w:cs="Times New Roman" w:eastAsia="Times New Roman" w:hint="default"/>
                <w:sz w:val="18"/>
                <w:szCs w:val="18"/>
              </w:rPr>
            </w:pPr>
            <w:r>
              <w:rPr>
                <w:rFonts w:ascii="Times New Roman"/>
                <w:spacing w:val="-1"/>
                <w:sz w:val="18"/>
              </w:rPr>
              <w:t>22,646,648.94</w:t>
            </w:r>
          </w:p>
        </w:tc>
      </w:tr>
      <w:tr>
        <w:trPr>
          <w:trHeight w:val="403" w:hRule="exact"/>
        </w:trPr>
        <w:tc>
          <w:tcPr>
            <w:tcW w:w="3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right="56"/>
              <w:jc w:val="right"/>
              <w:rPr>
                <w:rFonts w:ascii="宋体" w:hAnsi="宋体" w:cs="宋体" w:eastAsia="宋体" w:hint="default"/>
                <w:sz w:val="18"/>
                <w:szCs w:val="18"/>
              </w:rPr>
            </w:pPr>
            <w:r>
              <w:rPr>
                <w:rFonts w:ascii="宋体" w:hAnsi="宋体" w:cs="宋体" w:eastAsia="宋体" w:hint="default"/>
                <w:spacing w:val="-2"/>
                <w:sz w:val="18"/>
                <w:szCs w:val="18"/>
              </w:rPr>
              <w:t>投资损失（收益以</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号填列）</w:t>
            </w:r>
          </w:p>
        </w:tc>
        <w:tc>
          <w:tcPr>
            <w:tcW w:w="3068" w:type="dxa"/>
            <w:gridSpan w:val="2"/>
            <w:tcBorders>
              <w:top w:val="single" w:sz="4" w:space="0" w:color="000000"/>
              <w:left w:val="single" w:sz="8" w:space="0" w:color="D2D2D2"/>
              <w:bottom w:val="single" w:sz="4" w:space="0" w:color="000000"/>
              <w:right w:val="single" w:sz="4" w:space="0" w:color="000000"/>
            </w:tcBorders>
          </w:tcPr>
          <w:p>
            <w:pPr>
              <w:pStyle w:val="TableParagraph"/>
              <w:spacing w:line="240" w:lineRule="auto" w:before="105"/>
              <w:ind w:left="1992" w:right="0"/>
              <w:jc w:val="left"/>
              <w:rPr>
                <w:rFonts w:ascii="Times New Roman" w:hAnsi="Times New Roman" w:cs="Times New Roman" w:eastAsia="Times New Roman" w:hint="default"/>
                <w:sz w:val="18"/>
                <w:szCs w:val="18"/>
              </w:rPr>
            </w:pPr>
            <w:r>
              <w:rPr>
                <w:rFonts w:ascii="Times New Roman"/>
                <w:sz w:val="18"/>
              </w:rPr>
              <w:t>17,004,282.14</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pacing w:val="-2"/>
                <w:sz w:val="18"/>
              </w:rPr>
              <w:t>62,411,753.54</w:t>
            </w:r>
          </w:p>
        </w:tc>
      </w:tr>
      <w:tr>
        <w:trPr>
          <w:trHeight w:val="715" w:hRule="exact"/>
        </w:trPr>
        <w:tc>
          <w:tcPr>
            <w:tcW w:w="3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731" w:right="0"/>
              <w:jc w:val="left"/>
              <w:rPr>
                <w:rFonts w:ascii="宋体" w:hAnsi="宋体" w:cs="宋体" w:eastAsia="宋体" w:hint="default"/>
                <w:sz w:val="18"/>
                <w:szCs w:val="18"/>
              </w:rPr>
            </w:pPr>
            <w:r>
              <w:rPr>
                <w:rFonts w:ascii="宋体" w:hAnsi="宋体" w:cs="宋体" w:eastAsia="宋体" w:hint="default"/>
                <w:spacing w:val="-3"/>
                <w:sz w:val="18"/>
                <w:szCs w:val="18"/>
              </w:rPr>
              <w:t>递延所得税资产减少（增加以</w:t>
            </w:r>
          </w:p>
          <w:p>
            <w:pPr>
              <w:pStyle w:val="TableParagraph"/>
              <w:spacing w:line="240" w:lineRule="auto" w:before="76"/>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8" w:type="dxa"/>
            <w:gridSpan w:val="2"/>
            <w:tcBorders>
              <w:top w:val="single" w:sz="4" w:space="0" w:color="000000"/>
              <w:left w:val="single" w:sz="8" w:space="0" w:color="D2D2D2"/>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1934" w:right="0"/>
              <w:jc w:val="left"/>
              <w:rPr>
                <w:rFonts w:ascii="Times New Roman" w:hAnsi="Times New Roman" w:cs="Times New Roman" w:eastAsia="Times New Roman" w:hint="default"/>
                <w:sz w:val="18"/>
                <w:szCs w:val="18"/>
              </w:rPr>
            </w:pPr>
            <w:r>
              <w:rPr>
                <w:rFonts w:ascii="Times New Roman"/>
                <w:sz w:val="18"/>
              </w:rPr>
              <w:t>-13,565,084.88</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239,543.98</w:t>
            </w:r>
          </w:p>
        </w:tc>
      </w:tr>
      <w:tr>
        <w:trPr>
          <w:trHeight w:val="711" w:hRule="exact"/>
        </w:trPr>
        <w:tc>
          <w:tcPr>
            <w:tcW w:w="3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left="731" w:right="0"/>
              <w:jc w:val="left"/>
              <w:rPr>
                <w:rFonts w:ascii="宋体" w:hAnsi="宋体" w:cs="宋体" w:eastAsia="宋体" w:hint="default"/>
                <w:sz w:val="18"/>
                <w:szCs w:val="18"/>
              </w:rPr>
            </w:pPr>
            <w:r>
              <w:rPr>
                <w:rFonts w:ascii="宋体" w:hAnsi="宋体" w:cs="宋体" w:eastAsia="宋体" w:hint="default"/>
                <w:spacing w:val="-3"/>
                <w:sz w:val="18"/>
                <w:szCs w:val="18"/>
              </w:rPr>
              <w:t>递延所得税负债增加（减少以</w:t>
            </w:r>
          </w:p>
          <w:p>
            <w:pPr>
              <w:pStyle w:val="TableParagraph"/>
              <w:spacing w:line="240" w:lineRule="auto" w:before="76"/>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8" w:type="dxa"/>
            <w:gridSpan w:val="2"/>
            <w:tcBorders>
              <w:top w:val="single" w:sz="4" w:space="0" w:color="000000"/>
              <w:left w:val="single" w:sz="8"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1,205,484.53</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-816,987.26</w:t>
            </w:r>
          </w:p>
        </w:tc>
      </w:tr>
      <w:tr>
        <w:trPr>
          <w:trHeight w:val="403" w:hRule="exact"/>
        </w:trPr>
        <w:tc>
          <w:tcPr>
            <w:tcW w:w="3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right="94"/>
              <w:jc w:val="right"/>
              <w:rPr>
                <w:rFonts w:ascii="宋体" w:hAnsi="宋体" w:cs="宋体" w:eastAsia="宋体" w:hint="default"/>
                <w:sz w:val="18"/>
                <w:szCs w:val="18"/>
              </w:rPr>
            </w:pPr>
            <w:r>
              <w:rPr>
                <w:rFonts w:ascii="宋体" w:hAnsi="宋体" w:cs="宋体" w:eastAsia="宋体" w:hint="default"/>
                <w:spacing w:val="-5"/>
                <w:sz w:val="18"/>
                <w:szCs w:val="18"/>
              </w:rPr>
              <w:t>存货的减少（增加以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号填列</w:t>
            </w:r>
          </w:p>
        </w:tc>
        <w:tc>
          <w:tcPr>
            <w:tcW w:w="1039" w:type="dxa"/>
            <w:tcBorders>
              <w:top w:val="single" w:sz="4" w:space="0" w:color="000000"/>
              <w:left w:val="single" w:sz="8" w:space="0" w:color="D2D2D2"/>
              <w:bottom w:val="single" w:sz="4" w:space="0" w:color="000000"/>
              <w:right w:val="nil" w:sz="6" w:space="0" w:color="auto"/>
            </w:tcBorders>
          </w:tcPr>
          <w:p>
            <w:pPr>
              <w:pStyle w:val="TableParagraph"/>
              <w:spacing w:line="240" w:lineRule="auto" w:before="68"/>
              <w:ind w:left="-116" w:right="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tc>
        <w:tc>
          <w:tcPr>
            <w:tcW w:w="20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0"/>
              <w:ind w:left="962" w:right="0"/>
              <w:jc w:val="left"/>
              <w:rPr>
                <w:rFonts w:ascii="Times New Roman" w:hAnsi="Times New Roman" w:cs="Times New Roman" w:eastAsia="Times New Roman" w:hint="default"/>
                <w:sz w:val="18"/>
                <w:szCs w:val="18"/>
              </w:rPr>
            </w:pPr>
            <w:r>
              <w:rPr>
                <w:rFonts w:ascii="Times New Roman"/>
                <w:sz w:val="18"/>
              </w:rPr>
              <w:t>25,800,462.99</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2"/>
              <w:jc w:val="right"/>
              <w:rPr>
                <w:rFonts w:ascii="Times New Roman" w:hAnsi="Times New Roman" w:cs="Times New Roman" w:eastAsia="Times New Roman" w:hint="default"/>
                <w:sz w:val="18"/>
                <w:szCs w:val="18"/>
              </w:rPr>
            </w:pPr>
            <w:r>
              <w:rPr>
                <w:rFonts w:ascii="Times New Roman"/>
                <w:spacing w:val="-1"/>
                <w:sz w:val="18"/>
              </w:rPr>
              <w:t>27,694,432.68</w:t>
            </w:r>
          </w:p>
        </w:tc>
      </w:tr>
      <w:tr>
        <w:trPr>
          <w:trHeight w:val="716" w:hRule="exact"/>
        </w:trPr>
        <w:tc>
          <w:tcPr>
            <w:tcW w:w="3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731" w:right="0"/>
              <w:jc w:val="left"/>
              <w:rPr>
                <w:rFonts w:ascii="宋体" w:hAnsi="宋体" w:cs="宋体" w:eastAsia="宋体" w:hint="default"/>
                <w:sz w:val="18"/>
                <w:szCs w:val="18"/>
              </w:rPr>
            </w:pPr>
            <w:r>
              <w:rPr>
                <w:rFonts w:ascii="宋体" w:hAnsi="宋体" w:cs="宋体" w:eastAsia="宋体" w:hint="default"/>
                <w:spacing w:val="-3"/>
                <w:sz w:val="18"/>
                <w:szCs w:val="18"/>
              </w:rPr>
              <w:t>经营性应收项目的减少（增加以</w:t>
            </w:r>
          </w:p>
          <w:p>
            <w:pPr>
              <w:pStyle w:val="TableParagraph"/>
              <w:spacing w:line="240" w:lineRule="auto" w:before="8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8" w:type="dxa"/>
            <w:gridSpan w:val="2"/>
            <w:tcBorders>
              <w:top w:val="single" w:sz="4" w:space="0" w:color="000000"/>
              <w:left w:val="single" w:sz="8" w:space="0" w:color="D2D2D2"/>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1843" w:right="0"/>
              <w:jc w:val="left"/>
              <w:rPr>
                <w:rFonts w:ascii="Times New Roman" w:hAnsi="Times New Roman" w:cs="Times New Roman" w:eastAsia="Times New Roman" w:hint="default"/>
                <w:sz w:val="18"/>
                <w:szCs w:val="18"/>
              </w:rPr>
            </w:pPr>
            <w:r>
              <w:rPr>
                <w:rFonts w:ascii="Times New Roman"/>
                <w:sz w:val="18"/>
              </w:rPr>
              <w:t>-100,898,816.44</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-12,042,145.46</w:t>
            </w:r>
          </w:p>
        </w:tc>
      </w:tr>
      <w:tr>
        <w:trPr>
          <w:trHeight w:val="715" w:hRule="exact"/>
        </w:trPr>
        <w:tc>
          <w:tcPr>
            <w:tcW w:w="3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731" w:right="0"/>
              <w:jc w:val="left"/>
              <w:rPr>
                <w:rFonts w:ascii="宋体" w:hAnsi="宋体" w:cs="宋体" w:eastAsia="宋体" w:hint="default"/>
                <w:sz w:val="18"/>
                <w:szCs w:val="18"/>
              </w:rPr>
            </w:pPr>
            <w:r>
              <w:rPr>
                <w:rFonts w:ascii="宋体" w:hAnsi="宋体" w:cs="宋体" w:eastAsia="宋体" w:hint="default"/>
                <w:spacing w:val="-3"/>
                <w:sz w:val="18"/>
                <w:szCs w:val="18"/>
              </w:rPr>
              <w:t>经营性应付项目的增加（减少以</w:t>
            </w:r>
          </w:p>
          <w:p>
            <w:pPr>
              <w:pStyle w:val="TableParagraph"/>
              <w:spacing w:line="240" w:lineRule="auto" w:before="76"/>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8" w:type="dxa"/>
            <w:gridSpan w:val="2"/>
            <w:tcBorders>
              <w:top w:val="single" w:sz="4" w:space="0" w:color="000000"/>
              <w:left w:val="single" w:sz="8" w:space="0" w:color="D2D2D2"/>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1934" w:right="0"/>
              <w:jc w:val="left"/>
              <w:rPr>
                <w:rFonts w:ascii="Times New Roman" w:hAnsi="Times New Roman" w:cs="Times New Roman" w:eastAsia="Times New Roman" w:hint="default"/>
                <w:sz w:val="18"/>
                <w:szCs w:val="18"/>
              </w:rPr>
            </w:pPr>
            <w:r>
              <w:rPr>
                <w:rFonts w:ascii="Times New Roman"/>
                <w:sz w:val="18"/>
              </w:rPr>
              <w:t>-53,356,520.29</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-30,491,745.77</w:t>
            </w:r>
          </w:p>
        </w:tc>
      </w:tr>
      <w:tr>
        <w:trPr>
          <w:trHeight w:val="401" w:hRule="exact"/>
        </w:trPr>
        <w:tc>
          <w:tcPr>
            <w:tcW w:w="3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right="219"/>
              <w:jc w:val="right"/>
              <w:rPr>
                <w:rFonts w:ascii="宋体" w:hAnsi="宋体" w:cs="宋体" w:eastAsia="宋体" w:hint="default"/>
                <w:sz w:val="18"/>
                <w:szCs w:val="18"/>
              </w:rPr>
            </w:pPr>
            <w:r>
              <w:rPr>
                <w:rFonts w:ascii="宋体" w:hAnsi="宋体" w:cs="宋体" w:eastAsia="宋体" w:hint="default"/>
                <w:spacing w:val="-3"/>
                <w:sz w:val="18"/>
                <w:szCs w:val="18"/>
              </w:rPr>
              <w:t>经营活动产生的现金流量净额</w:t>
            </w:r>
          </w:p>
        </w:tc>
        <w:tc>
          <w:tcPr>
            <w:tcW w:w="3068" w:type="dxa"/>
            <w:gridSpan w:val="2"/>
            <w:tcBorders>
              <w:top w:val="single" w:sz="4" w:space="0" w:color="000000"/>
              <w:left w:val="single" w:sz="8" w:space="0" w:color="D2D2D2"/>
              <w:bottom w:val="single" w:sz="4" w:space="0" w:color="000000"/>
              <w:right w:val="single" w:sz="4" w:space="0" w:color="000000"/>
            </w:tcBorders>
          </w:tcPr>
          <w:p>
            <w:pPr>
              <w:pStyle w:val="TableParagraph"/>
              <w:spacing w:line="240" w:lineRule="auto" w:before="105"/>
              <w:ind w:left="1934" w:right="0"/>
              <w:jc w:val="left"/>
              <w:rPr>
                <w:rFonts w:ascii="Times New Roman" w:hAnsi="Times New Roman" w:cs="Times New Roman" w:eastAsia="Times New Roman" w:hint="default"/>
                <w:sz w:val="18"/>
                <w:szCs w:val="18"/>
              </w:rPr>
            </w:pPr>
            <w:r>
              <w:rPr>
                <w:rFonts w:ascii="Times New Roman"/>
                <w:sz w:val="18"/>
              </w:rPr>
              <w:t>-53,425,673.79</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pacing w:val="-1"/>
                <w:sz w:val="18"/>
              </w:rPr>
              <w:t>97,185,860.43</w:t>
            </w:r>
          </w:p>
        </w:tc>
      </w:tr>
      <w:tr>
        <w:trPr>
          <w:trHeight w:val="161" w:hRule="exact"/>
        </w:trPr>
        <w:tc>
          <w:tcPr>
            <w:tcW w:w="3306" w:type="dxa"/>
            <w:vMerge w:val="restart"/>
            <w:tcBorders>
              <w:top w:val="single" w:sz="4" w:space="0" w:color="000000"/>
              <w:left w:val="single" w:sz="4" w:space="0" w:color="000000"/>
              <w:right w:val="single" w:sz="4" w:space="0" w:color="000000"/>
            </w:tcBorders>
            <w:shd w:val="clear" w:color="auto" w:fill="D2D2D2"/>
          </w:tcPr>
          <w:p>
            <w:pPr>
              <w:pStyle w:val="TableParagraph"/>
              <w:spacing w:line="300" w:lineRule="auto" w:before="65"/>
              <w:ind w:left="11" w:right="128"/>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．不涉及现金收支的重大投资和筹资活</w:t>
            </w:r>
            <w:r>
              <w:rPr>
                <w:rFonts w:ascii="宋体" w:hAnsi="宋体" w:cs="宋体" w:eastAsia="宋体" w:hint="default"/>
                <w:spacing w:val="-34"/>
                <w:sz w:val="18"/>
                <w:szCs w:val="18"/>
              </w:rPr>
              <w:t> </w:t>
            </w:r>
            <w:r>
              <w:rPr>
                <w:rFonts w:ascii="宋体" w:hAnsi="宋体" w:cs="宋体" w:eastAsia="宋体" w:hint="default"/>
                <w:spacing w:val="-34"/>
                <w:sz w:val="18"/>
                <w:szCs w:val="18"/>
              </w:rPr>
            </w:r>
            <w:r>
              <w:rPr>
                <w:rFonts w:ascii="宋体" w:hAnsi="宋体" w:cs="宋体" w:eastAsia="宋体" w:hint="default"/>
                <w:sz w:val="18"/>
                <w:szCs w:val="18"/>
              </w:rPr>
              <w:t>动：</w:t>
            </w:r>
          </w:p>
        </w:tc>
        <w:tc>
          <w:tcPr>
            <w:tcW w:w="3068"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3183"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4" w:hRule="exact"/>
        </w:trPr>
        <w:tc>
          <w:tcPr>
            <w:tcW w:w="3306" w:type="dxa"/>
            <w:vMerge/>
            <w:tcBorders>
              <w:left w:val="single" w:sz="4" w:space="0" w:color="000000"/>
              <w:right w:val="single" w:sz="4" w:space="0" w:color="000000"/>
            </w:tcBorders>
            <w:shd w:val="clear" w:color="auto" w:fill="D2D2D2"/>
          </w:tcPr>
          <w:p>
            <w:pPr/>
          </w:p>
        </w:tc>
        <w:tc>
          <w:tcPr>
            <w:tcW w:w="3068"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5"/>
              <w:ind w:left="4"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318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5"/>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r>
        <w:trPr>
          <w:trHeight w:val="158" w:hRule="exact"/>
        </w:trPr>
        <w:tc>
          <w:tcPr>
            <w:tcW w:w="3306" w:type="dxa"/>
            <w:vMerge/>
            <w:tcBorders>
              <w:left w:val="single" w:sz="4" w:space="0" w:color="000000"/>
              <w:bottom w:val="single" w:sz="4" w:space="0" w:color="000000"/>
              <w:right w:val="single" w:sz="4" w:space="0" w:color="000000"/>
            </w:tcBorders>
            <w:shd w:val="clear" w:color="auto" w:fill="D2D2D2"/>
          </w:tcPr>
          <w:p>
            <w:pPr/>
          </w:p>
        </w:tc>
        <w:tc>
          <w:tcPr>
            <w:tcW w:w="3068"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3183"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3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11"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．现金及现金等价物净变动情况：</w:t>
            </w:r>
          </w:p>
        </w:tc>
        <w:tc>
          <w:tcPr>
            <w:tcW w:w="306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5"/>
              <w:ind w:left="4"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3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5"/>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r>
        <w:trPr>
          <w:trHeight w:val="403" w:hRule="exact"/>
        </w:trPr>
        <w:tc>
          <w:tcPr>
            <w:tcW w:w="3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371" w:right="0"/>
              <w:jc w:val="left"/>
              <w:rPr>
                <w:rFonts w:ascii="宋体" w:hAnsi="宋体" w:cs="宋体" w:eastAsia="宋体" w:hint="default"/>
                <w:sz w:val="18"/>
                <w:szCs w:val="18"/>
              </w:rPr>
            </w:pPr>
            <w:r>
              <w:rPr>
                <w:rFonts w:ascii="宋体" w:hAnsi="宋体" w:cs="宋体" w:eastAsia="宋体" w:hint="default"/>
                <w:spacing w:val="-3"/>
                <w:sz w:val="18"/>
                <w:szCs w:val="18"/>
              </w:rPr>
              <w:t>现金的期末余额</w:t>
            </w:r>
          </w:p>
        </w:tc>
        <w:tc>
          <w:tcPr>
            <w:tcW w:w="3068" w:type="dxa"/>
            <w:gridSpan w:val="2"/>
            <w:tcBorders>
              <w:top w:val="single" w:sz="4" w:space="0" w:color="000000"/>
              <w:left w:val="single" w:sz="8" w:space="0" w:color="D2D2D2"/>
              <w:bottom w:val="single" w:sz="4" w:space="0" w:color="000000"/>
              <w:right w:val="single" w:sz="4" w:space="0" w:color="000000"/>
            </w:tcBorders>
          </w:tcPr>
          <w:p>
            <w:pPr>
              <w:pStyle w:val="TableParagraph"/>
              <w:spacing w:line="240" w:lineRule="auto" w:before="105"/>
              <w:ind w:left="1905" w:right="0"/>
              <w:jc w:val="left"/>
              <w:rPr>
                <w:rFonts w:ascii="Times New Roman" w:hAnsi="Times New Roman" w:cs="Times New Roman" w:eastAsia="Times New Roman" w:hint="default"/>
                <w:sz w:val="18"/>
                <w:szCs w:val="18"/>
              </w:rPr>
            </w:pPr>
            <w:r>
              <w:rPr>
                <w:rFonts w:ascii="Times New Roman"/>
                <w:sz w:val="18"/>
              </w:rPr>
              <w:t>270,664,139.41</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pacing w:val="-1"/>
                <w:sz w:val="18"/>
              </w:rPr>
              <w:t>377,399,461.89</w:t>
            </w:r>
          </w:p>
        </w:tc>
      </w:tr>
    </w:tbl>
    <w:p>
      <w:pPr>
        <w:spacing w:after="0" w:line="240" w:lineRule="auto"/>
        <w:jc w:val="right"/>
        <w:rPr>
          <w:rFonts w:ascii="Times New Roman" w:hAnsi="Times New Roman" w:cs="Times New Roman" w:eastAsia="Times New Roman" w:hint="default"/>
          <w:sz w:val="18"/>
          <w:szCs w:val="18"/>
        </w:rPr>
        <w:sectPr>
          <w:pgSz w:w="11910" w:h="16840"/>
          <w:pgMar w:header="871" w:footer="1186" w:top="1100" w:bottom="1440" w:left="980" w:right="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3318"/>
        <w:gridCol w:w="3068"/>
        <w:gridCol w:w="3183"/>
      </w:tblGrid>
      <w:tr>
        <w:trPr>
          <w:trHeight w:val="403" w:hRule="exact"/>
        </w:trPr>
        <w:tc>
          <w:tcPr>
            <w:tcW w:w="33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pacing w:val="-3"/>
                <w:sz w:val="18"/>
                <w:szCs w:val="18"/>
              </w:rPr>
              <w:t>减：现金的期初余额</w:t>
            </w:r>
          </w:p>
        </w:tc>
        <w:tc>
          <w:tcPr>
            <w:tcW w:w="3068"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377,399,461.89</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300,807,755.03</w:t>
            </w:r>
          </w:p>
        </w:tc>
      </w:tr>
      <w:tr>
        <w:trPr>
          <w:trHeight w:val="403" w:hRule="exact"/>
        </w:trPr>
        <w:tc>
          <w:tcPr>
            <w:tcW w:w="33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pacing w:val="-3"/>
                <w:sz w:val="18"/>
                <w:szCs w:val="18"/>
              </w:rPr>
              <w:t>现金及现金等价物净增加额</w:t>
            </w:r>
          </w:p>
        </w:tc>
        <w:tc>
          <w:tcPr>
            <w:tcW w:w="3068"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-106,735,322.48</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76,591,706.86</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2）本期收到的处置子公司的现金净额" w:id="338"/>
      <w:bookmarkEnd w:id="338"/>
      <w:r>
        <w:rPr>
          <w:b w:val="0"/>
          <w:bCs w:val="0"/>
        </w:rPr>
      </w:r>
      <w:r>
        <w:rPr/>
        <w:t>（</w:t>
      </w:r>
      <w:r>
        <w:rPr>
          <w:rFonts w:ascii="Times New Roman" w:hAnsi="Times New Roman" w:cs="Times New Roman" w:eastAsia="Times New Roman" w:hint="default"/>
        </w:rPr>
        <w:t>2</w:t>
      </w:r>
      <w:r>
        <w:rPr/>
        <w:t>）本期收到的处置子公司的现金净额</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4989"/>
        <w:gridCol w:w="4581"/>
      </w:tblGrid>
      <w:tr>
        <w:trPr>
          <w:trHeight w:val="403"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5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4"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7"/>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r>
        <w:trPr>
          <w:trHeight w:val="401"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7"/>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r>
        <w:trPr>
          <w:trHeight w:val="401"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8"/>
              <w:ind w:right="7"/>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bl>
    <w:p>
      <w:pPr>
        <w:pStyle w:val="BodyText"/>
        <w:spacing w:line="439" w:lineRule="auto" w:before="53"/>
        <w:ind w:left="513" w:right="9861" w:hanging="360"/>
        <w:jc w:val="left"/>
      </w:pPr>
      <w:r>
        <w:rPr>
          <w:spacing w:val="-2"/>
        </w:rPr>
        <w:t>其他说明：</w:t>
      </w:r>
      <w:r>
        <w:rPr>
          <w:spacing w:val="-78"/>
        </w:rPr>
        <w:t> </w:t>
      </w:r>
      <w:r>
        <w:rPr>
          <w:spacing w:val="-78"/>
        </w:rPr>
      </w:r>
      <w:r>
        <w:rPr/>
        <w:t>无。</w:t>
      </w:r>
    </w:p>
    <w:p>
      <w:pPr>
        <w:spacing w:line="240" w:lineRule="auto" w:before="2"/>
        <w:rPr>
          <w:rFonts w:ascii="宋体" w:hAnsi="宋体" w:cs="宋体" w:eastAsia="宋体" w:hint="default"/>
          <w:sz w:val="21"/>
          <w:szCs w:val="21"/>
        </w:rPr>
      </w:pPr>
    </w:p>
    <w:p>
      <w:pPr>
        <w:pStyle w:val="Heading3"/>
        <w:spacing w:line="240" w:lineRule="auto"/>
        <w:ind w:right="0"/>
        <w:jc w:val="left"/>
        <w:rPr>
          <w:b w:val="0"/>
          <w:bCs w:val="0"/>
        </w:rPr>
      </w:pPr>
      <w:bookmarkStart w:name="（3）现金和现金等价物的构成" w:id="339"/>
      <w:bookmarkEnd w:id="339"/>
      <w:r>
        <w:rPr>
          <w:b w:val="0"/>
          <w:bCs w:val="0"/>
        </w:rPr>
      </w:r>
      <w:r>
        <w:rPr/>
        <w:t>（</w:t>
      </w:r>
      <w:r>
        <w:rPr>
          <w:rFonts w:ascii="Times New Roman" w:hAnsi="Times New Roman" w:cs="Times New Roman" w:eastAsia="Times New Roman" w:hint="default"/>
        </w:rPr>
        <w:t>3</w:t>
      </w:r>
      <w:r>
        <w:rPr/>
        <w:t>）现金和现金等价物的构成</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306"/>
        <w:gridCol w:w="3068"/>
        <w:gridCol w:w="3183"/>
      </w:tblGrid>
      <w:tr>
        <w:trPr>
          <w:trHeight w:val="404" w:hRule="exact"/>
        </w:trPr>
        <w:tc>
          <w:tcPr>
            <w:tcW w:w="3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8"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68"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270,664,139.41</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377,399,461.89</w:t>
            </w:r>
          </w:p>
        </w:tc>
      </w:tr>
      <w:tr>
        <w:trPr>
          <w:trHeight w:val="398" w:hRule="exact"/>
        </w:trPr>
        <w:tc>
          <w:tcPr>
            <w:tcW w:w="3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其中：库存现金</w:t>
            </w:r>
          </w:p>
        </w:tc>
        <w:tc>
          <w:tcPr>
            <w:tcW w:w="3068"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234,702.18</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702,057.43</w:t>
            </w:r>
          </w:p>
        </w:tc>
      </w:tr>
      <w:tr>
        <w:trPr>
          <w:trHeight w:val="403" w:hRule="exact"/>
        </w:trPr>
        <w:tc>
          <w:tcPr>
            <w:tcW w:w="3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54" w:right="0"/>
              <w:jc w:val="left"/>
              <w:rPr>
                <w:rFonts w:ascii="宋体" w:hAnsi="宋体" w:cs="宋体" w:eastAsia="宋体" w:hint="default"/>
                <w:sz w:val="18"/>
                <w:szCs w:val="18"/>
              </w:rPr>
            </w:pPr>
            <w:r>
              <w:rPr>
                <w:rFonts w:ascii="宋体" w:hAnsi="宋体" w:cs="宋体" w:eastAsia="宋体" w:hint="default"/>
                <w:spacing w:val="-3"/>
                <w:sz w:val="18"/>
                <w:szCs w:val="18"/>
              </w:rPr>
              <w:t>可随时用于支付的银行存款</w:t>
            </w:r>
          </w:p>
        </w:tc>
        <w:tc>
          <w:tcPr>
            <w:tcW w:w="3068"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262,448,825.14</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360,287,080.90</w:t>
            </w:r>
          </w:p>
        </w:tc>
      </w:tr>
      <w:tr>
        <w:trPr>
          <w:trHeight w:val="404" w:hRule="exact"/>
        </w:trPr>
        <w:tc>
          <w:tcPr>
            <w:tcW w:w="3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54" w:right="0"/>
              <w:jc w:val="left"/>
              <w:rPr>
                <w:rFonts w:ascii="宋体" w:hAnsi="宋体" w:cs="宋体" w:eastAsia="宋体" w:hint="default"/>
                <w:sz w:val="18"/>
                <w:szCs w:val="18"/>
              </w:rPr>
            </w:pPr>
            <w:r>
              <w:rPr>
                <w:rFonts w:ascii="宋体" w:hAnsi="宋体" w:cs="宋体" w:eastAsia="宋体" w:hint="default"/>
                <w:spacing w:val="-3"/>
                <w:sz w:val="18"/>
                <w:szCs w:val="18"/>
              </w:rPr>
              <w:t>可随时用于支付的其他货币资金</w:t>
            </w:r>
          </w:p>
        </w:tc>
        <w:tc>
          <w:tcPr>
            <w:tcW w:w="3068"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7,980,612.09</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16,410,323.56</w:t>
            </w:r>
          </w:p>
        </w:tc>
      </w:tr>
      <w:tr>
        <w:trPr>
          <w:trHeight w:val="403" w:hRule="exact"/>
        </w:trPr>
        <w:tc>
          <w:tcPr>
            <w:tcW w:w="3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三、期末现金及现金等价物余额</w:t>
            </w:r>
          </w:p>
        </w:tc>
        <w:tc>
          <w:tcPr>
            <w:tcW w:w="3068"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270,664,139.41</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377,399,461.89</w:t>
            </w:r>
          </w:p>
        </w:tc>
      </w:tr>
      <w:tr>
        <w:trPr>
          <w:trHeight w:val="710" w:hRule="exact"/>
        </w:trPr>
        <w:tc>
          <w:tcPr>
            <w:tcW w:w="3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 w:right="37"/>
              <w:jc w:val="left"/>
              <w:rPr>
                <w:rFonts w:ascii="宋体" w:hAnsi="宋体" w:cs="宋体" w:eastAsia="宋体" w:hint="default"/>
                <w:sz w:val="18"/>
                <w:szCs w:val="18"/>
              </w:rPr>
            </w:pPr>
            <w:r>
              <w:rPr>
                <w:rFonts w:ascii="宋体" w:hAnsi="宋体" w:cs="宋体" w:eastAsia="宋体" w:hint="default"/>
                <w:spacing w:val="-3"/>
                <w:sz w:val="18"/>
                <w:szCs w:val="18"/>
              </w:rPr>
              <w:t>其中：母公司或集团内子公司使用受限制</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pacing w:val="-3"/>
                <w:sz w:val="18"/>
                <w:szCs w:val="18"/>
              </w:rPr>
              <w:t>的现金和现金等价物</w:t>
            </w:r>
          </w:p>
        </w:tc>
        <w:tc>
          <w:tcPr>
            <w:tcW w:w="3068"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0.00</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3"/>
        <w:ind w:right="0"/>
        <w:jc w:val="left"/>
      </w:pPr>
      <w:r>
        <w:rPr/>
        <w:t>其他说明：</w:t>
      </w:r>
    </w:p>
    <w:p>
      <w:pPr>
        <w:spacing w:line="240" w:lineRule="auto" w:before="1"/>
        <w:rPr>
          <w:rFonts w:ascii="宋体" w:hAnsi="宋体" w:cs="宋体" w:eastAsia="宋体" w:hint="default"/>
          <w:sz w:val="15"/>
          <w:szCs w:val="15"/>
        </w:rPr>
      </w:pPr>
    </w:p>
    <w:p>
      <w:pPr>
        <w:pStyle w:val="BodyText"/>
        <w:spacing w:line="240" w:lineRule="auto"/>
        <w:ind w:left="513" w:right="0"/>
        <w:jc w:val="left"/>
      </w:pPr>
      <w:r>
        <w:rPr>
          <w:rFonts w:ascii="Times New Roman" w:hAnsi="Times New Roman" w:cs="Times New Roman" w:eastAsia="Times New Roman" w:hint="default"/>
        </w:rPr>
        <w:t>2019 </w:t>
      </w:r>
      <w:r>
        <w:rPr>
          <w:spacing w:val="-3"/>
        </w:rPr>
        <w:t>年度现金流量表中现金期末数为</w:t>
      </w:r>
      <w:r>
        <w:rPr>
          <w:spacing w:val="-33"/>
        </w:rPr>
        <w:t> </w:t>
      </w:r>
      <w:r>
        <w:rPr>
          <w:rFonts w:ascii="Times New Roman" w:hAnsi="Times New Roman" w:cs="Times New Roman" w:eastAsia="Times New Roman" w:hint="default"/>
        </w:rPr>
        <w:t>270,664,139.41</w:t>
      </w:r>
      <w:r>
        <w:rPr>
          <w:rFonts w:ascii="Times New Roman" w:hAnsi="Times New Roman" w:cs="Times New Roman" w:eastAsia="Times New Roman" w:hint="default"/>
          <w:spacing w:val="-1"/>
        </w:rPr>
        <w:t> </w:t>
      </w:r>
      <w:r>
        <w:rPr/>
        <w:t>元，</w:t>
      </w: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w:t>
      </w:r>
      <w:r>
        <w:rPr>
          <w:spacing w:val="-33"/>
        </w:rPr>
        <w:t> </w:t>
      </w:r>
      <w:r>
        <w:rPr>
          <w:rFonts w:ascii="Times New Roman" w:hAnsi="Times New Roman" w:cs="Times New Roman" w:eastAsia="Times New Roman" w:hint="default"/>
        </w:rPr>
        <w:t>12</w:t>
      </w:r>
      <w:r>
        <w:rPr>
          <w:rFonts w:ascii="Times New Roman" w:hAnsi="Times New Roman" w:cs="Times New Roman" w:eastAsia="Times New Roman" w:hint="default"/>
          <w:spacing w:val="6"/>
        </w:rPr>
        <w:t> </w:t>
      </w:r>
      <w:r>
        <w:rPr/>
        <w:t>月</w:t>
      </w:r>
      <w:r>
        <w:rPr>
          <w:spacing w:val="-39"/>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spacing w:val="-3"/>
        </w:rPr>
        <w:t>日资产负债表中货币资金期末数为</w:t>
      </w:r>
    </w:p>
    <w:p>
      <w:pPr>
        <w:spacing w:line="240" w:lineRule="auto" w:before="12"/>
        <w:rPr>
          <w:rFonts w:ascii="宋体" w:hAnsi="宋体" w:cs="宋体" w:eastAsia="宋体" w:hint="default"/>
          <w:sz w:val="16"/>
          <w:szCs w:val="16"/>
        </w:rPr>
      </w:pPr>
    </w:p>
    <w:p>
      <w:pPr>
        <w:pStyle w:val="BodyText"/>
        <w:spacing w:line="240" w:lineRule="auto"/>
        <w:ind w:right="0"/>
        <w:jc w:val="left"/>
      </w:pPr>
      <w:r>
        <w:rPr>
          <w:rFonts w:ascii="Times New Roman" w:hAnsi="Times New Roman" w:cs="Times New Roman" w:eastAsia="Times New Roman" w:hint="default"/>
        </w:rPr>
        <w:t>282,192,104.71  </w:t>
      </w:r>
      <w:r>
        <w:rPr>
          <w:spacing w:val="-3"/>
        </w:rPr>
        <w:t>元，差额 </w:t>
      </w:r>
      <w:r>
        <w:rPr>
          <w:rFonts w:ascii="Times New Roman" w:hAnsi="Times New Roman" w:cs="Times New Roman" w:eastAsia="Times New Roman" w:hint="default"/>
        </w:rPr>
        <w:t>11,527,965.30</w:t>
      </w:r>
      <w:r>
        <w:rPr>
          <w:rFonts w:ascii="Times New Roman" w:hAnsi="Times New Roman" w:cs="Times New Roman" w:eastAsia="Times New Roman" w:hint="default"/>
          <w:spacing w:val="-9"/>
        </w:rPr>
        <w:t> </w:t>
      </w:r>
      <w:r>
        <w:rPr>
          <w:spacing w:val="-3"/>
        </w:rPr>
        <w:t>元，系现金流量表现金期末数扣除了不符合现金及现金等价物标准的银行承兑汇票保</w:t>
      </w:r>
    </w:p>
    <w:p>
      <w:pPr>
        <w:spacing w:line="240" w:lineRule="auto" w:before="7"/>
        <w:rPr>
          <w:rFonts w:ascii="宋体" w:hAnsi="宋体" w:cs="宋体" w:eastAsia="宋体" w:hint="default"/>
          <w:sz w:val="16"/>
          <w:szCs w:val="16"/>
        </w:rPr>
      </w:pPr>
    </w:p>
    <w:p>
      <w:pPr>
        <w:pStyle w:val="BodyText"/>
        <w:spacing w:line="240" w:lineRule="auto"/>
        <w:ind w:right="0"/>
        <w:jc w:val="left"/>
      </w:pPr>
      <w:r>
        <w:rPr/>
        <w:t>证金</w:t>
      </w:r>
      <w:r>
        <w:rPr>
          <w:spacing w:val="-40"/>
        </w:rPr>
        <w:t> </w:t>
      </w:r>
      <w:r>
        <w:rPr>
          <w:rFonts w:ascii="Times New Roman" w:hAnsi="Times New Roman" w:cs="Times New Roman" w:eastAsia="Times New Roman" w:hint="default"/>
        </w:rPr>
        <w:t>8,560,186.29</w:t>
      </w:r>
      <w:r>
        <w:rPr>
          <w:rFonts w:ascii="Times New Roman" w:hAnsi="Times New Roman" w:cs="Times New Roman" w:eastAsia="Times New Roman" w:hint="default"/>
          <w:spacing w:val="-6"/>
        </w:rPr>
        <w:t> </w:t>
      </w:r>
      <w:r>
        <w:rPr/>
        <w:t>元，信用卡保证金</w:t>
      </w:r>
      <w:r>
        <w:rPr>
          <w:spacing w:val="-40"/>
        </w:rPr>
        <w:t> </w:t>
      </w:r>
      <w:r>
        <w:rPr>
          <w:rFonts w:ascii="Times New Roman" w:hAnsi="Times New Roman" w:cs="Times New Roman" w:eastAsia="Times New Roman" w:hint="default"/>
        </w:rPr>
        <w:t>2,092,860.00 </w:t>
      </w:r>
      <w:r>
        <w:rPr>
          <w:spacing w:val="-3"/>
        </w:rPr>
        <w:t>元，保函保证金</w:t>
      </w:r>
      <w:r>
        <w:rPr>
          <w:spacing w:val="-40"/>
        </w:rPr>
        <w:t> </w:t>
      </w:r>
      <w:r>
        <w:rPr>
          <w:rFonts w:ascii="Times New Roman" w:hAnsi="Times New Roman" w:cs="Times New Roman" w:eastAsia="Times New Roman" w:hint="default"/>
        </w:rPr>
        <w:t>665,508.00</w:t>
      </w:r>
      <w:r>
        <w:rPr>
          <w:rFonts w:ascii="Times New Roman" w:hAnsi="Times New Roman" w:cs="Times New Roman" w:eastAsia="Times New Roman" w:hint="default"/>
          <w:spacing w:val="-6"/>
        </w:rPr>
        <w:t> </w:t>
      </w:r>
      <w:r>
        <w:rPr/>
        <w:t>元，结售汇保证金</w:t>
      </w:r>
      <w:r>
        <w:rPr>
          <w:spacing w:val="-40"/>
        </w:rPr>
        <w:t> </w:t>
      </w:r>
      <w:r>
        <w:rPr>
          <w:rFonts w:ascii="Times New Roman" w:hAnsi="Times New Roman" w:cs="Times New Roman" w:eastAsia="Times New Roman" w:hint="default"/>
          <w:spacing w:val="-3"/>
        </w:rPr>
        <w:t>209,411.01</w:t>
      </w:r>
      <w:r>
        <w:rPr>
          <w:rFonts w:ascii="Times New Roman" w:hAnsi="Times New Roman" w:cs="Times New Roman" w:eastAsia="Times New Roman" w:hint="default"/>
          <w:spacing w:val="-6"/>
        </w:rPr>
        <w:t> </w:t>
      </w:r>
      <w:r>
        <w:rPr/>
        <w:t>元。</w:t>
      </w:r>
    </w:p>
    <w:p>
      <w:pPr>
        <w:spacing w:line="240" w:lineRule="auto" w:before="12"/>
        <w:rPr>
          <w:rFonts w:ascii="宋体" w:hAnsi="宋体" w:cs="宋体" w:eastAsia="宋体" w:hint="default"/>
          <w:sz w:val="16"/>
          <w:szCs w:val="16"/>
        </w:rPr>
      </w:pPr>
    </w:p>
    <w:p>
      <w:pPr>
        <w:pStyle w:val="BodyText"/>
        <w:spacing w:line="240" w:lineRule="auto"/>
        <w:ind w:left="513" w:right="0"/>
        <w:jc w:val="left"/>
      </w:pPr>
      <w:r>
        <w:rPr>
          <w:rFonts w:ascii="Times New Roman" w:hAnsi="Times New Roman" w:cs="Times New Roman" w:eastAsia="Times New Roman" w:hint="default"/>
        </w:rPr>
        <w:t>2018 </w:t>
      </w:r>
      <w:r>
        <w:rPr>
          <w:spacing w:val="-3"/>
        </w:rPr>
        <w:t>年度现金流量表中现金期末数为</w:t>
      </w:r>
      <w:r>
        <w:rPr>
          <w:spacing w:val="-33"/>
        </w:rPr>
        <w:t> </w:t>
      </w:r>
      <w:r>
        <w:rPr>
          <w:rFonts w:ascii="Times New Roman" w:hAnsi="Times New Roman" w:cs="Times New Roman" w:eastAsia="Times New Roman" w:hint="default"/>
        </w:rPr>
        <w:t>377,399,461.89</w:t>
      </w:r>
      <w:r>
        <w:rPr>
          <w:rFonts w:ascii="Times New Roman" w:hAnsi="Times New Roman" w:cs="Times New Roman" w:eastAsia="Times New Roman" w:hint="default"/>
          <w:spacing w:val="-1"/>
        </w:rPr>
        <w:t> </w:t>
      </w:r>
      <w:r>
        <w:rPr/>
        <w:t>元，</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33"/>
        </w:rPr>
        <w:t> </w:t>
      </w:r>
      <w:r>
        <w:rPr>
          <w:rFonts w:ascii="Times New Roman" w:hAnsi="Times New Roman" w:cs="Times New Roman" w:eastAsia="Times New Roman" w:hint="default"/>
        </w:rPr>
        <w:t>12</w:t>
      </w:r>
      <w:r>
        <w:rPr>
          <w:rFonts w:ascii="Times New Roman" w:hAnsi="Times New Roman" w:cs="Times New Roman" w:eastAsia="Times New Roman" w:hint="default"/>
          <w:spacing w:val="6"/>
        </w:rPr>
        <w:t> </w:t>
      </w:r>
      <w:r>
        <w:rPr/>
        <w:t>月</w:t>
      </w:r>
      <w:r>
        <w:rPr>
          <w:spacing w:val="-39"/>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spacing w:val="-3"/>
        </w:rPr>
        <w:t>日资产负债表中货币资金期末数为</w:t>
      </w:r>
    </w:p>
    <w:p>
      <w:pPr>
        <w:spacing w:line="240" w:lineRule="auto" w:before="7"/>
        <w:rPr>
          <w:rFonts w:ascii="宋体" w:hAnsi="宋体" w:cs="宋体" w:eastAsia="宋体" w:hint="default"/>
          <w:sz w:val="16"/>
          <w:szCs w:val="16"/>
        </w:rPr>
      </w:pPr>
    </w:p>
    <w:p>
      <w:pPr>
        <w:pStyle w:val="BodyText"/>
        <w:spacing w:line="240" w:lineRule="auto"/>
        <w:ind w:right="0"/>
        <w:jc w:val="left"/>
      </w:pPr>
      <w:r>
        <w:rPr>
          <w:rFonts w:ascii="Times New Roman" w:hAnsi="Times New Roman" w:cs="Times New Roman" w:eastAsia="Times New Roman" w:hint="default"/>
        </w:rPr>
        <w:t>389,798,968.49 </w:t>
      </w:r>
      <w:r>
        <w:rPr>
          <w:spacing w:val="-4"/>
        </w:rPr>
        <w:t>元，差额 </w:t>
      </w:r>
      <w:r>
        <w:rPr>
          <w:rFonts w:ascii="Times New Roman" w:hAnsi="Times New Roman" w:cs="Times New Roman" w:eastAsia="Times New Roman" w:hint="default"/>
        </w:rPr>
        <w:t>12,399,506.60</w:t>
      </w:r>
      <w:r>
        <w:rPr>
          <w:rFonts w:ascii="Times New Roman" w:hAnsi="Times New Roman" w:cs="Times New Roman" w:eastAsia="Times New Roman" w:hint="default"/>
          <w:spacing w:val="40"/>
        </w:rPr>
        <w:t> </w:t>
      </w:r>
      <w:r>
        <w:rPr>
          <w:spacing w:val="-3"/>
        </w:rPr>
        <w:t>元，系现金流量表现金期末数扣除了不符合现金及现金等价物标准的银行承兑汇票保</w:t>
      </w:r>
    </w:p>
    <w:p>
      <w:pPr>
        <w:spacing w:line="240" w:lineRule="auto" w:before="12"/>
        <w:rPr>
          <w:rFonts w:ascii="宋体" w:hAnsi="宋体" w:cs="宋体" w:eastAsia="宋体" w:hint="default"/>
          <w:sz w:val="16"/>
          <w:szCs w:val="16"/>
        </w:rPr>
      </w:pPr>
    </w:p>
    <w:p>
      <w:pPr>
        <w:pStyle w:val="BodyText"/>
        <w:spacing w:line="240" w:lineRule="auto"/>
        <w:ind w:right="0"/>
        <w:jc w:val="left"/>
      </w:pPr>
      <w:r>
        <w:rPr/>
        <w:t>证金</w:t>
      </w:r>
      <w:r>
        <w:rPr>
          <w:spacing w:val="-33"/>
        </w:rPr>
        <w:t> </w:t>
      </w:r>
      <w:r>
        <w:rPr>
          <w:rFonts w:ascii="Times New Roman" w:hAnsi="Times New Roman" w:cs="Times New Roman" w:eastAsia="Times New Roman" w:hint="default"/>
          <w:spacing w:val="-3"/>
        </w:rPr>
        <w:t>11,950,000.00</w:t>
      </w:r>
      <w:r>
        <w:rPr>
          <w:rFonts w:ascii="Times New Roman" w:hAnsi="Times New Roman" w:cs="Times New Roman" w:eastAsia="Times New Roman" w:hint="default"/>
          <w:spacing w:val="7"/>
        </w:rPr>
        <w:t> </w:t>
      </w:r>
      <w:r>
        <w:rPr>
          <w:spacing w:val="-3"/>
        </w:rPr>
        <w:t>元，保函保证金</w:t>
      </w:r>
      <w:r>
        <w:rPr>
          <w:spacing w:val="-33"/>
        </w:rPr>
        <w:t> </w:t>
      </w:r>
      <w:r>
        <w:rPr>
          <w:rFonts w:ascii="Times New Roman" w:hAnsi="Times New Roman" w:cs="Times New Roman" w:eastAsia="Times New Roman" w:hint="default"/>
        </w:rPr>
        <w:t>449,506.60</w:t>
      </w:r>
      <w:r>
        <w:rPr>
          <w:rFonts w:ascii="Times New Roman" w:hAnsi="Times New Roman" w:cs="Times New Roman" w:eastAsia="Times New Roman" w:hint="default"/>
          <w:spacing w:val="7"/>
        </w:rPr>
        <w:t> </w:t>
      </w:r>
      <w:r>
        <w:rPr>
          <w:spacing w:val="-5"/>
        </w:rPr>
        <w:t>元。</w:t>
      </w:r>
      <w:r>
        <w:rPr/>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3"/>
          <w:szCs w:val="13"/>
        </w:rPr>
      </w:pPr>
    </w:p>
    <w:p>
      <w:pPr>
        <w:pStyle w:val="Heading3"/>
        <w:spacing w:line="240" w:lineRule="auto"/>
        <w:ind w:right="0"/>
        <w:jc w:val="left"/>
        <w:rPr>
          <w:b w:val="0"/>
          <w:bCs w:val="0"/>
        </w:rPr>
      </w:pPr>
      <w:bookmarkStart w:name="51、所有者权益变动表项目注释" w:id="340"/>
      <w:bookmarkEnd w:id="340"/>
      <w:r>
        <w:rPr>
          <w:b w:val="0"/>
          <w:bCs w:val="0"/>
        </w:rPr>
      </w:r>
      <w:r>
        <w:rPr>
          <w:rFonts w:ascii="Times New Roman" w:hAnsi="Times New Roman" w:cs="Times New Roman" w:eastAsia="Times New Roman" w:hint="default"/>
        </w:rPr>
        <w:t>51</w:t>
      </w:r>
      <w:r>
        <w:rPr/>
        <w:t>、所有者权益变动表项目注释</w:t>
      </w:r>
      <w:r>
        <w:rPr>
          <w:b w:val="0"/>
          <w:bCs w:val="0"/>
        </w:rPr>
      </w:r>
    </w:p>
    <w:p>
      <w:pPr>
        <w:spacing w:line="240" w:lineRule="auto" w:before="10"/>
        <w:rPr>
          <w:rFonts w:ascii="宋体" w:hAnsi="宋体" w:cs="宋体" w:eastAsia="宋体" w:hint="default"/>
          <w:b/>
          <w:bCs/>
          <w:sz w:val="26"/>
          <w:szCs w:val="26"/>
        </w:rPr>
      </w:pPr>
    </w:p>
    <w:p>
      <w:pPr>
        <w:pStyle w:val="BodyText"/>
        <w:spacing w:line="415" w:lineRule="auto"/>
        <w:ind w:left="513" w:right="5144" w:hanging="360"/>
        <w:jc w:val="left"/>
      </w:pPr>
      <w:r>
        <w:rPr>
          <w:spacing w:val="-3"/>
        </w:rPr>
        <w:t>说明对上年期末余额进行调整的</w:t>
      </w:r>
      <w:r>
        <w:rPr>
          <w:rFonts w:ascii="Times New Roman" w:hAnsi="Times New Roman" w:cs="Times New Roman" w:eastAsia="Times New Roman" w:hint="default"/>
          <w:spacing w:val="-3"/>
        </w:rPr>
        <w:t>“</w:t>
      </w:r>
      <w:r>
        <w:rPr>
          <w:spacing w:val="-3"/>
        </w:rPr>
        <w:t>其他</w:t>
      </w:r>
      <w:r>
        <w:rPr>
          <w:rFonts w:ascii="Times New Roman" w:hAnsi="Times New Roman" w:cs="Times New Roman" w:eastAsia="Times New Roman" w:hint="default"/>
          <w:spacing w:val="-3"/>
        </w:rPr>
        <w:t>”</w:t>
      </w:r>
      <w:r>
        <w:rPr>
          <w:spacing w:val="-3"/>
        </w:rPr>
        <w:t>项目名称及调整金额等事项：</w:t>
      </w:r>
      <w:r>
        <w:rPr>
          <w:spacing w:val="-1"/>
        </w:rPr>
        <w:t> </w:t>
      </w:r>
      <w:r>
        <w:rPr>
          <w:spacing w:val="-1"/>
        </w:rPr>
      </w:r>
      <w:r>
        <w:rPr/>
        <w:t>无。</w:t>
      </w:r>
    </w:p>
    <w:p>
      <w:pPr>
        <w:spacing w:after="0" w:line="415" w:lineRule="auto"/>
        <w:jc w:val="left"/>
        <w:sectPr>
          <w:pgSz w:w="11910" w:h="16840"/>
          <w:pgMar w:header="871" w:footer="1186" w:top="1100" w:bottom="1380" w:left="980" w:right="0"/>
        </w:sectPr>
      </w:pPr>
    </w:p>
    <w:p>
      <w:pPr>
        <w:spacing w:line="240" w:lineRule="auto" w:before="0"/>
        <w:rPr>
          <w:rFonts w:ascii="宋体" w:hAnsi="宋体" w:cs="宋体" w:eastAsia="宋体" w:hint="default"/>
          <w:sz w:val="21"/>
          <w:szCs w:val="21"/>
        </w:rPr>
      </w:pPr>
    </w:p>
    <w:p>
      <w:pPr>
        <w:pStyle w:val="Heading3"/>
        <w:spacing w:line="240" w:lineRule="auto" w:before="36"/>
        <w:ind w:right="0"/>
        <w:jc w:val="left"/>
        <w:rPr>
          <w:b w:val="0"/>
          <w:bCs w:val="0"/>
        </w:rPr>
      </w:pPr>
      <w:bookmarkStart w:name="52、所有权或使用权受到限制的资产" w:id="341"/>
      <w:bookmarkEnd w:id="341"/>
      <w:r>
        <w:rPr>
          <w:b w:val="0"/>
          <w:bCs w:val="0"/>
        </w:rPr>
      </w:r>
      <w:r>
        <w:rPr>
          <w:rFonts w:ascii="Times New Roman" w:hAnsi="Times New Roman" w:cs="Times New Roman" w:eastAsia="Times New Roman" w:hint="default"/>
        </w:rPr>
        <w:t>52</w:t>
      </w:r>
      <w:r>
        <w:rPr/>
        <w:t>、所有权或使用权受到限制的资产</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328"/>
        <w:gridCol w:w="3058"/>
        <w:gridCol w:w="3183"/>
      </w:tblGrid>
      <w:tr>
        <w:trPr>
          <w:trHeight w:val="404"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983"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3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9" w:right="0"/>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403"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058"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8,560,186.29</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银行承兑汇票保证金</w:t>
            </w:r>
          </w:p>
        </w:tc>
      </w:tr>
      <w:tr>
        <w:trPr>
          <w:trHeight w:val="398" w:hRule="exact"/>
        </w:trPr>
        <w:tc>
          <w:tcPr>
            <w:tcW w:w="3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2,092,860.00</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企业信用卡保证金</w:t>
            </w:r>
          </w:p>
        </w:tc>
      </w:tr>
      <w:tr>
        <w:trPr>
          <w:trHeight w:val="403" w:hRule="exact"/>
        </w:trPr>
        <w:tc>
          <w:tcPr>
            <w:tcW w:w="3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665,508.00</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履约保函保证金</w:t>
            </w:r>
          </w:p>
        </w:tc>
      </w:tr>
      <w:tr>
        <w:trPr>
          <w:trHeight w:val="404" w:hRule="exact"/>
        </w:trPr>
        <w:tc>
          <w:tcPr>
            <w:tcW w:w="3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209,411.01</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pacing w:val="-3"/>
                <w:sz w:val="18"/>
                <w:szCs w:val="18"/>
              </w:rPr>
              <w:t>外汇业务保证金</w:t>
            </w:r>
          </w:p>
        </w:tc>
      </w:tr>
      <w:tr>
        <w:trPr>
          <w:trHeight w:val="403" w:hRule="exact"/>
        </w:trPr>
        <w:tc>
          <w:tcPr>
            <w:tcW w:w="3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35,000,000.00</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银行借款质押担保</w:t>
            </w:r>
          </w:p>
        </w:tc>
      </w:tr>
      <w:tr>
        <w:trPr>
          <w:trHeight w:val="398"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8"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46,527,965.30</w:t>
            </w:r>
          </w:p>
        </w:tc>
        <w:tc>
          <w:tcPr>
            <w:tcW w:w="3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53、外币货币性项目" w:id="342"/>
      <w:bookmarkEnd w:id="342"/>
      <w:r>
        <w:rPr>
          <w:b w:val="0"/>
          <w:bCs w:val="0"/>
        </w:rPr>
      </w:r>
      <w:r>
        <w:rPr>
          <w:rFonts w:ascii="Times New Roman" w:hAnsi="Times New Roman" w:cs="Times New Roman" w:eastAsia="Times New Roman" w:hint="default"/>
        </w:rPr>
        <w:t>53</w:t>
      </w:r>
      <w:r>
        <w:rPr/>
        <w:t>、外币货币性项目</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外币货币性项目" w:id="343"/>
      <w:bookmarkEnd w:id="343"/>
      <w:r>
        <w:rPr>
          <w:b w:val="0"/>
          <w:bCs w:val="0"/>
        </w:rPr>
      </w:r>
      <w:r>
        <w:rPr/>
        <w:t>（</w:t>
      </w:r>
      <w:r>
        <w:rPr>
          <w:rFonts w:ascii="Times New Roman" w:hAnsi="Times New Roman" w:cs="Times New Roman" w:eastAsia="Times New Roman" w:hint="default"/>
        </w:rPr>
        <w:t>1</w:t>
      </w:r>
      <w:r>
        <w:rPr/>
        <w:t>）外币货币性项目</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473"/>
        <w:gridCol w:w="2307"/>
        <w:gridCol w:w="2387"/>
        <w:gridCol w:w="2391"/>
      </w:tblGrid>
      <w:tr>
        <w:trPr>
          <w:trHeight w:val="403" w:hRule="exact"/>
        </w:trPr>
        <w:tc>
          <w:tcPr>
            <w:tcW w:w="24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11" w:right="0"/>
              <w:jc w:val="left"/>
              <w:rPr>
                <w:rFonts w:ascii="宋体" w:hAnsi="宋体" w:cs="宋体" w:eastAsia="宋体" w:hint="default"/>
                <w:sz w:val="18"/>
                <w:szCs w:val="18"/>
              </w:rPr>
            </w:pPr>
            <w:r>
              <w:rPr>
                <w:rFonts w:ascii="宋体" w:hAnsi="宋体" w:cs="宋体" w:eastAsia="宋体" w:hint="default"/>
                <w:sz w:val="18"/>
                <w:szCs w:val="18"/>
              </w:rPr>
              <w:t>期末外币余额</w:t>
            </w:r>
          </w:p>
        </w:tc>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8" w:right="0"/>
              <w:jc w:val="center"/>
              <w:rPr>
                <w:rFonts w:ascii="宋体" w:hAnsi="宋体" w:cs="宋体" w:eastAsia="宋体" w:hint="default"/>
                <w:sz w:val="18"/>
                <w:szCs w:val="18"/>
              </w:rPr>
            </w:pPr>
            <w:r>
              <w:rPr>
                <w:rFonts w:ascii="宋体" w:hAnsi="宋体" w:cs="宋体" w:eastAsia="宋体" w:hint="default"/>
                <w:sz w:val="18"/>
                <w:szCs w:val="18"/>
              </w:rPr>
              <w:t>折算汇率</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9" w:right="0"/>
              <w:jc w:val="left"/>
              <w:rPr>
                <w:rFonts w:ascii="宋体" w:hAnsi="宋体" w:cs="宋体" w:eastAsia="宋体" w:hint="default"/>
                <w:sz w:val="18"/>
                <w:szCs w:val="18"/>
              </w:rPr>
            </w:pPr>
            <w:r>
              <w:rPr>
                <w:rFonts w:ascii="宋体" w:hAnsi="宋体" w:cs="宋体" w:eastAsia="宋体" w:hint="default"/>
                <w:spacing w:val="-3"/>
                <w:sz w:val="18"/>
                <w:szCs w:val="18"/>
              </w:rPr>
              <w:t>期末折算人民币余额</w:t>
            </w:r>
          </w:p>
        </w:tc>
      </w:tr>
      <w:tr>
        <w:trPr>
          <w:trHeight w:val="399" w:hRule="exact"/>
        </w:trPr>
        <w:tc>
          <w:tcPr>
            <w:tcW w:w="2473" w:type="dxa"/>
            <w:tcBorders>
              <w:top w:val="single" w:sz="4" w:space="0" w:color="000000"/>
              <w:left w:val="single" w:sz="4" w:space="0" w:color="000000"/>
              <w:bottom w:val="single" w:sz="4" w:space="0" w:color="000000"/>
              <w:right w:val="single" w:sz="13" w:space="0" w:color="D2D2D2"/>
            </w:tcBorders>
            <w:shd w:val="clear" w:color="auto" w:fill="D9D9D9"/>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307" w:type="dxa"/>
            <w:tcBorders>
              <w:top w:val="single" w:sz="4" w:space="0" w:color="000000"/>
              <w:left w:val="single" w:sz="13" w:space="0" w:color="D9D9D9"/>
              <w:bottom w:val="single" w:sz="4" w:space="0" w:color="000000"/>
              <w:right w:val="single" w:sz="4" w:space="0" w:color="000000"/>
            </w:tcBorders>
            <w:shd w:val="clear" w:color="auto" w:fill="D2D2D2"/>
          </w:tcPr>
          <w:p>
            <w:pPr>
              <w:pStyle w:val="TableParagraph"/>
              <w:spacing w:line="240" w:lineRule="auto" w:before="96"/>
              <w:ind w:right="7"/>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3"/>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239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36,675,449.42</w:t>
            </w:r>
          </w:p>
        </w:tc>
      </w:tr>
      <w:tr>
        <w:trPr>
          <w:trHeight w:val="403" w:hRule="exact"/>
        </w:trPr>
        <w:tc>
          <w:tcPr>
            <w:tcW w:w="247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307"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2,534,344.14</w:t>
            </w:r>
          </w:p>
        </w:tc>
        <w:tc>
          <w:tcPr>
            <w:tcW w:w="2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sz w:val="18"/>
              </w:rPr>
              <w:t>6.9762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17,680,091.59</w:t>
            </w:r>
          </w:p>
        </w:tc>
      </w:tr>
      <w:tr>
        <w:trPr>
          <w:trHeight w:val="403" w:hRule="exact"/>
        </w:trPr>
        <w:tc>
          <w:tcPr>
            <w:tcW w:w="247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3"/>
              <w:ind w:left="554" w:right="0"/>
              <w:jc w:val="left"/>
              <w:rPr>
                <w:rFonts w:ascii="宋体" w:hAnsi="宋体" w:cs="宋体" w:eastAsia="宋体" w:hint="default"/>
                <w:sz w:val="18"/>
                <w:szCs w:val="18"/>
              </w:rPr>
            </w:pPr>
            <w:r>
              <w:rPr>
                <w:rFonts w:ascii="宋体" w:hAnsi="宋体" w:cs="宋体" w:eastAsia="宋体" w:hint="default"/>
                <w:spacing w:val="-5"/>
                <w:sz w:val="18"/>
                <w:szCs w:val="18"/>
              </w:rPr>
              <w:t>欧元</w:t>
            </w:r>
            <w:r>
              <w:rPr>
                <w:rFonts w:ascii="宋体" w:hAnsi="宋体" w:cs="宋体" w:eastAsia="宋体" w:hint="default"/>
                <w:sz w:val="18"/>
                <w:szCs w:val="18"/>
              </w:rPr>
            </w:r>
          </w:p>
        </w:tc>
        <w:tc>
          <w:tcPr>
            <w:tcW w:w="2307"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1,024,088.24</w:t>
            </w:r>
          </w:p>
        </w:tc>
        <w:tc>
          <w:tcPr>
            <w:tcW w:w="2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sz w:val="18"/>
              </w:rPr>
              <w:t>7.8155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8,003,761.65</w:t>
            </w:r>
          </w:p>
        </w:tc>
      </w:tr>
      <w:tr>
        <w:trPr>
          <w:trHeight w:val="403" w:hRule="exact"/>
        </w:trPr>
        <w:tc>
          <w:tcPr>
            <w:tcW w:w="247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英镑</w:t>
            </w:r>
          </w:p>
        </w:tc>
        <w:tc>
          <w:tcPr>
            <w:tcW w:w="2307"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1,091,928.28</w:t>
            </w:r>
          </w:p>
        </w:tc>
        <w:tc>
          <w:tcPr>
            <w:tcW w:w="2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sz w:val="18"/>
              </w:rPr>
              <w:t>9.1501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9,991,252.95</w:t>
            </w:r>
          </w:p>
        </w:tc>
      </w:tr>
      <w:tr>
        <w:trPr>
          <w:trHeight w:val="399" w:hRule="exact"/>
        </w:trPr>
        <w:tc>
          <w:tcPr>
            <w:tcW w:w="247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307" w:type="dxa"/>
            <w:tcBorders>
              <w:top w:val="single" w:sz="4" w:space="0" w:color="000000"/>
              <w:left w:val="single" w:sz="13" w:space="0" w:color="D9D9D9"/>
              <w:bottom w:val="single" w:sz="4" w:space="0" w:color="000000"/>
              <w:right w:val="single" w:sz="4" w:space="0" w:color="000000"/>
            </w:tcBorders>
            <w:shd w:val="clear" w:color="auto" w:fill="D2D2D2"/>
          </w:tcPr>
          <w:p>
            <w:pPr>
              <w:pStyle w:val="TableParagraph"/>
              <w:spacing w:line="240" w:lineRule="auto" w:before="96"/>
              <w:ind w:right="7"/>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3"/>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18,683,131.21</w:t>
            </w:r>
          </w:p>
        </w:tc>
      </w:tr>
      <w:tr>
        <w:trPr>
          <w:trHeight w:val="403" w:hRule="exact"/>
        </w:trPr>
        <w:tc>
          <w:tcPr>
            <w:tcW w:w="247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307"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2,208,778.03</w:t>
            </w:r>
          </w:p>
        </w:tc>
        <w:tc>
          <w:tcPr>
            <w:tcW w:w="2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sz w:val="18"/>
              </w:rPr>
              <w:t>6.9762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15,408,877.29</w:t>
            </w:r>
          </w:p>
        </w:tc>
      </w:tr>
      <w:tr>
        <w:trPr>
          <w:trHeight w:val="403" w:hRule="exact"/>
        </w:trPr>
        <w:tc>
          <w:tcPr>
            <w:tcW w:w="247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3"/>
              <w:ind w:left="554" w:right="0"/>
              <w:jc w:val="left"/>
              <w:rPr>
                <w:rFonts w:ascii="宋体" w:hAnsi="宋体" w:cs="宋体" w:eastAsia="宋体" w:hint="default"/>
                <w:sz w:val="18"/>
                <w:szCs w:val="18"/>
              </w:rPr>
            </w:pPr>
            <w:r>
              <w:rPr>
                <w:rFonts w:ascii="宋体" w:hAnsi="宋体" w:cs="宋体" w:eastAsia="宋体" w:hint="default"/>
                <w:spacing w:val="-5"/>
                <w:sz w:val="18"/>
                <w:szCs w:val="18"/>
              </w:rPr>
              <w:t>欧元</w:t>
            </w:r>
            <w:r>
              <w:rPr>
                <w:rFonts w:ascii="宋体" w:hAnsi="宋体" w:cs="宋体" w:eastAsia="宋体" w:hint="default"/>
                <w:sz w:val="18"/>
                <w:szCs w:val="18"/>
              </w:rPr>
            </w:r>
          </w:p>
        </w:tc>
        <w:tc>
          <w:tcPr>
            <w:tcW w:w="2307"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214,789.75</w:t>
            </w:r>
          </w:p>
        </w:tc>
        <w:tc>
          <w:tcPr>
            <w:tcW w:w="2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sz w:val="18"/>
              </w:rPr>
              <w:t>7.8155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1,678,689.29</w:t>
            </w:r>
          </w:p>
        </w:tc>
      </w:tr>
      <w:tr>
        <w:trPr>
          <w:trHeight w:val="403" w:hRule="exact"/>
        </w:trPr>
        <w:tc>
          <w:tcPr>
            <w:tcW w:w="247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英镑</w:t>
            </w:r>
          </w:p>
        </w:tc>
        <w:tc>
          <w:tcPr>
            <w:tcW w:w="2307"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158,146.66</w:t>
            </w:r>
          </w:p>
        </w:tc>
        <w:tc>
          <w:tcPr>
            <w:tcW w:w="2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sz w:val="18"/>
              </w:rPr>
              <w:t>9.1501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1,447,057.75</w:t>
            </w:r>
          </w:p>
        </w:tc>
      </w:tr>
      <w:tr>
        <w:trPr>
          <w:trHeight w:val="399" w:hRule="exact"/>
        </w:trPr>
        <w:tc>
          <w:tcPr>
            <w:tcW w:w="247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30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6"/>
              <w:ind w:right="26"/>
              <w:jc w:val="right"/>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23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2391" w:type="dxa"/>
            <w:tcBorders>
              <w:top w:val="single" w:sz="4" w:space="0" w:color="000000"/>
              <w:left w:val="single" w:sz="10" w:space="0" w:color="D9D9D9"/>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10,252,635.03</w:t>
            </w:r>
          </w:p>
        </w:tc>
      </w:tr>
      <w:tr>
        <w:trPr>
          <w:trHeight w:val="403" w:hRule="exact"/>
        </w:trPr>
        <w:tc>
          <w:tcPr>
            <w:tcW w:w="247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307"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1,341,930.09</w:t>
            </w:r>
          </w:p>
        </w:tc>
        <w:tc>
          <w:tcPr>
            <w:tcW w:w="2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sz w:val="18"/>
              </w:rPr>
              <w:t>6.9762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9,361,572.69</w:t>
            </w:r>
          </w:p>
        </w:tc>
      </w:tr>
      <w:tr>
        <w:trPr>
          <w:trHeight w:val="403" w:hRule="exact"/>
        </w:trPr>
        <w:tc>
          <w:tcPr>
            <w:tcW w:w="247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3"/>
              <w:ind w:left="554" w:right="0"/>
              <w:jc w:val="left"/>
              <w:rPr>
                <w:rFonts w:ascii="宋体" w:hAnsi="宋体" w:cs="宋体" w:eastAsia="宋体" w:hint="default"/>
                <w:sz w:val="18"/>
                <w:szCs w:val="18"/>
              </w:rPr>
            </w:pPr>
            <w:r>
              <w:rPr>
                <w:rFonts w:ascii="宋体" w:hAnsi="宋体" w:cs="宋体" w:eastAsia="宋体" w:hint="default"/>
                <w:spacing w:val="-5"/>
                <w:sz w:val="18"/>
                <w:szCs w:val="18"/>
              </w:rPr>
              <w:t>欧元</w:t>
            </w:r>
            <w:r>
              <w:rPr>
                <w:rFonts w:ascii="宋体" w:hAnsi="宋体" w:cs="宋体" w:eastAsia="宋体" w:hint="default"/>
                <w:sz w:val="18"/>
                <w:szCs w:val="18"/>
              </w:rPr>
            </w:r>
          </w:p>
        </w:tc>
        <w:tc>
          <w:tcPr>
            <w:tcW w:w="2307"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8,384.39</w:t>
            </w:r>
          </w:p>
        </w:tc>
        <w:tc>
          <w:tcPr>
            <w:tcW w:w="2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sz w:val="18"/>
              </w:rPr>
              <w:t>7.8155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65,528.20</w:t>
            </w:r>
          </w:p>
        </w:tc>
      </w:tr>
      <w:tr>
        <w:trPr>
          <w:trHeight w:val="403" w:hRule="exact"/>
        </w:trPr>
        <w:tc>
          <w:tcPr>
            <w:tcW w:w="247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3"/>
              <w:ind w:left="554" w:right="0"/>
              <w:jc w:val="left"/>
              <w:rPr>
                <w:rFonts w:ascii="宋体" w:hAnsi="宋体" w:cs="宋体" w:eastAsia="宋体" w:hint="default"/>
                <w:sz w:val="18"/>
                <w:szCs w:val="18"/>
              </w:rPr>
            </w:pPr>
            <w:r>
              <w:rPr>
                <w:rFonts w:ascii="宋体" w:hAnsi="宋体" w:cs="宋体" w:eastAsia="宋体" w:hint="default"/>
                <w:spacing w:val="-5"/>
                <w:sz w:val="18"/>
                <w:szCs w:val="18"/>
              </w:rPr>
              <w:t>英镑</w:t>
            </w:r>
            <w:r>
              <w:rPr>
                <w:rFonts w:ascii="宋体" w:hAnsi="宋体" w:cs="宋体" w:eastAsia="宋体" w:hint="default"/>
                <w:sz w:val="18"/>
                <w:szCs w:val="18"/>
              </w:rPr>
            </w:r>
          </w:p>
        </w:tc>
        <w:tc>
          <w:tcPr>
            <w:tcW w:w="2307"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53,275.09</w:t>
            </w:r>
          </w:p>
        </w:tc>
        <w:tc>
          <w:tcPr>
            <w:tcW w:w="2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sz w:val="18"/>
              </w:rPr>
              <w:t>9.1501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487,472.40</w:t>
            </w:r>
          </w:p>
        </w:tc>
      </w:tr>
    </w:tbl>
    <w:p>
      <w:pPr>
        <w:spacing w:line="240" w:lineRule="auto" w:before="3"/>
        <w:rPr>
          <w:rFonts w:ascii="宋体" w:hAnsi="宋体" w:cs="宋体" w:eastAsia="宋体" w:hint="default"/>
          <w:sz w:val="19"/>
          <w:szCs w:val="19"/>
        </w:rPr>
      </w:pPr>
    </w:p>
    <w:p>
      <w:pPr>
        <w:pStyle w:val="Heading3"/>
        <w:spacing w:line="254" w:lineRule="auto" w:before="36"/>
        <w:ind w:right="0"/>
        <w:jc w:val="left"/>
        <w:rPr>
          <w:b w:val="0"/>
          <w:bCs w:val="0"/>
        </w:rPr>
      </w:pPr>
      <w:bookmarkStart w:name="（2）境外经营实体说明，包括对于重要的境外经营实体，应披露其境外主要经营地、记账" w:id="344"/>
      <w:bookmarkEnd w:id="344"/>
      <w:r>
        <w:rPr>
          <w:b w:val="0"/>
          <w:bCs w:val="0"/>
        </w:rPr>
      </w:r>
      <w:r>
        <w:rPr/>
        <w:t>（</w:t>
      </w:r>
      <w:r>
        <w:rPr>
          <w:rFonts w:ascii="Times New Roman" w:hAnsi="Times New Roman" w:cs="Times New Roman" w:eastAsia="Times New Roman" w:hint="default"/>
        </w:rPr>
        <w:t>2</w:t>
      </w:r>
      <w:r>
        <w:rPr/>
        <w:t>）境外经营实体说明，包括对于重要的境外经营实体，应披露其境外主要经营地、记账本位币及选择</w:t>
      </w:r>
      <w:r>
        <w:rPr>
          <w:spacing w:val="-66"/>
        </w:rPr>
        <w:t> </w:t>
      </w:r>
      <w:r>
        <w:rPr>
          <w:spacing w:val="-66"/>
        </w:rPr>
      </w:r>
      <w:r>
        <w:rPr/>
        <w:t>依据，记账本位币发生变化的还应披露原因。</w:t>
      </w:r>
      <w:r>
        <w:rPr>
          <w:b w:val="0"/>
          <w:bCs w:val="0"/>
        </w:rPr>
      </w:r>
    </w:p>
    <w:p>
      <w:pPr>
        <w:spacing w:line="240" w:lineRule="auto" w:before="4"/>
        <w:rPr>
          <w:rFonts w:ascii="宋体" w:hAnsi="宋体" w:cs="宋体" w:eastAsia="宋体" w:hint="default"/>
          <w:b/>
          <w:bCs/>
          <w:sz w:val="27"/>
          <w:szCs w:val="27"/>
        </w:rPr>
      </w:pPr>
    </w:p>
    <w:p>
      <w:pPr>
        <w:pStyle w:val="BodyText"/>
        <w:spacing w:line="240" w:lineRule="auto"/>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8"/>
        <w:rPr>
          <w:rFonts w:ascii="宋体" w:hAnsi="宋体" w:cs="宋体" w:eastAsia="宋体" w:hint="default"/>
          <w:sz w:val="25"/>
          <w:szCs w:val="25"/>
        </w:rPr>
      </w:pPr>
    </w:p>
    <w:p>
      <w:pPr>
        <w:pStyle w:val="Heading3"/>
        <w:spacing w:line="240" w:lineRule="auto"/>
        <w:ind w:right="0"/>
        <w:jc w:val="left"/>
        <w:rPr>
          <w:b w:val="0"/>
          <w:bCs w:val="0"/>
        </w:rPr>
      </w:pPr>
      <w:bookmarkStart w:name="54、套期" w:id="345"/>
      <w:bookmarkEnd w:id="345"/>
      <w:r>
        <w:rPr>
          <w:b w:val="0"/>
          <w:bCs w:val="0"/>
        </w:rPr>
      </w:r>
      <w:r>
        <w:rPr>
          <w:rFonts w:ascii="Times New Roman" w:hAnsi="Times New Roman" w:cs="Times New Roman" w:eastAsia="Times New Roman" w:hint="default"/>
        </w:rPr>
        <w:t>54</w:t>
      </w:r>
      <w:r>
        <w:rPr/>
        <w:t>、套期</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spacing w:val="-3"/>
        </w:rPr>
        <w:t>按照套期类别披露套期项目及相关套期工具、被套期风险的定性和定量信息：</w:t>
      </w:r>
    </w:p>
    <w:p>
      <w:pPr>
        <w:spacing w:after="0" w:line="240" w:lineRule="auto"/>
        <w:jc w:val="left"/>
        <w:sectPr>
          <w:pgSz w:w="11910" w:h="16840"/>
          <w:pgMar w:header="871" w:footer="1186" w:top="1100" w:bottom="1380" w:left="980" w:right="0"/>
        </w:sectPr>
      </w:pPr>
    </w:p>
    <w:p>
      <w:pPr>
        <w:spacing w:line="240" w:lineRule="auto" w:before="1"/>
        <w:rPr>
          <w:rFonts w:ascii="宋体" w:hAnsi="宋体" w:cs="宋体" w:eastAsia="宋体" w:hint="default"/>
          <w:sz w:val="28"/>
          <w:szCs w:val="28"/>
        </w:rPr>
      </w:pPr>
    </w:p>
    <w:p>
      <w:pPr>
        <w:pStyle w:val="BodyText"/>
        <w:spacing w:line="475" w:lineRule="auto" w:before="46"/>
        <w:ind w:right="0" w:firstLine="360"/>
        <w:jc w:val="left"/>
      </w:pPr>
      <w:r>
        <w:rPr>
          <w:spacing w:val="-4"/>
        </w:rPr>
        <w:t>本公司子公司安科创新（深圳）有限公司委托宁波银行办理的远期结汇业务，运用销售实现的外汇收入在汇率波动幅度</w:t>
      </w:r>
      <w:r>
        <w:rPr>
          <w:w w:val="101"/>
        </w:rPr>
        <w:t> </w:t>
      </w:r>
      <w:r>
        <w:rPr>
          <w:spacing w:val="-3"/>
        </w:rPr>
        <w:t>较小的范围内提前锁定远期汇率，规避汇率剧烈波动风险。</w:t>
      </w:r>
    </w:p>
    <w:p>
      <w:pPr>
        <w:pStyle w:val="BodyText"/>
        <w:spacing w:line="240" w:lineRule="auto" w:before="59"/>
        <w:ind w:left="513" w:right="0"/>
        <w:jc w:val="left"/>
        <w:rPr>
          <w:rFonts w:ascii="Times New Roman" w:hAnsi="Times New Roman" w:cs="Times New Roman" w:eastAsia="Times New Roman" w:hint="default"/>
        </w:rPr>
      </w:pPr>
      <w:r>
        <w:rPr>
          <w:w w:val="101"/>
        </w:rPr>
        <w:t>被</w:t>
      </w:r>
      <w:r>
        <w:rPr>
          <w:spacing w:val="-5"/>
          <w:w w:val="101"/>
        </w:rPr>
        <w:t>套</w:t>
      </w:r>
      <w:r>
        <w:rPr>
          <w:w w:val="101"/>
        </w:rPr>
        <w:t>期</w:t>
      </w:r>
      <w:r>
        <w:rPr>
          <w:spacing w:val="-5"/>
          <w:w w:val="101"/>
        </w:rPr>
        <w:t>项</w:t>
      </w:r>
      <w:r>
        <w:rPr>
          <w:w w:val="101"/>
        </w:rPr>
        <w:t>目</w:t>
      </w:r>
      <w:r>
        <w:rPr>
          <w:spacing w:val="-5"/>
          <w:w w:val="101"/>
        </w:rPr>
        <w:t>现</w:t>
      </w:r>
      <w:r>
        <w:rPr>
          <w:w w:val="101"/>
        </w:rPr>
        <w:t>金</w:t>
      </w:r>
      <w:r>
        <w:rPr>
          <w:spacing w:val="-5"/>
          <w:w w:val="101"/>
        </w:rPr>
        <w:t>流</w:t>
      </w:r>
      <w:r>
        <w:rPr>
          <w:w w:val="101"/>
        </w:rPr>
        <w:t>量</w:t>
      </w:r>
      <w:r>
        <w:rPr>
          <w:spacing w:val="-5"/>
          <w:w w:val="101"/>
        </w:rPr>
        <w:t>总</w:t>
      </w:r>
      <w:r>
        <w:rPr>
          <w:w w:val="101"/>
        </w:rPr>
        <w:t>额</w:t>
      </w:r>
      <w:r>
        <w:rPr>
          <w:spacing w:val="-5"/>
          <w:w w:val="101"/>
        </w:rPr>
        <w:t>折</w:t>
      </w:r>
      <w:r>
        <w:rPr>
          <w:w w:val="101"/>
        </w:rPr>
        <w:t>算</w:t>
      </w:r>
      <w:r>
        <w:rPr>
          <w:spacing w:val="-5"/>
          <w:w w:val="101"/>
        </w:rPr>
        <w:t>为</w:t>
      </w:r>
      <w:r>
        <w:rPr>
          <w:w w:val="101"/>
        </w:rPr>
        <w:t>人民币</w:t>
      </w:r>
      <w:r>
        <w:rPr>
          <w:spacing w:val="-46"/>
        </w:rPr>
        <w:t> </w:t>
      </w:r>
      <w:r>
        <w:rPr>
          <w:rFonts w:ascii="Times New Roman" w:hAnsi="Times New Roman" w:cs="Times New Roman" w:eastAsia="Times New Roman" w:hint="default"/>
          <w:spacing w:val="-5"/>
          <w:w w:val="101"/>
        </w:rPr>
        <w:t>2</w:t>
      </w:r>
      <w:r>
        <w:rPr>
          <w:rFonts w:ascii="Times New Roman" w:hAnsi="Times New Roman" w:cs="Times New Roman" w:eastAsia="Times New Roman" w:hint="default"/>
          <w:spacing w:val="2"/>
          <w:w w:val="101"/>
        </w:rPr>
        <w:t>,</w:t>
      </w:r>
      <w:r>
        <w:rPr>
          <w:rFonts w:ascii="Times New Roman" w:hAnsi="Times New Roman" w:cs="Times New Roman" w:eastAsia="Times New Roman" w:hint="default"/>
          <w:spacing w:val="-5"/>
          <w:w w:val="101"/>
        </w:rPr>
        <w:t>7</w:t>
      </w:r>
      <w:r>
        <w:rPr>
          <w:rFonts w:ascii="Times New Roman" w:hAnsi="Times New Roman" w:cs="Times New Roman" w:eastAsia="Times New Roman" w:hint="default"/>
          <w:w w:val="101"/>
        </w:rPr>
        <w:t>90</w:t>
      </w:r>
      <w:r>
        <w:rPr>
          <w:rFonts w:ascii="Times New Roman" w:hAnsi="Times New Roman" w:cs="Times New Roman" w:eastAsia="Times New Roman" w:hint="default"/>
          <w:spacing w:val="-3"/>
          <w:w w:val="101"/>
        </w:rPr>
        <w:t>,</w:t>
      </w:r>
      <w:r>
        <w:rPr>
          <w:rFonts w:ascii="Times New Roman" w:hAnsi="Times New Roman" w:cs="Times New Roman" w:eastAsia="Times New Roman" w:hint="default"/>
          <w:w w:val="101"/>
        </w:rPr>
        <w:t>22</w:t>
      </w:r>
      <w:r>
        <w:rPr>
          <w:rFonts w:ascii="Times New Roman" w:hAnsi="Times New Roman" w:cs="Times New Roman" w:eastAsia="Times New Roman" w:hint="default"/>
          <w:spacing w:val="-5"/>
          <w:w w:val="101"/>
        </w:rPr>
        <w:t>5</w:t>
      </w:r>
      <w:r>
        <w:rPr>
          <w:rFonts w:ascii="Times New Roman" w:hAnsi="Times New Roman" w:cs="Times New Roman" w:eastAsia="Times New Roman" w:hint="default"/>
          <w:spacing w:val="2"/>
          <w:w w:val="101"/>
        </w:rPr>
        <w:t>.</w:t>
      </w:r>
      <w:r>
        <w:rPr>
          <w:rFonts w:ascii="Times New Roman" w:hAnsi="Times New Roman" w:cs="Times New Roman" w:eastAsia="Times New Roman" w:hint="default"/>
          <w:spacing w:val="-5"/>
          <w:w w:val="101"/>
        </w:rPr>
        <w:t>3</w:t>
      </w:r>
      <w:r>
        <w:rPr>
          <w:rFonts w:ascii="Times New Roman" w:hAnsi="Times New Roman" w:cs="Times New Roman" w:eastAsia="Times New Roman" w:hint="default"/>
          <w:w w:val="101"/>
        </w:rPr>
        <w:t>7</w:t>
      </w:r>
      <w:r>
        <w:rPr>
          <w:rFonts w:ascii="Times New Roman" w:hAnsi="Times New Roman" w:cs="Times New Roman" w:eastAsia="Times New Roman" w:hint="default"/>
          <w:spacing w:val="-7"/>
        </w:rPr>
        <w:t> </w:t>
      </w:r>
      <w:r>
        <w:rPr>
          <w:spacing w:val="-77"/>
          <w:w w:val="101"/>
        </w:rPr>
        <w:t>元</w:t>
      </w:r>
      <w:r>
        <w:rPr>
          <w:w w:val="101"/>
        </w:rPr>
        <w:t>（</w:t>
      </w:r>
      <w:r>
        <w:rPr>
          <w:rFonts w:ascii="Times New Roman" w:hAnsi="Times New Roman" w:cs="Times New Roman" w:eastAsia="Times New Roman" w:hint="default"/>
          <w:spacing w:val="-5"/>
          <w:w w:val="101"/>
        </w:rPr>
        <w:t>3</w:t>
      </w:r>
      <w:r>
        <w:rPr>
          <w:rFonts w:ascii="Times New Roman" w:hAnsi="Times New Roman" w:cs="Times New Roman" w:eastAsia="Times New Roman" w:hint="default"/>
          <w:w w:val="101"/>
        </w:rPr>
        <w:t>99</w:t>
      </w:r>
      <w:r>
        <w:rPr>
          <w:rFonts w:ascii="Times New Roman" w:hAnsi="Times New Roman" w:cs="Times New Roman" w:eastAsia="Times New Roman" w:hint="default"/>
          <w:spacing w:val="-3"/>
          <w:w w:val="101"/>
        </w:rPr>
        <w:t>,</w:t>
      </w:r>
      <w:r>
        <w:rPr>
          <w:rFonts w:ascii="Times New Roman" w:hAnsi="Times New Roman" w:cs="Times New Roman" w:eastAsia="Times New Roman" w:hint="default"/>
          <w:w w:val="101"/>
        </w:rPr>
        <w:t>9</w:t>
      </w:r>
      <w:r>
        <w:rPr>
          <w:rFonts w:ascii="Times New Roman" w:hAnsi="Times New Roman" w:cs="Times New Roman" w:eastAsia="Times New Roman" w:hint="default"/>
          <w:spacing w:val="-5"/>
          <w:w w:val="101"/>
        </w:rPr>
        <w:t>6</w:t>
      </w:r>
      <w:r>
        <w:rPr>
          <w:rFonts w:ascii="Times New Roman" w:hAnsi="Times New Roman" w:cs="Times New Roman" w:eastAsia="Times New Roman" w:hint="default"/>
          <w:w w:val="101"/>
        </w:rPr>
        <w:t>3</w:t>
      </w:r>
      <w:r>
        <w:rPr>
          <w:rFonts w:ascii="Times New Roman" w:hAnsi="Times New Roman" w:cs="Times New Roman" w:eastAsia="Times New Roman" w:hint="default"/>
          <w:spacing w:val="2"/>
          <w:w w:val="101"/>
        </w:rPr>
        <w:t>.</w:t>
      </w:r>
      <w:r>
        <w:rPr>
          <w:rFonts w:ascii="Times New Roman" w:hAnsi="Times New Roman" w:cs="Times New Roman" w:eastAsia="Times New Roman" w:hint="default"/>
          <w:spacing w:val="-5"/>
          <w:w w:val="101"/>
        </w:rPr>
        <w:t>5</w:t>
      </w:r>
      <w:r>
        <w:rPr>
          <w:rFonts w:ascii="Times New Roman" w:hAnsi="Times New Roman" w:cs="Times New Roman" w:eastAsia="Times New Roman" w:hint="default"/>
          <w:w w:val="101"/>
        </w:rPr>
        <w:t>0</w:t>
      </w:r>
      <w:r>
        <w:rPr>
          <w:rFonts w:ascii="Times New Roman" w:hAnsi="Times New Roman" w:cs="Times New Roman" w:eastAsia="Times New Roman" w:hint="default"/>
          <w:spacing w:val="-7"/>
        </w:rPr>
        <w:t> </w:t>
      </w:r>
      <w:r>
        <w:rPr>
          <w:spacing w:val="-5"/>
          <w:w w:val="101"/>
        </w:rPr>
        <w:t>美</w:t>
      </w:r>
      <w:r>
        <w:rPr>
          <w:w w:val="101"/>
        </w:rPr>
        <w:t>元</w:t>
      </w:r>
      <w:r>
        <w:rPr>
          <w:spacing w:val="-96"/>
          <w:w w:val="101"/>
        </w:rPr>
        <w:t>）</w:t>
      </w:r>
      <w:r>
        <w:rPr>
          <w:spacing w:val="-73"/>
          <w:w w:val="101"/>
        </w:rPr>
        <w:t>，</w:t>
      </w:r>
      <w:r>
        <w:rPr>
          <w:w w:val="101"/>
        </w:rPr>
        <w:t>其中</w:t>
      </w:r>
      <w:r>
        <w:rPr>
          <w:spacing w:val="-52"/>
        </w:rPr>
        <w:t> </w:t>
      </w:r>
      <w:r>
        <w:rPr>
          <w:rFonts w:ascii="Times New Roman" w:hAnsi="Times New Roman" w:cs="Times New Roman" w:eastAsia="Times New Roman" w:hint="default"/>
          <w:w w:val="101"/>
        </w:rPr>
        <w:t>1</w:t>
      </w:r>
      <w:r>
        <w:rPr>
          <w:rFonts w:ascii="Times New Roman" w:hAnsi="Times New Roman" w:cs="Times New Roman" w:eastAsia="Times New Roman" w:hint="default"/>
          <w:spacing w:val="-12"/>
        </w:rPr>
        <w:t> </w:t>
      </w:r>
      <w:r>
        <w:rPr>
          <w:w w:val="101"/>
        </w:rPr>
        <w:t>年</w:t>
      </w:r>
      <w:r>
        <w:rPr>
          <w:spacing w:val="-5"/>
          <w:w w:val="101"/>
        </w:rPr>
        <w:t>内</w:t>
      </w:r>
      <w:r>
        <w:rPr>
          <w:w w:val="101"/>
        </w:rPr>
        <w:t>到</w:t>
      </w:r>
      <w:r>
        <w:rPr>
          <w:spacing w:val="-5"/>
          <w:w w:val="101"/>
        </w:rPr>
        <w:t>期</w:t>
      </w:r>
      <w:r>
        <w:rPr>
          <w:w w:val="101"/>
        </w:rPr>
        <w:t>的</w:t>
      </w:r>
      <w:r>
        <w:rPr>
          <w:spacing w:val="-5"/>
          <w:w w:val="101"/>
        </w:rPr>
        <w:t>金</w:t>
      </w:r>
      <w:r>
        <w:rPr>
          <w:w w:val="101"/>
        </w:rPr>
        <w:t>额</w:t>
      </w:r>
      <w:r>
        <w:rPr>
          <w:spacing w:val="-5"/>
          <w:w w:val="101"/>
        </w:rPr>
        <w:t>为</w:t>
      </w:r>
      <w:r>
        <w:rPr>
          <w:w w:val="101"/>
        </w:rPr>
        <w:t>人民币</w:t>
      </w:r>
      <w:r>
        <w:rPr>
          <w:spacing w:val="-51"/>
        </w:rPr>
        <w:t> </w:t>
      </w:r>
      <w:r>
        <w:rPr>
          <w:rFonts w:ascii="Times New Roman" w:hAnsi="Times New Roman" w:cs="Times New Roman" w:eastAsia="Times New Roman" w:hint="default"/>
          <w:w w:val="101"/>
        </w:rPr>
        <w:t>2</w:t>
      </w:r>
      <w:r>
        <w:rPr>
          <w:rFonts w:ascii="Times New Roman" w:hAnsi="Times New Roman" w:cs="Times New Roman" w:eastAsia="Times New Roman" w:hint="default"/>
          <w:spacing w:val="2"/>
          <w:w w:val="101"/>
        </w:rPr>
        <w:t>,</w:t>
      </w:r>
      <w:r>
        <w:rPr>
          <w:rFonts w:ascii="Times New Roman" w:hAnsi="Times New Roman" w:cs="Times New Roman" w:eastAsia="Times New Roman" w:hint="default"/>
          <w:spacing w:val="-5"/>
          <w:w w:val="101"/>
        </w:rPr>
        <w:t>7</w:t>
      </w:r>
      <w:r>
        <w:rPr>
          <w:rFonts w:ascii="Times New Roman" w:hAnsi="Times New Roman" w:cs="Times New Roman" w:eastAsia="Times New Roman" w:hint="default"/>
          <w:w w:val="101"/>
        </w:rPr>
        <w:t>9</w:t>
      </w:r>
      <w:r>
        <w:rPr>
          <w:rFonts w:ascii="Times New Roman" w:hAnsi="Times New Roman" w:cs="Times New Roman" w:eastAsia="Times New Roman" w:hint="default"/>
          <w:spacing w:val="-5"/>
          <w:w w:val="101"/>
        </w:rPr>
        <w:t>0</w:t>
      </w:r>
      <w:r>
        <w:rPr>
          <w:rFonts w:ascii="Times New Roman" w:hAnsi="Times New Roman" w:cs="Times New Roman" w:eastAsia="Times New Roman" w:hint="default"/>
          <w:spacing w:val="2"/>
          <w:w w:val="101"/>
        </w:rPr>
        <w:t>,</w:t>
      </w:r>
      <w:r>
        <w:rPr>
          <w:rFonts w:ascii="Times New Roman" w:hAnsi="Times New Roman" w:cs="Times New Roman" w:eastAsia="Times New Roman" w:hint="default"/>
          <w:w w:val="101"/>
        </w:rPr>
        <w:t>22</w:t>
      </w:r>
      <w:r>
        <w:rPr>
          <w:rFonts w:ascii="Times New Roman" w:hAnsi="Times New Roman" w:cs="Times New Roman" w:eastAsia="Times New Roman" w:hint="default"/>
          <w:spacing w:val="-5"/>
          <w:w w:val="101"/>
        </w:rPr>
        <w:t>5</w:t>
      </w:r>
      <w:r>
        <w:rPr>
          <w:rFonts w:ascii="Times New Roman" w:hAnsi="Times New Roman" w:cs="Times New Roman" w:eastAsia="Times New Roman" w:hint="default"/>
          <w:spacing w:val="2"/>
          <w:w w:val="101"/>
        </w:rPr>
        <w:t>.</w:t>
      </w:r>
      <w:r>
        <w:rPr>
          <w:rFonts w:ascii="Times New Roman" w:hAnsi="Times New Roman" w:cs="Times New Roman" w:eastAsia="Times New Roman" w:hint="default"/>
          <w:w w:val="101"/>
        </w:rPr>
        <w:t>37</w:t>
      </w:r>
      <w:r>
        <w:rPr>
          <w:rFonts w:ascii="Times New Roman" w:hAnsi="Times New Roman" w:cs="Times New Roman" w:eastAsia="Times New Roman" w:hint="default"/>
        </w:rPr>
      </w:r>
    </w:p>
    <w:p>
      <w:pPr>
        <w:spacing w:line="240" w:lineRule="auto" w:before="9"/>
        <w:rPr>
          <w:rFonts w:ascii="Times New Roman" w:hAnsi="Times New Roman" w:cs="Times New Roman" w:eastAsia="Times New Roman" w:hint="default"/>
          <w:sz w:val="18"/>
          <w:szCs w:val="18"/>
        </w:rPr>
      </w:pPr>
    </w:p>
    <w:p>
      <w:pPr>
        <w:pStyle w:val="BodyText"/>
        <w:spacing w:line="240" w:lineRule="auto"/>
        <w:ind w:right="0"/>
        <w:jc w:val="left"/>
      </w:pPr>
      <w:r>
        <w:rPr/>
        <w:t>元。截至</w:t>
      </w:r>
      <w:r>
        <w:rPr>
          <w:spacing w:val="-26"/>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1"/>
        </w:rPr>
        <w:t> </w:t>
      </w:r>
      <w:r>
        <w:rPr/>
        <w:t>年</w:t>
      </w:r>
      <w:r>
        <w:rPr>
          <w:spacing w:val="-34"/>
        </w:rPr>
        <w:t> </w:t>
      </w:r>
      <w:r>
        <w:rPr>
          <w:rFonts w:ascii="Times New Roman" w:hAnsi="Times New Roman" w:cs="Times New Roman" w:eastAsia="Times New Roman" w:hint="default"/>
        </w:rPr>
        <w:t>12</w:t>
      </w:r>
      <w:r>
        <w:rPr>
          <w:rFonts w:ascii="Times New Roman" w:hAnsi="Times New Roman" w:cs="Times New Roman" w:eastAsia="Times New Roman" w:hint="default"/>
          <w:spacing w:val="11"/>
        </w:rPr>
        <w:t> </w:t>
      </w:r>
      <w:r>
        <w:rPr/>
        <w:t>月</w:t>
      </w:r>
      <w:r>
        <w:rPr>
          <w:spacing w:val="-34"/>
        </w:rPr>
        <w:t> </w:t>
      </w:r>
      <w:r>
        <w:rPr>
          <w:rFonts w:ascii="Times New Roman" w:hAnsi="Times New Roman" w:cs="Times New Roman" w:eastAsia="Times New Roman" w:hint="default"/>
        </w:rPr>
        <w:t>31</w:t>
      </w:r>
      <w:r>
        <w:rPr>
          <w:rFonts w:ascii="Times New Roman" w:hAnsi="Times New Roman" w:cs="Times New Roman" w:eastAsia="Times New Roman" w:hint="default"/>
          <w:spacing w:val="5"/>
        </w:rPr>
        <w:t> </w:t>
      </w:r>
      <w:r>
        <w:rPr>
          <w:spacing w:val="-3"/>
        </w:rPr>
        <w:t>日，上述套期项目现金流量套期储备的金额本期确认当期收益人民币</w:t>
      </w:r>
      <w:r>
        <w:rPr>
          <w:rFonts w:ascii="Times New Roman" w:hAnsi="Times New Roman" w:cs="Times New Roman" w:eastAsia="Times New Roman" w:hint="default"/>
          <w:spacing w:val="-3"/>
        </w:rPr>
        <w:t>-50,455.50</w:t>
      </w:r>
      <w:r>
        <w:rPr>
          <w:rFonts w:ascii="Times New Roman" w:hAnsi="Times New Roman" w:cs="Times New Roman" w:eastAsia="Times New Roman" w:hint="default"/>
          <w:spacing w:val="11"/>
        </w:rPr>
        <w:t> </w:t>
      </w:r>
      <w:r>
        <w:rPr>
          <w:spacing w:val="-5"/>
        </w:rPr>
        <w:t>元。</w:t>
      </w:r>
      <w:r>
        <w:rPr/>
      </w:r>
    </w:p>
    <w:p>
      <w:pPr>
        <w:spacing w:line="240" w:lineRule="auto" w:before="11"/>
        <w:rPr>
          <w:rFonts w:ascii="宋体" w:hAnsi="宋体" w:cs="宋体" w:eastAsia="宋体" w:hint="default"/>
          <w:sz w:val="9"/>
          <w:szCs w:val="9"/>
        </w:rPr>
      </w:pPr>
    </w:p>
    <w:tbl>
      <w:tblPr>
        <w:tblW w:w="0" w:type="auto"/>
        <w:jc w:val="left"/>
        <w:tblInd w:w="138" w:type="dxa"/>
        <w:tblLayout w:type="fixed"/>
        <w:tblCellMar>
          <w:top w:w="0" w:type="dxa"/>
          <w:left w:w="0" w:type="dxa"/>
          <w:bottom w:w="0" w:type="dxa"/>
          <w:right w:w="0" w:type="dxa"/>
        </w:tblCellMar>
        <w:tblLook w:val="01E0"/>
      </w:tblPr>
      <w:tblGrid>
        <w:gridCol w:w="2790"/>
        <w:gridCol w:w="2358"/>
        <w:gridCol w:w="1176"/>
        <w:gridCol w:w="1177"/>
        <w:gridCol w:w="2161"/>
      </w:tblGrid>
      <w:tr>
        <w:trPr>
          <w:trHeight w:val="341" w:hRule="exact"/>
        </w:trPr>
        <w:tc>
          <w:tcPr>
            <w:tcW w:w="2790"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58"/>
                <w:sz w:val="18"/>
                <w:szCs w:val="18"/>
              </w:rPr>
              <w:t> </w:t>
            </w:r>
            <w:r>
              <w:rPr>
                <w:rFonts w:ascii="宋体" w:hAnsi="宋体" w:cs="宋体" w:eastAsia="宋体" w:hint="default"/>
                <w:sz w:val="18"/>
                <w:szCs w:val="18"/>
              </w:rPr>
              <w:t>目</w:t>
            </w:r>
          </w:p>
        </w:tc>
        <w:tc>
          <w:tcPr>
            <w:tcW w:w="2358"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364" w:right="0"/>
              <w:jc w:val="left"/>
              <w:rPr>
                <w:rFonts w:ascii="宋体" w:hAnsi="宋体" w:cs="宋体" w:eastAsia="宋体" w:hint="default"/>
                <w:sz w:val="18"/>
                <w:szCs w:val="18"/>
              </w:rPr>
            </w:pPr>
            <w:r>
              <w:rPr>
                <w:rFonts w:ascii="宋体" w:hAnsi="宋体" w:cs="宋体" w:eastAsia="宋体" w:hint="default"/>
                <w:spacing w:val="-3"/>
                <w:sz w:val="18"/>
                <w:szCs w:val="18"/>
              </w:rPr>
              <w:t>套期工具的名义金额</w:t>
            </w:r>
          </w:p>
        </w:tc>
        <w:tc>
          <w:tcPr>
            <w:tcW w:w="2353"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left="360" w:right="0"/>
              <w:jc w:val="left"/>
              <w:rPr>
                <w:rFonts w:ascii="宋体" w:hAnsi="宋体" w:cs="宋体" w:eastAsia="宋体" w:hint="default"/>
                <w:sz w:val="18"/>
                <w:szCs w:val="18"/>
              </w:rPr>
            </w:pPr>
            <w:r>
              <w:rPr>
                <w:rFonts w:ascii="宋体" w:hAnsi="宋体" w:cs="宋体" w:eastAsia="宋体" w:hint="default"/>
                <w:spacing w:val="-3"/>
                <w:sz w:val="18"/>
                <w:szCs w:val="18"/>
              </w:rPr>
              <w:t>套期工具的账面价值</w:t>
            </w:r>
          </w:p>
        </w:tc>
        <w:tc>
          <w:tcPr>
            <w:tcW w:w="2161" w:type="dxa"/>
            <w:vMerge w:val="restart"/>
            <w:tcBorders>
              <w:top w:val="single" w:sz="4" w:space="0" w:color="000000"/>
              <w:left w:val="single" w:sz="4" w:space="0" w:color="000000"/>
              <w:right w:val="single" w:sz="4" w:space="0" w:color="000000"/>
            </w:tcBorders>
            <w:shd w:val="clear" w:color="auto" w:fill="D9D9D9"/>
          </w:tcPr>
          <w:p>
            <w:pPr>
              <w:pStyle w:val="TableParagraph"/>
              <w:spacing w:line="316" w:lineRule="auto" w:before="34"/>
              <w:ind w:left="264" w:right="262" w:firstLine="182"/>
              <w:jc w:val="left"/>
              <w:rPr>
                <w:rFonts w:ascii="宋体" w:hAnsi="宋体" w:cs="宋体" w:eastAsia="宋体" w:hint="default"/>
                <w:sz w:val="18"/>
                <w:szCs w:val="18"/>
              </w:rPr>
            </w:pPr>
            <w:r>
              <w:rPr>
                <w:rFonts w:ascii="宋体" w:hAnsi="宋体" w:cs="宋体" w:eastAsia="宋体" w:hint="default"/>
                <w:spacing w:val="-3"/>
                <w:sz w:val="18"/>
                <w:szCs w:val="18"/>
              </w:rPr>
              <w:t>包含套期工具的</w:t>
            </w:r>
            <w:r>
              <w:rPr>
                <w:rFonts w:ascii="宋体" w:hAnsi="宋体" w:cs="宋体" w:eastAsia="宋体" w:hint="default"/>
                <w:w w:val="101"/>
                <w:sz w:val="18"/>
                <w:szCs w:val="18"/>
              </w:rPr>
              <w:t> </w:t>
            </w:r>
            <w:r>
              <w:rPr>
                <w:rFonts w:ascii="宋体" w:hAnsi="宋体" w:cs="宋体" w:eastAsia="宋体" w:hint="default"/>
                <w:spacing w:val="-3"/>
                <w:sz w:val="18"/>
                <w:szCs w:val="18"/>
              </w:rPr>
              <w:t>资产负债表列示项目</w:t>
            </w:r>
          </w:p>
        </w:tc>
      </w:tr>
      <w:tr>
        <w:trPr>
          <w:trHeight w:val="341" w:hRule="exact"/>
        </w:trPr>
        <w:tc>
          <w:tcPr>
            <w:tcW w:w="2790" w:type="dxa"/>
            <w:vMerge/>
            <w:tcBorders>
              <w:left w:val="single" w:sz="4" w:space="0" w:color="000000"/>
              <w:bottom w:val="single" w:sz="4" w:space="0" w:color="000000"/>
              <w:right w:val="single" w:sz="4" w:space="0" w:color="000000"/>
            </w:tcBorders>
            <w:shd w:val="clear" w:color="auto" w:fill="D9D9D9"/>
          </w:tcPr>
          <w:p>
            <w:pPr/>
          </w:p>
        </w:tc>
        <w:tc>
          <w:tcPr>
            <w:tcW w:w="2358" w:type="dxa"/>
            <w:vMerge/>
            <w:tcBorders>
              <w:left w:val="single" w:sz="4" w:space="0" w:color="000000"/>
              <w:bottom w:val="single" w:sz="4" w:space="0" w:color="000000"/>
              <w:right w:val="single" w:sz="4" w:space="0" w:color="000000"/>
            </w:tcBorders>
            <w:shd w:val="clear" w:color="auto" w:fill="D9D9D9"/>
          </w:tcPr>
          <w:p>
            <w:pPr/>
          </w:p>
        </w:tc>
        <w:tc>
          <w:tcPr>
            <w:tcW w:w="117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资产</w:t>
            </w:r>
          </w:p>
        </w:tc>
        <w:tc>
          <w:tcPr>
            <w:tcW w:w="117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负债</w:t>
            </w:r>
          </w:p>
        </w:tc>
        <w:tc>
          <w:tcPr>
            <w:tcW w:w="2161" w:type="dxa"/>
            <w:vMerge/>
            <w:tcBorders>
              <w:left w:val="single" w:sz="4" w:space="0" w:color="000000"/>
              <w:bottom w:val="single" w:sz="4" w:space="0" w:color="000000"/>
              <w:right w:val="single" w:sz="4" w:space="0" w:color="000000"/>
            </w:tcBorders>
            <w:shd w:val="clear" w:color="auto" w:fill="D9D9D9"/>
          </w:tcPr>
          <w:p>
            <w:pPr/>
          </w:p>
        </w:tc>
      </w:tr>
      <w:tr>
        <w:trPr>
          <w:trHeight w:val="658" w:hRule="exact"/>
        </w:trPr>
        <w:tc>
          <w:tcPr>
            <w:tcW w:w="2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left="278" w:right="0"/>
              <w:jc w:val="left"/>
              <w:rPr>
                <w:rFonts w:ascii="宋体" w:hAnsi="宋体" w:cs="宋体" w:eastAsia="宋体" w:hint="default"/>
                <w:sz w:val="18"/>
                <w:szCs w:val="18"/>
              </w:rPr>
            </w:pPr>
            <w:r>
              <w:rPr>
                <w:rFonts w:ascii="宋体" w:hAnsi="宋体" w:cs="宋体" w:eastAsia="宋体" w:hint="default"/>
                <w:spacing w:val="-3"/>
                <w:sz w:val="18"/>
                <w:szCs w:val="18"/>
              </w:rPr>
              <w:t>现金流量套期</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远期外汇合约</w:t>
            </w:r>
          </w:p>
        </w:tc>
        <w:tc>
          <w:tcPr>
            <w:tcW w:w="2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701" w:right="0"/>
              <w:jc w:val="left"/>
              <w:rPr>
                <w:rFonts w:ascii="Times New Roman" w:hAnsi="Times New Roman" w:cs="Times New Roman" w:eastAsia="Times New Roman" w:hint="default"/>
                <w:sz w:val="18"/>
                <w:szCs w:val="18"/>
              </w:rPr>
            </w:pPr>
            <w:r>
              <w:rPr>
                <w:rFonts w:ascii="Times New Roman"/>
                <w:sz w:val="18"/>
              </w:rPr>
              <w:t>2,790,225.37</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50,455.50</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446" w:right="0"/>
              <w:jc w:val="left"/>
              <w:rPr>
                <w:rFonts w:ascii="宋体" w:hAnsi="宋体" w:cs="宋体" w:eastAsia="宋体" w:hint="default"/>
                <w:sz w:val="18"/>
                <w:szCs w:val="18"/>
              </w:rPr>
            </w:pPr>
            <w:r>
              <w:rPr>
                <w:rFonts w:ascii="宋体" w:hAnsi="宋体" w:cs="宋体" w:eastAsia="宋体" w:hint="default"/>
                <w:spacing w:val="-3"/>
                <w:sz w:val="18"/>
                <w:szCs w:val="18"/>
              </w:rPr>
              <w:t>交易性金融资产</w:t>
            </w:r>
          </w:p>
          <w:p>
            <w:pPr>
              <w:pStyle w:val="TableParagraph"/>
              <w:spacing w:line="240" w:lineRule="auto" w:before="76"/>
              <w:ind w:left="41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交易性金融负债</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3"/>
          <w:szCs w:val="23"/>
        </w:rPr>
      </w:pPr>
    </w:p>
    <w:p>
      <w:pPr>
        <w:pStyle w:val="Heading3"/>
        <w:spacing w:line="240" w:lineRule="auto" w:before="36"/>
        <w:ind w:right="0"/>
        <w:jc w:val="left"/>
        <w:rPr>
          <w:b w:val="0"/>
          <w:bCs w:val="0"/>
        </w:rPr>
      </w:pPr>
      <w:bookmarkStart w:name="55、政府补助" w:id="346"/>
      <w:bookmarkEnd w:id="346"/>
      <w:r>
        <w:rPr>
          <w:b w:val="0"/>
          <w:bCs w:val="0"/>
        </w:rPr>
      </w:r>
      <w:r>
        <w:rPr>
          <w:rFonts w:ascii="Times New Roman" w:hAnsi="Times New Roman" w:cs="Times New Roman" w:eastAsia="Times New Roman" w:hint="default"/>
        </w:rPr>
        <w:t>55</w:t>
      </w:r>
      <w:r>
        <w:rPr/>
        <w:t>、政府补助</w:t>
      </w:r>
      <w:r>
        <w:rPr>
          <w:b w:val="0"/>
          <w:bCs w:val="0"/>
        </w:rPr>
      </w:r>
    </w:p>
    <w:p>
      <w:pPr>
        <w:spacing w:line="240" w:lineRule="auto" w:before="5"/>
        <w:rPr>
          <w:rFonts w:ascii="宋体" w:hAnsi="宋体" w:cs="宋体" w:eastAsia="宋体" w:hint="default"/>
          <w:b/>
          <w:bCs/>
          <w:sz w:val="24"/>
          <w:szCs w:val="24"/>
        </w:rPr>
      </w:pPr>
    </w:p>
    <w:p>
      <w:pPr>
        <w:pStyle w:val="Heading3"/>
        <w:spacing w:line="240" w:lineRule="auto"/>
        <w:ind w:right="0"/>
        <w:jc w:val="left"/>
        <w:rPr>
          <w:b w:val="0"/>
          <w:bCs w:val="0"/>
        </w:rPr>
      </w:pPr>
      <w:bookmarkStart w:name="（1）政府补助基本情况" w:id="347"/>
      <w:bookmarkEnd w:id="347"/>
      <w:r>
        <w:rPr>
          <w:b w:val="0"/>
          <w:bCs w:val="0"/>
        </w:rPr>
      </w:r>
      <w:r>
        <w:rPr/>
        <w:t>（</w:t>
      </w:r>
      <w:r>
        <w:rPr>
          <w:rFonts w:ascii="Times New Roman" w:hAnsi="Times New Roman" w:cs="Times New Roman" w:eastAsia="Times New Roman" w:hint="default"/>
        </w:rPr>
        <w:t>1</w:t>
      </w:r>
      <w:r>
        <w:rPr/>
        <w:t>）政府补助基本情况</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391"/>
        <w:gridCol w:w="2396"/>
        <w:gridCol w:w="2391"/>
        <w:gridCol w:w="2391"/>
      </w:tblGrid>
      <w:tr>
        <w:trPr>
          <w:trHeight w:val="40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 w:right="0"/>
              <w:jc w:val="center"/>
              <w:rPr>
                <w:rFonts w:ascii="宋体" w:hAnsi="宋体" w:cs="宋体" w:eastAsia="宋体" w:hint="default"/>
                <w:sz w:val="18"/>
                <w:szCs w:val="18"/>
              </w:rPr>
            </w:pPr>
            <w:r>
              <w:rPr>
                <w:rFonts w:ascii="宋体" w:hAnsi="宋体" w:cs="宋体" w:eastAsia="宋体" w:hint="default"/>
                <w:sz w:val="18"/>
                <w:szCs w:val="18"/>
              </w:rPr>
              <w:t>列报项目</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pacing w:val="-3"/>
                <w:sz w:val="18"/>
                <w:szCs w:val="18"/>
              </w:rPr>
              <w:t>计入当期损益的金额</w:t>
            </w:r>
          </w:p>
        </w:tc>
      </w:tr>
      <w:tr>
        <w:trPr>
          <w:trHeight w:val="404"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安居房</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1,443,529.90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21,545.28</w:t>
            </w:r>
          </w:p>
        </w:tc>
      </w:tr>
      <w:tr>
        <w:trPr>
          <w:trHeight w:val="398"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安居房</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930,169.00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14,255.40</w:t>
            </w:r>
          </w:p>
        </w:tc>
      </w:tr>
      <w:tr>
        <w:trPr>
          <w:trHeight w:val="715"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24" w:right="190"/>
              <w:jc w:val="left"/>
              <w:rPr>
                <w:rFonts w:ascii="宋体" w:hAnsi="宋体" w:cs="宋体" w:eastAsia="宋体" w:hint="default"/>
                <w:sz w:val="18"/>
                <w:szCs w:val="18"/>
              </w:rPr>
            </w:pPr>
            <w:r>
              <w:rPr>
                <w:rFonts w:ascii="宋体" w:hAnsi="宋体" w:cs="宋体" w:eastAsia="宋体" w:hint="default"/>
                <w:spacing w:val="-3"/>
                <w:sz w:val="18"/>
                <w:szCs w:val="18"/>
              </w:rPr>
              <w:t>大数据平台研究项目补贴摊</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销</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484,631.05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96,925.92</w:t>
            </w:r>
          </w:p>
        </w:tc>
      </w:tr>
      <w:tr>
        <w:trPr>
          <w:trHeight w:val="716"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324" w:lineRule="auto" w:before="53"/>
              <w:ind w:left="24" w:right="190"/>
              <w:jc w:val="left"/>
              <w:rPr>
                <w:rFonts w:ascii="宋体" w:hAnsi="宋体" w:cs="宋体" w:eastAsia="宋体" w:hint="default"/>
                <w:sz w:val="18"/>
                <w:szCs w:val="18"/>
              </w:rPr>
            </w:pPr>
            <w:r>
              <w:rPr>
                <w:rFonts w:ascii="宋体" w:hAnsi="宋体" w:cs="宋体" w:eastAsia="宋体" w:hint="default"/>
                <w:spacing w:val="-3"/>
                <w:sz w:val="18"/>
                <w:szCs w:val="18"/>
              </w:rPr>
              <w:t>大数据平台研究项目补贴摊</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销</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1,041,196.00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200,643.12</w:t>
            </w:r>
          </w:p>
        </w:tc>
      </w:tr>
      <w:tr>
        <w:trPr>
          <w:trHeight w:val="715"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190"/>
              <w:jc w:val="left"/>
              <w:rPr>
                <w:rFonts w:ascii="宋体" w:hAnsi="宋体" w:cs="宋体" w:eastAsia="宋体" w:hint="default"/>
                <w:sz w:val="18"/>
                <w:szCs w:val="18"/>
              </w:rPr>
            </w:pPr>
            <w:r>
              <w:rPr>
                <w:rFonts w:ascii="宋体" w:hAnsi="宋体" w:cs="宋体" w:eastAsia="宋体" w:hint="default"/>
                <w:spacing w:val="-3"/>
                <w:sz w:val="18"/>
                <w:szCs w:val="18"/>
              </w:rPr>
              <w:t>大数据平台研究项目补贴摊</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销</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1,762,830.00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352,565.88</w:t>
            </w:r>
          </w:p>
        </w:tc>
      </w:tr>
      <w:tr>
        <w:trPr>
          <w:trHeight w:val="398"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企业研究开发资助</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1,493,000.00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1,493,000.00</w:t>
            </w:r>
          </w:p>
        </w:tc>
      </w:tr>
      <w:tr>
        <w:trPr>
          <w:trHeight w:val="404"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软件即征即退税款</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1,425,226.45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1,425,226.45</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跨境电商补贴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1,311,506.01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2"/>
                <w:sz w:val="18"/>
              </w:rPr>
              <w:t>1,311,506.01</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高新技术企业补贴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400,000.00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400,000.00</w:t>
            </w:r>
          </w:p>
        </w:tc>
      </w:tr>
      <w:tr>
        <w:trPr>
          <w:trHeight w:val="398"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展会补贴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138,082.00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138,082.00</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3"/>
                <w:sz w:val="18"/>
                <w:szCs w:val="18"/>
              </w:rPr>
              <w:t>中小企业上规模补贴项目</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100,000.00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100,000.00</w:t>
            </w:r>
          </w:p>
        </w:tc>
      </w:tr>
      <w:tr>
        <w:trPr>
          <w:trHeight w:val="404"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稳岗补贴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69,400.35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69,400.35</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青年人才培训补贴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37,300.00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37,300.00</w:t>
            </w:r>
          </w:p>
        </w:tc>
      </w:tr>
      <w:tr>
        <w:trPr>
          <w:trHeight w:val="398"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专利支持补贴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15,000.00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15,000.00</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3"/>
                <w:sz w:val="18"/>
                <w:szCs w:val="18"/>
              </w:rPr>
              <w:t>计算机软件补贴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3,500.00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3,500.00</w:t>
            </w:r>
          </w:p>
        </w:tc>
      </w:tr>
      <w:tr>
        <w:trPr>
          <w:trHeight w:val="404"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企业岗前补贴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3,200.00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3,200.00</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5,682,150.41</w:t>
            </w:r>
          </w:p>
        </w:tc>
      </w:tr>
    </w:tbl>
    <w:p>
      <w:pPr>
        <w:spacing w:after="0" w:line="240" w:lineRule="auto"/>
        <w:jc w:val="right"/>
        <w:rPr>
          <w:rFonts w:ascii="Times New Roman" w:hAnsi="Times New Roman" w:cs="Times New Roman" w:eastAsia="Times New Roman" w:hint="default"/>
          <w:sz w:val="18"/>
          <w:szCs w:val="18"/>
        </w:rPr>
        <w:sectPr>
          <w:pgSz w:w="11910" w:h="16840"/>
          <w:pgMar w:header="871" w:footer="1186" w:top="1100" w:bottom="1380" w:left="980" w:right="0"/>
        </w:sectPr>
      </w:pPr>
    </w:p>
    <w:p>
      <w:pPr>
        <w:spacing w:line="240" w:lineRule="auto" w:before="0"/>
        <w:rPr>
          <w:rFonts w:ascii="宋体" w:hAnsi="宋体" w:cs="宋体" w:eastAsia="宋体" w:hint="default"/>
          <w:sz w:val="21"/>
          <w:szCs w:val="21"/>
        </w:rPr>
      </w:pPr>
    </w:p>
    <w:p>
      <w:pPr>
        <w:pStyle w:val="Heading3"/>
        <w:spacing w:line="240" w:lineRule="auto" w:before="36"/>
        <w:ind w:right="0"/>
        <w:jc w:val="left"/>
        <w:rPr>
          <w:b w:val="0"/>
          <w:bCs w:val="0"/>
        </w:rPr>
      </w:pPr>
      <w:bookmarkStart w:name="（2）政府补助退回情况" w:id="348"/>
      <w:bookmarkEnd w:id="348"/>
      <w:r>
        <w:rPr>
          <w:b w:val="0"/>
          <w:bCs w:val="0"/>
        </w:rPr>
      </w:r>
      <w:r>
        <w:rPr/>
        <w:t>（</w:t>
      </w:r>
      <w:r>
        <w:rPr>
          <w:rFonts w:ascii="Times New Roman" w:hAnsi="Times New Roman" w:cs="Times New Roman" w:eastAsia="Times New Roman" w:hint="default"/>
        </w:rPr>
        <w:t>2</w:t>
      </w:r>
      <w:r>
        <w:rPr/>
        <w:t>）政府补助退回情况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13"/>
        <w:rPr>
          <w:rFonts w:ascii="宋体" w:hAnsi="宋体" w:cs="宋体" w:eastAsia="宋体" w:hint="default"/>
          <w:sz w:val="22"/>
          <w:szCs w:val="22"/>
        </w:rPr>
      </w:pPr>
    </w:p>
    <w:p>
      <w:pPr>
        <w:pStyle w:val="Heading2"/>
        <w:spacing w:line="240" w:lineRule="auto"/>
        <w:ind w:right="0"/>
        <w:jc w:val="left"/>
        <w:rPr>
          <w:b w:val="0"/>
          <w:bCs w:val="0"/>
        </w:rPr>
      </w:pPr>
      <w:bookmarkStart w:name="八、合并范围的变更" w:id="349"/>
      <w:bookmarkEnd w:id="349"/>
      <w:r>
        <w:rPr>
          <w:b w:val="0"/>
          <w:bCs w:val="0"/>
        </w:rPr>
      </w:r>
      <w:r>
        <w:rPr/>
        <w:t>八、合并范围的变更</w:t>
      </w:r>
      <w:r>
        <w:rPr>
          <w:b w:val="0"/>
          <w:bCs w:val="0"/>
        </w:rPr>
      </w:r>
    </w:p>
    <w:p>
      <w:pPr>
        <w:spacing w:line="240" w:lineRule="auto" w:before="3"/>
        <w:rPr>
          <w:rFonts w:ascii="宋体" w:hAnsi="宋体" w:cs="宋体" w:eastAsia="宋体" w:hint="default"/>
          <w:b/>
          <w:bCs/>
          <w:sz w:val="25"/>
          <w:szCs w:val="25"/>
        </w:rPr>
      </w:pPr>
    </w:p>
    <w:p>
      <w:pPr>
        <w:pStyle w:val="Heading3"/>
        <w:spacing w:line="240" w:lineRule="auto"/>
        <w:ind w:right="0"/>
        <w:jc w:val="left"/>
        <w:rPr>
          <w:b w:val="0"/>
          <w:bCs w:val="0"/>
        </w:rPr>
      </w:pPr>
      <w:bookmarkStart w:name="1、非同一控制下企业合并" w:id="350"/>
      <w:bookmarkEnd w:id="350"/>
      <w:r>
        <w:rPr>
          <w:b w:val="0"/>
          <w:bCs w:val="0"/>
        </w:rPr>
      </w:r>
      <w:r>
        <w:rPr>
          <w:rFonts w:ascii="Times New Roman" w:hAnsi="Times New Roman" w:cs="Times New Roman" w:eastAsia="Times New Roman" w:hint="default"/>
        </w:rPr>
        <w:t>1</w:t>
      </w:r>
      <w:r>
        <w:rPr/>
        <w:t>、非同一控制下企业合并</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本期发生的非同一控制下企业合并" w:id="351"/>
      <w:bookmarkEnd w:id="351"/>
      <w:r>
        <w:rPr>
          <w:b w:val="0"/>
          <w:bCs w:val="0"/>
        </w:rPr>
      </w:r>
      <w:r>
        <w:rPr/>
        <w:t>（</w:t>
      </w:r>
      <w:r>
        <w:rPr>
          <w:rFonts w:ascii="Times New Roman" w:hAnsi="Times New Roman" w:cs="Times New Roman" w:eastAsia="Times New Roman" w:hint="default"/>
        </w:rPr>
        <w:t>1</w:t>
      </w:r>
      <w:r>
        <w:rPr/>
        <w:t>）本期发生的非同一控制下企业合并</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061"/>
        <w:gridCol w:w="1066"/>
        <w:gridCol w:w="1066"/>
        <w:gridCol w:w="1061"/>
        <w:gridCol w:w="1066"/>
        <w:gridCol w:w="1066"/>
        <w:gridCol w:w="1061"/>
        <w:gridCol w:w="1061"/>
        <w:gridCol w:w="1066"/>
      </w:tblGrid>
      <w:tr>
        <w:trPr>
          <w:trHeight w:val="1028" w:hRule="exact"/>
        </w:trPr>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21" w:lineRule="auto"/>
              <w:ind w:left="436" w:right="70" w:hanging="360"/>
              <w:jc w:val="left"/>
              <w:rPr>
                <w:rFonts w:ascii="宋体" w:hAnsi="宋体" w:cs="宋体" w:eastAsia="宋体" w:hint="default"/>
                <w:sz w:val="18"/>
                <w:szCs w:val="18"/>
              </w:rPr>
            </w:pPr>
            <w:r>
              <w:rPr>
                <w:rFonts w:ascii="宋体" w:hAnsi="宋体" w:cs="宋体" w:eastAsia="宋体" w:hint="default"/>
                <w:spacing w:val="-2"/>
                <w:sz w:val="18"/>
                <w:szCs w:val="18"/>
              </w:rPr>
              <w:t>被购买方名</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称</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21" w:lineRule="auto"/>
              <w:ind w:left="441" w:right="70" w:hanging="360"/>
              <w:jc w:val="left"/>
              <w:rPr>
                <w:rFonts w:ascii="宋体" w:hAnsi="宋体" w:cs="宋体" w:eastAsia="宋体" w:hint="default"/>
                <w:sz w:val="18"/>
                <w:szCs w:val="18"/>
              </w:rPr>
            </w:pPr>
            <w:r>
              <w:rPr>
                <w:rFonts w:ascii="宋体" w:hAnsi="宋体" w:cs="宋体" w:eastAsia="宋体" w:hint="default"/>
                <w:spacing w:val="-2"/>
                <w:sz w:val="18"/>
                <w:szCs w:val="18"/>
              </w:rPr>
              <w:t>股权取得时</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点</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21" w:lineRule="auto"/>
              <w:ind w:left="436" w:right="74" w:hanging="360"/>
              <w:jc w:val="left"/>
              <w:rPr>
                <w:rFonts w:ascii="宋体" w:hAnsi="宋体" w:cs="宋体" w:eastAsia="宋体" w:hint="default"/>
                <w:sz w:val="18"/>
                <w:szCs w:val="18"/>
              </w:rPr>
            </w:pPr>
            <w:r>
              <w:rPr>
                <w:rFonts w:ascii="宋体" w:hAnsi="宋体" w:cs="宋体" w:eastAsia="宋体" w:hint="default"/>
                <w:spacing w:val="-2"/>
                <w:sz w:val="18"/>
                <w:szCs w:val="18"/>
              </w:rPr>
              <w:t>股权取得成</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本</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21" w:lineRule="auto"/>
              <w:ind w:left="437" w:right="70" w:hanging="361"/>
              <w:jc w:val="left"/>
              <w:rPr>
                <w:rFonts w:ascii="宋体" w:hAnsi="宋体" w:cs="宋体" w:eastAsia="宋体" w:hint="default"/>
                <w:sz w:val="18"/>
                <w:szCs w:val="18"/>
              </w:rPr>
            </w:pPr>
            <w:r>
              <w:rPr>
                <w:rFonts w:ascii="宋体" w:hAnsi="宋体" w:cs="宋体" w:eastAsia="宋体" w:hint="default"/>
                <w:spacing w:val="-2"/>
                <w:sz w:val="18"/>
                <w:szCs w:val="18"/>
              </w:rPr>
              <w:t>股权取得比</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例</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21" w:lineRule="auto"/>
              <w:ind w:left="442" w:right="70" w:hanging="361"/>
              <w:jc w:val="left"/>
              <w:rPr>
                <w:rFonts w:ascii="宋体" w:hAnsi="宋体" w:cs="宋体" w:eastAsia="宋体" w:hint="default"/>
                <w:sz w:val="18"/>
                <w:szCs w:val="18"/>
              </w:rPr>
            </w:pPr>
            <w:r>
              <w:rPr>
                <w:rFonts w:ascii="宋体" w:hAnsi="宋体" w:cs="宋体" w:eastAsia="宋体" w:hint="default"/>
                <w:spacing w:val="-2"/>
                <w:sz w:val="18"/>
                <w:szCs w:val="18"/>
              </w:rPr>
              <w:t>股权取得方</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式</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59" w:right="0"/>
              <w:jc w:val="left"/>
              <w:rPr>
                <w:rFonts w:ascii="宋体" w:hAnsi="宋体" w:cs="宋体" w:eastAsia="宋体" w:hint="default"/>
                <w:sz w:val="18"/>
                <w:szCs w:val="18"/>
              </w:rPr>
            </w:pPr>
            <w:r>
              <w:rPr>
                <w:rFonts w:ascii="宋体" w:hAnsi="宋体" w:cs="宋体" w:eastAsia="宋体" w:hint="default"/>
                <w:sz w:val="18"/>
                <w:szCs w:val="18"/>
              </w:rPr>
              <w:t>购买日</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21" w:lineRule="auto"/>
              <w:ind w:left="259" w:right="70" w:hanging="183"/>
              <w:jc w:val="left"/>
              <w:rPr>
                <w:rFonts w:ascii="宋体" w:hAnsi="宋体" w:cs="宋体" w:eastAsia="宋体" w:hint="default"/>
                <w:sz w:val="18"/>
                <w:szCs w:val="18"/>
              </w:rPr>
            </w:pPr>
            <w:r>
              <w:rPr>
                <w:rFonts w:ascii="宋体" w:hAnsi="宋体" w:cs="宋体" w:eastAsia="宋体" w:hint="default"/>
                <w:spacing w:val="-2"/>
                <w:sz w:val="18"/>
                <w:szCs w:val="18"/>
              </w:rPr>
              <w:t>购买日的确</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定依据</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76" w:right="70"/>
              <w:jc w:val="center"/>
              <w:rPr>
                <w:rFonts w:ascii="宋体" w:hAnsi="宋体" w:cs="宋体" w:eastAsia="宋体" w:hint="default"/>
                <w:sz w:val="18"/>
                <w:szCs w:val="18"/>
              </w:rPr>
            </w:pPr>
            <w:r>
              <w:rPr>
                <w:rFonts w:ascii="宋体" w:hAnsi="宋体" w:cs="宋体" w:eastAsia="宋体" w:hint="default"/>
                <w:spacing w:val="-2"/>
                <w:sz w:val="18"/>
                <w:szCs w:val="18"/>
              </w:rPr>
              <w:t>购买日至期</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末被购买方</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的收入</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76" w:right="74"/>
              <w:jc w:val="both"/>
              <w:rPr>
                <w:rFonts w:ascii="宋体" w:hAnsi="宋体" w:cs="宋体" w:eastAsia="宋体" w:hint="default"/>
                <w:sz w:val="18"/>
                <w:szCs w:val="18"/>
              </w:rPr>
            </w:pPr>
            <w:r>
              <w:rPr>
                <w:rFonts w:ascii="宋体" w:hAnsi="宋体" w:cs="宋体" w:eastAsia="宋体" w:hint="default"/>
                <w:spacing w:val="-2"/>
                <w:sz w:val="18"/>
                <w:szCs w:val="18"/>
              </w:rPr>
              <w:t>购买日至期</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末被购买方</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的净利润</w:t>
            </w:r>
          </w:p>
        </w:tc>
      </w:tr>
      <w:tr>
        <w:trPr>
          <w:trHeight w:val="1023"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4"/>
              <w:ind w:left="24" w:right="123"/>
              <w:jc w:val="both"/>
              <w:rPr>
                <w:rFonts w:ascii="宋体" w:hAnsi="宋体" w:cs="宋体" w:eastAsia="宋体" w:hint="default"/>
                <w:sz w:val="18"/>
                <w:szCs w:val="18"/>
              </w:rPr>
            </w:pPr>
            <w:r>
              <w:rPr>
                <w:rFonts w:ascii="宋体" w:hAnsi="宋体" w:cs="宋体" w:eastAsia="宋体" w:hint="default"/>
                <w:spacing w:val="-2"/>
                <w:sz w:val="18"/>
                <w:szCs w:val="18"/>
              </w:rPr>
              <w:t>北京杰智融</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软件有限公</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司</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p>
          <w:p>
            <w:pPr>
              <w:pStyle w:val="TableParagraph"/>
              <w:spacing w:line="240" w:lineRule="auto" w:before="67"/>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5,500,000.00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55.00%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21" w:lineRule="auto"/>
              <w:ind w:left="28" w:right="123"/>
              <w:jc w:val="left"/>
              <w:rPr>
                <w:rFonts w:ascii="宋体" w:hAnsi="宋体" w:cs="宋体" w:eastAsia="宋体" w:hint="default"/>
                <w:sz w:val="18"/>
                <w:szCs w:val="18"/>
              </w:rPr>
            </w:pPr>
            <w:r>
              <w:rPr>
                <w:rFonts w:ascii="宋体" w:hAnsi="宋体" w:cs="宋体" w:eastAsia="宋体" w:hint="default"/>
                <w:spacing w:val="-2"/>
                <w:sz w:val="18"/>
                <w:szCs w:val="18"/>
              </w:rPr>
              <w:t>非同一控制</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合并</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p>
          <w:p>
            <w:pPr>
              <w:pStyle w:val="TableParagraph"/>
              <w:spacing w:line="240" w:lineRule="auto" w:before="67"/>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注</w:t>
            </w:r>
            <w:r>
              <w:rPr>
                <w:rFonts w:ascii="Times New Roman" w:hAnsi="Times New Roman" w:cs="Times New Roman" w:eastAsia="Times New Roman" w:hint="default"/>
                <w:sz w:val="18"/>
                <w:szCs w:val="18"/>
              </w:rPr>
              <w:t>[1]</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96" w:right="0"/>
              <w:jc w:val="left"/>
              <w:rPr>
                <w:rFonts w:ascii="Times New Roman" w:hAnsi="Times New Roman" w:cs="Times New Roman" w:eastAsia="Times New Roman" w:hint="default"/>
                <w:sz w:val="18"/>
                <w:szCs w:val="18"/>
              </w:rPr>
            </w:pPr>
            <w:r>
              <w:rPr>
                <w:rFonts w:ascii="Times New Roman"/>
                <w:spacing w:val="-2"/>
                <w:sz w:val="18"/>
              </w:rPr>
              <w:t>8,938,246.11</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96" w:right="0"/>
              <w:jc w:val="left"/>
              <w:rPr>
                <w:rFonts w:ascii="Times New Roman" w:hAnsi="Times New Roman" w:cs="Times New Roman" w:eastAsia="Times New Roman" w:hint="default"/>
                <w:sz w:val="18"/>
                <w:szCs w:val="18"/>
              </w:rPr>
            </w:pPr>
            <w:r>
              <w:rPr>
                <w:rFonts w:ascii="Times New Roman"/>
                <w:sz w:val="18"/>
              </w:rPr>
              <w:t>2,511,844.41</w:t>
            </w:r>
          </w:p>
        </w:tc>
      </w:tr>
    </w:tbl>
    <w:p>
      <w:pPr>
        <w:pStyle w:val="BodyText"/>
        <w:spacing w:line="240" w:lineRule="auto" w:before="53"/>
        <w:ind w:right="0"/>
        <w:jc w:val="left"/>
      </w:pPr>
      <w:r>
        <w:rPr/>
        <w:t>其他说明：</w:t>
      </w:r>
    </w:p>
    <w:p>
      <w:pPr>
        <w:spacing w:line="240" w:lineRule="auto" w:before="1"/>
        <w:rPr>
          <w:rFonts w:ascii="宋体" w:hAnsi="宋体" w:cs="宋体" w:eastAsia="宋体" w:hint="default"/>
          <w:sz w:val="15"/>
          <w:szCs w:val="15"/>
        </w:rPr>
      </w:pPr>
    </w:p>
    <w:p>
      <w:pPr>
        <w:pStyle w:val="BodyText"/>
        <w:spacing w:line="240" w:lineRule="auto"/>
        <w:ind w:left="0" w:right="1126"/>
        <w:jc w:val="right"/>
        <w:rPr>
          <w:rFonts w:ascii="Times New Roman" w:hAnsi="Times New Roman" w:cs="Times New Roman" w:eastAsia="Times New Roman" w:hint="default"/>
        </w:rPr>
      </w:pPr>
      <w:r>
        <w:rPr>
          <w:rFonts w:ascii="Times New Roman" w:hAnsi="Times New Roman" w:cs="Times New Roman" w:eastAsia="Times New Roman" w:hint="default"/>
          <w:spacing w:val="-4"/>
          <w:w w:val="101"/>
        </w:rPr>
        <w:t>[</w:t>
      </w:r>
      <w:r>
        <w:rPr>
          <w:w w:val="101"/>
        </w:rPr>
        <w:t>注</w:t>
      </w:r>
      <w:r>
        <w:rPr>
          <w:spacing w:val="-47"/>
        </w:rPr>
        <w:t> </w:t>
      </w:r>
      <w:r>
        <w:rPr>
          <w:rFonts w:ascii="Times New Roman" w:hAnsi="Times New Roman" w:cs="Times New Roman" w:eastAsia="Times New Roman" w:hint="default"/>
          <w:w w:val="101"/>
        </w:rPr>
        <w:t>1]</w:t>
      </w:r>
      <w:r>
        <w:rPr>
          <w:rFonts w:ascii="Times New Roman" w:hAnsi="Times New Roman" w:cs="Times New Roman" w:eastAsia="Times New Roman" w:hint="default"/>
        </w:rPr>
        <w:t> </w:t>
      </w:r>
      <w:r>
        <w:rPr>
          <w:rFonts w:ascii="Times New Roman" w:hAnsi="Times New Roman" w:cs="Times New Roman" w:eastAsia="Times New Roman" w:hint="default"/>
          <w:spacing w:val="-16"/>
        </w:rPr>
        <w:t> </w:t>
      </w:r>
      <w:r>
        <w:rPr>
          <w:w w:val="101"/>
        </w:rPr>
        <w:t>根</w:t>
      </w:r>
      <w:r>
        <w:rPr>
          <w:spacing w:val="-5"/>
          <w:w w:val="101"/>
        </w:rPr>
        <w:t>据</w:t>
      </w:r>
      <w:r>
        <w:rPr>
          <w:w w:val="101"/>
        </w:rPr>
        <w:t>本</w:t>
      </w:r>
      <w:r>
        <w:rPr>
          <w:spacing w:val="-5"/>
          <w:w w:val="101"/>
        </w:rPr>
        <w:t>公</w:t>
      </w:r>
      <w:r>
        <w:rPr>
          <w:w w:val="101"/>
        </w:rPr>
        <w:t>司</w:t>
      </w:r>
      <w:r>
        <w:rPr>
          <w:spacing w:val="-5"/>
          <w:w w:val="101"/>
        </w:rPr>
        <w:t>第</w:t>
      </w:r>
      <w:r>
        <w:rPr>
          <w:w w:val="101"/>
        </w:rPr>
        <w:t>四</w:t>
      </w:r>
      <w:r>
        <w:rPr>
          <w:spacing w:val="-5"/>
          <w:w w:val="101"/>
        </w:rPr>
        <w:t>届</w:t>
      </w:r>
      <w:r>
        <w:rPr>
          <w:w w:val="101"/>
        </w:rPr>
        <w:t>董</w:t>
      </w:r>
      <w:r>
        <w:rPr>
          <w:spacing w:val="-5"/>
          <w:w w:val="101"/>
        </w:rPr>
        <w:t>事</w:t>
      </w:r>
      <w:r>
        <w:rPr>
          <w:w w:val="101"/>
        </w:rPr>
        <w:t>会</w:t>
      </w:r>
      <w:r>
        <w:rPr>
          <w:spacing w:val="-5"/>
          <w:w w:val="101"/>
        </w:rPr>
        <w:t>第</w:t>
      </w:r>
      <w:r>
        <w:rPr>
          <w:w w:val="101"/>
        </w:rPr>
        <w:t>十</w:t>
      </w:r>
      <w:r>
        <w:rPr>
          <w:spacing w:val="-5"/>
          <w:w w:val="101"/>
        </w:rPr>
        <w:t>九</w:t>
      </w:r>
      <w:r>
        <w:rPr>
          <w:w w:val="101"/>
        </w:rPr>
        <w:t>次</w:t>
      </w:r>
      <w:r>
        <w:rPr>
          <w:spacing w:val="-5"/>
          <w:w w:val="101"/>
        </w:rPr>
        <w:t>会</w:t>
      </w:r>
      <w:r>
        <w:rPr>
          <w:w w:val="101"/>
        </w:rPr>
        <w:t>议</w:t>
      </w:r>
      <w:r>
        <w:rPr>
          <w:spacing w:val="-5"/>
          <w:w w:val="101"/>
        </w:rPr>
        <w:t>决议</w:t>
      </w:r>
      <w:r>
        <w:rPr>
          <w:w w:val="101"/>
        </w:rPr>
        <w:t>，</w:t>
      </w:r>
      <w:r>
        <w:rPr>
          <w:spacing w:val="-5"/>
          <w:w w:val="101"/>
        </w:rPr>
        <w:t>本</w:t>
      </w:r>
      <w:r>
        <w:rPr>
          <w:w w:val="101"/>
        </w:rPr>
        <w:t>公</w:t>
      </w:r>
      <w:r>
        <w:rPr>
          <w:spacing w:val="-5"/>
          <w:w w:val="101"/>
        </w:rPr>
        <w:t>司与</w:t>
      </w:r>
      <w:r>
        <w:rPr>
          <w:w w:val="101"/>
        </w:rPr>
        <w:t>泗</w:t>
      </w:r>
      <w:r>
        <w:rPr>
          <w:spacing w:val="-5"/>
          <w:w w:val="101"/>
        </w:rPr>
        <w:t>水</w:t>
      </w:r>
      <w:r>
        <w:rPr>
          <w:w w:val="101"/>
        </w:rPr>
        <w:t>高</w:t>
      </w:r>
      <w:r>
        <w:rPr>
          <w:spacing w:val="-5"/>
          <w:w w:val="101"/>
        </w:rPr>
        <w:t>维</w:t>
      </w:r>
      <w:r>
        <w:rPr>
          <w:w w:val="101"/>
        </w:rPr>
        <w:t>智</w:t>
      </w:r>
      <w:r>
        <w:rPr>
          <w:spacing w:val="-5"/>
          <w:w w:val="101"/>
        </w:rPr>
        <w:t>融</w:t>
      </w:r>
      <w:r>
        <w:rPr>
          <w:w w:val="101"/>
        </w:rPr>
        <w:t>信</w:t>
      </w:r>
      <w:r>
        <w:rPr>
          <w:spacing w:val="-5"/>
          <w:w w:val="101"/>
        </w:rPr>
        <w:t>息</w:t>
      </w:r>
      <w:r>
        <w:rPr>
          <w:w w:val="101"/>
        </w:rPr>
        <w:t>科</w:t>
      </w:r>
      <w:r>
        <w:rPr>
          <w:spacing w:val="-5"/>
          <w:w w:val="101"/>
        </w:rPr>
        <w:t>技</w:t>
      </w:r>
      <w:r>
        <w:rPr>
          <w:w w:val="101"/>
        </w:rPr>
        <w:t>中</w:t>
      </w:r>
      <w:r>
        <w:rPr>
          <w:spacing w:val="-5"/>
          <w:w w:val="101"/>
        </w:rPr>
        <w:t>心</w:t>
      </w:r>
      <w:r>
        <w:rPr>
          <w:w w:val="101"/>
        </w:rPr>
        <w:t>（</w:t>
      </w:r>
      <w:r>
        <w:rPr>
          <w:spacing w:val="-5"/>
          <w:w w:val="101"/>
        </w:rPr>
        <w:t>普</w:t>
      </w:r>
      <w:r>
        <w:rPr>
          <w:w w:val="101"/>
        </w:rPr>
        <w:t>通</w:t>
      </w:r>
      <w:r>
        <w:rPr>
          <w:spacing w:val="-5"/>
          <w:w w:val="101"/>
        </w:rPr>
        <w:t>合</w:t>
      </w:r>
      <w:r>
        <w:rPr>
          <w:w w:val="101"/>
        </w:rPr>
        <w:t>伙</w:t>
      </w:r>
      <w:r>
        <w:rPr>
          <w:spacing w:val="-96"/>
          <w:w w:val="101"/>
        </w:rPr>
        <w:t>）</w:t>
      </w:r>
      <w:r>
        <w:rPr>
          <w:w w:val="101"/>
        </w:rPr>
        <w:t>、</w:t>
      </w:r>
      <w:r>
        <w:rPr>
          <w:spacing w:val="-5"/>
          <w:w w:val="101"/>
        </w:rPr>
        <w:t>徐</w:t>
      </w:r>
      <w:r>
        <w:rPr>
          <w:w w:val="101"/>
        </w:rPr>
        <w:t>志</w:t>
      </w:r>
      <w:r>
        <w:rPr>
          <w:spacing w:val="-5"/>
          <w:w w:val="101"/>
        </w:rPr>
        <w:t>强</w:t>
      </w:r>
      <w:r>
        <w:rPr>
          <w:w w:val="101"/>
        </w:rPr>
        <w:t>于</w:t>
      </w:r>
      <w:r>
        <w:rPr>
          <w:spacing w:val="-46"/>
        </w:rPr>
        <w:t> </w:t>
      </w:r>
      <w:r>
        <w:rPr>
          <w:rFonts w:ascii="Times New Roman" w:hAnsi="Times New Roman" w:cs="Times New Roman" w:eastAsia="Times New Roman" w:hint="default"/>
          <w:w w:val="101"/>
        </w:rPr>
        <w:t>20</w:t>
      </w:r>
      <w:r>
        <w:rPr>
          <w:rFonts w:ascii="Times New Roman" w:hAnsi="Times New Roman" w:cs="Times New Roman" w:eastAsia="Times New Roman" w:hint="default"/>
          <w:spacing w:val="-5"/>
          <w:w w:val="101"/>
        </w:rPr>
        <w:t>1</w:t>
      </w:r>
      <w:r>
        <w:rPr>
          <w:rFonts w:ascii="Times New Roman" w:hAnsi="Times New Roman" w:cs="Times New Roman" w:eastAsia="Times New Roman" w:hint="default"/>
          <w:w w:val="101"/>
        </w:rPr>
        <w:t>9</w:t>
      </w:r>
      <w:r>
        <w:rPr>
          <w:rFonts w:ascii="Times New Roman" w:hAnsi="Times New Roman" w:cs="Times New Roman" w:eastAsia="Times New Roman" w:hint="default"/>
        </w:rPr>
      </w:r>
    </w:p>
    <w:p>
      <w:pPr>
        <w:spacing w:line="240" w:lineRule="auto" w:before="3"/>
        <w:rPr>
          <w:rFonts w:ascii="Times New Roman" w:hAnsi="Times New Roman" w:cs="Times New Roman" w:eastAsia="Times New Roman" w:hint="default"/>
          <w:sz w:val="19"/>
          <w:szCs w:val="19"/>
        </w:rPr>
      </w:pPr>
    </w:p>
    <w:p>
      <w:pPr>
        <w:pStyle w:val="BodyText"/>
        <w:spacing w:line="240" w:lineRule="auto"/>
        <w:ind w:right="0"/>
        <w:jc w:val="left"/>
      </w:pPr>
      <w:r>
        <w:rPr>
          <w:w w:val="101"/>
        </w:rPr>
        <w:t>年</w:t>
      </w:r>
      <w:r>
        <w:rPr>
          <w:spacing w:val="-47"/>
        </w:rPr>
        <w:t> </w:t>
      </w:r>
      <w:r>
        <w:rPr>
          <w:rFonts w:ascii="Times New Roman" w:hAnsi="Times New Roman" w:cs="Times New Roman" w:eastAsia="Times New Roman" w:hint="default"/>
          <w:w w:val="101"/>
        </w:rPr>
        <w:t>10</w:t>
      </w:r>
      <w:r>
        <w:rPr>
          <w:rFonts w:ascii="Times New Roman" w:hAnsi="Times New Roman" w:cs="Times New Roman" w:eastAsia="Times New Roman" w:hint="default"/>
          <w:spacing w:val="-7"/>
        </w:rPr>
        <w:t> </w:t>
      </w:r>
      <w:r>
        <w:rPr>
          <w:w w:val="101"/>
        </w:rPr>
        <w:t>月</w:t>
      </w:r>
      <w:r>
        <w:rPr>
          <w:spacing w:val="-52"/>
        </w:rPr>
        <w:t> </w:t>
      </w:r>
      <w:r>
        <w:rPr>
          <w:rFonts w:ascii="Times New Roman" w:hAnsi="Times New Roman" w:cs="Times New Roman" w:eastAsia="Times New Roman" w:hint="default"/>
          <w:w w:val="101"/>
        </w:rPr>
        <w:t>28</w:t>
      </w:r>
      <w:r>
        <w:rPr>
          <w:rFonts w:ascii="Times New Roman" w:hAnsi="Times New Roman" w:cs="Times New Roman" w:eastAsia="Times New Roman" w:hint="default"/>
          <w:spacing w:val="-11"/>
        </w:rPr>
        <w:t> </w:t>
      </w:r>
      <w:r>
        <w:rPr>
          <w:w w:val="101"/>
        </w:rPr>
        <w:t>日</w:t>
      </w:r>
      <w:r>
        <w:rPr>
          <w:spacing w:val="-5"/>
          <w:w w:val="101"/>
        </w:rPr>
        <w:t>签</w:t>
      </w:r>
      <w:r>
        <w:rPr>
          <w:w w:val="101"/>
        </w:rPr>
        <w:t>订</w:t>
      </w:r>
      <w:r>
        <w:rPr>
          <w:spacing w:val="-5"/>
          <w:w w:val="101"/>
        </w:rPr>
        <w:t>《</w:t>
      </w:r>
      <w:r>
        <w:rPr>
          <w:w w:val="101"/>
        </w:rPr>
        <w:t>关</w:t>
      </w:r>
      <w:r>
        <w:rPr>
          <w:spacing w:val="-5"/>
          <w:w w:val="101"/>
        </w:rPr>
        <w:t>于</w:t>
      </w:r>
      <w:r>
        <w:rPr>
          <w:w w:val="101"/>
        </w:rPr>
        <w:t>增</w:t>
      </w:r>
      <w:r>
        <w:rPr>
          <w:spacing w:val="-5"/>
          <w:w w:val="101"/>
        </w:rPr>
        <w:t>资</w:t>
      </w:r>
      <w:r>
        <w:rPr>
          <w:w w:val="101"/>
        </w:rPr>
        <w:t>北</w:t>
      </w:r>
      <w:r>
        <w:rPr>
          <w:spacing w:val="-5"/>
          <w:w w:val="101"/>
        </w:rPr>
        <w:t>京</w:t>
      </w:r>
      <w:r>
        <w:rPr>
          <w:w w:val="101"/>
        </w:rPr>
        <w:t>杰</w:t>
      </w:r>
      <w:r>
        <w:rPr>
          <w:spacing w:val="-5"/>
          <w:w w:val="101"/>
        </w:rPr>
        <w:t>智</w:t>
      </w:r>
      <w:r>
        <w:rPr>
          <w:w w:val="101"/>
        </w:rPr>
        <w:t>融</w:t>
      </w:r>
      <w:r>
        <w:rPr>
          <w:spacing w:val="-5"/>
          <w:w w:val="101"/>
        </w:rPr>
        <w:t>软</w:t>
      </w:r>
      <w:r>
        <w:rPr>
          <w:w w:val="101"/>
        </w:rPr>
        <w:t>件</w:t>
      </w:r>
      <w:r>
        <w:rPr>
          <w:spacing w:val="-5"/>
          <w:w w:val="101"/>
        </w:rPr>
        <w:t>有</w:t>
      </w:r>
      <w:r>
        <w:rPr>
          <w:w w:val="101"/>
        </w:rPr>
        <w:t>限</w:t>
      </w:r>
      <w:r>
        <w:rPr>
          <w:spacing w:val="-5"/>
          <w:w w:val="101"/>
        </w:rPr>
        <w:t>公</w:t>
      </w:r>
      <w:r>
        <w:rPr>
          <w:w w:val="101"/>
        </w:rPr>
        <w:t>司之</w:t>
      </w:r>
      <w:r>
        <w:rPr>
          <w:rFonts w:ascii="Times New Roman" w:hAnsi="Times New Roman" w:cs="Times New Roman" w:eastAsia="Times New Roman" w:hint="default"/>
          <w:spacing w:val="-7"/>
          <w:w w:val="101"/>
        </w:rPr>
        <w:t>&lt;</w:t>
      </w:r>
      <w:r>
        <w:rPr>
          <w:spacing w:val="-5"/>
          <w:w w:val="101"/>
        </w:rPr>
        <w:t>增</w:t>
      </w:r>
      <w:r>
        <w:rPr>
          <w:w w:val="101"/>
        </w:rPr>
        <w:t>资</w:t>
      </w:r>
      <w:r>
        <w:rPr>
          <w:spacing w:val="-5"/>
          <w:w w:val="101"/>
        </w:rPr>
        <w:t>认</w:t>
      </w:r>
      <w:r>
        <w:rPr>
          <w:w w:val="101"/>
        </w:rPr>
        <w:t>购</w:t>
      </w:r>
      <w:r>
        <w:rPr>
          <w:spacing w:val="-5"/>
          <w:w w:val="101"/>
        </w:rPr>
        <w:t>协</w:t>
      </w:r>
      <w:r>
        <w:rPr>
          <w:spacing w:val="-1"/>
          <w:w w:val="101"/>
        </w:rPr>
        <w:t>议</w:t>
      </w:r>
      <w:r>
        <w:rPr>
          <w:rFonts w:ascii="Times New Roman" w:hAnsi="Times New Roman" w:cs="Times New Roman" w:eastAsia="Times New Roman" w:hint="default"/>
          <w:spacing w:val="-3"/>
          <w:w w:val="101"/>
        </w:rPr>
        <w:t>&gt;</w:t>
      </w:r>
      <w:r>
        <w:rPr>
          <w:spacing w:val="-92"/>
          <w:w w:val="101"/>
        </w:rPr>
        <w:t>》</w:t>
      </w:r>
      <w:r>
        <w:rPr>
          <w:spacing w:val="-5"/>
          <w:w w:val="101"/>
        </w:rPr>
        <w:t>，</w:t>
      </w:r>
      <w:r>
        <w:rPr>
          <w:w w:val="101"/>
        </w:rPr>
        <w:t>本</w:t>
      </w:r>
      <w:r>
        <w:rPr>
          <w:spacing w:val="-5"/>
          <w:w w:val="101"/>
        </w:rPr>
        <w:t>公</w:t>
      </w:r>
      <w:r>
        <w:rPr>
          <w:w w:val="101"/>
        </w:rPr>
        <w:t>司</w:t>
      </w:r>
      <w:r>
        <w:rPr>
          <w:spacing w:val="-5"/>
          <w:w w:val="101"/>
        </w:rPr>
        <w:t>通</w:t>
      </w:r>
      <w:r>
        <w:rPr>
          <w:w w:val="101"/>
        </w:rPr>
        <w:t>过</w:t>
      </w:r>
      <w:r>
        <w:rPr>
          <w:spacing w:val="-5"/>
          <w:w w:val="101"/>
        </w:rPr>
        <w:t>增</w:t>
      </w:r>
      <w:r>
        <w:rPr>
          <w:w w:val="101"/>
        </w:rPr>
        <w:t>资</w:t>
      </w:r>
      <w:r>
        <w:rPr>
          <w:spacing w:val="-5"/>
          <w:w w:val="101"/>
        </w:rPr>
        <w:t>扩</w:t>
      </w:r>
      <w:r>
        <w:rPr>
          <w:w w:val="101"/>
        </w:rPr>
        <w:t>股</w:t>
      </w:r>
      <w:r>
        <w:rPr>
          <w:spacing w:val="-5"/>
          <w:w w:val="101"/>
        </w:rPr>
        <w:t>形</w:t>
      </w:r>
      <w:r>
        <w:rPr>
          <w:w w:val="101"/>
        </w:rPr>
        <w:t>式</w:t>
      </w:r>
      <w:r>
        <w:rPr>
          <w:spacing w:val="-5"/>
          <w:w w:val="101"/>
        </w:rPr>
        <w:t>以</w:t>
      </w:r>
      <w:r>
        <w:rPr>
          <w:w w:val="101"/>
        </w:rPr>
        <w:t>人民币</w:t>
      </w:r>
      <w:r>
        <w:rPr>
          <w:spacing w:val="-51"/>
        </w:rPr>
        <w:t> </w:t>
      </w:r>
      <w:r>
        <w:rPr>
          <w:rFonts w:ascii="Times New Roman" w:hAnsi="Times New Roman" w:cs="Times New Roman" w:eastAsia="Times New Roman" w:hint="default"/>
          <w:w w:val="101"/>
        </w:rPr>
        <w:t>5</w:t>
      </w:r>
      <w:r>
        <w:rPr>
          <w:rFonts w:ascii="Times New Roman" w:hAnsi="Times New Roman" w:cs="Times New Roman" w:eastAsia="Times New Roman" w:hint="default"/>
          <w:spacing w:val="-5"/>
          <w:w w:val="101"/>
        </w:rPr>
        <w:t>5</w:t>
      </w:r>
      <w:r>
        <w:rPr>
          <w:rFonts w:ascii="Times New Roman" w:hAnsi="Times New Roman" w:cs="Times New Roman" w:eastAsia="Times New Roman" w:hint="default"/>
          <w:w w:val="101"/>
        </w:rPr>
        <w:t>0</w:t>
      </w:r>
      <w:r>
        <w:rPr>
          <w:rFonts w:ascii="Times New Roman" w:hAnsi="Times New Roman" w:cs="Times New Roman" w:eastAsia="Times New Roman" w:hint="default"/>
          <w:spacing w:val="-7"/>
        </w:rPr>
        <w:t> </w:t>
      </w:r>
      <w:r>
        <w:rPr>
          <w:spacing w:val="-5"/>
          <w:w w:val="101"/>
        </w:rPr>
        <w:t>万</w:t>
      </w:r>
      <w:r>
        <w:rPr>
          <w:w w:val="101"/>
        </w:rPr>
        <w:t>元取</w:t>
      </w:r>
      <w:r>
        <w:rPr/>
      </w:r>
    </w:p>
    <w:p>
      <w:pPr>
        <w:spacing w:line="240" w:lineRule="auto" w:before="7"/>
        <w:rPr>
          <w:rFonts w:ascii="宋体" w:hAnsi="宋体" w:cs="宋体" w:eastAsia="宋体" w:hint="default"/>
          <w:sz w:val="16"/>
          <w:szCs w:val="16"/>
        </w:rPr>
      </w:pPr>
    </w:p>
    <w:p>
      <w:pPr>
        <w:pStyle w:val="BodyText"/>
        <w:spacing w:line="240" w:lineRule="auto"/>
        <w:ind w:right="0"/>
        <w:jc w:val="left"/>
        <w:rPr>
          <w:rFonts w:ascii="Times New Roman" w:hAnsi="Times New Roman" w:cs="Times New Roman" w:eastAsia="Times New Roman" w:hint="default"/>
        </w:rPr>
      </w:pPr>
      <w:r>
        <w:rPr>
          <w:spacing w:val="-3"/>
        </w:rPr>
        <w:t>得北京杰智融软件有限公司</w:t>
      </w:r>
      <w:r>
        <w:rPr>
          <w:spacing w:val="-38"/>
        </w:rPr>
        <w:t> </w:t>
      </w:r>
      <w:r>
        <w:rPr>
          <w:rFonts w:ascii="Times New Roman" w:hAnsi="Times New Roman" w:cs="Times New Roman" w:eastAsia="Times New Roman" w:hint="default"/>
          <w:spacing w:val="-9"/>
        </w:rPr>
        <w:t>55%</w:t>
      </w:r>
      <w:r>
        <w:rPr>
          <w:spacing w:val="-9"/>
        </w:rPr>
        <w:t>股权。本公司已于</w:t>
      </w:r>
      <w:r>
        <w:rPr>
          <w:spacing w:val="-38"/>
        </w:rPr>
        <w:t> </w:t>
      </w:r>
      <w:r>
        <w:rPr>
          <w:rFonts w:ascii="Times New Roman" w:hAnsi="Times New Roman" w:cs="Times New Roman" w:eastAsia="Times New Roman" w:hint="default"/>
        </w:rPr>
        <w:t>2019 </w:t>
      </w:r>
      <w:r>
        <w:rPr/>
        <w:t>年</w:t>
      </w:r>
      <w:r>
        <w:rPr>
          <w:spacing w:val="-45"/>
        </w:rPr>
        <w:t> </w:t>
      </w:r>
      <w:r>
        <w:rPr>
          <w:rFonts w:ascii="Times New Roman" w:hAnsi="Times New Roman" w:cs="Times New Roman" w:eastAsia="Times New Roman" w:hint="default"/>
        </w:rPr>
        <w:t>12</w:t>
      </w:r>
      <w:r>
        <w:rPr>
          <w:rFonts w:ascii="Times New Roman" w:hAnsi="Times New Roman" w:cs="Times New Roman" w:eastAsia="Times New Roman" w:hint="default"/>
          <w:spacing w:val="-6"/>
        </w:rPr>
        <w:t> </w:t>
      </w:r>
      <w:r>
        <w:rPr/>
        <w:t>月</w:t>
      </w:r>
      <w:r>
        <w:rPr>
          <w:spacing w:val="-38"/>
        </w:rPr>
        <w:t> </w:t>
      </w:r>
      <w:r>
        <w:rPr>
          <w:rFonts w:ascii="Times New Roman" w:hAnsi="Times New Roman" w:cs="Times New Roman" w:eastAsia="Times New Roman" w:hint="default"/>
        </w:rPr>
        <w:t>17</w:t>
      </w:r>
      <w:r>
        <w:rPr>
          <w:rFonts w:ascii="Times New Roman" w:hAnsi="Times New Roman" w:cs="Times New Roman" w:eastAsia="Times New Roman" w:hint="default"/>
          <w:spacing w:val="-6"/>
        </w:rPr>
        <w:t> </w:t>
      </w:r>
      <w:r>
        <w:rPr/>
        <w:t>日支付上述股权转让款</w:t>
      </w:r>
      <w:r>
        <w:rPr>
          <w:spacing w:val="-38"/>
        </w:rPr>
        <w:t> </w:t>
      </w:r>
      <w:r>
        <w:rPr>
          <w:rFonts w:ascii="Times New Roman" w:hAnsi="Times New Roman" w:cs="Times New Roman" w:eastAsia="Times New Roman" w:hint="default"/>
        </w:rPr>
        <w:t>275</w:t>
      </w:r>
      <w:r>
        <w:rPr>
          <w:rFonts w:ascii="Times New Roman" w:hAnsi="Times New Roman" w:cs="Times New Roman" w:eastAsia="Times New Roman" w:hint="default"/>
          <w:spacing w:val="-6"/>
        </w:rPr>
        <w:t> </w:t>
      </w:r>
      <w:r>
        <w:rPr/>
        <w:t>万元</w:t>
      </w:r>
      <w:r>
        <w:rPr>
          <w:rFonts w:ascii="Times New Roman" w:hAnsi="Times New Roman" w:cs="Times New Roman" w:eastAsia="Times New Roman" w:hint="default"/>
        </w:rPr>
        <w:t>(</w:t>
      </w:r>
      <w:r>
        <w:rPr/>
        <w:t>剩余款项已于</w:t>
      </w:r>
      <w:r>
        <w:rPr>
          <w:spacing w:val="-38"/>
        </w:rPr>
        <w:t> </w:t>
      </w:r>
      <w:r>
        <w:rPr>
          <w:rFonts w:ascii="Times New Roman" w:hAnsi="Times New Roman" w:cs="Times New Roman" w:eastAsia="Times New Roman" w:hint="default"/>
          <w:spacing w:val="-3"/>
        </w:rPr>
        <w:t>2020</w:t>
      </w:r>
      <w:r>
        <w:rPr>
          <w:rFonts w:ascii="Times New Roman" w:hAnsi="Times New Roman" w:cs="Times New Roman" w:eastAsia="Times New Roman" w:hint="default"/>
        </w:rPr>
        <w:t> </w:t>
      </w:r>
      <w:r>
        <w:rPr/>
        <w:t>年</w:t>
      </w:r>
      <w:r>
        <w:rPr>
          <w:spacing w:val="-38"/>
        </w:rPr>
        <w:t> </w:t>
      </w:r>
      <w:r>
        <w:rPr>
          <w:rFonts w:ascii="Times New Roman" w:hAnsi="Times New Roman" w:cs="Times New Roman" w:eastAsia="Times New Roman" w:hint="default"/>
        </w:rPr>
        <w:t>3</w:t>
      </w:r>
    </w:p>
    <w:p>
      <w:pPr>
        <w:spacing w:line="240" w:lineRule="auto" w:before="3"/>
        <w:rPr>
          <w:rFonts w:ascii="Times New Roman" w:hAnsi="Times New Roman" w:cs="Times New Roman" w:eastAsia="Times New Roman" w:hint="default"/>
          <w:sz w:val="19"/>
          <w:szCs w:val="19"/>
        </w:rPr>
      </w:pPr>
    </w:p>
    <w:p>
      <w:pPr>
        <w:pStyle w:val="BodyText"/>
        <w:spacing w:line="240" w:lineRule="auto"/>
        <w:ind w:right="0"/>
        <w:jc w:val="left"/>
      </w:pPr>
      <w:r>
        <w:rPr/>
        <w:t>月</w:t>
      </w:r>
      <w:r>
        <w:rPr>
          <w:spacing w:val="-26"/>
        </w:rPr>
        <w:t> </w:t>
      </w:r>
      <w:r>
        <w:rPr>
          <w:rFonts w:ascii="Times New Roman" w:hAnsi="Times New Roman" w:cs="Times New Roman" w:eastAsia="Times New Roman" w:hint="default"/>
        </w:rPr>
        <w:t>19</w:t>
      </w:r>
      <w:r>
        <w:rPr>
          <w:rFonts w:ascii="Times New Roman" w:hAnsi="Times New Roman" w:cs="Times New Roman" w:eastAsia="Times New Roman" w:hint="default"/>
          <w:spacing w:val="4"/>
        </w:rPr>
        <w:t> </w:t>
      </w:r>
      <w:r>
        <w:rPr>
          <w:spacing w:val="-3"/>
        </w:rPr>
        <w:t>日支付完毕</w:t>
      </w:r>
      <w:r>
        <w:rPr>
          <w:rFonts w:ascii="Times New Roman" w:hAnsi="Times New Roman" w:cs="Times New Roman" w:eastAsia="Times New Roman" w:hint="default"/>
          <w:spacing w:val="-3"/>
        </w:rPr>
        <w:t>)</w:t>
      </w:r>
      <w:r>
        <w:rPr>
          <w:spacing w:val="-3"/>
        </w:rPr>
        <w:t>，北京杰智融软件有限公司于</w:t>
      </w:r>
      <w:r>
        <w:rPr>
          <w:spacing w:val="-32"/>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1"/>
        </w:rPr>
        <w:t> </w:t>
      </w:r>
      <w:r>
        <w:rPr/>
        <w:t>年</w:t>
      </w:r>
      <w:r>
        <w:rPr>
          <w:spacing w:val="-34"/>
        </w:rPr>
        <w:t> </w:t>
      </w:r>
      <w:r>
        <w:rPr>
          <w:rFonts w:ascii="Times New Roman" w:hAnsi="Times New Roman" w:cs="Times New Roman" w:eastAsia="Times New Roman" w:hint="default"/>
          <w:spacing w:val="-3"/>
        </w:rPr>
        <w:t>11</w:t>
      </w:r>
      <w:r>
        <w:rPr>
          <w:rFonts w:ascii="Times New Roman" w:hAnsi="Times New Roman" w:cs="Times New Roman" w:eastAsia="Times New Roman" w:hint="default"/>
          <w:spacing w:val="5"/>
        </w:rPr>
        <w:t> </w:t>
      </w:r>
      <w:r>
        <w:rPr/>
        <w:t>月</w:t>
      </w:r>
      <w:r>
        <w:rPr>
          <w:spacing w:val="-34"/>
        </w:rPr>
        <w:t> </w:t>
      </w:r>
      <w:r>
        <w:rPr>
          <w:rFonts w:ascii="Times New Roman" w:hAnsi="Times New Roman" w:cs="Times New Roman" w:eastAsia="Times New Roman" w:hint="default"/>
        </w:rPr>
        <w:t>26</w:t>
      </w:r>
      <w:r>
        <w:rPr>
          <w:rFonts w:ascii="Times New Roman" w:hAnsi="Times New Roman" w:cs="Times New Roman" w:eastAsia="Times New Roman" w:hint="default"/>
          <w:spacing w:val="11"/>
        </w:rPr>
        <w:t> </w:t>
      </w:r>
      <w:r>
        <w:rPr>
          <w:spacing w:val="-3"/>
        </w:rPr>
        <w:t>日办妥工商变更登记手续，同时北京杰智融软件有限公司</w:t>
      </w:r>
    </w:p>
    <w:p>
      <w:pPr>
        <w:spacing w:line="240" w:lineRule="auto" w:before="7"/>
        <w:rPr>
          <w:rFonts w:ascii="宋体" w:hAnsi="宋体" w:cs="宋体" w:eastAsia="宋体" w:hint="default"/>
          <w:sz w:val="16"/>
          <w:szCs w:val="16"/>
        </w:rPr>
      </w:pPr>
    </w:p>
    <w:p>
      <w:pPr>
        <w:pStyle w:val="BodyText"/>
        <w:spacing w:line="240" w:lineRule="auto"/>
        <w:ind w:right="0"/>
        <w:jc w:val="left"/>
      </w:pPr>
      <w:r>
        <w:rPr/>
        <w:t>新的董事会于</w:t>
      </w:r>
      <w:r>
        <w:rPr>
          <w:spacing w:val="-31"/>
        </w:rPr>
        <w:t> </w:t>
      </w:r>
      <w:r>
        <w:rPr>
          <w:rFonts w:ascii="Times New Roman" w:hAnsi="Times New Roman" w:cs="Times New Roman" w:eastAsia="Times New Roman" w:hint="default"/>
        </w:rPr>
        <w:t>2019</w:t>
      </w:r>
      <w:r>
        <w:rPr>
          <w:rFonts w:ascii="Times New Roman" w:hAnsi="Times New Roman" w:cs="Times New Roman" w:eastAsia="Times New Roman" w:hint="default"/>
          <w:spacing w:val="7"/>
        </w:rPr>
        <w:t> </w:t>
      </w:r>
      <w:r>
        <w:rPr/>
        <w:t>年</w:t>
      </w:r>
      <w:r>
        <w:rPr>
          <w:spacing w:val="-38"/>
        </w:rPr>
        <w:t> </w:t>
      </w:r>
      <w:r>
        <w:rPr>
          <w:rFonts w:ascii="Times New Roman" w:hAnsi="Times New Roman" w:cs="Times New Roman" w:eastAsia="Times New Roman" w:hint="default"/>
          <w:spacing w:val="-5"/>
        </w:rPr>
        <w:t>11</w:t>
      </w:r>
      <w:r>
        <w:rPr>
          <w:rFonts w:ascii="Times New Roman" w:hAnsi="Times New Roman" w:cs="Times New Roman" w:eastAsia="Times New Roman" w:hint="default"/>
          <w:spacing w:val="7"/>
        </w:rPr>
        <w:t> </w:t>
      </w:r>
      <w:r>
        <w:rPr>
          <w:spacing w:val="-4"/>
        </w:rPr>
        <w:t>月成立，在新一届董事会中本公司派出董事已达到半数，本公司在</w:t>
      </w:r>
      <w:r>
        <w:rPr>
          <w:spacing w:val="-29"/>
        </w:rPr>
        <w:t> </w:t>
      </w:r>
      <w:r>
        <w:rPr>
          <w:rFonts w:ascii="Times New Roman" w:hAnsi="Times New Roman" w:cs="Times New Roman" w:eastAsia="Times New Roman" w:hint="default"/>
        </w:rPr>
        <w:t>2019</w:t>
      </w:r>
      <w:r>
        <w:rPr>
          <w:rFonts w:ascii="Times New Roman" w:hAnsi="Times New Roman" w:cs="Times New Roman" w:eastAsia="Times New Roman" w:hint="default"/>
          <w:spacing w:val="7"/>
        </w:rPr>
        <w:t> </w:t>
      </w:r>
      <w:r>
        <w:rPr/>
        <w:t>年</w:t>
      </w:r>
      <w:r>
        <w:rPr>
          <w:spacing w:val="-38"/>
        </w:rPr>
        <w:t> </w:t>
      </w:r>
      <w:r>
        <w:rPr>
          <w:rFonts w:ascii="Times New Roman" w:hAnsi="Times New Roman" w:cs="Times New Roman" w:eastAsia="Times New Roman" w:hint="default"/>
          <w:spacing w:val="-5"/>
        </w:rPr>
        <w:t>11</w:t>
      </w:r>
      <w:r>
        <w:rPr>
          <w:rFonts w:ascii="Times New Roman" w:hAnsi="Times New Roman" w:cs="Times New Roman" w:eastAsia="Times New Roman" w:hint="default"/>
          <w:spacing w:val="7"/>
        </w:rPr>
        <w:t> </w:t>
      </w:r>
      <w:r>
        <w:rPr>
          <w:spacing w:val="-3"/>
        </w:rPr>
        <w:t>月末已拥有该公司的</w:t>
      </w:r>
    </w:p>
    <w:p>
      <w:pPr>
        <w:spacing w:line="240" w:lineRule="auto" w:before="12"/>
        <w:rPr>
          <w:rFonts w:ascii="宋体" w:hAnsi="宋体" w:cs="宋体" w:eastAsia="宋体" w:hint="default"/>
          <w:sz w:val="16"/>
          <w:szCs w:val="16"/>
        </w:rPr>
      </w:pPr>
    </w:p>
    <w:p>
      <w:pPr>
        <w:pStyle w:val="BodyText"/>
        <w:spacing w:line="240" w:lineRule="auto"/>
        <w:ind w:right="0"/>
        <w:jc w:val="left"/>
      </w:pPr>
      <w:r>
        <w:rPr/>
        <w:t>实质控制权。为便于核算，将</w:t>
      </w:r>
      <w:r>
        <w:rPr>
          <w:spacing w:val="-39"/>
        </w:rPr>
        <w:t> </w:t>
      </w:r>
      <w:r>
        <w:rPr>
          <w:rFonts w:ascii="Times New Roman" w:hAnsi="Times New Roman" w:cs="Times New Roman" w:eastAsia="Times New Roman" w:hint="default"/>
          <w:spacing w:val="-3"/>
        </w:rPr>
        <w:t>2019</w:t>
      </w:r>
      <w:r>
        <w:rPr>
          <w:rFonts w:ascii="Times New Roman" w:hAnsi="Times New Roman" w:cs="Times New Roman" w:eastAsia="Times New Roman" w:hint="default"/>
        </w:rPr>
        <w:t> </w:t>
      </w:r>
      <w:r>
        <w:rPr/>
        <w:t>年</w:t>
      </w:r>
      <w:r>
        <w:rPr>
          <w:spacing w:val="-39"/>
        </w:rPr>
        <w:t> </w:t>
      </w:r>
      <w:r>
        <w:rPr>
          <w:rFonts w:ascii="Times New Roman" w:hAnsi="Times New Roman" w:cs="Times New Roman" w:eastAsia="Times New Roman" w:hint="default"/>
          <w:spacing w:val="-5"/>
        </w:rPr>
        <w:t>11</w:t>
      </w:r>
      <w:r>
        <w:rPr>
          <w:rFonts w:ascii="Times New Roman" w:hAnsi="Times New Roman" w:cs="Times New Roman" w:eastAsia="Times New Roman" w:hint="default"/>
        </w:rPr>
        <w:t> </w:t>
      </w:r>
      <w:r>
        <w:rPr/>
        <w:t>月</w:t>
      </w:r>
      <w:r>
        <w:rPr>
          <w:spacing w:val="-44"/>
        </w:rPr>
        <w:t> </w:t>
      </w:r>
      <w:r>
        <w:rPr>
          <w:rFonts w:ascii="Times New Roman" w:hAnsi="Times New Roman" w:cs="Times New Roman" w:eastAsia="Times New Roman" w:hint="default"/>
        </w:rPr>
        <w:t>30</w:t>
      </w:r>
      <w:r>
        <w:rPr>
          <w:rFonts w:ascii="Times New Roman" w:hAnsi="Times New Roman" w:cs="Times New Roman" w:eastAsia="Times New Roman" w:hint="default"/>
          <w:spacing w:val="-6"/>
        </w:rPr>
        <w:t> </w:t>
      </w:r>
      <w:r>
        <w:rPr/>
        <w:t>日确定为购买日，自</w:t>
      </w:r>
      <w:r>
        <w:rPr>
          <w:spacing w:val="-39"/>
        </w:rPr>
        <w:t> </w:t>
      </w:r>
      <w:r>
        <w:rPr>
          <w:rFonts w:ascii="Times New Roman" w:hAnsi="Times New Roman" w:cs="Times New Roman" w:eastAsia="Times New Roman" w:hint="default"/>
          <w:spacing w:val="-3"/>
        </w:rPr>
        <w:t>2019</w:t>
      </w:r>
      <w:r>
        <w:rPr>
          <w:rFonts w:ascii="Times New Roman" w:hAnsi="Times New Roman" w:cs="Times New Roman" w:eastAsia="Times New Roman" w:hint="default"/>
        </w:rPr>
        <w:t> </w:t>
      </w:r>
      <w:r>
        <w:rPr/>
        <w:t>年</w:t>
      </w:r>
      <w:r>
        <w:rPr>
          <w:spacing w:val="-39"/>
        </w:rPr>
        <w:t> </w:t>
      </w:r>
      <w:r>
        <w:rPr>
          <w:rFonts w:ascii="Times New Roman" w:hAnsi="Times New Roman" w:cs="Times New Roman" w:eastAsia="Times New Roman" w:hint="default"/>
          <w:spacing w:val="-3"/>
        </w:rPr>
        <w:t>12</w:t>
      </w:r>
      <w:r>
        <w:rPr>
          <w:rFonts w:ascii="Times New Roman" w:hAnsi="Times New Roman" w:cs="Times New Roman" w:eastAsia="Times New Roman" w:hint="default"/>
        </w:rPr>
        <w:t> </w:t>
      </w:r>
      <w:r>
        <w:rPr/>
        <w:t>月</w:t>
      </w:r>
      <w:r>
        <w:rPr>
          <w:spacing w:val="-45"/>
        </w:rPr>
        <w:t> </w:t>
      </w:r>
      <w:r>
        <w:rPr>
          <w:rFonts w:ascii="Times New Roman" w:hAnsi="Times New Roman" w:cs="Times New Roman" w:eastAsia="Times New Roman" w:hint="default"/>
        </w:rPr>
        <w:t>1 </w:t>
      </w:r>
      <w:r>
        <w:rPr>
          <w:spacing w:val="-3"/>
        </w:rPr>
        <w:t>日起将其纳入合并财务报表范围。</w:t>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3"/>
          <w:szCs w:val="13"/>
        </w:rPr>
      </w:pPr>
    </w:p>
    <w:p>
      <w:pPr>
        <w:pStyle w:val="Heading3"/>
        <w:spacing w:line="240" w:lineRule="auto"/>
        <w:ind w:right="0"/>
        <w:jc w:val="left"/>
        <w:rPr>
          <w:b w:val="0"/>
          <w:bCs w:val="0"/>
        </w:rPr>
      </w:pPr>
      <w:bookmarkStart w:name="（2）合并成本及商誉" w:id="352"/>
      <w:bookmarkEnd w:id="352"/>
      <w:r>
        <w:rPr>
          <w:b w:val="0"/>
          <w:bCs w:val="0"/>
        </w:rPr>
      </w:r>
      <w:r>
        <w:rPr/>
        <w:t>（</w:t>
      </w:r>
      <w:r>
        <w:rPr>
          <w:rFonts w:ascii="Times New Roman" w:hAnsi="Times New Roman" w:cs="Times New Roman" w:eastAsia="Times New Roman" w:hint="default"/>
        </w:rPr>
        <w:t>2</w:t>
      </w:r>
      <w:r>
        <w:rPr/>
        <w:t>）合并成本及商誉</w:t>
      </w:r>
      <w:r>
        <w:rPr>
          <w:b w:val="0"/>
          <w:bCs w:val="0"/>
        </w:rPr>
      </w:r>
    </w:p>
    <w:p>
      <w:pPr>
        <w:spacing w:line="240" w:lineRule="auto" w:before="10"/>
        <w:rPr>
          <w:rFonts w:ascii="宋体" w:hAnsi="宋体" w:cs="宋体" w:eastAsia="宋体" w:hint="default"/>
          <w:b/>
          <w:bCs/>
          <w:sz w:val="26"/>
          <w:szCs w:val="26"/>
        </w:rPr>
      </w:pPr>
    </w:p>
    <w:p>
      <w:pPr>
        <w:pStyle w:val="BodyText"/>
        <w:spacing w:line="240" w:lineRule="auto"/>
        <w:ind w:left="0" w:right="1122"/>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4764"/>
        <w:gridCol w:w="4794"/>
      </w:tblGrid>
      <w:tr>
        <w:trPr>
          <w:trHeight w:val="403"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合并成本</w:t>
            </w:r>
          </w:p>
        </w:tc>
        <w:tc>
          <w:tcPr>
            <w:tcW w:w="4794"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98"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现金</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550.00</w:t>
            </w:r>
          </w:p>
        </w:tc>
      </w:tr>
      <w:tr>
        <w:trPr>
          <w:trHeight w:val="403"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合并成本合计</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550.00</w:t>
            </w:r>
          </w:p>
        </w:tc>
      </w:tr>
      <w:tr>
        <w:trPr>
          <w:trHeight w:val="404"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pacing w:val="-3"/>
                <w:sz w:val="18"/>
                <w:szCs w:val="18"/>
              </w:rPr>
              <w:t>减：取得的可辨认净资产公允价值份额</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550.00</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3）被购买方于购买日可辨认资产、负债" w:id="353"/>
      <w:bookmarkEnd w:id="353"/>
      <w:r>
        <w:rPr>
          <w:b w:val="0"/>
          <w:bCs w:val="0"/>
        </w:rPr>
      </w:r>
      <w:r>
        <w:rPr/>
        <w:t>（</w:t>
      </w:r>
      <w:r>
        <w:rPr>
          <w:rFonts w:ascii="Times New Roman" w:hAnsi="Times New Roman" w:cs="Times New Roman" w:eastAsia="Times New Roman" w:hint="default"/>
        </w:rPr>
        <w:t>3</w:t>
      </w:r>
      <w:r>
        <w:rPr/>
        <w:t>）被购买方于购买日可辨认资产、负债</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10"/>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93"/>
        <w:gridCol w:w="3189"/>
        <w:gridCol w:w="3193"/>
      </w:tblGrid>
      <w:tr>
        <w:trPr>
          <w:trHeight w:val="401" w:hRule="exact"/>
        </w:trPr>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382" w:type="dxa"/>
            <w:gridSpan w:val="2"/>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60" w:right="0"/>
              <w:jc w:val="left"/>
              <w:rPr>
                <w:rFonts w:ascii="宋体" w:hAnsi="宋体" w:cs="宋体" w:eastAsia="宋体" w:hint="default"/>
                <w:sz w:val="18"/>
                <w:szCs w:val="18"/>
              </w:rPr>
            </w:pPr>
            <w:r>
              <w:rPr>
                <w:rFonts w:ascii="宋体" w:hAnsi="宋体" w:cs="宋体" w:eastAsia="宋体" w:hint="default"/>
                <w:spacing w:val="-3"/>
                <w:sz w:val="18"/>
                <w:szCs w:val="18"/>
              </w:rPr>
              <w:t>购买日公允价值</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60" w:right="0"/>
              <w:jc w:val="left"/>
              <w:rPr>
                <w:rFonts w:ascii="宋体" w:hAnsi="宋体" w:cs="宋体" w:eastAsia="宋体" w:hint="default"/>
                <w:sz w:val="18"/>
                <w:szCs w:val="18"/>
              </w:rPr>
            </w:pPr>
            <w:r>
              <w:rPr>
                <w:rFonts w:ascii="宋体" w:hAnsi="宋体" w:cs="宋体" w:eastAsia="宋体" w:hint="default"/>
                <w:spacing w:val="-3"/>
                <w:sz w:val="18"/>
                <w:szCs w:val="18"/>
              </w:rPr>
              <w:t>购买日账面价值</w:t>
            </w:r>
          </w:p>
        </w:tc>
      </w:tr>
    </w:tbl>
    <w:p>
      <w:pPr>
        <w:spacing w:after="0" w:line="240" w:lineRule="auto"/>
        <w:jc w:val="left"/>
        <w:rPr>
          <w:rFonts w:ascii="宋体" w:hAnsi="宋体" w:cs="宋体" w:eastAsia="宋体" w:hint="default"/>
          <w:sz w:val="18"/>
          <w:szCs w:val="18"/>
        </w:rPr>
        <w:sectPr>
          <w:pgSz w:w="11910" w:h="16840"/>
          <w:pgMar w:header="871" w:footer="1186" w:top="1100" w:bottom="1380" w:left="980" w:right="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3193"/>
        <w:gridCol w:w="3189"/>
        <w:gridCol w:w="3193"/>
      </w:tblGrid>
      <w:tr>
        <w:trPr>
          <w:trHeight w:val="403" w:hRule="exact"/>
        </w:trPr>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96.26</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96.26</w:t>
            </w:r>
          </w:p>
        </w:tc>
      </w:tr>
      <w:tr>
        <w:trPr>
          <w:trHeight w:val="398" w:hRule="exact"/>
        </w:trPr>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应收款项</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2,426.13</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2,426.13</w:t>
            </w:r>
          </w:p>
        </w:tc>
      </w:tr>
      <w:tr>
        <w:trPr>
          <w:trHeight w:val="404" w:hRule="exact"/>
        </w:trPr>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14.07</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15.04</w:t>
            </w:r>
          </w:p>
        </w:tc>
      </w:tr>
      <w:tr>
        <w:trPr>
          <w:trHeight w:val="403" w:hRule="exact"/>
        </w:trPr>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2"/>
                <w:sz w:val="18"/>
              </w:rPr>
              <w:t>2,110.00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372.04</w:t>
            </w:r>
          </w:p>
        </w:tc>
      </w:tr>
      <w:tr>
        <w:trPr>
          <w:trHeight w:val="403" w:hRule="exact"/>
        </w:trPr>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18.26</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18.26</w:t>
            </w:r>
          </w:p>
        </w:tc>
      </w:tr>
      <w:tr>
        <w:trPr>
          <w:trHeight w:val="398" w:hRule="exact"/>
        </w:trPr>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2"/>
                <w:sz w:val="18"/>
              </w:rPr>
              <w:t>11.62</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11.62</w:t>
            </w:r>
          </w:p>
        </w:tc>
      </w:tr>
      <w:tr>
        <w:trPr>
          <w:trHeight w:val="404" w:hRule="exact"/>
        </w:trPr>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3"/>
                <w:sz w:val="18"/>
                <w:szCs w:val="18"/>
              </w:rPr>
              <w:t>递延所得税资产</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289.80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289.80</w:t>
            </w:r>
          </w:p>
        </w:tc>
      </w:tr>
      <w:tr>
        <w:trPr>
          <w:trHeight w:val="403" w:hRule="exact"/>
        </w:trPr>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应付款项</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3,613.67</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3,613.67</w:t>
            </w:r>
          </w:p>
        </w:tc>
      </w:tr>
      <w:tr>
        <w:trPr>
          <w:trHeight w:val="403" w:hRule="exact"/>
        </w:trPr>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524.36</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524.36</w:t>
            </w:r>
          </w:p>
        </w:tc>
      </w:tr>
      <w:tr>
        <w:trPr>
          <w:trHeight w:val="398" w:hRule="exact"/>
        </w:trPr>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2"/>
                <w:sz w:val="18"/>
              </w:rPr>
              <w:t>828.11</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-908.89</w:t>
            </w:r>
          </w:p>
        </w:tc>
      </w:tr>
      <w:tr>
        <w:trPr>
          <w:trHeight w:val="403" w:hRule="exact"/>
        </w:trPr>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减：少数股东权益</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372.65</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-409.00</w:t>
            </w:r>
          </w:p>
        </w:tc>
      </w:tr>
      <w:tr>
        <w:trPr>
          <w:trHeight w:val="404" w:hRule="exact"/>
        </w:trPr>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取得的净资产</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455.46</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-499.89</w:t>
            </w:r>
          </w:p>
        </w:tc>
      </w:tr>
    </w:tbl>
    <w:p>
      <w:pPr>
        <w:pStyle w:val="BodyText"/>
        <w:spacing w:line="439" w:lineRule="auto" w:before="53"/>
        <w:ind w:left="513" w:right="1141" w:hanging="360"/>
        <w:jc w:val="left"/>
      </w:pPr>
      <w:r>
        <w:rPr>
          <w:spacing w:val="-3"/>
        </w:rPr>
        <w:t>可辨认资产、负债公允价值的确定方法：</w:t>
      </w:r>
      <w:r>
        <w:rPr>
          <w:spacing w:val="-33"/>
        </w:rPr>
        <w:t> </w:t>
      </w:r>
      <w:r>
        <w:rPr>
          <w:spacing w:val="-33"/>
        </w:rPr>
      </w:r>
      <w:r>
        <w:rPr>
          <w:spacing w:val="-3"/>
        </w:rPr>
        <w:t>收购标的北京杰智融软件有限公司，已经北京北方亚事资产评估事务所（特殊普通合伙）进行评估，并于 </w:t>
      </w:r>
      <w:r>
        <w:rPr>
          <w:rFonts w:ascii="Times New Roman" w:hAnsi="Times New Roman" w:cs="Times New Roman" w:eastAsia="Times New Roman" w:hint="default"/>
          <w:spacing w:val="-3"/>
        </w:rPr>
        <w:t>2020  </w:t>
      </w:r>
      <w:r>
        <w:rPr/>
        <w:t>年 </w:t>
      </w:r>
      <w:r>
        <w:rPr>
          <w:rFonts w:ascii="Times New Roman" w:hAnsi="Times New Roman" w:cs="Times New Roman" w:eastAsia="Times New Roman" w:hint="default"/>
        </w:rPr>
        <w:t>3</w:t>
      </w:r>
      <w:r>
        <w:rPr>
          <w:rFonts w:ascii="Times New Roman" w:hAnsi="Times New Roman" w:cs="Times New Roman" w:eastAsia="Times New Roman" w:hint="default"/>
          <w:spacing w:val="4"/>
        </w:rPr>
        <w:t> </w:t>
      </w:r>
      <w:r>
        <w:rPr/>
        <w:t>月</w:t>
      </w:r>
    </w:p>
    <w:p>
      <w:pPr>
        <w:pStyle w:val="BodyText"/>
        <w:spacing w:line="463" w:lineRule="auto" w:before="51"/>
        <w:ind w:right="1117"/>
        <w:jc w:val="left"/>
      </w:pPr>
      <w:r>
        <w:rPr>
          <w:rFonts w:ascii="Times New Roman" w:hAnsi="Times New Roman" w:cs="Times New Roman" w:eastAsia="Times New Roman" w:hint="default"/>
        </w:rPr>
        <w:t>13 </w:t>
      </w:r>
      <w:r>
        <w:rPr>
          <w:spacing w:val="-3"/>
        </w:rPr>
        <w:t>日出具了北方亚事评报字</w:t>
      </w:r>
      <w:r>
        <w:rPr>
          <w:rFonts w:ascii="Times New Roman" w:hAnsi="Times New Roman" w:cs="Times New Roman" w:eastAsia="Times New Roman" w:hint="default"/>
          <w:spacing w:val="-3"/>
        </w:rPr>
        <w:t>[2020]</w:t>
      </w:r>
      <w:r>
        <w:rPr>
          <w:spacing w:val="-3"/>
        </w:rPr>
        <w:t>第 </w:t>
      </w:r>
      <w:r>
        <w:rPr>
          <w:rFonts w:ascii="Times New Roman" w:hAnsi="Times New Roman" w:cs="Times New Roman" w:eastAsia="Times New Roman" w:hint="default"/>
        </w:rPr>
        <w:t>01-075 </w:t>
      </w:r>
      <w:r>
        <w:rPr>
          <w:spacing w:val="-3"/>
        </w:rPr>
        <w:t>号公允价值分摊项目评估报告书，评估基准日为 </w:t>
      </w:r>
      <w:r>
        <w:rPr>
          <w:rFonts w:ascii="Times New Roman" w:hAnsi="Times New Roman" w:cs="Times New Roman" w:eastAsia="Times New Roman" w:hint="default"/>
        </w:rPr>
        <w:t>2019 </w:t>
      </w:r>
      <w:r>
        <w:rPr/>
        <w:t>年 </w:t>
      </w:r>
      <w:r>
        <w:rPr>
          <w:rFonts w:ascii="Times New Roman" w:hAnsi="Times New Roman" w:cs="Times New Roman" w:eastAsia="Times New Roman" w:hint="default"/>
          <w:spacing w:val="-5"/>
        </w:rPr>
        <w:t>11 </w:t>
      </w:r>
      <w:r>
        <w:rPr/>
        <w:t>月 </w:t>
      </w:r>
      <w:r>
        <w:rPr>
          <w:rFonts w:ascii="Times New Roman" w:hAnsi="Times New Roman" w:cs="Times New Roman" w:eastAsia="Times New Roman" w:hint="default"/>
        </w:rPr>
        <w:t>30 </w:t>
      </w:r>
      <w:r>
        <w:rPr/>
        <w:t>日。根据该</w:t>
      </w:r>
      <w:r>
        <w:rPr>
          <w:spacing w:val="-78"/>
        </w:rPr>
        <w:t> </w:t>
      </w:r>
      <w:r>
        <w:rPr>
          <w:spacing w:val="-78"/>
        </w:rPr>
      </w:r>
      <w:r>
        <w:rPr>
          <w:spacing w:val="-4"/>
          <w:w w:val="101"/>
        </w:rPr>
        <w:t>评估报告考虑递延所得税的影响及本次增资的影响，所收购北京杰智融软件有限公司股权的可辨认净资产的公允价值为人民</w:t>
      </w:r>
      <w:r>
        <w:rPr>
          <w:w w:val="101"/>
        </w:rPr>
        <w:t> </w:t>
      </w:r>
      <w:r>
        <w:rPr/>
        <w:t>币</w:t>
      </w:r>
      <w:r>
        <w:rPr>
          <w:spacing w:val="-44"/>
        </w:rPr>
        <w:t> </w:t>
      </w:r>
      <w:r>
        <w:rPr>
          <w:rFonts w:ascii="Times New Roman" w:hAnsi="Times New Roman" w:cs="Times New Roman" w:eastAsia="Times New Roman" w:hint="default"/>
        </w:rPr>
        <w:t>5,500,000.00</w:t>
      </w:r>
      <w:r>
        <w:rPr>
          <w:rFonts w:ascii="Times New Roman" w:hAnsi="Times New Roman" w:cs="Times New Roman" w:eastAsia="Times New Roman" w:hint="default"/>
          <w:spacing w:val="-4"/>
        </w:rPr>
        <w:t> </w:t>
      </w:r>
      <w:r>
        <w:rPr>
          <w:spacing w:val="-5"/>
        </w:rPr>
        <w:t>元。</w:t>
      </w:r>
      <w:r>
        <w:rPr/>
      </w:r>
    </w:p>
    <w:p>
      <w:pPr>
        <w:spacing w:line="240" w:lineRule="auto" w:before="9"/>
        <w:rPr>
          <w:rFonts w:ascii="宋体" w:hAnsi="宋体" w:cs="宋体" w:eastAsia="宋体" w:hint="default"/>
          <w:sz w:val="17"/>
          <w:szCs w:val="17"/>
        </w:rPr>
      </w:pPr>
    </w:p>
    <w:p>
      <w:pPr>
        <w:pStyle w:val="Heading3"/>
        <w:spacing w:line="240" w:lineRule="auto"/>
        <w:ind w:right="0"/>
        <w:jc w:val="left"/>
        <w:rPr>
          <w:b w:val="0"/>
          <w:bCs w:val="0"/>
        </w:rPr>
      </w:pPr>
      <w:bookmarkStart w:name="2、处置子公司" w:id="354"/>
      <w:bookmarkEnd w:id="354"/>
      <w:r>
        <w:rPr>
          <w:b w:val="0"/>
          <w:bCs w:val="0"/>
        </w:rPr>
      </w:r>
      <w:r>
        <w:rPr>
          <w:rFonts w:ascii="Times New Roman" w:hAnsi="Times New Roman" w:cs="Times New Roman" w:eastAsia="Times New Roman" w:hint="default"/>
        </w:rPr>
        <w:t>2</w:t>
      </w:r>
      <w:r>
        <w:rPr/>
        <w:t>、处置子公司</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spacing w:val="-3"/>
        </w:rPr>
        <w:t>是否存在单次处置对子公司投资即丧失控制权的情形</w:t>
      </w:r>
    </w:p>
    <w:p>
      <w:pPr>
        <w:pStyle w:val="BodyText"/>
        <w:spacing w:line="343" w:lineRule="auto" w:before="115"/>
        <w:ind w:right="4688"/>
        <w:jc w:val="left"/>
      </w:pP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是</w:t>
      </w:r>
      <w:r>
        <w:rPr>
          <w:spacing w:val="-4"/>
        </w:rPr>
        <w:t>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否</w:t>
      </w:r>
      <w:r>
        <w:rPr>
          <w:spacing w:val="-83"/>
        </w:rPr>
        <w:t> </w:t>
      </w:r>
      <w:r>
        <w:rPr>
          <w:spacing w:val="-3"/>
        </w:rPr>
        <w:t>是否存在通过多次交易分步处置对子公司投资且在本期丧失控制权的情形</w:t>
      </w:r>
    </w:p>
    <w:p>
      <w:pPr>
        <w:pStyle w:val="BodyText"/>
        <w:spacing w:line="240" w:lineRule="auto" w:before="37"/>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13"/>
        <w:rPr>
          <w:rFonts w:ascii="宋体" w:hAnsi="宋体" w:cs="宋体" w:eastAsia="宋体" w:hint="default"/>
          <w:sz w:val="22"/>
          <w:szCs w:val="22"/>
        </w:rPr>
      </w:pPr>
    </w:p>
    <w:p>
      <w:pPr>
        <w:pStyle w:val="Heading2"/>
        <w:spacing w:line="240" w:lineRule="auto"/>
        <w:ind w:right="0"/>
        <w:jc w:val="left"/>
        <w:rPr>
          <w:b w:val="0"/>
          <w:bCs w:val="0"/>
        </w:rPr>
      </w:pPr>
      <w:bookmarkStart w:name="九、在其他主体中的权益" w:id="355"/>
      <w:bookmarkEnd w:id="355"/>
      <w:r>
        <w:rPr>
          <w:b w:val="0"/>
          <w:bCs w:val="0"/>
        </w:rPr>
      </w:r>
      <w:r>
        <w:rPr/>
        <w:t>九、在其他主体中的权益</w:t>
      </w:r>
      <w:r>
        <w:rPr>
          <w:b w:val="0"/>
          <w:bCs w:val="0"/>
        </w:rPr>
      </w:r>
    </w:p>
    <w:p>
      <w:pPr>
        <w:spacing w:line="240" w:lineRule="auto" w:before="3"/>
        <w:rPr>
          <w:rFonts w:ascii="宋体" w:hAnsi="宋体" w:cs="宋体" w:eastAsia="宋体" w:hint="default"/>
          <w:b/>
          <w:bCs/>
          <w:sz w:val="25"/>
          <w:szCs w:val="25"/>
        </w:rPr>
      </w:pPr>
    </w:p>
    <w:p>
      <w:pPr>
        <w:pStyle w:val="Heading3"/>
        <w:spacing w:line="240" w:lineRule="auto"/>
        <w:ind w:right="0"/>
        <w:jc w:val="left"/>
        <w:rPr>
          <w:b w:val="0"/>
          <w:bCs w:val="0"/>
        </w:rPr>
      </w:pPr>
      <w:bookmarkStart w:name="1、在子公司中的权益" w:id="356"/>
      <w:bookmarkEnd w:id="356"/>
      <w:r>
        <w:rPr>
          <w:b w:val="0"/>
          <w:bCs w:val="0"/>
        </w:rPr>
      </w:r>
      <w:r>
        <w:rPr>
          <w:rFonts w:ascii="Times New Roman" w:hAnsi="Times New Roman" w:cs="Times New Roman" w:eastAsia="Times New Roman" w:hint="default"/>
        </w:rPr>
        <w:t>1</w:t>
      </w:r>
      <w:r>
        <w:rPr/>
        <w:t>、在子公司中的权益</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企业集团的构成" w:id="357"/>
      <w:bookmarkEnd w:id="357"/>
      <w:r>
        <w:rPr>
          <w:b w:val="0"/>
          <w:bCs w:val="0"/>
        </w:rPr>
      </w:r>
      <w:r>
        <w:rPr/>
        <w:t>（</w:t>
      </w:r>
      <w:r>
        <w:rPr>
          <w:rFonts w:ascii="Times New Roman" w:hAnsi="Times New Roman" w:cs="Times New Roman" w:eastAsia="Times New Roman" w:hint="default"/>
        </w:rPr>
        <w:t>1</w:t>
      </w:r>
      <w:r>
        <w:rPr/>
        <w:t>）企业集团的构成</w:t>
      </w:r>
      <w:r>
        <w:rPr>
          <w:b w:val="0"/>
          <w:bCs w:val="0"/>
        </w:rPr>
      </w:r>
    </w:p>
    <w:p>
      <w:pPr>
        <w:spacing w:line="240" w:lineRule="auto" w:before="12"/>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373"/>
        <w:gridCol w:w="1364"/>
        <w:gridCol w:w="1369"/>
        <w:gridCol w:w="1368"/>
        <w:gridCol w:w="1368"/>
        <w:gridCol w:w="1364"/>
        <w:gridCol w:w="1369"/>
      </w:tblGrid>
      <w:tr>
        <w:trPr>
          <w:trHeight w:val="403" w:hRule="exact"/>
        </w:trPr>
        <w:tc>
          <w:tcPr>
            <w:tcW w:w="137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b/>
                <w:bCs/>
                <w:sz w:val="19"/>
                <w:szCs w:val="19"/>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3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b/>
                <w:bCs/>
                <w:sz w:val="19"/>
                <w:szCs w:val="19"/>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b/>
                <w:bCs/>
                <w:sz w:val="19"/>
                <w:szCs w:val="19"/>
              </w:rPr>
            </w:pPr>
          </w:p>
          <w:p>
            <w:pPr>
              <w:pStyle w:val="TableParagraph"/>
              <w:spacing w:line="240" w:lineRule="auto"/>
              <w:ind w:left="408"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b/>
                <w:bCs/>
                <w:sz w:val="19"/>
                <w:szCs w:val="19"/>
              </w:rPr>
            </w:pPr>
          </w:p>
          <w:p>
            <w:pPr>
              <w:pStyle w:val="TableParagraph"/>
              <w:spacing w:line="240" w:lineRule="auto"/>
              <w:ind w:left="316"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b/>
                <w:bCs/>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398" w:hRule="exact"/>
        </w:trPr>
        <w:tc>
          <w:tcPr>
            <w:tcW w:w="1373" w:type="dxa"/>
            <w:vMerge/>
            <w:tcBorders>
              <w:left w:val="single" w:sz="4" w:space="0" w:color="000000"/>
              <w:bottom w:val="single" w:sz="4" w:space="0" w:color="000000"/>
              <w:right w:val="single" w:sz="4" w:space="0" w:color="000000"/>
            </w:tcBorders>
            <w:shd w:val="clear" w:color="auto" w:fill="D2D2D2"/>
          </w:tcPr>
          <w:p>
            <w:pPr/>
          </w:p>
        </w:tc>
        <w:tc>
          <w:tcPr>
            <w:tcW w:w="1364"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1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9" w:type="dxa"/>
            <w:vMerge/>
            <w:tcBorders>
              <w:left w:val="single" w:sz="4" w:space="0" w:color="000000"/>
              <w:bottom w:val="single" w:sz="4" w:space="0" w:color="000000"/>
              <w:right w:val="single" w:sz="4" w:space="0" w:color="000000"/>
            </w:tcBorders>
            <w:shd w:val="clear" w:color="auto" w:fill="D2D2D2"/>
          </w:tcPr>
          <w:p>
            <w:pPr/>
          </w:p>
        </w:tc>
      </w:tr>
      <w:tr>
        <w:trPr>
          <w:trHeight w:val="716"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324" w:lineRule="auto" w:before="53"/>
              <w:ind w:left="24" w:right="75"/>
              <w:jc w:val="left"/>
              <w:rPr>
                <w:rFonts w:ascii="宋体" w:hAnsi="宋体" w:cs="宋体" w:eastAsia="宋体" w:hint="default"/>
                <w:sz w:val="18"/>
                <w:szCs w:val="18"/>
              </w:rPr>
            </w:pPr>
            <w:r>
              <w:rPr>
                <w:rFonts w:ascii="宋体" w:hAnsi="宋体" w:cs="宋体" w:eastAsia="宋体" w:hint="default"/>
                <w:spacing w:val="-3"/>
                <w:sz w:val="18"/>
                <w:szCs w:val="18"/>
              </w:rPr>
              <w:t>深圳银之杰拓扑</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技术有限公司</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金融信息化</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2"/>
                <w:sz w:val="18"/>
              </w:rPr>
              <w:t>100.00%</w:t>
            </w:r>
          </w:p>
        </w:tc>
        <w:tc>
          <w:tcPr>
            <w:tcW w:w="136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5"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75"/>
              <w:jc w:val="left"/>
              <w:rPr>
                <w:rFonts w:ascii="宋体" w:hAnsi="宋体" w:cs="宋体" w:eastAsia="宋体" w:hint="default"/>
                <w:sz w:val="18"/>
                <w:szCs w:val="18"/>
              </w:rPr>
            </w:pPr>
            <w:r>
              <w:rPr>
                <w:rFonts w:ascii="宋体" w:hAnsi="宋体" w:cs="宋体" w:eastAsia="宋体" w:hint="default"/>
                <w:spacing w:val="-3"/>
                <w:sz w:val="18"/>
                <w:szCs w:val="18"/>
              </w:rPr>
              <w:t>深圳银之杰智慧</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科技有限公司</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金融信息化</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2"/>
                <w:sz w:val="18"/>
              </w:rPr>
              <w:t>100.00%</w:t>
            </w:r>
          </w:p>
        </w:tc>
        <w:tc>
          <w:tcPr>
            <w:tcW w:w="136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bl>
    <w:p>
      <w:pPr>
        <w:spacing w:after="0" w:line="240" w:lineRule="auto"/>
        <w:jc w:val="left"/>
        <w:rPr>
          <w:rFonts w:ascii="宋体" w:hAnsi="宋体" w:cs="宋体" w:eastAsia="宋体" w:hint="default"/>
          <w:sz w:val="18"/>
          <w:szCs w:val="18"/>
        </w:rPr>
        <w:sectPr>
          <w:pgSz w:w="11910" w:h="16840"/>
          <w:pgMar w:header="871" w:footer="1186" w:top="1100" w:bottom="1380" w:left="980" w:right="0"/>
        </w:sectPr>
      </w:pPr>
    </w:p>
    <w:p>
      <w:pPr>
        <w:spacing w:line="240" w:lineRule="auto" w:before="8"/>
        <w:rPr>
          <w:rFonts w:ascii="宋体" w:hAnsi="宋体" w:cs="宋体" w:eastAsia="宋体" w:hint="default"/>
          <w:b/>
          <w:bCs/>
          <w:sz w:val="24"/>
          <w:szCs w:val="24"/>
        </w:rPr>
      </w:pPr>
    </w:p>
    <w:tbl>
      <w:tblPr>
        <w:tblW w:w="0" w:type="auto"/>
        <w:jc w:val="left"/>
        <w:tblInd w:w="148" w:type="dxa"/>
        <w:tblLayout w:type="fixed"/>
        <w:tblCellMar>
          <w:top w:w="0" w:type="dxa"/>
          <w:left w:w="0" w:type="dxa"/>
          <w:bottom w:w="0" w:type="dxa"/>
          <w:right w:w="0" w:type="dxa"/>
        </w:tblCellMar>
        <w:tblLook w:val="01E0"/>
      </w:tblPr>
      <w:tblGrid>
        <w:gridCol w:w="1373"/>
        <w:gridCol w:w="1364"/>
        <w:gridCol w:w="1369"/>
        <w:gridCol w:w="1368"/>
        <w:gridCol w:w="1368"/>
        <w:gridCol w:w="1364"/>
        <w:gridCol w:w="1369"/>
      </w:tblGrid>
      <w:tr>
        <w:trPr>
          <w:trHeight w:val="715"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75"/>
              <w:jc w:val="left"/>
              <w:rPr>
                <w:rFonts w:ascii="宋体" w:hAnsi="宋体" w:cs="宋体" w:eastAsia="宋体" w:hint="default"/>
                <w:sz w:val="18"/>
                <w:szCs w:val="18"/>
              </w:rPr>
            </w:pPr>
            <w:r>
              <w:rPr>
                <w:rFonts w:ascii="宋体" w:hAnsi="宋体" w:cs="宋体" w:eastAsia="宋体" w:hint="default"/>
                <w:spacing w:val="-3"/>
                <w:sz w:val="18"/>
                <w:szCs w:val="18"/>
              </w:rPr>
              <w:t>深圳市银之杰金</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融设备有限公司</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金融信息化</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2"/>
                <w:sz w:val="18"/>
              </w:rPr>
              <w:t>100.00%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1"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75"/>
              <w:jc w:val="left"/>
              <w:rPr>
                <w:rFonts w:ascii="宋体" w:hAnsi="宋体" w:cs="宋体" w:eastAsia="宋体" w:hint="default"/>
                <w:sz w:val="18"/>
                <w:szCs w:val="18"/>
              </w:rPr>
            </w:pPr>
            <w:r>
              <w:rPr>
                <w:rFonts w:ascii="宋体" w:hAnsi="宋体" w:cs="宋体" w:eastAsia="宋体" w:hint="default"/>
                <w:spacing w:val="-3"/>
                <w:sz w:val="18"/>
                <w:szCs w:val="18"/>
              </w:rPr>
              <w:t>北京亿美软通科</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技有限公司</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移动信息服务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2"/>
                <w:sz w:val="18"/>
              </w:rPr>
              <w:t>100.00%</w:t>
            </w:r>
          </w:p>
        </w:tc>
        <w:tc>
          <w:tcPr>
            <w:tcW w:w="136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3" w:right="70"/>
              <w:jc w:val="left"/>
              <w:rPr>
                <w:rFonts w:ascii="宋体" w:hAnsi="宋体" w:cs="宋体" w:eastAsia="宋体" w:hint="default"/>
                <w:sz w:val="18"/>
                <w:szCs w:val="18"/>
              </w:rPr>
            </w:pPr>
            <w:r>
              <w:rPr>
                <w:rFonts w:ascii="宋体" w:hAnsi="宋体" w:cs="宋体" w:eastAsia="宋体" w:hint="default"/>
                <w:spacing w:val="-3"/>
                <w:sz w:val="18"/>
                <w:szCs w:val="18"/>
              </w:rPr>
              <w:t>非同一控制下合</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并</w:t>
            </w:r>
          </w:p>
        </w:tc>
      </w:tr>
      <w:tr>
        <w:trPr>
          <w:trHeight w:val="715"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24" w:right="75"/>
              <w:jc w:val="left"/>
              <w:rPr>
                <w:rFonts w:ascii="宋体" w:hAnsi="宋体" w:cs="宋体" w:eastAsia="宋体" w:hint="default"/>
                <w:sz w:val="18"/>
                <w:szCs w:val="18"/>
              </w:rPr>
            </w:pPr>
            <w:r>
              <w:rPr>
                <w:rFonts w:ascii="宋体" w:hAnsi="宋体" w:cs="宋体" w:eastAsia="宋体" w:hint="default"/>
                <w:spacing w:val="-3"/>
                <w:sz w:val="18"/>
                <w:szCs w:val="18"/>
              </w:rPr>
              <w:t>深圳银之杰资产</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管理有限公司</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资产管理</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2"/>
                <w:sz w:val="18"/>
              </w:rPr>
              <w:t>100.00%</w:t>
            </w:r>
          </w:p>
        </w:tc>
        <w:tc>
          <w:tcPr>
            <w:tcW w:w="136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6"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4" w:right="108"/>
              <w:jc w:val="left"/>
              <w:rPr>
                <w:rFonts w:ascii="宋体" w:hAnsi="宋体" w:cs="宋体" w:eastAsia="宋体" w:hint="default"/>
                <w:sz w:val="18"/>
                <w:szCs w:val="18"/>
              </w:rPr>
            </w:pPr>
            <w:r>
              <w:rPr>
                <w:rFonts w:ascii="宋体" w:hAnsi="宋体" w:cs="宋体" w:eastAsia="宋体" w:hint="default"/>
                <w:spacing w:val="-7"/>
                <w:sz w:val="18"/>
                <w:szCs w:val="18"/>
              </w:rPr>
              <w:t>安科创新（深圳</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有限公司</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197" w:lineRule="exact" w:before="53"/>
              <w:ind w:left="-121" w:right="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p>
            <w:pPr>
              <w:pStyle w:val="TableParagraph"/>
              <w:spacing w:line="197" w:lineRule="exact"/>
              <w:ind w:left="23" w:right="0"/>
              <w:jc w:val="left"/>
              <w:rPr>
                <w:rFonts w:ascii="宋体" w:hAnsi="宋体" w:cs="宋体" w:eastAsia="宋体" w:hint="default"/>
                <w:sz w:val="18"/>
                <w:szCs w:val="18"/>
              </w:rPr>
            </w:pPr>
            <w:r>
              <w:rPr>
                <w:rFonts w:ascii="宋体" w:hAnsi="宋体" w:cs="宋体" w:eastAsia="宋体" w:hint="default"/>
                <w:sz w:val="18"/>
                <w:szCs w:val="18"/>
              </w:rPr>
              <w:t>深圳</w:t>
            </w:r>
          </w:p>
          <w:p>
            <w:pPr>
              <w:pStyle w:val="TableParagraph"/>
              <w:spacing w:line="559" w:lineRule="exact"/>
              <w:ind w:right="-41"/>
              <w:jc w:val="left"/>
              <w:rPr>
                <w:rFonts w:ascii="宋体" w:hAnsi="宋体" w:cs="宋体" w:eastAsia="宋体" w:hint="default"/>
                <w:sz w:val="20"/>
                <w:szCs w:val="20"/>
              </w:rPr>
            </w:pPr>
            <w:r>
              <w:rPr>
                <w:rFonts w:ascii="宋体" w:hAnsi="宋体" w:cs="宋体" w:eastAsia="宋体" w:hint="default"/>
                <w:position w:val="-10"/>
                <w:sz w:val="20"/>
                <w:szCs w:val="20"/>
              </w:rPr>
              <w:pict>
                <v:group style="width:67.95pt;height:28pt;mso-position-horizontal-relative:char;mso-position-vertical-relative:line" coordorigin="0,0" coordsize="1359,560">
                  <v:group style="position:absolute;left:0;top:0;width:1359;height:159" coordorigin="0,0" coordsize="1359,159">
                    <v:shape style="position:absolute;left:0;top:0;width:1359;height:159" coordorigin="0,0" coordsize="1359,159" path="m0,158l1359,158,1359,0,0,0,0,158xe" filled="true" fillcolor="#ffffff" stroked="false">
                      <v:path arrowok="t"/>
                      <v:fill type="solid"/>
                    </v:shape>
                  </v:group>
                  <v:group style="position:absolute;left:12;top:158;width:2;height:389" coordorigin="12,158" coordsize="2,389">
                    <v:shape style="position:absolute;left:12;top:158;width:2;height:389" coordorigin="12,158" coordsize="0,389" path="m12,158l12,547e" filled="false" stroked="true" strokeweight="1.2pt" strokecolor="#ffffff">
                      <v:path arrowok="t"/>
                    </v:shape>
                  </v:group>
                  <v:group style="position:absolute;left:24;top:158;width:1311;height:389" coordorigin="24,158" coordsize="1311,389">
                    <v:shape style="position:absolute;left:24;top:158;width:1311;height:389" coordorigin="24,158" coordsize="1311,389" path="m24,547l1335,547,1335,158,24,158,24,547xe" filled="true" fillcolor="#ffffff" stroked="false">
                      <v:path arrowok="t"/>
                      <v:fill type="solid"/>
                    </v:shape>
                  </v:group>
                </v:group>
              </w:pict>
            </w:r>
            <w:r>
              <w:rPr>
                <w:rFonts w:ascii="宋体" w:hAnsi="宋体" w:cs="宋体" w:eastAsia="宋体" w:hint="default"/>
                <w:position w:val="-10"/>
                <w:sz w:val="20"/>
                <w:szCs w:val="20"/>
              </w:rPr>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电子商务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51.00%</w:t>
            </w:r>
          </w:p>
        </w:tc>
        <w:tc>
          <w:tcPr>
            <w:tcW w:w="136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3" w:right="70"/>
              <w:jc w:val="left"/>
              <w:rPr>
                <w:rFonts w:ascii="宋体" w:hAnsi="宋体" w:cs="宋体" w:eastAsia="宋体" w:hint="default"/>
                <w:sz w:val="18"/>
                <w:szCs w:val="18"/>
              </w:rPr>
            </w:pPr>
            <w:r>
              <w:rPr>
                <w:rFonts w:ascii="宋体" w:hAnsi="宋体" w:cs="宋体" w:eastAsia="宋体" w:hint="default"/>
                <w:spacing w:val="-3"/>
                <w:sz w:val="18"/>
                <w:szCs w:val="18"/>
              </w:rPr>
              <w:t>非同一控制下合</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并</w:t>
            </w:r>
          </w:p>
        </w:tc>
      </w:tr>
      <w:tr>
        <w:trPr>
          <w:trHeight w:val="715"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108"/>
              <w:jc w:val="left"/>
              <w:rPr>
                <w:rFonts w:ascii="宋体" w:hAnsi="宋体" w:cs="宋体" w:eastAsia="宋体" w:hint="default"/>
                <w:sz w:val="18"/>
                <w:szCs w:val="18"/>
              </w:rPr>
            </w:pPr>
            <w:r>
              <w:rPr>
                <w:rFonts w:ascii="宋体" w:hAnsi="宋体" w:cs="宋体" w:eastAsia="宋体" w:hint="default"/>
                <w:spacing w:val="-7"/>
                <w:sz w:val="18"/>
                <w:szCs w:val="18"/>
              </w:rPr>
              <w:t>安科创新（香港</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有限公司</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197" w:lineRule="exact" w:before="53"/>
              <w:ind w:left="-121" w:right="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p>
            <w:pPr>
              <w:pStyle w:val="TableParagraph"/>
              <w:spacing w:line="197" w:lineRule="exact"/>
              <w:ind w:left="23" w:right="0"/>
              <w:jc w:val="left"/>
              <w:rPr>
                <w:rFonts w:ascii="宋体" w:hAnsi="宋体" w:cs="宋体" w:eastAsia="宋体" w:hint="default"/>
                <w:sz w:val="18"/>
                <w:szCs w:val="18"/>
              </w:rPr>
            </w:pPr>
            <w:r>
              <w:rPr>
                <w:rFonts w:ascii="宋体" w:hAnsi="宋体" w:cs="宋体" w:eastAsia="宋体" w:hint="default"/>
                <w:sz w:val="18"/>
                <w:szCs w:val="18"/>
              </w:rPr>
              <w:t>深圳</w:t>
            </w:r>
          </w:p>
          <w:p>
            <w:pPr>
              <w:pStyle w:val="TableParagraph"/>
              <w:spacing w:line="559" w:lineRule="exact"/>
              <w:ind w:right="-41"/>
              <w:jc w:val="left"/>
              <w:rPr>
                <w:rFonts w:ascii="宋体" w:hAnsi="宋体" w:cs="宋体" w:eastAsia="宋体" w:hint="default"/>
                <w:sz w:val="20"/>
                <w:szCs w:val="20"/>
              </w:rPr>
            </w:pPr>
            <w:r>
              <w:rPr>
                <w:rFonts w:ascii="宋体" w:hAnsi="宋体" w:cs="宋体" w:eastAsia="宋体" w:hint="default"/>
                <w:position w:val="-10"/>
                <w:sz w:val="20"/>
                <w:szCs w:val="20"/>
              </w:rPr>
              <w:pict>
                <v:group style="width:67.95pt;height:28pt;mso-position-horizontal-relative:char;mso-position-vertical-relative:line" coordorigin="0,0" coordsize="1359,560">
                  <v:group style="position:absolute;left:0;top:0;width:1359;height:159" coordorigin="0,0" coordsize="1359,159">
                    <v:shape style="position:absolute;left:0;top:0;width:1359;height:159" coordorigin="0,0" coordsize="1359,159" path="m0,158l1359,158,1359,0,0,0,0,158xe" filled="true" fillcolor="#ffffff" stroked="false">
                      <v:path arrowok="t"/>
                      <v:fill type="solid"/>
                    </v:shape>
                  </v:group>
                  <v:group style="position:absolute;left:12;top:158;width:2;height:389" coordorigin="12,158" coordsize="2,389">
                    <v:shape style="position:absolute;left:12;top:158;width:2;height:389" coordorigin="12,158" coordsize="0,389" path="m12,158l12,547e" filled="false" stroked="true" strokeweight="1.2pt" strokecolor="#ffffff">
                      <v:path arrowok="t"/>
                    </v:shape>
                  </v:group>
                  <v:group style="position:absolute;left:24;top:158;width:1311;height:389" coordorigin="24,158" coordsize="1311,389">
                    <v:shape style="position:absolute;left:24;top:158;width:1311;height:389" coordorigin="24,158" coordsize="1311,389" path="m24,547l1335,547,1335,158,24,158,24,547xe" filled="true" fillcolor="#ffffff" stroked="false">
                      <v:path arrowok="t"/>
                      <v:fill type="solid"/>
                    </v:shape>
                  </v:group>
                </v:group>
              </w:pict>
            </w:r>
            <w:r>
              <w:rPr>
                <w:rFonts w:ascii="宋体" w:hAnsi="宋体" w:cs="宋体" w:eastAsia="宋体" w:hint="default"/>
                <w:position w:val="-10"/>
                <w:sz w:val="20"/>
                <w:szCs w:val="20"/>
              </w:rPr>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电子商务</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2"/>
                <w:sz w:val="18"/>
              </w:rPr>
              <w:t>100.00%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0"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75"/>
              <w:jc w:val="left"/>
              <w:rPr>
                <w:rFonts w:ascii="宋体" w:hAnsi="宋体" w:cs="宋体" w:eastAsia="宋体" w:hint="default"/>
                <w:sz w:val="18"/>
                <w:szCs w:val="18"/>
              </w:rPr>
            </w:pPr>
            <w:r>
              <w:rPr>
                <w:rFonts w:ascii="宋体" w:hAnsi="宋体" w:cs="宋体" w:eastAsia="宋体" w:hint="default"/>
                <w:spacing w:val="-3"/>
                <w:sz w:val="18"/>
                <w:szCs w:val="18"/>
              </w:rPr>
              <w:t>深圳市科安电子</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商务有限公司</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电子商务</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2"/>
                <w:sz w:val="18"/>
              </w:rPr>
              <w:t>100.00%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6"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9"/>
              <w:ind w:left="24" w:right="75"/>
              <w:jc w:val="left"/>
              <w:rPr>
                <w:rFonts w:ascii="宋体" w:hAnsi="宋体" w:cs="宋体" w:eastAsia="宋体" w:hint="default"/>
                <w:sz w:val="18"/>
                <w:szCs w:val="18"/>
              </w:rPr>
            </w:pPr>
            <w:r>
              <w:rPr>
                <w:rFonts w:ascii="宋体" w:hAnsi="宋体" w:cs="宋体" w:eastAsia="宋体" w:hint="default"/>
                <w:spacing w:val="-3"/>
                <w:sz w:val="18"/>
                <w:szCs w:val="18"/>
              </w:rPr>
              <w:t>北京杰智融软件</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有限公司</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金融信息化</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55.00%</w:t>
            </w:r>
          </w:p>
        </w:tc>
        <w:tc>
          <w:tcPr>
            <w:tcW w:w="136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9"/>
              <w:ind w:left="23" w:right="70"/>
              <w:jc w:val="left"/>
              <w:rPr>
                <w:rFonts w:ascii="宋体" w:hAnsi="宋体" w:cs="宋体" w:eastAsia="宋体" w:hint="default"/>
                <w:sz w:val="18"/>
                <w:szCs w:val="18"/>
              </w:rPr>
            </w:pPr>
            <w:r>
              <w:rPr>
                <w:rFonts w:ascii="宋体" w:hAnsi="宋体" w:cs="宋体" w:eastAsia="宋体" w:hint="default"/>
                <w:spacing w:val="-3"/>
                <w:sz w:val="18"/>
                <w:szCs w:val="18"/>
              </w:rPr>
              <w:t>非同一控制下合</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并</w:t>
            </w:r>
          </w:p>
        </w:tc>
      </w:tr>
    </w:tbl>
    <w:p>
      <w:pPr>
        <w:spacing w:line="240" w:lineRule="auto" w:before="3"/>
        <w:rPr>
          <w:rFonts w:ascii="宋体" w:hAnsi="宋体" w:cs="宋体" w:eastAsia="宋体" w:hint="default"/>
          <w:b/>
          <w:bCs/>
          <w:sz w:val="19"/>
          <w:szCs w:val="19"/>
        </w:rPr>
      </w:pPr>
    </w:p>
    <w:p>
      <w:pPr>
        <w:pStyle w:val="Heading3"/>
        <w:spacing w:line="240" w:lineRule="auto" w:before="36"/>
        <w:ind w:right="0"/>
        <w:jc w:val="left"/>
        <w:rPr>
          <w:b w:val="0"/>
          <w:bCs w:val="0"/>
        </w:rPr>
      </w:pPr>
      <w:bookmarkStart w:name="（2）重要的非全资子公司" w:id="358"/>
      <w:bookmarkEnd w:id="358"/>
      <w:r>
        <w:rPr>
          <w:b w:val="0"/>
          <w:bCs w:val="0"/>
        </w:rPr>
      </w:r>
      <w:r>
        <w:rPr/>
        <w:t>（</w:t>
      </w:r>
      <w:r>
        <w:rPr>
          <w:rFonts w:ascii="Times New Roman" w:hAnsi="Times New Roman" w:cs="Times New Roman" w:eastAsia="Times New Roman" w:hint="default"/>
        </w:rPr>
        <w:t>2</w:t>
      </w:r>
      <w:r>
        <w:rPr/>
        <w:t>）重要的非全资子公司</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16"/>
        <w:gridCol w:w="1916"/>
        <w:gridCol w:w="1916"/>
        <w:gridCol w:w="1911"/>
        <w:gridCol w:w="1916"/>
      </w:tblGrid>
      <w:tr>
        <w:trPr>
          <w:trHeight w:val="76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504"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少数股东持股比例</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77"/>
              <w:ind w:left="773" w:right="46" w:hanging="721"/>
              <w:jc w:val="left"/>
              <w:rPr>
                <w:rFonts w:ascii="宋体" w:hAnsi="宋体" w:cs="宋体" w:eastAsia="宋体" w:hint="default"/>
                <w:sz w:val="18"/>
                <w:szCs w:val="18"/>
              </w:rPr>
            </w:pPr>
            <w:r>
              <w:rPr>
                <w:rFonts w:ascii="宋体" w:hAnsi="宋体" w:cs="宋体" w:eastAsia="宋体" w:hint="default"/>
                <w:spacing w:val="-2"/>
                <w:sz w:val="18"/>
                <w:szCs w:val="18"/>
              </w:rPr>
              <w:t>本期归属于少数股东的</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损益</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77"/>
              <w:ind w:left="590" w:right="41" w:hanging="538"/>
              <w:jc w:val="left"/>
              <w:rPr>
                <w:rFonts w:ascii="宋体" w:hAnsi="宋体" w:cs="宋体" w:eastAsia="宋体" w:hint="default"/>
                <w:sz w:val="18"/>
                <w:szCs w:val="18"/>
              </w:rPr>
            </w:pPr>
            <w:r>
              <w:rPr>
                <w:rFonts w:ascii="宋体" w:hAnsi="宋体" w:cs="宋体" w:eastAsia="宋体" w:hint="default"/>
                <w:spacing w:val="-2"/>
                <w:sz w:val="18"/>
                <w:szCs w:val="18"/>
              </w:rPr>
              <w:t>本期向少数股东宣告分</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派的股利</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46"/>
              <w:jc w:val="right"/>
              <w:rPr>
                <w:rFonts w:ascii="宋体" w:hAnsi="宋体" w:cs="宋体" w:eastAsia="宋体" w:hint="default"/>
                <w:sz w:val="18"/>
                <w:szCs w:val="18"/>
              </w:rPr>
            </w:pPr>
            <w:r>
              <w:rPr>
                <w:rFonts w:ascii="宋体" w:hAnsi="宋体" w:cs="宋体" w:eastAsia="宋体" w:hint="default"/>
                <w:spacing w:val="-2"/>
                <w:sz w:val="18"/>
                <w:szCs w:val="18"/>
              </w:rPr>
              <w:t>期末少数股东权益余额</w:t>
            </w:r>
          </w:p>
        </w:tc>
      </w:tr>
      <w:tr>
        <w:trPr>
          <w:trHeight w:val="715"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4" w:right="75"/>
              <w:jc w:val="left"/>
              <w:rPr>
                <w:rFonts w:ascii="宋体" w:hAnsi="宋体" w:cs="宋体" w:eastAsia="宋体" w:hint="default"/>
                <w:sz w:val="18"/>
                <w:szCs w:val="18"/>
              </w:rPr>
            </w:pPr>
            <w:r>
              <w:rPr>
                <w:rFonts w:ascii="宋体" w:hAnsi="宋体" w:cs="宋体" w:eastAsia="宋体" w:hint="default"/>
                <w:spacing w:val="-2"/>
                <w:sz w:val="18"/>
                <w:szCs w:val="18"/>
              </w:rPr>
              <w:t>安科创新（深圳）有限</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49.00%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1,353,120.48</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15,919,186.47</w:t>
            </w:r>
          </w:p>
        </w:tc>
      </w:tr>
      <w:tr>
        <w:trPr>
          <w:trHeight w:val="716"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4"/>
              <w:ind w:left="24" w:right="75"/>
              <w:jc w:val="left"/>
              <w:rPr>
                <w:rFonts w:ascii="宋体" w:hAnsi="宋体" w:cs="宋体" w:eastAsia="宋体" w:hint="default"/>
                <w:sz w:val="18"/>
                <w:szCs w:val="18"/>
              </w:rPr>
            </w:pPr>
            <w:r>
              <w:rPr>
                <w:rFonts w:ascii="宋体" w:hAnsi="宋体" w:cs="宋体" w:eastAsia="宋体" w:hint="default"/>
                <w:spacing w:val="-2"/>
                <w:sz w:val="18"/>
                <w:szCs w:val="18"/>
              </w:rPr>
              <w:t>北京杰智融软件有限公</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45.00%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1,130,329.98</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5,380,329.98</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3）重要非全资子公司的主要财务信息" w:id="359"/>
      <w:bookmarkEnd w:id="359"/>
      <w:r>
        <w:rPr>
          <w:b w:val="0"/>
          <w:bCs w:val="0"/>
        </w:rPr>
      </w:r>
      <w:r>
        <w:rPr/>
        <w:t>（</w:t>
      </w:r>
      <w:r>
        <w:rPr>
          <w:rFonts w:ascii="Times New Roman" w:hAnsi="Times New Roman" w:cs="Times New Roman" w:eastAsia="Times New Roman" w:hint="default"/>
        </w:rPr>
        <w:t>3</w:t>
      </w:r>
      <w:r>
        <w:rPr/>
        <w:t>）重要非全资子公司的主要财务信息</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734"/>
        <w:gridCol w:w="740"/>
        <w:gridCol w:w="735"/>
        <w:gridCol w:w="734"/>
        <w:gridCol w:w="740"/>
        <w:gridCol w:w="734"/>
        <w:gridCol w:w="735"/>
        <w:gridCol w:w="735"/>
        <w:gridCol w:w="734"/>
        <w:gridCol w:w="735"/>
        <w:gridCol w:w="739"/>
        <w:gridCol w:w="735"/>
        <w:gridCol w:w="739"/>
      </w:tblGrid>
      <w:tr>
        <w:trPr>
          <w:trHeight w:val="403" w:hRule="exact"/>
        </w:trPr>
        <w:tc>
          <w:tcPr>
            <w:tcW w:w="73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321" w:lineRule="auto"/>
              <w:ind w:left="182" w:right="84" w:hanging="87"/>
              <w:jc w:val="left"/>
              <w:rPr>
                <w:rFonts w:ascii="宋体" w:hAnsi="宋体" w:cs="宋体" w:eastAsia="宋体" w:hint="default"/>
                <w:sz w:val="18"/>
                <w:szCs w:val="18"/>
              </w:rPr>
            </w:pPr>
            <w:r>
              <w:rPr>
                <w:rFonts w:ascii="宋体" w:hAnsi="宋体" w:cs="宋体" w:eastAsia="宋体" w:hint="default"/>
                <w:sz w:val="18"/>
                <w:szCs w:val="18"/>
              </w:rPr>
              <w:t>子公司</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名称</w:t>
            </w:r>
          </w:p>
        </w:tc>
        <w:tc>
          <w:tcPr>
            <w:tcW w:w="441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417"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15" w:hRule="exact"/>
        </w:trPr>
        <w:tc>
          <w:tcPr>
            <w:tcW w:w="734" w:type="dxa"/>
            <w:vMerge/>
            <w:tcBorders>
              <w:left w:val="single" w:sz="4" w:space="0" w:color="000000"/>
              <w:bottom w:val="single" w:sz="4" w:space="0" w:color="000000"/>
              <w:right w:val="single" w:sz="4" w:space="0" w:color="000000"/>
            </w:tcBorders>
            <w:shd w:val="clear" w:color="auto" w:fill="D2D2D2"/>
          </w:tcPr>
          <w:p>
            <w:pPr/>
          </w:p>
        </w:tc>
        <w:tc>
          <w:tcPr>
            <w:tcW w:w="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74" w:right="89" w:hanging="178"/>
              <w:jc w:val="left"/>
              <w:rPr>
                <w:rFonts w:ascii="宋体" w:hAnsi="宋体" w:cs="宋体" w:eastAsia="宋体" w:hint="default"/>
                <w:sz w:val="18"/>
                <w:szCs w:val="18"/>
              </w:rPr>
            </w:pPr>
            <w:r>
              <w:rPr>
                <w:rFonts w:ascii="宋体" w:hAnsi="宋体" w:cs="宋体" w:eastAsia="宋体" w:hint="default"/>
                <w:sz w:val="18"/>
                <w:szCs w:val="18"/>
              </w:rPr>
              <w:t>流动资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产</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82" w:right="84" w:hanging="87"/>
              <w:jc w:val="left"/>
              <w:rPr>
                <w:rFonts w:ascii="宋体" w:hAnsi="宋体" w:cs="宋体" w:eastAsia="宋体" w:hint="default"/>
                <w:sz w:val="18"/>
                <w:szCs w:val="18"/>
              </w:rPr>
            </w:pPr>
            <w:r>
              <w:rPr>
                <w:rFonts w:ascii="宋体" w:hAnsi="宋体" w:cs="宋体" w:eastAsia="宋体" w:hint="default"/>
                <w:sz w:val="18"/>
                <w:szCs w:val="18"/>
              </w:rPr>
              <w:t>非流动</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资产</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73" w:right="84" w:hanging="178"/>
              <w:jc w:val="left"/>
              <w:rPr>
                <w:rFonts w:ascii="宋体" w:hAnsi="宋体" w:cs="宋体" w:eastAsia="宋体" w:hint="default"/>
                <w:sz w:val="18"/>
                <w:szCs w:val="18"/>
              </w:rPr>
            </w:pPr>
            <w:r>
              <w:rPr>
                <w:rFonts w:ascii="宋体" w:hAnsi="宋体" w:cs="宋体" w:eastAsia="宋体" w:hint="default"/>
                <w:sz w:val="18"/>
                <w:szCs w:val="18"/>
              </w:rPr>
              <w:t>资产合</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计</w:t>
            </w:r>
          </w:p>
        </w:tc>
        <w:tc>
          <w:tcPr>
            <w:tcW w:w="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73" w:right="89" w:hanging="178"/>
              <w:jc w:val="left"/>
              <w:rPr>
                <w:rFonts w:ascii="宋体" w:hAnsi="宋体" w:cs="宋体" w:eastAsia="宋体" w:hint="default"/>
                <w:sz w:val="18"/>
                <w:szCs w:val="18"/>
              </w:rPr>
            </w:pPr>
            <w:r>
              <w:rPr>
                <w:rFonts w:ascii="宋体" w:hAnsi="宋体" w:cs="宋体" w:eastAsia="宋体" w:hint="default"/>
                <w:sz w:val="18"/>
                <w:szCs w:val="18"/>
              </w:rPr>
              <w:t>流动负</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债</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82" w:right="89" w:hanging="92"/>
              <w:jc w:val="left"/>
              <w:rPr>
                <w:rFonts w:ascii="宋体" w:hAnsi="宋体" w:cs="宋体" w:eastAsia="宋体" w:hint="default"/>
                <w:sz w:val="18"/>
                <w:szCs w:val="18"/>
              </w:rPr>
            </w:pPr>
            <w:r>
              <w:rPr>
                <w:rFonts w:ascii="宋体" w:hAnsi="宋体" w:cs="宋体" w:eastAsia="宋体" w:hint="default"/>
                <w:sz w:val="18"/>
                <w:szCs w:val="18"/>
              </w:rPr>
              <w:t>非流动</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负债</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73" w:right="89" w:hanging="183"/>
              <w:jc w:val="left"/>
              <w:rPr>
                <w:rFonts w:ascii="宋体" w:hAnsi="宋体" w:cs="宋体" w:eastAsia="宋体" w:hint="default"/>
                <w:sz w:val="18"/>
                <w:szCs w:val="18"/>
              </w:rPr>
            </w:pPr>
            <w:r>
              <w:rPr>
                <w:rFonts w:ascii="宋体" w:hAnsi="宋体" w:cs="宋体" w:eastAsia="宋体" w:hint="default"/>
                <w:sz w:val="18"/>
                <w:szCs w:val="18"/>
              </w:rPr>
              <w:t>负债合</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计</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73" w:right="89" w:hanging="183"/>
              <w:jc w:val="left"/>
              <w:rPr>
                <w:rFonts w:ascii="宋体" w:hAnsi="宋体" w:cs="宋体" w:eastAsia="宋体" w:hint="default"/>
                <w:sz w:val="18"/>
                <w:szCs w:val="18"/>
              </w:rPr>
            </w:pPr>
            <w:r>
              <w:rPr>
                <w:rFonts w:ascii="宋体" w:hAnsi="宋体" w:cs="宋体" w:eastAsia="宋体" w:hint="default"/>
                <w:sz w:val="18"/>
                <w:szCs w:val="18"/>
              </w:rPr>
              <w:t>流动资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产</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82" w:right="89" w:hanging="92"/>
              <w:jc w:val="left"/>
              <w:rPr>
                <w:rFonts w:ascii="宋体" w:hAnsi="宋体" w:cs="宋体" w:eastAsia="宋体" w:hint="default"/>
                <w:sz w:val="18"/>
                <w:szCs w:val="18"/>
              </w:rPr>
            </w:pPr>
            <w:r>
              <w:rPr>
                <w:rFonts w:ascii="宋体" w:hAnsi="宋体" w:cs="宋体" w:eastAsia="宋体" w:hint="default"/>
                <w:sz w:val="18"/>
                <w:szCs w:val="18"/>
              </w:rPr>
              <w:t>非流动</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资产</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73" w:right="89" w:hanging="183"/>
              <w:jc w:val="left"/>
              <w:rPr>
                <w:rFonts w:ascii="宋体" w:hAnsi="宋体" w:cs="宋体" w:eastAsia="宋体" w:hint="default"/>
                <w:sz w:val="18"/>
                <w:szCs w:val="18"/>
              </w:rPr>
            </w:pPr>
            <w:r>
              <w:rPr>
                <w:rFonts w:ascii="宋体" w:hAnsi="宋体" w:cs="宋体" w:eastAsia="宋体" w:hint="default"/>
                <w:sz w:val="18"/>
                <w:szCs w:val="18"/>
              </w:rPr>
              <w:t>资产合</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计</w:t>
            </w:r>
          </w:p>
        </w:tc>
        <w:tc>
          <w:tcPr>
            <w:tcW w:w="7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73" w:right="89" w:hanging="178"/>
              <w:jc w:val="left"/>
              <w:rPr>
                <w:rFonts w:ascii="宋体" w:hAnsi="宋体" w:cs="宋体" w:eastAsia="宋体" w:hint="default"/>
                <w:sz w:val="18"/>
                <w:szCs w:val="18"/>
              </w:rPr>
            </w:pPr>
            <w:r>
              <w:rPr>
                <w:rFonts w:ascii="宋体" w:hAnsi="宋体" w:cs="宋体" w:eastAsia="宋体" w:hint="default"/>
                <w:sz w:val="18"/>
                <w:szCs w:val="18"/>
              </w:rPr>
              <w:t>流动负</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债</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82" w:right="84" w:hanging="87"/>
              <w:jc w:val="left"/>
              <w:rPr>
                <w:rFonts w:ascii="宋体" w:hAnsi="宋体" w:cs="宋体" w:eastAsia="宋体" w:hint="default"/>
                <w:sz w:val="18"/>
                <w:szCs w:val="18"/>
              </w:rPr>
            </w:pPr>
            <w:r>
              <w:rPr>
                <w:rFonts w:ascii="宋体" w:hAnsi="宋体" w:cs="宋体" w:eastAsia="宋体" w:hint="default"/>
                <w:sz w:val="18"/>
                <w:szCs w:val="18"/>
              </w:rPr>
              <w:t>非流动</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负债</w:t>
            </w:r>
          </w:p>
        </w:tc>
        <w:tc>
          <w:tcPr>
            <w:tcW w:w="7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73" w:right="89" w:hanging="178"/>
              <w:jc w:val="left"/>
              <w:rPr>
                <w:rFonts w:ascii="宋体" w:hAnsi="宋体" w:cs="宋体" w:eastAsia="宋体" w:hint="default"/>
                <w:sz w:val="18"/>
                <w:szCs w:val="18"/>
              </w:rPr>
            </w:pPr>
            <w:r>
              <w:rPr>
                <w:rFonts w:ascii="宋体" w:hAnsi="宋体" w:cs="宋体" w:eastAsia="宋体" w:hint="default"/>
                <w:sz w:val="18"/>
                <w:szCs w:val="18"/>
              </w:rPr>
              <w:t>负债合</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计</w:t>
            </w:r>
          </w:p>
        </w:tc>
      </w:tr>
      <w:tr>
        <w:trPr>
          <w:trHeight w:val="1340" w:hRule="exact"/>
        </w:trPr>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12"/>
              <w:jc w:val="left"/>
              <w:rPr>
                <w:rFonts w:ascii="宋体" w:hAnsi="宋体" w:cs="宋体" w:eastAsia="宋体" w:hint="default"/>
                <w:sz w:val="18"/>
                <w:szCs w:val="18"/>
              </w:rPr>
            </w:pPr>
            <w:r>
              <w:rPr>
                <w:rFonts w:ascii="宋体" w:hAnsi="宋体" w:cs="宋体" w:eastAsia="宋体" w:hint="default"/>
                <w:sz w:val="18"/>
                <w:szCs w:val="18"/>
              </w:rPr>
              <w:t>安科创</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新（深</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1"/>
                <w:sz w:val="18"/>
                <w:szCs w:val="18"/>
              </w:rPr>
              <w:t>圳）有限</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公司</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53" w:right="0"/>
              <w:jc w:val="center"/>
              <w:rPr>
                <w:rFonts w:ascii="Arial" w:hAnsi="Arial" w:cs="Arial" w:eastAsia="Arial" w:hint="default"/>
                <w:sz w:val="16"/>
                <w:szCs w:val="16"/>
              </w:rPr>
            </w:pPr>
            <w:r>
              <w:rPr>
                <w:rFonts w:ascii="Arial"/>
                <w:sz w:val="16"/>
              </w:rPr>
              <w:t>158,397,</w:t>
            </w:r>
          </w:p>
          <w:p>
            <w:pPr>
              <w:pStyle w:val="TableParagraph"/>
              <w:spacing w:line="240" w:lineRule="auto" w:before="128"/>
              <w:ind w:left="189" w:right="0"/>
              <w:jc w:val="center"/>
              <w:rPr>
                <w:rFonts w:ascii="Arial" w:hAnsi="Arial" w:cs="Arial" w:eastAsia="Arial" w:hint="default"/>
                <w:sz w:val="16"/>
                <w:szCs w:val="16"/>
              </w:rPr>
            </w:pPr>
            <w:r>
              <w:rPr>
                <w:rFonts w:ascii="Arial"/>
                <w:sz w:val="16"/>
              </w:rPr>
              <w:t>949.16</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81" w:right="0"/>
              <w:jc w:val="left"/>
              <w:rPr>
                <w:rFonts w:ascii="Arial" w:hAnsi="Arial" w:cs="Arial" w:eastAsia="Arial" w:hint="default"/>
                <w:sz w:val="16"/>
                <w:szCs w:val="16"/>
              </w:rPr>
            </w:pPr>
            <w:r>
              <w:rPr>
                <w:rFonts w:ascii="Arial"/>
                <w:sz w:val="16"/>
              </w:rPr>
              <w:t>17,777,7</w:t>
            </w:r>
          </w:p>
          <w:p>
            <w:pPr>
              <w:pStyle w:val="TableParagraph"/>
              <w:spacing w:line="240" w:lineRule="auto" w:before="128"/>
              <w:ind w:left="307" w:right="0"/>
              <w:jc w:val="left"/>
              <w:rPr>
                <w:rFonts w:ascii="Arial" w:hAnsi="Arial" w:cs="Arial" w:eastAsia="Arial" w:hint="default"/>
                <w:sz w:val="16"/>
                <w:szCs w:val="16"/>
              </w:rPr>
            </w:pPr>
            <w:r>
              <w:rPr>
                <w:rFonts w:ascii="Arial"/>
                <w:sz w:val="16"/>
              </w:rPr>
              <w:t>01.94</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57" w:right="0"/>
              <w:jc w:val="center"/>
              <w:rPr>
                <w:rFonts w:ascii="Arial" w:hAnsi="Arial" w:cs="Arial" w:eastAsia="Arial" w:hint="default"/>
                <w:sz w:val="16"/>
                <w:szCs w:val="16"/>
              </w:rPr>
            </w:pPr>
            <w:r>
              <w:rPr>
                <w:rFonts w:ascii="Arial"/>
                <w:sz w:val="16"/>
              </w:rPr>
              <w:t>176,175,</w:t>
            </w:r>
          </w:p>
          <w:p>
            <w:pPr>
              <w:pStyle w:val="TableParagraph"/>
              <w:spacing w:line="240" w:lineRule="auto" w:before="128"/>
              <w:ind w:left="193" w:right="0"/>
              <w:jc w:val="center"/>
              <w:rPr>
                <w:rFonts w:ascii="Arial" w:hAnsi="Arial" w:cs="Arial" w:eastAsia="Arial" w:hint="default"/>
                <w:sz w:val="16"/>
                <w:szCs w:val="16"/>
              </w:rPr>
            </w:pPr>
            <w:r>
              <w:rPr>
                <w:rFonts w:ascii="Arial"/>
                <w:sz w:val="16"/>
              </w:rPr>
              <w:t>651.10</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52" w:right="0"/>
              <w:jc w:val="center"/>
              <w:rPr>
                <w:rFonts w:ascii="Arial" w:hAnsi="Arial" w:cs="Arial" w:eastAsia="Arial" w:hint="default"/>
                <w:sz w:val="16"/>
                <w:szCs w:val="16"/>
              </w:rPr>
            </w:pPr>
            <w:r>
              <w:rPr>
                <w:rFonts w:ascii="Arial"/>
                <w:sz w:val="16"/>
              </w:rPr>
              <w:t>143,687,</w:t>
            </w:r>
          </w:p>
          <w:p>
            <w:pPr>
              <w:pStyle w:val="TableParagraph"/>
              <w:spacing w:line="240" w:lineRule="auto" w:before="128"/>
              <w:ind w:left="187" w:right="0"/>
              <w:jc w:val="center"/>
              <w:rPr>
                <w:rFonts w:ascii="Arial" w:hAnsi="Arial" w:cs="Arial" w:eastAsia="Arial" w:hint="default"/>
                <w:sz w:val="16"/>
                <w:szCs w:val="16"/>
              </w:rPr>
            </w:pPr>
            <w:r>
              <w:rPr>
                <w:rFonts w:ascii="Arial"/>
                <w:sz w:val="16"/>
              </w:rPr>
              <w:t>515.44</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3"/>
              <w:ind w:right="0"/>
              <w:jc w:val="left"/>
              <w:rPr>
                <w:rFonts w:ascii="宋体" w:hAnsi="宋体" w:cs="宋体" w:eastAsia="宋体" w:hint="default"/>
                <w:sz w:val="11"/>
                <w:szCs w:val="11"/>
              </w:rPr>
            </w:pPr>
          </w:p>
          <w:p>
            <w:pPr>
              <w:pStyle w:val="TableParagraph"/>
              <w:spacing w:line="240" w:lineRule="auto"/>
              <w:ind w:right="22"/>
              <w:jc w:val="right"/>
              <w:rPr>
                <w:rFonts w:ascii="Arial" w:hAnsi="Arial" w:cs="Arial" w:eastAsia="Arial" w:hint="default"/>
                <w:sz w:val="16"/>
                <w:szCs w:val="16"/>
              </w:rPr>
            </w:pPr>
            <w:r>
              <w:rPr>
                <w:rFonts w:ascii="Arial"/>
                <w:w w:val="98"/>
                <w:sz w:val="16"/>
              </w:rPr>
              <w:t>-</w:t>
            </w:r>
            <w:r>
              <w:rPr>
                <w:rFonts w:ascii="Arial"/>
                <w:sz w:val="16"/>
              </w:rPr>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47" w:right="0"/>
              <w:jc w:val="center"/>
              <w:rPr>
                <w:rFonts w:ascii="Arial" w:hAnsi="Arial" w:cs="Arial" w:eastAsia="Arial" w:hint="default"/>
                <w:sz w:val="16"/>
                <w:szCs w:val="16"/>
              </w:rPr>
            </w:pPr>
            <w:r>
              <w:rPr>
                <w:rFonts w:ascii="Arial"/>
                <w:sz w:val="16"/>
              </w:rPr>
              <w:t>143,687,</w:t>
            </w:r>
          </w:p>
          <w:p>
            <w:pPr>
              <w:pStyle w:val="TableParagraph"/>
              <w:spacing w:line="240" w:lineRule="auto" w:before="128"/>
              <w:ind w:left="184" w:right="0"/>
              <w:jc w:val="center"/>
              <w:rPr>
                <w:rFonts w:ascii="Arial" w:hAnsi="Arial" w:cs="Arial" w:eastAsia="Arial" w:hint="default"/>
                <w:sz w:val="16"/>
                <w:szCs w:val="16"/>
              </w:rPr>
            </w:pPr>
            <w:r>
              <w:rPr>
                <w:rFonts w:ascii="Arial"/>
                <w:sz w:val="16"/>
              </w:rPr>
              <w:t>515.44</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47" w:right="0"/>
              <w:jc w:val="center"/>
              <w:rPr>
                <w:rFonts w:ascii="Arial" w:hAnsi="Arial" w:cs="Arial" w:eastAsia="Arial" w:hint="default"/>
                <w:sz w:val="16"/>
                <w:szCs w:val="16"/>
              </w:rPr>
            </w:pPr>
            <w:r>
              <w:rPr>
                <w:rFonts w:ascii="Arial"/>
                <w:sz w:val="16"/>
              </w:rPr>
              <w:t>164,503,</w:t>
            </w:r>
          </w:p>
          <w:p>
            <w:pPr>
              <w:pStyle w:val="TableParagraph"/>
              <w:spacing w:line="240" w:lineRule="auto" w:before="128"/>
              <w:ind w:left="183" w:right="0"/>
              <w:jc w:val="center"/>
              <w:rPr>
                <w:rFonts w:ascii="Arial" w:hAnsi="Arial" w:cs="Arial" w:eastAsia="Arial" w:hint="default"/>
                <w:sz w:val="16"/>
                <w:szCs w:val="16"/>
              </w:rPr>
            </w:pPr>
            <w:r>
              <w:rPr>
                <w:rFonts w:ascii="Arial"/>
                <w:sz w:val="16"/>
              </w:rPr>
              <w:t>651.58</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76" w:right="0"/>
              <w:jc w:val="left"/>
              <w:rPr>
                <w:rFonts w:ascii="Arial" w:hAnsi="Arial" w:cs="Arial" w:eastAsia="Arial" w:hint="default"/>
                <w:sz w:val="16"/>
                <w:szCs w:val="16"/>
              </w:rPr>
            </w:pPr>
            <w:r>
              <w:rPr>
                <w:rFonts w:ascii="Arial"/>
                <w:sz w:val="16"/>
              </w:rPr>
              <w:t>15,815,0</w:t>
            </w:r>
          </w:p>
          <w:p>
            <w:pPr>
              <w:pStyle w:val="TableParagraph"/>
              <w:spacing w:line="240" w:lineRule="auto" w:before="128"/>
              <w:ind w:left="302" w:right="0"/>
              <w:jc w:val="left"/>
              <w:rPr>
                <w:rFonts w:ascii="Arial" w:hAnsi="Arial" w:cs="Arial" w:eastAsia="Arial" w:hint="default"/>
                <w:sz w:val="16"/>
                <w:szCs w:val="16"/>
              </w:rPr>
            </w:pPr>
            <w:r>
              <w:rPr>
                <w:rFonts w:ascii="Arial"/>
                <w:sz w:val="16"/>
              </w:rPr>
              <w:t>17.96</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47" w:right="0"/>
              <w:jc w:val="center"/>
              <w:rPr>
                <w:rFonts w:ascii="Arial" w:hAnsi="Arial" w:cs="Arial" w:eastAsia="Arial" w:hint="default"/>
                <w:sz w:val="16"/>
                <w:szCs w:val="16"/>
              </w:rPr>
            </w:pPr>
            <w:r>
              <w:rPr>
                <w:rFonts w:ascii="Arial"/>
                <w:sz w:val="16"/>
              </w:rPr>
              <w:t>180,318,</w:t>
            </w:r>
          </w:p>
          <w:p>
            <w:pPr>
              <w:pStyle w:val="TableParagraph"/>
              <w:spacing w:line="240" w:lineRule="auto" w:before="128"/>
              <w:ind w:left="183" w:right="0"/>
              <w:jc w:val="center"/>
              <w:rPr>
                <w:rFonts w:ascii="Arial" w:hAnsi="Arial" w:cs="Arial" w:eastAsia="Arial" w:hint="default"/>
                <w:sz w:val="16"/>
                <w:szCs w:val="16"/>
              </w:rPr>
            </w:pPr>
            <w:r>
              <w:rPr>
                <w:rFonts w:ascii="Arial"/>
                <w:sz w:val="16"/>
              </w:rPr>
              <w:t>669.54</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53" w:right="0"/>
              <w:jc w:val="center"/>
              <w:rPr>
                <w:rFonts w:ascii="Arial" w:hAnsi="Arial" w:cs="Arial" w:eastAsia="Arial" w:hint="default"/>
                <w:sz w:val="16"/>
                <w:szCs w:val="16"/>
              </w:rPr>
            </w:pPr>
            <w:r>
              <w:rPr>
                <w:rFonts w:ascii="Arial"/>
                <w:sz w:val="16"/>
              </w:rPr>
              <w:t>150,465,</w:t>
            </w:r>
          </w:p>
          <w:p>
            <w:pPr>
              <w:pStyle w:val="TableParagraph"/>
              <w:spacing w:line="240" w:lineRule="auto" w:before="128"/>
              <w:ind w:left="188" w:right="0"/>
              <w:jc w:val="center"/>
              <w:rPr>
                <w:rFonts w:ascii="Arial" w:hAnsi="Arial" w:cs="Arial" w:eastAsia="Arial" w:hint="default"/>
                <w:sz w:val="16"/>
                <w:szCs w:val="16"/>
              </w:rPr>
            </w:pPr>
            <w:r>
              <w:rPr>
                <w:rFonts w:ascii="Arial"/>
                <w:sz w:val="16"/>
              </w:rPr>
              <w:t>371.95</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3"/>
              <w:ind w:right="0"/>
              <w:jc w:val="left"/>
              <w:rPr>
                <w:rFonts w:ascii="宋体" w:hAnsi="宋体" w:cs="宋体" w:eastAsia="宋体" w:hint="default"/>
                <w:sz w:val="11"/>
                <w:szCs w:val="11"/>
              </w:rPr>
            </w:pPr>
          </w:p>
          <w:p>
            <w:pPr>
              <w:pStyle w:val="TableParagraph"/>
              <w:spacing w:line="240" w:lineRule="auto"/>
              <w:ind w:right="20"/>
              <w:jc w:val="right"/>
              <w:rPr>
                <w:rFonts w:ascii="Arial" w:hAnsi="Arial" w:cs="Arial" w:eastAsia="Arial" w:hint="default"/>
                <w:sz w:val="16"/>
                <w:szCs w:val="16"/>
              </w:rPr>
            </w:pPr>
            <w:r>
              <w:rPr>
                <w:rFonts w:ascii="Arial"/>
                <w:w w:val="98"/>
                <w:sz w:val="16"/>
              </w:rPr>
              <w:t>0</w:t>
            </w:r>
            <w:r>
              <w:rPr>
                <w:rFonts w:ascii="Arial"/>
                <w:sz w:val="16"/>
              </w:rPr>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53" w:right="0"/>
              <w:jc w:val="center"/>
              <w:rPr>
                <w:rFonts w:ascii="Arial" w:hAnsi="Arial" w:cs="Arial" w:eastAsia="Arial" w:hint="default"/>
                <w:sz w:val="16"/>
                <w:szCs w:val="16"/>
              </w:rPr>
            </w:pPr>
            <w:r>
              <w:rPr>
                <w:rFonts w:ascii="Arial"/>
                <w:sz w:val="16"/>
              </w:rPr>
              <w:t>150,465,</w:t>
            </w:r>
          </w:p>
          <w:p>
            <w:pPr>
              <w:pStyle w:val="TableParagraph"/>
              <w:spacing w:line="240" w:lineRule="auto" w:before="128"/>
              <w:ind w:left="188" w:right="0"/>
              <w:jc w:val="center"/>
              <w:rPr>
                <w:rFonts w:ascii="Arial" w:hAnsi="Arial" w:cs="Arial" w:eastAsia="Arial" w:hint="default"/>
                <w:sz w:val="16"/>
                <w:szCs w:val="16"/>
              </w:rPr>
            </w:pPr>
            <w:r>
              <w:rPr>
                <w:rFonts w:ascii="Arial"/>
                <w:sz w:val="16"/>
              </w:rPr>
              <w:t>371.95</w:t>
            </w:r>
          </w:p>
        </w:tc>
      </w:tr>
      <w:tr>
        <w:trPr>
          <w:trHeight w:val="1335" w:hRule="exact"/>
        </w:trPr>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156"/>
              <w:jc w:val="both"/>
              <w:rPr>
                <w:rFonts w:ascii="宋体" w:hAnsi="宋体" w:cs="宋体" w:eastAsia="宋体" w:hint="default"/>
                <w:sz w:val="18"/>
                <w:szCs w:val="18"/>
              </w:rPr>
            </w:pPr>
            <w:r>
              <w:rPr>
                <w:rFonts w:ascii="宋体" w:hAnsi="宋体" w:cs="宋体" w:eastAsia="宋体" w:hint="default"/>
                <w:sz w:val="18"/>
                <w:szCs w:val="18"/>
              </w:rPr>
              <w:t>北京杰</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智融软</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件有限</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公司</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82" w:right="0"/>
              <w:jc w:val="left"/>
              <w:rPr>
                <w:rFonts w:ascii="Arial" w:hAnsi="Arial" w:cs="Arial" w:eastAsia="Arial" w:hint="default"/>
                <w:sz w:val="16"/>
                <w:szCs w:val="16"/>
              </w:rPr>
            </w:pPr>
            <w:r>
              <w:rPr>
                <w:rFonts w:ascii="Arial"/>
                <w:sz w:val="16"/>
              </w:rPr>
              <w:t>33,992,6</w:t>
            </w:r>
          </w:p>
          <w:p>
            <w:pPr>
              <w:pStyle w:val="TableParagraph"/>
              <w:spacing w:line="240" w:lineRule="auto" w:before="128"/>
              <w:ind w:left="307" w:right="0"/>
              <w:jc w:val="left"/>
              <w:rPr>
                <w:rFonts w:ascii="Arial" w:hAnsi="Arial" w:cs="Arial" w:eastAsia="Arial" w:hint="default"/>
                <w:sz w:val="16"/>
                <w:szCs w:val="16"/>
              </w:rPr>
            </w:pPr>
            <w:r>
              <w:rPr>
                <w:rFonts w:ascii="Arial"/>
                <w:sz w:val="16"/>
              </w:rPr>
              <w:t>37.67</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81" w:right="0"/>
              <w:jc w:val="left"/>
              <w:rPr>
                <w:rFonts w:ascii="Arial" w:hAnsi="Arial" w:cs="Arial" w:eastAsia="Arial" w:hint="default"/>
                <w:sz w:val="16"/>
                <w:szCs w:val="16"/>
              </w:rPr>
            </w:pPr>
            <w:r>
              <w:rPr>
                <w:rFonts w:ascii="Arial"/>
                <w:sz w:val="16"/>
              </w:rPr>
              <w:t>20,342,7</w:t>
            </w:r>
          </w:p>
          <w:p>
            <w:pPr>
              <w:pStyle w:val="TableParagraph"/>
              <w:spacing w:line="240" w:lineRule="auto" w:before="128"/>
              <w:ind w:left="307" w:right="0"/>
              <w:jc w:val="left"/>
              <w:rPr>
                <w:rFonts w:ascii="Arial" w:hAnsi="Arial" w:cs="Arial" w:eastAsia="Arial" w:hint="default"/>
                <w:sz w:val="16"/>
                <w:szCs w:val="16"/>
              </w:rPr>
            </w:pPr>
            <w:r>
              <w:rPr>
                <w:rFonts w:ascii="Arial"/>
                <w:sz w:val="16"/>
              </w:rPr>
              <w:t>02.83</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81" w:right="0"/>
              <w:jc w:val="left"/>
              <w:rPr>
                <w:rFonts w:ascii="Arial" w:hAnsi="Arial" w:cs="Arial" w:eastAsia="Arial" w:hint="default"/>
                <w:sz w:val="16"/>
                <w:szCs w:val="16"/>
              </w:rPr>
            </w:pPr>
            <w:r>
              <w:rPr>
                <w:rFonts w:ascii="Arial"/>
                <w:sz w:val="16"/>
              </w:rPr>
              <w:t>54,335,3</w:t>
            </w:r>
          </w:p>
          <w:p>
            <w:pPr>
              <w:pStyle w:val="TableParagraph"/>
              <w:spacing w:line="240" w:lineRule="auto" w:before="128"/>
              <w:ind w:left="307" w:right="0"/>
              <w:jc w:val="left"/>
              <w:rPr>
                <w:rFonts w:ascii="Arial" w:hAnsi="Arial" w:cs="Arial" w:eastAsia="Arial" w:hint="default"/>
                <w:sz w:val="16"/>
                <w:szCs w:val="16"/>
              </w:rPr>
            </w:pPr>
            <w:r>
              <w:rPr>
                <w:rFonts w:ascii="Arial"/>
                <w:sz w:val="16"/>
              </w:rPr>
              <w:t>40.50</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81" w:right="0"/>
              <w:jc w:val="left"/>
              <w:rPr>
                <w:rFonts w:ascii="Arial" w:hAnsi="Arial" w:cs="Arial" w:eastAsia="Arial" w:hint="default"/>
                <w:sz w:val="16"/>
                <w:szCs w:val="16"/>
              </w:rPr>
            </w:pPr>
            <w:r>
              <w:rPr>
                <w:rFonts w:ascii="Arial"/>
                <w:sz w:val="16"/>
              </w:rPr>
              <w:t>42,801,0</w:t>
            </w:r>
          </w:p>
          <w:p>
            <w:pPr>
              <w:pStyle w:val="TableParagraph"/>
              <w:spacing w:line="240" w:lineRule="auto" w:before="128"/>
              <w:ind w:left="307" w:right="0"/>
              <w:jc w:val="left"/>
              <w:rPr>
                <w:rFonts w:ascii="Arial" w:hAnsi="Arial" w:cs="Arial" w:eastAsia="Arial" w:hint="default"/>
                <w:sz w:val="16"/>
                <w:szCs w:val="16"/>
              </w:rPr>
            </w:pPr>
            <w:r>
              <w:rPr>
                <w:rFonts w:ascii="Arial"/>
                <w:sz w:val="16"/>
              </w:rPr>
              <w:t>24.30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76" w:right="0"/>
              <w:jc w:val="left"/>
              <w:rPr>
                <w:rFonts w:ascii="Arial" w:hAnsi="Arial" w:cs="Arial" w:eastAsia="Arial" w:hint="default"/>
                <w:sz w:val="16"/>
                <w:szCs w:val="16"/>
              </w:rPr>
            </w:pPr>
            <w:r>
              <w:rPr>
                <w:rFonts w:ascii="Arial"/>
                <w:sz w:val="16"/>
              </w:rPr>
              <w:t>2,022,47</w:t>
            </w:r>
          </w:p>
          <w:p>
            <w:pPr>
              <w:pStyle w:val="TableParagraph"/>
              <w:spacing w:line="240" w:lineRule="auto" w:before="128"/>
              <w:ind w:left="388" w:right="0"/>
              <w:jc w:val="left"/>
              <w:rPr>
                <w:rFonts w:ascii="Arial" w:hAnsi="Arial" w:cs="Arial" w:eastAsia="Arial" w:hint="default"/>
                <w:sz w:val="16"/>
                <w:szCs w:val="16"/>
              </w:rPr>
            </w:pPr>
            <w:r>
              <w:rPr>
                <w:rFonts w:ascii="Arial"/>
                <w:sz w:val="16"/>
              </w:rPr>
              <w:t>1.79</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76" w:right="0"/>
              <w:jc w:val="left"/>
              <w:rPr>
                <w:rFonts w:ascii="Arial" w:hAnsi="Arial" w:cs="Arial" w:eastAsia="Arial" w:hint="default"/>
                <w:sz w:val="16"/>
                <w:szCs w:val="16"/>
              </w:rPr>
            </w:pPr>
            <w:r>
              <w:rPr>
                <w:rFonts w:ascii="Arial"/>
                <w:sz w:val="16"/>
              </w:rPr>
              <w:t>44,823,4</w:t>
            </w:r>
          </w:p>
          <w:p>
            <w:pPr>
              <w:pStyle w:val="TableParagraph"/>
              <w:spacing w:line="240" w:lineRule="auto" w:before="128"/>
              <w:ind w:left="302" w:right="0"/>
              <w:jc w:val="left"/>
              <w:rPr>
                <w:rFonts w:ascii="Arial" w:hAnsi="Arial" w:cs="Arial" w:eastAsia="Arial" w:hint="default"/>
                <w:sz w:val="16"/>
                <w:szCs w:val="16"/>
              </w:rPr>
            </w:pPr>
            <w:r>
              <w:rPr>
                <w:rFonts w:ascii="Arial"/>
                <w:sz w:val="16"/>
              </w:rPr>
              <w:t>96.09</w:t>
            </w:r>
          </w:p>
        </w:tc>
        <w:tc>
          <w:tcPr>
            <w:tcW w:w="735"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9"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9"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3"/>
        <w:ind w:left="0" w:right="1122"/>
        <w:jc w:val="right"/>
      </w:pPr>
      <w:r>
        <w:rPr/>
        <w:t>单位：</w:t>
      </w:r>
      <w:r>
        <w:rPr>
          <w:spacing w:val="5"/>
        </w:rPr>
        <w:t> </w:t>
      </w:r>
      <w:r>
        <w:rPr/>
        <w:t>元</w:t>
      </w:r>
    </w:p>
    <w:p>
      <w:pPr>
        <w:spacing w:after="0" w:line="240" w:lineRule="auto"/>
        <w:jc w:val="right"/>
        <w:sectPr>
          <w:pgSz w:w="11910" w:h="16840"/>
          <w:pgMar w:header="871" w:footer="1186" w:top="1100" w:bottom="1380" w:left="980" w:right="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1061"/>
        <w:gridCol w:w="1061"/>
        <w:gridCol w:w="1061"/>
        <w:gridCol w:w="1066"/>
        <w:gridCol w:w="1066"/>
        <w:gridCol w:w="1066"/>
        <w:gridCol w:w="1061"/>
        <w:gridCol w:w="1061"/>
        <w:gridCol w:w="1071"/>
      </w:tblGrid>
      <w:tr>
        <w:trPr>
          <w:trHeight w:val="403" w:hRule="exact"/>
        </w:trPr>
        <w:tc>
          <w:tcPr>
            <w:tcW w:w="10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76"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4254"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425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1" w:hRule="exact"/>
        </w:trPr>
        <w:tc>
          <w:tcPr>
            <w:tcW w:w="1061" w:type="dxa"/>
            <w:vMerge/>
            <w:tcBorders>
              <w:left w:val="single" w:sz="4" w:space="0" w:color="000000"/>
              <w:bottom w:val="single" w:sz="4" w:space="0" w:color="000000"/>
              <w:right w:val="single" w:sz="4" w:space="0" w:color="000000"/>
            </w:tcBorders>
            <w:shd w:val="clear" w:color="auto" w:fill="D2D2D2"/>
          </w:tcPr>
          <w:p>
            <w:pP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净利润</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437" w:right="75" w:hanging="361"/>
              <w:jc w:val="left"/>
              <w:rPr>
                <w:rFonts w:ascii="宋体" w:hAnsi="宋体" w:cs="宋体" w:eastAsia="宋体" w:hint="default"/>
                <w:sz w:val="18"/>
                <w:szCs w:val="18"/>
              </w:rPr>
            </w:pPr>
            <w:r>
              <w:rPr>
                <w:rFonts w:ascii="宋体" w:hAnsi="宋体" w:cs="宋体" w:eastAsia="宋体" w:hint="default"/>
                <w:spacing w:val="-2"/>
                <w:sz w:val="18"/>
                <w:szCs w:val="18"/>
              </w:rPr>
              <w:t>综合收益总</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额</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59" w:right="75" w:hanging="183"/>
              <w:jc w:val="left"/>
              <w:rPr>
                <w:rFonts w:ascii="宋体" w:hAnsi="宋体" w:cs="宋体" w:eastAsia="宋体" w:hint="default"/>
                <w:sz w:val="18"/>
                <w:szCs w:val="18"/>
              </w:rPr>
            </w:pPr>
            <w:r>
              <w:rPr>
                <w:rFonts w:ascii="宋体" w:hAnsi="宋体" w:cs="宋体" w:eastAsia="宋体" w:hint="default"/>
                <w:spacing w:val="-2"/>
                <w:sz w:val="18"/>
                <w:szCs w:val="18"/>
              </w:rPr>
              <w:t>经营活动现</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金流量</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8"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59"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436" w:right="70" w:hanging="360"/>
              <w:jc w:val="left"/>
              <w:rPr>
                <w:rFonts w:ascii="宋体" w:hAnsi="宋体" w:cs="宋体" w:eastAsia="宋体" w:hint="default"/>
                <w:sz w:val="18"/>
                <w:szCs w:val="18"/>
              </w:rPr>
            </w:pPr>
            <w:r>
              <w:rPr>
                <w:rFonts w:ascii="宋体" w:hAnsi="宋体" w:cs="宋体" w:eastAsia="宋体" w:hint="default"/>
                <w:spacing w:val="-2"/>
                <w:sz w:val="18"/>
                <w:szCs w:val="18"/>
              </w:rPr>
              <w:t>综合收益总</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额</w:t>
            </w:r>
          </w:p>
        </w:tc>
        <w:tc>
          <w:tcPr>
            <w:tcW w:w="1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64" w:right="74" w:hanging="183"/>
              <w:jc w:val="left"/>
              <w:rPr>
                <w:rFonts w:ascii="宋体" w:hAnsi="宋体" w:cs="宋体" w:eastAsia="宋体" w:hint="default"/>
                <w:sz w:val="18"/>
                <w:szCs w:val="18"/>
              </w:rPr>
            </w:pPr>
            <w:r>
              <w:rPr>
                <w:rFonts w:ascii="宋体" w:hAnsi="宋体" w:cs="宋体" w:eastAsia="宋体" w:hint="default"/>
                <w:spacing w:val="-2"/>
                <w:sz w:val="18"/>
                <w:szCs w:val="18"/>
              </w:rPr>
              <w:t>经营活动现</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金流量</w:t>
            </w:r>
          </w:p>
        </w:tc>
      </w:tr>
      <w:tr>
        <w:trPr>
          <w:trHeight w:val="715"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24" w:right="17"/>
              <w:jc w:val="left"/>
              <w:rPr>
                <w:rFonts w:ascii="宋体" w:hAnsi="宋体" w:cs="宋体" w:eastAsia="宋体" w:hint="default"/>
                <w:sz w:val="18"/>
                <w:szCs w:val="18"/>
              </w:rPr>
            </w:pPr>
            <w:r>
              <w:rPr>
                <w:rFonts w:ascii="宋体" w:hAnsi="宋体" w:cs="宋体" w:eastAsia="宋体" w:hint="default"/>
                <w:w w:val="101"/>
                <w:sz w:val="18"/>
                <w:szCs w:val="18"/>
              </w:rPr>
              <w:t>安</w:t>
            </w:r>
            <w:r>
              <w:rPr>
                <w:rFonts w:ascii="宋体" w:hAnsi="宋体" w:cs="宋体" w:eastAsia="宋体" w:hint="default"/>
                <w:spacing w:val="-5"/>
                <w:w w:val="101"/>
                <w:sz w:val="18"/>
                <w:szCs w:val="18"/>
              </w:rPr>
              <w:t>科</w:t>
            </w:r>
            <w:r>
              <w:rPr>
                <w:rFonts w:ascii="宋体" w:hAnsi="宋体" w:cs="宋体" w:eastAsia="宋体" w:hint="default"/>
                <w:w w:val="101"/>
                <w:sz w:val="18"/>
                <w:szCs w:val="18"/>
              </w:rPr>
              <w:t>创</w:t>
            </w:r>
            <w:r>
              <w:rPr>
                <w:rFonts w:ascii="宋体" w:hAnsi="宋体" w:cs="宋体" w:eastAsia="宋体" w:hint="default"/>
                <w:spacing w:val="-77"/>
                <w:w w:val="101"/>
                <w:sz w:val="18"/>
                <w:szCs w:val="18"/>
              </w:rPr>
              <w:t>新</w:t>
            </w:r>
            <w:r>
              <w:rPr>
                <w:rFonts w:ascii="宋体" w:hAnsi="宋体" w:cs="宋体" w:eastAsia="宋体" w:hint="default"/>
                <w:spacing w:val="-5"/>
                <w:w w:val="101"/>
                <w:sz w:val="18"/>
                <w:szCs w:val="18"/>
              </w:rPr>
              <w:t>（</w:t>
            </w:r>
            <w:r>
              <w:rPr>
                <w:rFonts w:ascii="宋体" w:hAnsi="宋体" w:cs="宋体" w:eastAsia="宋体" w:hint="default"/>
                <w:w w:val="101"/>
                <w:sz w:val="18"/>
                <w:szCs w:val="18"/>
              </w:rPr>
              <w:t>深</w:t>
            </w:r>
            <w:r>
              <w:rPr>
                <w:rFonts w:ascii="宋体" w:hAnsi="宋体" w:cs="宋体" w:eastAsia="宋体" w:hint="default"/>
                <w:w w:val="101"/>
                <w:sz w:val="18"/>
                <w:szCs w:val="18"/>
              </w:rPr>
              <w:t> 圳</w:t>
            </w:r>
            <w:r>
              <w:rPr>
                <w:rFonts w:ascii="宋体" w:hAnsi="宋体" w:cs="宋体" w:eastAsia="宋体" w:hint="default"/>
                <w:spacing w:val="-77"/>
                <w:w w:val="101"/>
                <w:sz w:val="18"/>
                <w:szCs w:val="18"/>
              </w:rPr>
              <w:t>）</w:t>
            </w:r>
            <w:r>
              <w:rPr>
                <w:rFonts w:ascii="宋体" w:hAnsi="宋体" w:cs="宋体" w:eastAsia="宋体" w:hint="default"/>
                <w:spacing w:val="-5"/>
                <w:w w:val="101"/>
                <w:sz w:val="18"/>
                <w:szCs w:val="18"/>
              </w:rPr>
              <w:t>有</w:t>
            </w:r>
            <w:r>
              <w:rPr>
                <w:rFonts w:ascii="宋体" w:hAnsi="宋体" w:cs="宋体" w:eastAsia="宋体" w:hint="default"/>
                <w:w w:val="101"/>
                <w:sz w:val="18"/>
                <w:szCs w:val="18"/>
              </w:rPr>
              <w:t>限</w:t>
            </w:r>
            <w:r>
              <w:rPr>
                <w:rFonts w:ascii="宋体" w:hAnsi="宋体" w:cs="宋体" w:eastAsia="宋体" w:hint="default"/>
                <w:spacing w:val="-5"/>
                <w:w w:val="101"/>
                <w:sz w:val="18"/>
                <w:szCs w:val="18"/>
              </w:rPr>
              <w:t>公</w:t>
            </w:r>
            <w:r>
              <w:rPr>
                <w:rFonts w:ascii="宋体" w:hAnsi="宋体" w:cs="宋体" w:eastAsia="宋体" w:hint="default"/>
                <w:w w:val="101"/>
                <w:sz w:val="18"/>
                <w:szCs w:val="18"/>
              </w:rPr>
              <w:t>司</w:t>
            </w:r>
            <w:r>
              <w:rPr>
                <w:rFonts w:ascii="宋体" w:hAnsi="宋体" w:cs="宋体" w:eastAsia="宋体" w:hint="default"/>
                <w:sz w:val="18"/>
                <w:szCs w:val="18"/>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27"/>
              <w:jc w:val="right"/>
              <w:rPr>
                <w:rFonts w:ascii="Arial" w:hAnsi="Arial" w:cs="Arial" w:eastAsia="Arial" w:hint="default"/>
                <w:sz w:val="16"/>
                <w:szCs w:val="16"/>
              </w:rPr>
            </w:pPr>
            <w:r>
              <w:rPr>
                <w:rFonts w:ascii="Arial"/>
                <w:w w:val="95"/>
                <w:sz w:val="16"/>
              </w:rPr>
              <w:t>375,965,856.</w:t>
            </w:r>
            <w:r>
              <w:rPr>
                <w:rFonts w:ascii="Arial"/>
                <w:sz w:val="16"/>
              </w:rPr>
            </w:r>
          </w:p>
          <w:p>
            <w:pPr>
              <w:pStyle w:val="TableParagraph"/>
              <w:spacing w:line="240" w:lineRule="auto" w:before="128"/>
              <w:ind w:right="27"/>
              <w:jc w:val="right"/>
              <w:rPr>
                <w:rFonts w:ascii="Arial" w:hAnsi="Arial" w:cs="Arial" w:eastAsia="Arial" w:hint="default"/>
                <w:sz w:val="16"/>
                <w:szCs w:val="16"/>
              </w:rPr>
            </w:pPr>
            <w:r>
              <w:rPr>
                <w:rFonts w:ascii="Arial"/>
                <w:spacing w:val="-2"/>
                <w:w w:val="95"/>
                <w:sz w:val="16"/>
              </w:rPr>
              <w:t>35</w:t>
            </w:r>
            <w:r>
              <w:rPr>
                <w:rFonts w:ascii="Arial"/>
                <w:sz w:val="16"/>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72" w:right="0"/>
              <w:jc w:val="center"/>
              <w:rPr>
                <w:rFonts w:ascii="Arial" w:hAnsi="Arial" w:cs="Arial" w:eastAsia="Arial" w:hint="default"/>
                <w:sz w:val="16"/>
                <w:szCs w:val="16"/>
              </w:rPr>
            </w:pPr>
            <w:r>
              <w:rPr>
                <w:rFonts w:ascii="Arial"/>
                <w:sz w:val="16"/>
              </w:rPr>
              <w:t>2,761,470.37</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25"/>
              <w:jc w:val="right"/>
              <w:rPr>
                <w:rFonts w:ascii="Arial" w:hAnsi="Arial" w:cs="Arial" w:eastAsia="Arial" w:hint="default"/>
                <w:sz w:val="16"/>
                <w:szCs w:val="16"/>
              </w:rPr>
            </w:pPr>
            <w:r>
              <w:rPr>
                <w:rFonts w:ascii="Arial"/>
                <w:w w:val="95"/>
                <w:sz w:val="16"/>
              </w:rPr>
              <w:t>2,761,470.37</w:t>
            </w:r>
            <w:r>
              <w:rPr>
                <w:rFonts w:ascii="Arial"/>
                <w:sz w:val="16"/>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26"/>
              <w:jc w:val="right"/>
              <w:rPr>
                <w:rFonts w:ascii="Arial" w:hAnsi="Arial" w:cs="Arial" w:eastAsia="Arial" w:hint="default"/>
                <w:sz w:val="16"/>
                <w:szCs w:val="16"/>
              </w:rPr>
            </w:pPr>
            <w:r>
              <w:rPr>
                <w:rFonts w:ascii="Arial"/>
                <w:w w:val="95"/>
                <w:sz w:val="16"/>
              </w:rPr>
              <w:t>27,966,209.5</w:t>
            </w:r>
            <w:r>
              <w:rPr>
                <w:rFonts w:ascii="Arial"/>
                <w:sz w:val="16"/>
              </w:rPr>
            </w:r>
          </w:p>
          <w:p>
            <w:pPr>
              <w:pStyle w:val="TableParagraph"/>
              <w:spacing w:line="240" w:lineRule="auto" w:before="128"/>
              <w:ind w:right="25"/>
              <w:jc w:val="right"/>
              <w:rPr>
                <w:rFonts w:ascii="Arial" w:hAnsi="Arial" w:cs="Arial" w:eastAsia="Arial" w:hint="default"/>
                <w:sz w:val="16"/>
                <w:szCs w:val="16"/>
              </w:rPr>
            </w:pPr>
            <w:r>
              <w:rPr>
                <w:rFonts w:ascii="Arial"/>
                <w:w w:val="98"/>
                <w:sz w:val="16"/>
              </w:rPr>
              <w:t>7</w:t>
            </w:r>
            <w:r>
              <w:rPr>
                <w:rFonts w:ascii="Arial"/>
                <w:sz w:val="16"/>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27"/>
              <w:jc w:val="right"/>
              <w:rPr>
                <w:rFonts w:ascii="Arial" w:hAnsi="Arial" w:cs="Arial" w:eastAsia="Arial" w:hint="default"/>
                <w:sz w:val="16"/>
                <w:szCs w:val="16"/>
              </w:rPr>
            </w:pPr>
            <w:r>
              <w:rPr>
                <w:rFonts w:ascii="Arial"/>
                <w:w w:val="95"/>
                <w:sz w:val="16"/>
              </w:rPr>
              <w:t>376,172,257.</w:t>
            </w:r>
            <w:r>
              <w:rPr>
                <w:rFonts w:ascii="Arial"/>
                <w:sz w:val="16"/>
              </w:rPr>
            </w:r>
          </w:p>
          <w:p>
            <w:pPr>
              <w:pStyle w:val="TableParagraph"/>
              <w:spacing w:line="240" w:lineRule="auto" w:before="128"/>
              <w:ind w:right="26"/>
              <w:jc w:val="right"/>
              <w:rPr>
                <w:rFonts w:ascii="Arial" w:hAnsi="Arial" w:cs="Arial" w:eastAsia="Arial" w:hint="default"/>
                <w:sz w:val="16"/>
                <w:szCs w:val="16"/>
              </w:rPr>
            </w:pPr>
            <w:r>
              <w:rPr>
                <w:rFonts w:ascii="Arial"/>
                <w:spacing w:val="-2"/>
                <w:w w:val="95"/>
                <w:sz w:val="16"/>
              </w:rPr>
              <w:t>34</w:t>
            </w:r>
            <w:r>
              <w:rPr>
                <w:rFonts w:ascii="Arial"/>
                <w:sz w:val="16"/>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22"/>
              <w:jc w:val="right"/>
              <w:rPr>
                <w:rFonts w:ascii="Arial" w:hAnsi="Arial" w:cs="Arial" w:eastAsia="Arial" w:hint="default"/>
                <w:sz w:val="16"/>
                <w:szCs w:val="16"/>
              </w:rPr>
            </w:pPr>
            <w:r>
              <w:rPr>
                <w:rFonts w:ascii="Arial"/>
                <w:w w:val="95"/>
                <w:sz w:val="16"/>
              </w:rPr>
              <w:t>-28,728,436.6</w:t>
            </w:r>
            <w:r>
              <w:rPr>
                <w:rFonts w:ascii="Arial"/>
                <w:sz w:val="16"/>
              </w:rPr>
            </w:r>
          </w:p>
          <w:p>
            <w:pPr>
              <w:pStyle w:val="TableParagraph"/>
              <w:spacing w:line="240" w:lineRule="auto" w:before="128"/>
              <w:ind w:right="20"/>
              <w:jc w:val="right"/>
              <w:rPr>
                <w:rFonts w:ascii="Arial" w:hAnsi="Arial" w:cs="Arial" w:eastAsia="Arial" w:hint="default"/>
                <w:sz w:val="16"/>
                <w:szCs w:val="16"/>
              </w:rPr>
            </w:pPr>
            <w:r>
              <w:rPr>
                <w:rFonts w:ascii="Arial"/>
                <w:w w:val="98"/>
                <w:sz w:val="16"/>
              </w:rPr>
              <w:t>2</w:t>
            </w:r>
            <w:r>
              <w:rPr>
                <w:rFonts w:ascii="Arial"/>
                <w:sz w:val="16"/>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21"/>
              <w:jc w:val="right"/>
              <w:rPr>
                <w:rFonts w:ascii="Arial" w:hAnsi="Arial" w:cs="Arial" w:eastAsia="Arial" w:hint="default"/>
                <w:sz w:val="16"/>
                <w:szCs w:val="16"/>
              </w:rPr>
            </w:pPr>
            <w:r>
              <w:rPr>
                <w:rFonts w:ascii="Arial"/>
                <w:w w:val="95"/>
                <w:sz w:val="16"/>
              </w:rPr>
              <w:t>-28,728,436.6</w:t>
            </w:r>
            <w:r>
              <w:rPr>
                <w:rFonts w:ascii="Arial"/>
                <w:sz w:val="16"/>
              </w:rPr>
            </w:r>
          </w:p>
          <w:p>
            <w:pPr>
              <w:pStyle w:val="TableParagraph"/>
              <w:spacing w:line="240" w:lineRule="auto" w:before="128"/>
              <w:ind w:right="20"/>
              <w:jc w:val="right"/>
              <w:rPr>
                <w:rFonts w:ascii="Arial" w:hAnsi="Arial" w:cs="Arial" w:eastAsia="Arial" w:hint="default"/>
                <w:sz w:val="16"/>
                <w:szCs w:val="16"/>
              </w:rPr>
            </w:pPr>
            <w:r>
              <w:rPr>
                <w:rFonts w:ascii="Arial"/>
                <w:w w:val="98"/>
                <w:sz w:val="16"/>
              </w:rPr>
              <w:t>2</w:t>
            </w:r>
            <w:r>
              <w:rPr>
                <w:rFonts w:ascii="Arial"/>
                <w:sz w:val="16"/>
              </w:rPr>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26"/>
              <w:jc w:val="right"/>
              <w:rPr>
                <w:rFonts w:ascii="Arial" w:hAnsi="Arial" w:cs="Arial" w:eastAsia="Arial" w:hint="default"/>
                <w:sz w:val="16"/>
                <w:szCs w:val="16"/>
              </w:rPr>
            </w:pPr>
            <w:r>
              <w:rPr>
                <w:rFonts w:ascii="Arial"/>
                <w:w w:val="95"/>
                <w:sz w:val="16"/>
              </w:rPr>
              <w:t>35,084,454.7</w:t>
            </w:r>
            <w:r>
              <w:rPr>
                <w:rFonts w:ascii="Arial"/>
                <w:sz w:val="16"/>
              </w:rPr>
            </w:r>
          </w:p>
          <w:p>
            <w:pPr>
              <w:pStyle w:val="TableParagraph"/>
              <w:spacing w:line="240" w:lineRule="auto" w:before="128"/>
              <w:ind w:right="25"/>
              <w:jc w:val="right"/>
              <w:rPr>
                <w:rFonts w:ascii="Arial" w:hAnsi="Arial" w:cs="Arial" w:eastAsia="Arial" w:hint="default"/>
                <w:sz w:val="16"/>
                <w:szCs w:val="16"/>
              </w:rPr>
            </w:pPr>
            <w:r>
              <w:rPr>
                <w:rFonts w:ascii="Arial"/>
                <w:w w:val="98"/>
                <w:sz w:val="16"/>
              </w:rPr>
              <w:t>0</w:t>
            </w:r>
            <w:r>
              <w:rPr>
                <w:rFonts w:ascii="Arial"/>
                <w:sz w:val="16"/>
              </w:rPr>
            </w:r>
          </w:p>
        </w:tc>
      </w:tr>
      <w:tr>
        <w:trPr>
          <w:trHeight w:val="1028"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123"/>
              <w:jc w:val="both"/>
              <w:rPr>
                <w:rFonts w:ascii="宋体" w:hAnsi="宋体" w:cs="宋体" w:eastAsia="宋体" w:hint="default"/>
                <w:sz w:val="18"/>
                <w:szCs w:val="18"/>
              </w:rPr>
            </w:pPr>
            <w:r>
              <w:rPr>
                <w:rFonts w:ascii="宋体" w:hAnsi="宋体" w:cs="宋体" w:eastAsia="宋体" w:hint="default"/>
                <w:spacing w:val="-2"/>
                <w:sz w:val="18"/>
                <w:szCs w:val="18"/>
              </w:rPr>
              <w:t>北京杰智融</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软件有限公</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62" w:right="0"/>
              <w:jc w:val="center"/>
              <w:rPr>
                <w:rFonts w:ascii="Arial" w:hAnsi="Arial" w:cs="Arial" w:eastAsia="Arial" w:hint="default"/>
                <w:sz w:val="16"/>
                <w:szCs w:val="16"/>
              </w:rPr>
            </w:pPr>
            <w:r>
              <w:rPr>
                <w:rFonts w:ascii="Arial"/>
                <w:sz w:val="16"/>
              </w:rPr>
              <w:t>8,938,246.11</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72" w:right="0"/>
              <w:jc w:val="center"/>
              <w:rPr>
                <w:rFonts w:ascii="Arial" w:hAnsi="Arial" w:cs="Arial" w:eastAsia="Arial" w:hint="default"/>
                <w:sz w:val="16"/>
                <w:szCs w:val="16"/>
              </w:rPr>
            </w:pPr>
            <w:r>
              <w:rPr>
                <w:rFonts w:ascii="Arial"/>
                <w:sz w:val="16"/>
              </w:rPr>
              <w:t>2,511,844.41</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25"/>
              <w:jc w:val="right"/>
              <w:rPr>
                <w:rFonts w:ascii="Arial" w:hAnsi="Arial" w:cs="Arial" w:eastAsia="Arial" w:hint="default"/>
                <w:sz w:val="16"/>
                <w:szCs w:val="16"/>
              </w:rPr>
            </w:pPr>
            <w:r>
              <w:rPr>
                <w:rFonts w:ascii="Arial"/>
                <w:w w:val="95"/>
                <w:sz w:val="16"/>
              </w:rPr>
              <w:t>2,511,844.41</w:t>
            </w:r>
            <w:r>
              <w:rPr>
                <w:rFonts w:ascii="Arial"/>
                <w:sz w:val="16"/>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43" w:right="0"/>
              <w:jc w:val="left"/>
              <w:rPr>
                <w:rFonts w:ascii="Arial" w:hAnsi="Arial" w:cs="Arial" w:eastAsia="Arial" w:hint="default"/>
                <w:sz w:val="16"/>
                <w:szCs w:val="16"/>
              </w:rPr>
            </w:pPr>
            <w:r>
              <w:rPr>
                <w:rFonts w:ascii="Arial"/>
                <w:sz w:val="16"/>
              </w:rPr>
              <w:t>-1,020,795.21</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22"/>
              <w:jc w:val="right"/>
              <w:rPr>
                <w:rFonts w:ascii="Arial" w:hAnsi="Arial" w:cs="Arial" w:eastAsia="Arial" w:hint="default"/>
                <w:sz w:val="16"/>
                <w:szCs w:val="16"/>
              </w:rPr>
            </w:pPr>
            <w:r>
              <w:rPr>
                <w:rFonts w:ascii="Arial"/>
                <w:w w:val="98"/>
                <w:sz w:val="16"/>
              </w:rPr>
              <w:t>-</w:t>
            </w:r>
            <w:r>
              <w:rPr>
                <w:rFonts w:ascii="Arial"/>
                <w:sz w:val="16"/>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7"/>
              <w:jc w:val="right"/>
              <w:rPr>
                <w:rFonts w:ascii="Arial" w:hAnsi="Arial" w:cs="Arial" w:eastAsia="Arial" w:hint="default"/>
                <w:sz w:val="16"/>
                <w:szCs w:val="16"/>
              </w:rPr>
            </w:pPr>
            <w:r>
              <w:rPr>
                <w:rFonts w:ascii="Arial"/>
                <w:w w:val="98"/>
                <w:sz w:val="16"/>
              </w:rPr>
              <w:t>-</w:t>
            </w:r>
            <w:r>
              <w:rPr>
                <w:rFonts w:ascii="Arial"/>
                <w:sz w:val="16"/>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7"/>
              <w:jc w:val="right"/>
              <w:rPr>
                <w:rFonts w:ascii="Arial" w:hAnsi="Arial" w:cs="Arial" w:eastAsia="Arial" w:hint="default"/>
                <w:sz w:val="16"/>
                <w:szCs w:val="16"/>
              </w:rPr>
            </w:pPr>
            <w:r>
              <w:rPr>
                <w:rFonts w:ascii="Arial"/>
                <w:w w:val="98"/>
                <w:sz w:val="16"/>
              </w:rPr>
              <w:t>-</w:t>
            </w:r>
            <w:r>
              <w:rPr>
                <w:rFonts w:ascii="Arial"/>
                <w:sz w:val="16"/>
              </w:rPr>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22"/>
              <w:jc w:val="right"/>
              <w:rPr>
                <w:rFonts w:ascii="Arial" w:hAnsi="Arial" w:cs="Arial" w:eastAsia="Arial" w:hint="default"/>
                <w:sz w:val="16"/>
                <w:szCs w:val="16"/>
              </w:rPr>
            </w:pPr>
            <w:r>
              <w:rPr>
                <w:rFonts w:ascii="Arial"/>
                <w:w w:val="98"/>
                <w:sz w:val="16"/>
              </w:rPr>
              <w:t>-</w:t>
            </w:r>
            <w:r>
              <w:rPr>
                <w:rFonts w:ascii="Arial"/>
                <w:sz w:val="16"/>
              </w:rPr>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2、在合营安排或联营企业中的权益" w:id="360"/>
      <w:bookmarkEnd w:id="360"/>
      <w:r>
        <w:rPr>
          <w:b w:val="0"/>
          <w:bCs w:val="0"/>
        </w:rPr>
      </w:r>
      <w:r>
        <w:rPr>
          <w:rFonts w:ascii="Times New Roman" w:hAnsi="Times New Roman" w:cs="Times New Roman" w:eastAsia="Times New Roman" w:hint="default"/>
        </w:rPr>
        <w:t>2</w:t>
      </w:r>
      <w:r>
        <w:rPr/>
        <w:t>、在合营安排或联营企业中的权益</w:t>
      </w:r>
      <w:r>
        <w:rPr>
          <w:b w:val="0"/>
          <w:bCs w:val="0"/>
        </w:rPr>
      </w:r>
    </w:p>
    <w:p>
      <w:pPr>
        <w:spacing w:line="240" w:lineRule="auto" w:before="5"/>
        <w:rPr>
          <w:rFonts w:ascii="宋体" w:hAnsi="宋体" w:cs="宋体" w:eastAsia="宋体" w:hint="default"/>
          <w:b/>
          <w:bCs/>
          <w:sz w:val="24"/>
          <w:szCs w:val="24"/>
        </w:rPr>
      </w:pPr>
    </w:p>
    <w:p>
      <w:pPr>
        <w:pStyle w:val="Heading3"/>
        <w:spacing w:line="240" w:lineRule="auto"/>
        <w:ind w:right="0"/>
        <w:jc w:val="left"/>
        <w:rPr>
          <w:b w:val="0"/>
          <w:bCs w:val="0"/>
        </w:rPr>
      </w:pPr>
      <w:bookmarkStart w:name="（1）重要的合营企业或联营企业" w:id="361"/>
      <w:bookmarkEnd w:id="361"/>
      <w:r>
        <w:rPr>
          <w:b w:val="0"/>
          <w:bCs w:val="0"/>
        </w:rPr>
      </w:r>
      <w:r>
        <w:rPr/>
        <w:t>（</w:t>
      </w:r>
      <w:r>
        <w:rPr>
          <w:rFonts w:ascii="Times New Roman" w:hAnsi="Times New Roman" w:cs="Times New Roman" w:eastAsia="Times New Roman" w:hint="default"/>
        </w:rPr>
        <w:t>1</w:t>
      </w:r>
      <w:r>
        <w:rPr/>
        <w:t>）重要的合营企业或联营企业</w:t>
      </w:r>
      <w:r>
        <w:rPr>
          <w:b w:val="0"/>
          <w:bCs w:val="0"/>
        </w:rPr>
      </w:r>
    </w:p>
    <w:p>
      <w:pPr>
        <w:spacing w:line="240" w:lineRule="auto" w:before="11"/>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373"/>
        <w:gridCol w:w="1364"/>
        <w:gridCol w:w="1369"/>
        <w:gridCol w:w="1368"/>
        <w:gridCol w:w="1368"/>
        <w:gridCol w:w="1364"/>
        <w:gridCol w:w="1369"/>
      </w:tblGrid>
      <w:tr>
        <w:trPr>
          <w:trHeight w:val="404" w:hRule="exact"/>
        </w:trPr>
        <w:tc>
          <w:tcPr>
            <w:tcW w:w="137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316" w:lineRule="auto"/>
              <w:ind w:left="321" w:right="46" w:hanging="269"/>
              <w:jc w:val="left"/>
              <w:rPr>
                <w:rFonts w:ascii="宋体" w:hAnsi="宋体" w:cs="宋体" w:eastAsia="宋体" w:hint="default"/>
                <w:sz w:val="18"/>
                <w:szCs w:val="18"/>
              </w:rPr>
            </w:pPr>
            <w:r>
              <w:rPr>
                <w:rFonts w:ascii="宋体" w:hAnsi="宋体" w:cs="宋体" w:eastAsia="宋体" w:hint="default"/>
                <w:spacing w:val="-3"/>
                <w:sz w:val="18"/>
                <w:szCs w:val="18"/>
              </w:rPr>
              <w:t>合营企业或联营</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企业名称</w:t>
            </w:r>
          </w:p>
        </w:tc>
        <w:tc>
          <w:tcPr>
            <w:tcW w:w="13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30"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408"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316"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9"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4"/>
              <w:ind w:left="47" w:right="46"/>
              <w:jc w:val="center"/>
              <w:rPr>
                <w:rFonts w:ascii="宋体" w:hAnsi="宋体" w:cs="宋体" w:eastAsia="宋体" w:hint="default"/>
                <w:sz w:val="18"/>
                <w:szCs w:val="18"/>
              </w:rPr>
            </w:pPr>
            <w:r>
              <w:rPr>
                <w:rFonts w:ascii="宋体" w:hAnsi="宋体" w:cs="宋体" w:eastAsia="宋体" w:hint="default"/>
                <w:spacing w:val="-3"/>
                <w:sz w:val="18"/>
                <w:szCs w:val="18"/>
              </w:rPr>
              <w:t>对合营企业或联</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3"/>
                <w:sz w:val="18"/>
                <w:szCs w:val="18"/>
              </w:rPr>
              <w:t>营企业投资的会</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计处理方法</w:t>
            </w:r>
          </w:p>
        </w:tc>
      </w:tr>
      <w:tr>
        <w:trPr>
          <w:trHeight w:val="624" w:hRule="exact"/>
        </w:trPr>
        <w:tc>
          <w:tcPr>
            <w:tcW w:w="1373" w:type="dxa"/>
            <w:vMerge/>
            <w:tcBorders>
              <w:left w:val="single" w:sz="4" w:space="0" w:color="000000"/>
              <w:bottom w:val="single" w:sz="4" w:space="0" w:color="000000"/>
              <w:right w:val="single" w:sz="4" w:space="0" w:color="000000"/>
            </w:tcBorders>
            <w:shd w:val="clear" w:color="auto" w:fill="D2D2D2"/>
          </w:tcPr>
          <w:p>
            <w:pPr/>
          </w:p>
        </w:tc>
        <w:tc>
          <w:tcPr>
            <w:tcW w:w="1364"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1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10"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9" w:type="dxa"/>
            <w:vMerge/>
            <w:tcBorders>
              <w:left w:val="single" w:sz="4" w:space="0" w:color="000000"/>
              <w:bottom w:val="single" w:sz="4" w:space="0" w:color="000000"/>
              <w:right w:val="single" w:sz="4" w:space="0" w:color="000000"/>
            </w:tcBorders>
            <w:shd w:val="clear" w:color="auto" w:fill="D2D2D2"/>
          </w:tcPr>
          <w:p>
            <w:pPr/>
          </w:p>
        </w:tc>
      </w:tr>
      <w:tr>
        <w:trPr>
          <w:trHeight w:val="716"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75"/>
              <w:jc w:val="left"/>
              <w:rPr>
                <w:rFonts w:ascii="宋体" w:hAnsi="宋体" w:cs="宋体" w:eastAsia="宋体" w:hint="default"/>
                <w:sz w:val="18"/>
                <w:szCs w:val="18"/>
              </w:rPr>
            </w:pPr>
            <w:r>
              <w:rPr>
                <w:rFonts w:ascii="宋体" w:hAnsi="宋体" w:cs="宋体" w:eastAsia="宋体" w:hint="default"/>
                <w:spacing w:val="-3"/>
                <w:sz w:val="18"/>
                <w:szCs w:val="18"/>
              </w:rPr>
              <w:t>北京华道征信有</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限公司</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个人征信服务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38.10%</w:t>
            </w:r>
          </w:p>
        </w:tc>
        <w:tc>
          <w:tcPr>
            <w:tcW w:w="136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权益法</w:t>
            </w:r>
          </w:p>
        </w:tc>
      </w:tr>
      <w:tr>
        <w:trPr>
          <w:trHeight w:val="710"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75"/>
              <w:jc w:val="left"/>
              <w:rPr>
                <w:rFonts w:ascii="宋体" w:hAnsi="宋体" w:cs="宋体" w:eastAsia="宋体" w:hint="default"/>
                <w:sz w:val="18"/>
                <w:szCs w:val="18"/>
              </w:rPr>
            </w:pPr>
            <w:r>
              <w:rPr>
                <w:rFonts w:ascii="宋体" w:hAnsi="宋体" w:cs="宋体" w:eastAsia="宋体" w:hint="default"/>
                <w:spacing w:val="-3"/>
                <w:sz w:val="18"/>
                <w:szCs w:val="18"/>
              </w:rPr>
              <w:t>东亚前海证券有</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限责任公司</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证券服务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26.10%</w:t>
            </w:r>
          </w:p>
        </w:tc>
        <w:tc>
          <w:tcPr>
            <w:tcW w:w="136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权益法</w:t>
            </w:r>
          </w:p>
        </w:tc>
      </w:tr>
      <w:tr>
        <w:trPr>
          <w:trHeight w:val="715"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4" w:right="75"/>
              <w:jc w:val="left"/>
              <w:rPr>
                <w:rFonts w:ascii="宋体" w:hAnsi="宋体" w:cs="宋体" w:eastAsia="宋体" w:hint="default"/>
                <w:sz w:val="18"/>
                <w:szCs w:val="18"/>
              </w:rPr>
            </w:pPr>
            <w:r>
              <w:rPr>
                <w:rFonts w:ascii="宋体" w:hAnsi="宋体" w:cs="宋体" w:eastAsia="宋体" w:hint="default"/>
                <w:spacing w:val="-3"/>
                <w:sz w:val="18"/>
                <w:szCs w:val="18"/>
              </w:rPr>
              <w:t>易安财产保险股</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份有限公司</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金融保险</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15.00%</w:t>
            </w:r>
          </w:p>
        </w:tc>
        <w:tc>
          <w:tcPr>
            <w:tcW w:w="136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权益法</w:t>
            </w:r>
          </w:p>
        </w:tc>
      </w:tr>
      <w:tr>
        <w:trPr>
          <w:trHeight w:val="716"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4"/>
              <w:ind w:left="24" w:right="75"/>
              <w:jc w:val="left"/>
              <w:rPr>
                <w:rFonts w:ascii="宋体" w:hAnsi="宋体" w:cs="宋体" w:eastAsia="宋体" w:hint="default"/>
                <w:sz w:val="18"/>
                <w:szCs w:val="18"/>
              </w:rPr>
            </w:pPr>
            <w:r>
              <w:rPr>
                <w:rFonts w:ascii="宋体" w:hAnsi="宋体" w:cs="宋体" w:eastAsia="宋体" w:hint="default"/>
                <w:spacing w:val="-3"/>
                <w:sz w:val="18"/>
                <w:szCs w:val="18"/>
              </w:rPr>
              <w:t>百可录（北京）</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科技有限公司</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技术服务</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17.00%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权益法</w:t>
            </w:r>
          </w:p>
        </w:tc>
      </w:tr>
      <w:tr>
        <w:trPr>
          <w:trHeight w:val="1027"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75"/>
              <w:jc w:val="both"/>
              <w:rPr>
                <w:rFonts w:ascii="宋体" w:hAnsi="宋体" w:cs="宋体" w:eastAsia="宋体" w:hint="default"/>
                <w:sz w:val="18"/>
                <w:szCs w:val="18"/>
              </w:rPr>
            </w:pPr>
            <w:r>
              <w:rPr>
                <w:rFonts w:ascii="宋体" w:hAnsi="宋体" w:cs="宋体" w:eastAsia="宋体" w:hint="default"/>
                <w:spacing w:val="-3"/>
                <w:sz w:val="18"/>
                <w:szCs w:val="18"/>
              </w:rPr>
              <w:t>国誉创富国际金</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融服务（深圳）</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有限公司</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金融</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49.00%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权益法</w:t>
            </w:r>
          </w:p>
        </w:tc>
      </w:tr>
      <w:tr>
        <w:trPr>
          <w:trHeight w:val="711"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4"/>
              <w:ind w:left="24" w:right="75"/>
              <w:jc w:val="left"/>
              <w:rPr>
                <w:rFonts w:ascii="宋体" w:hAnsi="宋体" w:cs="宋体" w:eastAsia="宋体" w:hint="default"/>
                <w:sz w:val="18"/>
                <w:szCs w:val="18"/>
              </w:rPr>
            </w:pPr>
            <w:r>
              <w:rPr>
                <w:rFonts w:ascii="宋体" w:hAnsi="宋体" w:cs="宋体" w:eastAsia="宋体" w:hint="default"/>
                <w:spacing w:val="-3"/>
                <w:sz w:val="18"/>
                <w:szCs w:val="18"/>
              </w:rPr>
              <w:t>恒银（嘉兴）资</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产管理有限公司</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嘉兴市</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嘉兴市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资产管理</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20.00%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权益法</w:t>
            </w:r>
          </w:p>
        </w:tc>
      </w:tr>
    </w:tbl>
    <w:p>
      <w:pPr>
        <w:pStyle w:val="BodyText"/>
        <w:spacing w:line="240" w:lineRule="auto" w:before="53"/>
        <w:ind w:right="0"/>
        <w:jc w:val="left"/>
      </w:pPr>
      <w:r>
        <w:rPr>
          <w:spacing w:val="-3"/>
        </w:rPr>
        <w:t>在合营企业或联营企业的持股比例不同于表决权比例的说明：</w:t>
      </w:r>
    </w:p>
    <w:p>
      <w:pPr>
        <w:pStyle w:val="BodyText"/>
        <w:spacing w:line="410" w:lineRule="auto" w:before="119"/>
        <w:ind w:left="513" w:right="1157" w:hanging="360"/>
        <w:jc w:val="left"/>
      </w:pPr>
      <w:r>
        <w:rPr/>
        <w:t>持有</w:t>
      </w:r>
      <w:r>
        <w:rPr>
          <w:spacing w:val="-45"/>
        </w:rPr>
        <w:t> </w:t>
      </w:r>
      <w:r>
        <w:rPr>
          <w:rFonts w:ascii="Times New Roman" w:hAnsi="Times New Roman" w:cs="Times New Roman" w:eastAsia="Times New Roman" w:hint="default"/>
          <w:spacing w:val="-3"/>
        </w:rPr>
        <w:t>20%</w:t>
      </w:r>
      <w:r>
        <w:rPr>
          <w:spacing w:val="-3"/>
        </w:rPr>
        <w:t>以下表决权但具有重大影响，或者持有</w:t>
      </w:r>
      <w:r>
        <w:rPr>
          <w:spacing w:val="-44"/>
        </w:rPr>
        <w:t> </w:t>
      </w:r>
      <w:r>
        <w:rPr>
          <w:rFonts w:ascii="Times New Roman" w:hAnsi="Times New Roman" w:cs="Times New Roman" w:eastAsia="Times New Roman" w:hint="default"/>
          <w:spacing w:val="-3"/>
        </w:rPr>
        <w:t>20%</w:t>
      </w:r>
      <w:r>
        <w:rPr>
          <w:spacing w:val="-3"/>
        </w:rPr>
        <w:t>或以上表决权但不具有重大影响的依据：</w:t>
      </w:r>
      <w:r>
        <w:rPr>
          <w:spacing w:val="32"/>
        </w:rPr>
        <w:t> </w:t>
      </w:r>
      <w:r>
        <w:rPr>
          <w:spacing w:val="32"/>
        </w:rPr>
      </w:r>
      <w:r>
        <w:rPr>
          <w:spacing w:val="-3"/>
        </w:rPr>
        <w:t>本公司持有易安财产保险股份有限公司 </w:t>
      </w:r>
      <w:r>
        <w:rPr>
          <w:spacing w:val="24"/>
        </w:rPr>
        <w:t> </w:t>
      </w:r>
      <w:r>
        <w:rPr>
          <w:rFonts w:ascii="Times New Roman" w:hAnsi="Times New Roman" w:cs="Times New Roman" w:eastAsia="Times New Roman" w:hint="default"/>
          <w:spacing w:val="-3"/>
        </w:rPr>
        <w:t>15.00%</w:t>
      </w:r>
      <w:r>
        <w:rPr>
          <w:spacing w:val="-3"/>
        </w:rPr>
        <w:t>股权，对易安财险公司有重大影响的原因主要系本公司总经理担任易安</w:t>
      </w:r>
    </w:p>
    <w:p>
      <w:pPr>
        <w:pStyle w:val="BodyText"/>
        <w:spacing w:line="240" w:lineRule="auto" w:before="80"/>
        <w:ind w:right="0"/>
        <w:jc w:val="left"/>
      </w:pPr>
      <w:r>
        <w:rPr>
          <w:spacing w:val="-3"/>
        </w:rPr>
        <w:t>财产保险股份有限公司董事长，在董事会拥有 </w:t>
      </w:r>
      <w:r>
        <w:rPr>
          <w:rFonts w:ascii="Times New Roman" w:hAnsi="Times New Roman" w:cs="Times New Roman" w:eastAsia="Times New Roman" w:hint="default"/>
        </w:rPr>
        <w:t>1</w:t>
      </w:r>
      <w:r>
        <w:rPr>
          <w:rFonts w:ascii="Times New Roman" w:hAnsi="Times New Roman" w:cs="Times New Roman" w:eastAsia="Times New Roman" w:hint="default"/>
          <w:spacing w:val="26"/>
        </w:rPr>
        <w:t> </w:t>
      </w:r>
      <w:r>
        <w:rPr>
          <w:spacing w:val="-3"/>
        </w:rPr>
        <w:t>名董事席位。</w:t>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3"/>
          <w:szCs w:val="13"/>
        </w:rPr>
      </w:pPr>
    </w:p>
    <w:p>
      <w:pPr>
        <w:pStyle w:val="Heading3"/>
        <w:spacing w:line="240" w:lineRule="auto"/>
        <w:ind w:right="0"/>
        <w:jc w:val="left"/>
        <w:rPr>
          <w:b w:val="0"/>
          <w:bCs w:val="0"/>
        </w:rPr>
      </w:pPr>
      <w:bookmarkStart w:name="（2）重要联营企业的主要财务信息" w:id="362"/>
      <w:bookmarkEnd w:id="362"/>
      <w:r>
        <w:rPr>
          <w:b w:val="0"/>
          <w:bCs w:val="0"/>
        </w:rPr>
      </w:r>
      <w:r>
        <w:rPr/>
        <w:t>（</w:t>
      </w:r>
      <w:r>
        <w:rPr>
          <w:rFonts w:ascii="Times New Roman" w:hAnsi="Times New Roman" w:cs="Times New Roman" w:eastAsia="Times New Roman" w:hint="default"/>
        </w:rPr>
        <w:t>2</w:t>
      </w:r>
      <w:r>
        <w:rPr/>
        <w:t>）重要联营企业的主要财务信息</w:t>
      </w:r>
      <w:r>
        <w:rPr>
          <w:b w:val="0"/>
          <w:bCs w:val="0"/>
        </w:rPr>
      </w:r>
    </w:p>
    <w:p>
      <w:pPr>
        <w:spacing w:after="0" w:line="240" w:lineRule="auto"/>
        <w:jc w:val="left"/>
        <w:sectPr>
          <w:pgSz w:w="11910" w:h="16840"/>
          <w:pgMar w:header="871" w:footer="1186" w:top="1100" w:bottom="1380" w:left="98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6"/>
          <w:szCs w:val="16"/>
        </w:rPr>
      </w:pPr>
    </w:p>
    <w:p>
      <w:pPr>
        <w:pStyle w:val="BodyText"/>
        <w:spacing w:line="240" w:lineRule="auto"/>
        <w:ind w:left="0" w:right="244"/>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18" w:type="dxa"/>
        <w:tblLayout w:type="fixed"/>
        <w:tblCellMar>
          <w:top w:w="0" w:type="dxa"/>
          <w:left w:w="0" w:type="dxa"/>
          <w:bottom w:w="0" w:type="dxa"/>
          <w:right w:w="0" w:type="dxa"/>
        </w:tblCellMar>
        <w:tblLook w:val="01E0"/>
      </w:tblPr>
      <w:tblGrid>
        <w:gridCol w:w="1978"/>
        <w:gridCol w:w="2014"/>
        <w:gridCol w:w="2002"/>
        <w:gridCol w:w="2002"/>
        <w:gridCol w:w="2002"/>
        <w:gridCol w:w="2002"/>
        <w:gridCol w:w="2007"/>
      </w:tblGrid>
      <w:tr>
        <w:trPr>
          <w:trHeight w:val="398" w:hRule="exact"/>
        </w:trPr>
        <w:tc>
          <w:tcPr>
            <w:tcW w:w="197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2030"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r>
      <w:tr>
        <w:trPr>
          <w:trHeight w:val="408" w:hRule="exact"/>
        </w:trPr>
        <w:tc>
          <w:tcPr>
            <w:tcW w:w="197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0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645" w:right="0"/>
              <w:jc w:val="left"/>
              <w:rPr>
                <w:rFonts w:ascii="宋体" w:hAnsi="宋体" w:cs="宋体" w:eastAsia="宋体" w:hint="default"/>
                <w:sz w:val="18"/>
                <w:szCs w:val="18"/>
              </w:rPr>
            </w:pPr>
            <w:r>
              <w:rPr>
                <w:rFonts w:ascii="宋体" w:hAnsi="宋体" w:cs="宋体" w:eastAsia="宋体" w:hint="default"/>
                <w:sz w:val="18"/>
                <w:szCs w:val="18"/>
              </w:rPr>
              <w:t>华道征信</w:t>
            </w:r>
          </w:p>
        </w:tc>
        <w:tc>
          <w:tcPr>
            <w:tcW w:w="20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634" w:right="0"/>
              <w:jc w:val="left"/>
              <w:rPr>
                <w:rFonts w:ascii="宋体" w:hAnsi="宋体" w:cs="宋体" w:eastAsia="宋体" w:hint="default"/>
                <w:sz w:val="18"/>
                <w:szCs w:val="18"/>
              </w:rPr>
            </w:pPr>
            <w:r>
              <w:rPr>
                <w:rFonts w:ascii="宋体" w:hAnsi="宋体" w:cs="宋体" w:eastAsia="宋体" w:hint="default"/>
                <w:sz w:val="18"/>
                <w:szCs w:val="18"/>
              </w:rPr>
              <w:t>易安保险</w:t>
            </w:r>
          </w:p>
        </w:tc>
        <w:tc>
          <w:tcPr>
            <w:tcW w:w="20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633" w:right="0"/>
              <w:jc w:val="left"/>
              <w:rPr>
                <w:rFonts w:ascii="宋体" w:hAnsi="宋体" w:cs="宋体" w:eastAsia="宋体" w:hint="default"/>
                <w:sz w:val="18"/>
                <w:szCs w:val="18"/>
              </w:rPr>
            </w:pPr>
            <w:r>
              <w:rPr>
                <w:rFonts w:ascii="宋体" w:hAnsi="宋体" w:cs="宋体" w:eastAsia="宋体" w:hint="default"/>
                <w:sz w:val="18"/>
                <w:szCs w:val="18"/>
              </w:rPr>
              <w:t>国誉金服</w:t>
            </w:r>
          </w:p>
        </w:tc>
        <w:tc>
          <w:tcPr>
            <w:tcW w:w="20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633" w:right="0"/>
              <w:jc w:val="left"/>
              <w:rPr>
                <w:rFonts w:ascii="宋体" w:hAnsi="宋体" w:cs="宋体" w:eastAsia="宋体" w:hint="default"/>
                <w:sz w:val="18"/>
                <w:szCs w:val="18"/>
              </w:rPr>
            </w:pPr>
            <w:r>
              <w:rPr>
                <w:rFonts w:ascii="宋体" w:hAnsi="宋体" w:cs="宋体" w:eastAsia="宋体" w:hint="default"/>
                <w:sz w:val="18"/>
                <w:szCs w:val="18"/>
              </w:rPr>
              <w:t>恒银资产</w:t>
            </w:r>
          </w:p>
        </w:tc>
        <w:tc>
          <w:tcPr>
            <w:tcW w:w="20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56" w:right="0"/>
              <w:jc w:val="left"/>
              <w:rPr>
                <w:rFonts w:ascii="宋体" w:hAnsi="宋体" w:cs="宋体" w:eastAsia="宋体" w:hint="default"/>
                <w:sz w:val="18"/>
                <w:szCs w:val="18"/>
              </w:rPr>
            </w:pPr>
            <w:r>
              <w:rPr>
                <w:rFonts w:ascii="宋体" w:hAnsi="宋体" w:cs="宋体" w:eastAsia="宋体" w:hint="default"/>
                <w:sz w:val="18"/>
                <w:szCs w:val="18"/>
              </w:rPr>
              <w:t>东亚前海证券</w:t>
            </w:r>
          </w:p>
        </w:tc>
        <w:tc>
          <w:tcPr>
            <w:tcW w:w="20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3"/>
              <w:jc w:val="center"/>
              <w:rPr>
                <w:rFonts w:ascii="宋体" w:hAnsi="宋体" w:cs="宋体" w:eastAsia="宋体" w:hint="default"/>
                <w:sz w:val="18"/>
                <w:szCs w:val="18"/>
              </w:rPr>
            </w:pPr>
            <w:r>
              <w:rPr>
                <w:rFonts w:ascii="宋体" w:hAnsi="宋体" w:cs="宋体" w:eastAsia="宋体" w:hint="default"/>
                <w:sz w:val="18"/>
                <w:szCs w:val="18"/>
              </w:rPr>
              <w:t>百可录</w:t>
            </w:r>
          </w:p>
        </w:tc>
      </w:tr>
      <w:tr>
        <w:trPr>
          <w:trHeight w:val="399" w:hRule="exact"/>
        </w:trPr>
        <w:tc>
          <w:tcPr>
            <w:tcW w:w="19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0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21,641,360.65</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792,437,319.66</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57,969,866.47</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3,866,591.09</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408,062,994.30</w:t>
            </w:r>
          </w:p>
        </w:tc>
        <w:tc>
          <w:tcPr>
            <w:tcW w:w="20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7,336,334.55</w:t>
            </w:r>
          </w:p>
        </w:tc>
      </w:tr>
      <w:tr>
        <w:trPr>
          <w:trHeight w:val="403" w:hRule="exact"/>
        </w:trPr>
        <w:tc>
          <w:tcPr>
            <w:tcW w:w="19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0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71,554,786.46</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519,773,603.06</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471,074.16</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1,960,000.00</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2"/>
                <w:sz w:val="18"/>
              </w:rPr>
              <w:t>3,088,588,916.31</w:t>
            </w:r>
          </w:p>
        </w:tc>
        <w:tc>
          <w:tcPr>
            <w:tcW w:w="20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2"/>
              <w:jc w:val="right"/>
              <w:rPr>
                <w:rFonts w:ascii="Times New Roman" w:hAnsi="Times New Roman" w:cs="Times New Roman" w:eastAsia="Times New Roman" w:hint="default"/>
                <w:sz w:val="18"/>
                <w:szCs w:val="18"/>
              </w:rPr>
            </w:pPr>
            <w:r>
              <w:rPr>
                <w:rFonts w:ascii="Times New Roman"/>
                <w:spacing w:val="-1"/>
                <w:sz w:val="18"/>
              </w:rPr>
              <w:t>12,107,902.45</w:t>
            </w:r>
          </w:p>
        </w:tc>
      </w:tr>
      <w:tr>
        <w:trPr>
          <w:trHeight w:val="403" w:hRule="exact"/>
        </w:trPr>
        <w:tc>
          <w:tcPr>
            <w:tcW w:w="19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资产合计</w:t>
            </w:r>
          </w:p>
        </w:tc>
        <w:tc>
          <w:tcPr>
            <w:tcW w:w="20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93,196,147.11</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1,312,210,922.72</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58,440,940.63</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5,826,591.09</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3,496,651,910.61</w:t>
            </w:r>
          </w:p>
        </w:tc>
        <w:tc>
          <w:tcPr>
            <w:tcW w:w="20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19,444,237.00</w:t>
            </w:r>
          </w:p>
        </w:tc>
      </w:tr>
      <w:tr>
        <w:trPr>
          <w:trHeight w:val="404" w:hRule="exact"/>
        </w:trPr>
        <w:tc>
          <w:tcPr>
            <w:tcW w:w="19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0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88,535,910.40</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703,150,930.08</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49,968,076.41</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1,660,007.90</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2,088,224,152.80</w:t>
            </w:r>
          </w:p>
        </w:tc>
        <w:tc>
          <w:tcPr>
            <w:tcW w:w="20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1,080,772.55</w:t>
            </w:r>
          </w:p>
        </w:tc>
      </w:tr>
      <w:tr>
        <w:trPr>
          <w:trHeight w:val="398" w:hRule="exact"/>
        </w:trPr>
        <w:tc>
          <w:tcPr>
            <w:tcW w:w="19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2014" w:type="dxa"/>
            <w:tcBorders>
              <w:top w:val="single" w:sz="4" w:space="0" w:color="000000"/>
              <w:left w:val="single" w:sz="13" w:space="0" w:color="D2D2D2"/>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569,645.18</w:t>
            </w:r>
          </w:p>
        </w:tc>
        <w:tc>
          <w:tcPr>
            <w:tcW w:w="2002"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3,786,126.95</w:t>
            </w:r>
          </w:p>
        </w:tc>
        <w:tc>
          <w:tcPr>
            <w:tcW w:w="200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20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88,535,910.40</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703,720,575.26</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49,968,076.41</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1,660,007.90</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2"/>
                <w:sz w:val="18"/>
              </w:rPr>
              <w:t>2,092,010,279.75</w:t>
            </w:r>
          </w:p>
        </w:tc>
        <w:tc>
          <w:tcPr>
            <w:tcW w:w="20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2"/>
              <w:jc w:val="right"/>
              <w:rPr>
                <w:rFonts w:ascii="Times New Roman" w:hAnsi="Times New Roman" w:cs="Times New Roman" w:eastAsia="Times New Roman" w:hint="default"/>
                <w:sz w:val="18"/>
                <w:szCs w:val="18"/>
              </w:rPr>
            </w:pPr>
            <w:r>
              <w:rPr>
                <w:rFonts w:ascii="Times New Roman"/>
                <w:spacing w:val="-1"/>
                <w:sz w:val="18"/>
              </w:rPr>
              <w:t>1,080,772.55</w:t>
            </w:r>
          </w:p>
        </w:tc>
      </w:tr>
      <w:tr>
        <w:trPr>
          <w:trHeight w:val="404" w:hRule="exact"/>
        </w:trPr>
        <w:tc>
          <w:tcPr>
            <w:tcW w:w="19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z w:val="18"/>
                <w:szCs w:val="18"/>
              </w:rPr>
              <w:t>归属于母公司股东权益</w:t>
            </w:r>
          </w:p>
        </w:tc>
        <w:tc>
          <w:tcPr>
            <w:tcW w:w="20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4,660,236.71</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608,490,347.46</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8,472,864.22</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4,166,583.19</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1,404,641,630.86</w:t>
            </w:r>
          </w:p>
        </w:tc>
        <w:tc>
          <w:tcPr>
            <w:tcW w:w="20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18,363,464.45</w:t>
            </w:r>
          </w:p>
        </w:tc>
      </w:tr>
      <w:tr>
        <w:trPr>
          <w:trHeight w:val="715" w:hRule="exact"/>
        </w:trPr>
        <w:tc>
          <w:tcPr>
            <w:tcW w:w="19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 w:right="149"/>
              <w:jc w:val="left"/>
              <w:rPr>
                <w:rFonts w:ascii="宋体" w:hAnsi="宋体" w:cs="宋体" w:eastAsia="宋体" w:hint="default"/>
                <w:sz w:val="18"/>
                <w:szCs w:val="18"/>
              </w:rPr>
            </w:pPr>
            <w:r>
              <w:rPr>
                <w:rFonts w:ascii="宋体" w:hAnsi="宋体" w:cs="宋体" w:eastAsia="宋体" w:hint="default"/>
                <w:spacing w:val="-2"/>
                <w:sz w:val="18"/>
                <w:szCs w:val="18"/>
              </w:rPr>
              <w:t>按持股比例计算的净资</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产份额</w:t>
            </w:r>
          </w:p>
        </w:tc>
        <w:tc>
          <w:tcPr>
            <w:tcW w:w="20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1,775,550.19</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91,273,552.12</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4,151,703.47</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833,316.64</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2"/>
                <w:sz w:val="18"/>
              </w:rPr>
              <w:t>366,611,465.65</w:t>
            </w:r>
          </w:p>
        </w:tc>
        <w:tc>
          <w:tcPr>
            <w:tcW w:w="20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3,121,788.96</w:t>
            </w:r>
          </w:p>
        </w:tc>
      </w:tr>
      <w:tr>
        <w:trPr>
          <w:trHeight w:val="711" w:hRule="exact"/>
        </w:trPr>
        <w:tc>
          <w:tcPr>
            <w:tcW w:w="19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11" w:right="149"/>
              <w:jc w:val="left"/>
              <w:rPr>
                <w:rFonts w:ascii="宋体" w:hAnsi="宋体" w:cs="宋体" w:eastAsia="宋体" w:hint="default"/>
                <w:sz w:val="18"/>
                <w:szCs w:val="18"/>
              </w:rPr>
            </w:pPr>
            <w:r>
              <w:rPr>
                <w:rFonts w:ascii="宋体" w:hAnsi="宋体" w:cs="宋体" w:eastAsia="宋体" w:hint="default"/>
                <w:spacing w:val="-2"/>
                <w:sz w:val="18"/>
                <w:szCs w:val="18"/>
              </w:rPr>
              <w:t>对联营企业权益投资的</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账面价值</w:t>
            </w:r>
          </w:p>
        </w:tc>
        <w:tc>
          <w:tcPr>
            <w:tcW w:w="20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1,767,131.48</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91,273,552.12</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4,150,978.27</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1,758,496.21</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366,058,955.44</w:t>
            </w:r>
          </w:p>
        </w:tc>
        <w:tc>
          <w:tcPr>
            <w:tcW w:w="20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16,420,351.49</w:t>
            </w:r>
          </w:p>
        </w:tc>
      </w:tr>
      <w:tr>
        <w:trPr>
          <w:trHeight w:val="403" w:hRule="exact"/>
        </w:trPr>
        <w:tc>
          <w:tcPr>
            <w:tcW w:w="19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1"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20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18,804,784.50</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2"/>
                <w:sz w:val="18"/>
              </w:rPr>
              <w:t>1,202,533,209.43</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4,158,816.73</w:t>
            </w:r>
          </w:p>
        </w:tc>
        <w:tc>
          <w:tcPr>
            <w:tcW w:w="2002"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253,620,927.78</w:t>
            </w:r>
          </w:p>
        </w:tc>
        <w:tc>
          <w:tcPr>
            <w:tcW w:w="20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2"/>
              <w:jc w:val="right"/>
              <w:rPr>
                <w:rFonts w:ascii="Times New Roman" w:hAnsi="Times New Roman" w:cs="Times New Roman" w:eastAsia="Times New Roman" w:hint="default"/>
                <w:sz w:val="18"/>
                <w:szCs w:val="18"/>
              </w:rPr>
            </w:pPr>
            <w:r>
              <w:rPr>
                <w:rFonts w:ascii="Times New Roman"/>
                <w:spacing w:val="-1"/>
                <w:sz w:val="18"/>
              </w:rPr>
              <w:t>15,221,663.22</w:t>
            </w:r>
          </w:p>
        </w:tc>
      </w:tr>
      <w:tr>
        <w:trPr>
          <w:trHeight w:val="403" w:hRule="exact"/>
        </w:trPr>
        <w:tc>
          <w:tcPr>
            <w:tcW w:w="19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20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-31,285,987.86</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-114,792,790.94</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-7,569,969.66</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-666,332.88</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2,352,938.21</w:t>
            </w:r>
          </w:p>
        </w:tc>
        <w:tc>
          <w:tcPr>
            <w:tcW w:w="20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2"/>
                <w:sz w:val="18"/>
              </w:rPr>
              <w:t>-1,321,112.51</w:t>
            </w:r>
          </w:p>
        </w:tc>
      </w:tr>
      <w:tr>
        <w:trPr>
          <w:trHeight w:val="404" w:hRule="exact"/>
        </w:trPr>
        <w:tc>
          <w:tcPr>
            <w:tcW w:w="19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2014" w:type="dxa"/>
            <w:tcBorders>
              <w:top w:val="single" w:sz="4" w:space="0" w:color="000000"/>
              <w:left w:val="single" w:sz="13" w:space="0" w:color="D2D2D2"/>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1,954,037.25</w:t>
            </w:r>
          </w:p>
        </w:tc>
        <w:tc>
          <w:tcPr>
            <w:tcW w:w="200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综合收益总额</w:t>
            </w:r>
          </w:p>
        </w:tc>
        <w:tc>
          <w:tcPr>
            <w:tcW w:w="20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-31,285,987.86</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-114,792,790.94</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-7,569,969.66</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-666,332.88</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4,306,975.46</w:t>
            </w:r>
          </w:p>
        </w:tc>
        <w:tc>
          <w:tcPr>
            <w:tcW w:w="20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2"/>
                <w:sz w:val="18"/>
              </w:rPr>
              <w:t>-1,321,112.51</w:t>
            </w:r>
          </w:p>
        </w:tc>
      </w:tr>
    </w:tbl>
    <w:p>
      <w:pPr>
        <w:spacing w:after="0" w:line="240" w:lineRule="auto"/>
        <w:jc w:val="right"/>
        <w:rPr>
          <w:rFonts w:ascii="Times New Roman" w:hAnsi="Times New Roman" w:cs="Times New Roman" w:eastAsia="Times New Roman" w:hint="default"/>
          <w:sz w:val="18"/>
          <w:szCs w:val="18"/>
        </w:rPr>
        <w:sectPr>
          <w:headerReference w:type="default" r:id="rId37"/>
          <w:footerReference w:type="default" r:id="rId38"/>
          <w:pgSz w:w="16840" w:h="11910" w:orient="landscape"/>
          <w:pgMar w:header="871" w:footer="1181" w:top="1100" w:bottom="1380" w:left="1300" w:right="1280"/>
          <w:pgNumType w:start="19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BodyText"/>
        <w:spacing w:line="240" w:lineRule="auto"/>
        <w:ind w:left="0" w:right="244"/>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18" w:type="dxa"/>
        <w:tblLayout w:type="fixed"/>
        <w:tblCellMar>
          <w:top w:w="0" w:type="dxa"/>
          <w:left w:w="0" w:type="dxa"/>
          <w:bottom w:w="0" w:type="dxa"/>
          <w:right w:w="0" w:type="dxa"/>
        </w:tblCellMar>
        <w:tblLook w:val="01E0"/>
      </w:tblPr>
      <w:tblGrid>
        <w:gridCol w:w="1978"/>
        <w:gridCol w:w="1582"/>
        <w:gridCol w:w="1421"/>
        <w:gridCol w:w="1700"/>
        <w:gridCol w:w="1560"/>
        <w:gridCol w:w="1417"/>
        <w:gridCol w:w="1704"/>
        <w:gridCol w:w="1416"/>
        <w:gridCol w:w="1229"/>
      </w:tblGrid>
      <w:tr>
        <w:trPr>
          <w:trHeight w:val="403" w:hRule="exact"/>
        </w:trPr>
        <w:tc>
          <w:tcPr>
            <w:tcW w:w="197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2030"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center"/>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3" w:hRule="exact"/>
        </w:trPr>
        <w:tc>
          <w:tcPr>
            <w:tcW w:w="197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43" w:right="0"/>
              <w:jc w:val="left"/>
              <w:rPr>
                <w:rFonts w:ascii="宋体" w:hAnsi="宋体" w:cs="宋体" w:eastAsia="宋体" w:hint="default"/>
                <w:sz w:val="18"/>
                <w:szCs w:val="18"/>
              </w:rPr>
            </w:pPr>
            <w:r>
              <w:rPr>
                <w:rFonts w:ascii="宋体" w:hAnsi="宋体" w:cs="宋体" w:eastAsia="宋体" w:hint="default"/>
                <w:sz w:val="18"/>
                <w:szCs w:val="18"/>
              </w:rPr>
              <w:t>票联金服务</w:t>
            </w:r>
          </w:p>
        </w:tc>
        <w:tc>
          <w:tcPr>
            <w:tcW w:w="14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45" w:right="0"/>
              <w:jc w:val="left"/>
              <w:rPr>
                <w:rFonts w:ascii="宋体" w:hAnsi="宋体" w:cs="宋体" w:eastAsia="宋体" w:hint="default"/>
                <w:sz w:val="18"/>
                <w:szCs w:val="18"/>
              </w:rPr>
            </w:pPr>
            <w:r>
              <w:rPr>
                <w:rFonts w:ascii="宋体" w:hAnsi="宋体" w:cs="宋体" w:eastAsia="宋体" w:hint="default"/>
                <w:sz w:val="18"/>
                <w:szCs w:val="18"/>
              </w:rPr>
              <w:t>华道征信</w:t>
            </w:r>
          </w:p>
        </w:tc>
        <w:tc>
          <w:tcPr>
            <w:tcW w:w="17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84" w:right="0"/>
              <w:jc w:val="left"/>
              <w:rPr>
                <w:rFonts w:ascii="宋体" w:hAnsi="宋体" w:cs="宋体" w:eastAsia="宋体" w:hint="default"/>
                <w:sz w:val="18"/>
                <w:szCs w:val="18"/>
              </w:rPr>
            </w:pPr>
            <w:r>
              <w:rPr>
                <w:rFonts w:ascii="宋体" w:hAnsi="宋体" w:cs="宋体" w:eastAsia="宋体" w:hint="default"/>
                <w:sz w:val="18"/>
                <w:szCs w:val="18"/>
              </w:rPr>
              <w:t>易安保险</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12" w:right="0"/>
              <w:jc w:val="left"/>
              <w:rPr>
                <w:rFonts w:ascii="宋体" w:hAnsi="宋体" w:cs="宋体" w:eastAsia="宋体" w:hint="default"/>
                <w:sz w:val="18"/>
                <w:szCs w:val="18"/>
              </w:rPr>
            </w:pPr>
            <w:r>
              <w:rPr>
                <w:rFonts w:ascii="宋体" w:hAnsi="宋体" w:cs="宋体" w:eastAsia="宋体" w:hint="default"/>
                <w:sz w:val="18"/>
                <w:szCs w:val="18"/>
              </w:rPr>
              <w:t>国誉金服</w:t>
            </w:r>
          </w:p>
        </w:tc>
        <w:tc>
          <w:tcPr>
            <w:tcW w:w="1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45" w:right="0"/>
              <w:jc w:val="left"/>
              <w:rPr>
                <w:rFonts w:ascii="宋体" w:hAnsi="宋体" w:cs="宋体" w:eastAsia="宋体" w:hint="default"/>
                <w:sz w:val="18"/>
                <w:szCs w:val="18"/>
              </w:rPr>
            </w:pPr>
            <w:r>
              <w:rPr>
                <w:rFonts w:ascii="宋体" w:hAnsi="宋体" w:cs="宋体" w:eastAsia="宋体" w:hint="default"/>
                <w:sz w:val="18"/>
                <w:szCs w:val="18"/>
              </w:rPr>
              <w:t>恒银资产</w:t>
            </w:r>
          </w:p>
        </w:tc>
        <w:tc>
          <w:tcPr>
            <w:tcW w:w="17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07" w:right="0"/>
              <w:jc w:val="left"/>
              <w:rPr>
                <w:rFonts w:ascii="宋体" w:hAnsi="宋体" w:cs="宋体" w:eastAsia="宋体" w:hint="default"/>
                <w:sz w:val="18"/>
                <w:szCs w:val="18"/>
              </w:rPr>
            </w:pPr>
            <w:r>
              <w:rPr>
                <w:rFonts w:ascii="宋体" w:hAnsi="宋体" w:cs="宋体" w:eastAsia="宋体" w:hint="default"/>
                <w:sz w:val="18"/>
                <w:szCs w:val="18"/>
              </w:rPr>
              <w:t>东亚前海证券</w:t>
            </w:r>
          </w:p>
        </w:tc>
        <w:tc>
          <w:tcPr>
            <w:tcW w:w="1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40" w:right="0"/>
              <w:jc w:val="left"/>
              <w:rPr>
                <w:rFonts w:ascii="宋体" w:hAnsi="宋体" w:cs="宋体" w:eastAsia="宋体" w:hint="default"/>
                <w:sz w:val="18"/>
                <w:szCs w:val="18"/>
              </w:rPr>
            </w:pPr>
            <w:r>
              <w:rPr>
                <w:rFonts w:ascii="宋体" w:hAnsi="宋体" w:cs="宋体" w:eastAsia="宋体" w:hint="default"/>
                <w:sz w:val="18"/>
                <w:szCs w:val="18"/>
              </w:rPr>
              <w:t>智帆金科</w:t>
            </w:r>
          </w:p>
        </w:tc>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41" w:right="0"/>
              <w:jc w:val="left"/>
              <w:rPr>
                <w:rFonts w:ascii="宋体" w:hAnsi="宋体" w:cs="宋体" w:eastAsia="宋体" w:hint="default"/>
                <w:sz w:val="18"/>
                <w:szCs w:val="18"/>
              </w:rPr>
            </w:pPr>
            <w:r>
              <w:rPr>
                <w:rFonts w:ascii="宋体" w:hAnsi="宋体" w:cs="宋体" w:eastAsia="宋体" w:hint="default"/>
                <w:sz w:val="18"/>
                <w:szCs w:val="18"/>
              </w:rPr>
              <w:t>百可录</w:t>
            </w:r>
          </w:p>
        </w:tc>
      </w:tr>
      <w:tr>
        <w:trPr>
          <w:trHeight w:val="399" w:hRule="exact"/>
        </w:trPr>
        <w:tc>
          <w:tcPr>
            <w:tcW w:w="19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158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18,823,227.91</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24,669,084.43</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1,339,808,040.97</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54,161,973.34</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4,014,634.10</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482,542,076.50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15,792,081.06</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13,821,312.43</w:t>
            </w:r>
          </w:p>
        </w:tc>
      </w:tr>
      <w:tr>
        <w:trPr>
          <w:trHeight w:val="403" w:hRule="exact"/>
        </w:trPr>
        <w:tc>
          <w:tcPr>
            <w:tcW w:w="19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158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7,987,565.31</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77,390,757.51</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503,932,930.06</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746,461.47</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2,020,000.00</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2"/>
                <w:sz w:val="18"/>
              </w:rPr>
              <w:t>1,845,606,664.73</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9,099,045.71</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5,988,654.47</w:t>
            </w:r>
          </w:p>
        </w:tc>
      </w:tr>
      <w:tr>
        <w:trPr>
          <w:trHeight w:val="403" w:hRule="exact"/>
        </w:trPr>
        <w:tc>
          <w:tcPr>
            <w:tcW w:w="19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资产合计</w:t>
            </w:r>
          </w:p>
        </w:tc>
        <w:tc>
          <w:tcPr>
            <w:tcW w:w="158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26,810,793.22</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102,059,841.94</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1,843,740,971.03</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54,908,434.81</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6,034,634.10</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2,328,148,741.23</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24,891,126.77</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19,809,966.90</w:t>
            </w:r>
          </w:p>
        </w:tc>
      </w:tr>
      <w:tr>
        <w:trPr>
          <w:trHeight w:val="404" w:hRule="exact"/>
        </w:trPr>
        <w:tc>
          <w:tcPr>
            <w:tcW w:w="19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158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5,828,780.11</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106,113,617.37</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2"/>
                <w:sz w:val="18"/>
              </w:rPr>
              <w:t>1,117,930,903.19</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38,865,600.93</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1,595,890.39</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925,851,813.14</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2,094,354.81</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125,389.94</w:t>
            </w:r>
          </w:p>
        </w:tc>
      </w:tr>
      <w:tr>
        <w:trPr>
          <w:trHeight w:val="398" w:hRule="exact"/>
        </w:trPr>
        <w:tc>
          <w:tcPr>
            <w:tcW w:w="19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1582" w:type="dxa"/>
            <w:tcBorders>
              <w:top w:val="single" w:sz="4" w:space="0" w:color="000000"/>
              <w:left w:val="single" w:sz="13" w:space="0" w:color="D2D2D2"/>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2,526,929.44</w:t>
            </w:r>
          </w:p>
        </w:tc>
        <w:tc>
          <w:tcPr>
            <w:tcW w:w="1560"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1,962,272.69</w:t>
            </w:r>
          </w:p>
        </w:tc>
        <w:tc>
          <w:tcPr>
            <w:tcW w:w="1416"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158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2"/>
                <w:sz w:val="18"/>
              </w:rPr>
              <w:t>5,828,780.11</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2"/>
                <w:sz w:val="18"/>
              </w:rPr>
              <w:t>106,113,617.37</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2"/>
                <w:sz w:val="18"/>
              </w:rPr>
              <w:t>1,120,457,832.63</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38,865,600.93</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1,595,890.39</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927,814,085.83</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2,094,354.81</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125,389.94</w:t>
            </w:r>
          </w:p>
        </w:tc>
      </w:tr>
      <w:tr>
        <w:trPr>
          <w:trHeight w:val="404" w:hRule="exact"/>
        </w:trPr>
        <w:tc>
          <w:tcPr>
            <w:tcW w:w="19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z w:val="18"/>
                <w:szCs w:val="18"/>
              </w:rPr>
              <w:t>归属于母公司股东权益</w:t>
            </w:r>
          </w:p>
        </w:tc>
        <w:tc>
          <w:tcPr>
            <w:tcW w:w="158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20,982,013.11</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-4,053,775.43</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723,283,138.40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16,042,833.88</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4,438,743.71</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1,400,334,655.40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22,796,771.96</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19,684,576.96</w:t>
            </w:r>
          </w:p>
        </w:tc>
      </w:tr>
      <w:tr>
        <w:trPr>
          <w:trHeight w:val="715" w:hRule="exact"/>
        </w:trPr>
        <w:tc>
          <w:tcPr>
            <w:tcW w:w="19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 w:right="149"/>
              <w:jc w:val="left"/>
              <w:rPr>
                <w:rFonts w:ascii="宋体" w:hAnsi="宋体" w:cs="宋体" w:eastAsia="宋体" w:hint="default"/>
                <w:sz w:val="18"/>
                <w:szCs w:val="18"/>
              </w:rPr>
            </w:pPr>
            <w:r>
              <w:rPr>
                <w:rFonts w:ascii="宋体" w:hAnsi="宋体" w:cs="宋体" w:eastAsia="宋体" w:hint="default"/>
                <w:spacing w:val="-2"/>
                <w:sz w:val="18"/>
                <w:szCs w:val="18"/>
              </w:rPr>
              <w:t>按持股比例计算的净资</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产份额</w:t>
            </w:r>
          </w:p>
        </w:tc>
        <w:tc>
          <w:tcPr>
            <w:tcW w:w="158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4,283,834.67</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-1,621,510.17</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108,492,470.76</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7,860,988.60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887,748.74</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365,487,345.06</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4,559,354.39</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3,346,378.08</w:t>
            </w:r>
          </w:p>
        </w:tc>
      </w:tr>
      <w:tr>
        <w:trPr>
          <w:trHeight w:val="711" w:hRule="exact"/>
        </w:trPr>
        <w:tc>
          <w:tcPr>
            <w:tcW w:w="19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11" w:right="149"/>
              <w:jc w:val="left"/>
              <w:rPr>
                <w:rFonts w:ascii="宋体" w:hAnsi="宋体" w:cs="宋体" w:eastAsia="宋体" w:hint="default"/>
                <w:sz w:val="18"/>
                <w:szCs w:val="18"/>
              </w:rPr>
            </w:pPr>
            <w:r>
              <w:rPr>
                <w:rFonts w:ascii="宋体" w:hAnsi="宋体" w:cs="宋体" w:eastAsia="宋体" w:hint="default"/>
                <w:spacing w:val="-2"/>
                <w:sz w:val="18"/>
                <w:szCs w:val="18"/>
              </w:rPr>
              <w:t>对联营企业权益投资的</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账面价值</w:t>
            </w:r>
          </w:p>
        </w:tc>
        <w:tc>
          <w:tcPr>
            <w:tcW w:w="158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6,325,484.67</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-1,627,428.88</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108,492,470.76</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7,860,263.40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1,882,762.79</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365,487,345.06</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23,753,567.92</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16,644,940.62</w:t>
            </w:r>
          </w:p>
        </w:tc>
      </w:tr>
      <w:tr>
        <w:trPr>
          <w:trHeight w:val="403" w:hRule="exact"/>
        </w:trPr>
        <w:tc>
          <w:tcPr>
            <w:tcW w:w="19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1"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58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4,277,890.17</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29,364,903.71</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2"/>
                <w:sz w:val="18"/>
              </w:rPr>
              <w:t>1,173,431,482.21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2,095,894.26</w:t>
            </w:r>
          </w:p>
        </w:tc>
        <w:tc>
          <w:tcPr>
            <w:tcW w:w="1417"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91,307,842.84</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15,863,198.96</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7,059,303.51</w:t>
            </w:r>
          </w:p>
        </w:tc>
      </w:tr>
      <w:tr>
        <w:trPr>
          <w:trHeight w:val="403" w:hRule="exact"/>
        </w:trPr>
        <w:tc>
          <w:tcPr>
            <w:tcW w:w="19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58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-11,618,783.83</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-19,053,283.59</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-199,413,832.24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-11,433,728.32</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-597,534.64</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-56,092,072.11</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-9,303,080.90</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-2,088,584.60</w:t>
            </w:r>
          </w:p>
        </w:tc>
      </w:tr>
      <w:tr>
        <w:trPr>
          <w:trHeight w:val="404" w:hRule="exact"/>
        </w:trPr>
        <w:tc>
          <w:tcPr>
            <w:tcW w:w="19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1582" w:type="dxa"/>
            <w:tcBorders>
              <w:top w:val="single" w:sz="4" w:space="0" w:color="000000"/>
              <w:left w:val="single" w:sz="13" w:space="0" w:color="D2D2D2"/>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-55,315,156.67</w:t>
            </w:r>
          </w:p>
        </w:tc>
        <w:tc>
          <w:tcPr>
            <w:tcW w:w="1560"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1,104,017.61</w:t>
            </w:r>
          </w:p>
        </w:tc>
        <w:tc>
          <w:tcPr>
            <w:tcW w:w="1416"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综合收益总额</w:t>
            </w:r>
          </w:p>
        </w:tc>
        <w:tc>
          <w:tcPr>
            <w:tcW w:w="158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-11,618,783.83</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-19,053,283.59</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-254,728,988.91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-11,433,728.32</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-597,534.64</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-54,988,054.50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-9,303,080.90</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-2,088,584.60</w:t>
            </w:r>
          </w:p>
        </w:tc>
      </w:tr>
    </w:tbl>
    <w:p>
      <w:pPr>
        <w:spacing w:after="0" w:line="240" w:lineRule="auto"/>
        <w:jc w:val="right"/>
        <w:rPr>
          <w:rFonts w:ascii="Times New Roman" w:hAnsi="Times New Roman" w:cs="Times New Roman" w:eastAsia="Times New Roman" w:hint="default"/>
          <w:sz w:val="18"/>
          <w:szCs w:val="18"/>
        </w:rPr>
        <w:sectPr>
          <w:pgSz w:w="16840" w:h="11910" w:orient="landscape"/>
          <w:pgMar w:header="871" w:footer="1181" w:top="1100" w:bottom="1380" w:left="1300" w:right="1280"/>
        </w:sectPr>
      </w:pPr>
    </w:p>
    <w:p>
      <w:pPr>
        <w:spacing w:line="240" w:lineRule="auto" w:before="9"/>
        <w:rPr>
          <w:rFonts w:ascii="宋体" w:hAnsi="宋体" w:cs="宋体" w:eastAsia="宋体" w:hint="default"/>
          <w:sz w:val="20"/>
          <w:szCs w:val="20"/>
        </w:rPr>
      </w:pPr>
    </w:p>
    <w:p>
      <w:pPr>
        <w:pStyle w:val="Heading3"/>
        <w:spacing w:line="240" w:lineRule="auto" w:before="36"/>
        <w:ind w:right="0"/>
        <w:jc w:val="left"/>
        <w:rPr>
          <w:b w:val="0"/>
          <w:bCs w:val="0"/>
        </w:rPr>
      </w:pPr>
      <w:bookmarkStart w:name="3、在未纳入合并财务报表范围的结构化主体中的权益" w:id="363"/>
      <w:bookmarkEnd w:id="363"/>
      <w:r>
        <w:rPr>
          <w:b w:val="0"/>
          <w:bCs w:val="0"/>
        </w:rPr>
      </w:r>
      <w:r>
        <w:rPr>
          <w:rFonts w:ascii="Times New Roman" w:hAnsi="Times New Roman" w:cs="Times New Roman" w:eastAsia="Times New Roman" w:hint="default"/>
        </w:rPr>
        <w:t>3</w:t>
      </w:r>
      <w:r>
        <w:rPr/>
        <w:t>、在未纳入合并财务报表范围的结构化主体中的权益</w:t>
      </w:r>
      <w:r>
        <w:rPr>
          <w:b w:val="0"/>
          <w:bCs w:val="0"/>
        </w:rPr>
      </w:r>
    </w:p>
    <w:p>
      <w:pPr>
        <w:spacing w:line="240" w:lineRule="auto" w:before="1"/>
        <w:rPr>
          <w:rFonts w:ascii="宋体" w:hAnsi="宋体" w:cs="宋体" w:eastAsia="宋体" w:hint="default"/>
          <w:b/>
          <w:bCs/>
          <w:sz w:val="27"/>
          <w:szCs w:val="27"/>
        </w:rPr>
      </w:pPr>
    </w:p>
    <w:p>
      <w:pPr>
        <w:pStyle w:val="BodyText"/>
        <w:spacing w:line="352" w:lineRule="auto"/>
        <w:ind w:left="513" w:right="6000" w:hanging="360"/>
        <w:jc w:val="left"/>
      </w:pPr>
      <w:r>
        <w:rPr>
          <w:spacing w:val="-3"/>
        </w:rPr>
        <w:t>未纳入合并财务报表范围的结构化主体的相关说明：</w:t>
      </w:r>
      <w:r>
        <w:rPr>
          <w:spacing w:val="-21"/>
        </w:rPr>
        <w:t> </w:t>
      </w:r>
      <w:r>
        <w:rPr>
          <w:spacing w:val="-21"/>
        </w:rPr>
      </w:r>
      <w:r>
        <w:rPr/>
        <w:t>不适用。</w:t>
      </w:r>
    </w:p>
    <w:p>
      <w:pPr>
        <w:spacing w:line="240" w:lineRule="auto" w:before="3"/>
        <w:rPr>
          <w:rFonts w:ascii="宋体" w:hAnsi="宋体" w:cs="宋体" w:eastAsia="宋体" w:hint="default"/>
          <w:sz w:val="18"/>
          <w:szCs w:val="18"/>
        </w:rPr>
      </w:pPr>
    </w:p>
    <w:p>
      <w:pPr>
        <w:pStyle w:val="Heading2"/>
        <w:spacing w:line="240" w:lineRule="auto"/>
        <w:ind w:right="0"/>
        <w:jc w:val="left"/>
        <w:rPr>
          <w:b w:val="0"/>
          <w:bCs w:val="0"/>
        </w:rPr>
      </w:pPr>
      <w:bookmarkStart w:name="十、与金融工具相关的风险" w:id="364"/>
      <w:bookmarkEnd w:id="364"/>
      <w:r>
        <w:rPr>
          <w:b w:val="0"/>
          <w:bCs w:val="0"/>
        </w:rPr>
      </w:r>
      <w:r>
        <w:rPr/>
        <w:t>十、与金融工具相关的风险</w:t>
      </w:r>
      <w:r>
        <w:rPr>
          <w:b w:val="0"/>
          <w:bCs w:val="0"/>
        </w:rPr>
      </w:r>
    </w:p>
    <w:p>
      <w:pPr>
        <w:spacing w:line="240" w:lineRule="auto" w:before="1"/>
        <w:rPr>
          <w:rFonts w:ascii="宋体" w:hAnsi="宋体" w:cs="宋体" w:eastAsia="宋体" w:hint="default"/>
          <w:b/>
          <w:bCs/>
          <w:sz w:val="33"/>
          <w:szCs w:val="33"/>
        </w:rPr>
      </w:pPr>
    </w:p>
    <w:p>
      <w:pPr>
        <w:pStyle w:val="BodyText"/>
        <w:spacing w:line="477" w:lineRule="auto"/>
        <w:ind w:right="1124" w:firstLine="360"/>
        <w:jc w:val="both"/>
      </w:pPr>
      <w:r>
        <w:rPr>
          <w:spacing w:val="-4"/>
        </w:rPr>
        <w:t>本公司在日常活动中面临各种金融工具的风险，主要包括信用风险、市场风险和流动性风险。本公司从事风险管理的目</w:t>
      </w:r>
      <w:r>
        <w:rPr>
          <w:w w:val="101"/>
        </w:rPr>
        <w:t> </w:t>
      </w:r>
      <w:r>
        <w:rPr>
          <w:spacing w:val="-4"/>
        </w:rPr>
        <w:t>标是在风险和收益之间取得适当的平衡，将风险对本公司经营业绩的负面影响降低到最低水平，使股东及其其他权益投资者</w:t>
      </w:r>
      <w:r>
        <w:rPr>
          <w:spacing w:val="43"/>
        </w:rPr>
        <w:t> </w:t>
      </w:r>
      <w:r>
        <w:rPr>
          <w:spacing w:val="43"/>
        </w:rPr>
      </w:r>
      <w:r>
        <w:rPr>
          <w:spacing w:val="-4"/>
        </w:rPr>
        <w:t>的利益最大化。基于该风险管理目标，本公司风险管理的基本策略是确定和分析本公司所面临的各种风险，建立适当的风险</w:t>
      </w:r>
      <w:r>
        <w:rPr>
          <w:spacing w:val="43"/>
        </w:rPr>
        <w:t> </w:t>
      </w:r>
      <w:r>
        <w:rPr>
          <w:spacing w:val="43"/>
        </w:rPr>
      </w:r>
      <w:r>
        <w:rPr>
          <w:spacing w:val="-4"/>
        </w:rPr>
        <w:t>承受底线和进行风险管理，并及时可靠地对各种风险进行监督，将风险控制在限定的范围之内。管理层已审议并批准管理这</w:t>
      </w:r>
      <w:r>
        <w:rPr>
          <w:spacing w:val="43"/>
        </w:rPr>
        <w:t> </w:t>
      </w:r>
      <w:r>
        <w:rPr>
          <w:spacing w:val="43"/>
        </w:rPr>
      </w:r>
      <w:r>
        <w:rPr>
          <w:spacing w:val="-3"/>
        </w:rPr>
        <w:t>些风险的政策。</w:t>
      </w:r>
    </w:p>
    <w:p>
      <w:pPr>
        <w:pStyle w:val="BodyText"/>
        <w:spacing w:line="475" w:lineRule="auto" w:before="57"/>
        <w:ind w:right="1122" w:firstLine="360"/>
        <w:jc w:val="both"/>
      </w:pPr>
      <w:r>
        <w:rPr>
          <w:spacing w:val="-4"/>
        </w:rPr>
        <w:t>本公司的主要金融工具包括货币资金、交易性金融资产，其他权益工具投资、借款、应收账款、应付账款等，各项金融</w:t>
      </w:r>
      <w:r>
        <w:rPr>
          <w:w w:val="101"/>
        </w:rPr>
        <w:t> </w:t>
      </w:r>
      <w:r>
        <w:rPr>
          <w:spacing w:val="-3"/>
        </w:rPr>
        <w:t>工具的详细情况说明见本附注五相关项目。</w:t>
      </w:r>
    </w:p>
    <w:p>
      <w:pPr>
        <w:pStyle w:val="BodyText"/>
        <w:spacing w:line="240" w:lineRule="auto" w:before="58"/>
        <w:ind w:left="513" w:right="0"/>
        <w:jc w:val="left"/>
      </w:pPr>
      <w:r>
        <w:rPr>
          <w:rFonts w:ascii="Times New Roman" w:hAnsi="Times New Roman" w:cs="Times New Roman" w:eastAsia="Times New Roman" w:hint="default"/>
        </w:rPr>
        <w:t>(</w:t>
      </w:r>
      <w:r>
        <w:rPr/>
        <w:t>一</w:t>
      </w:r>
      <w:r>
        <w:rPr>
          <w:rFonts w:ascii="Times New Roman" w:hAnsi="Times New Roman" w:cs="Times New Roman" w:eastAsia="Times New Roman" w:hint="default"/>
        </w:rPr>
        <w:t>) </w:t>
      </w:r>
      <w:r>
        <w:rPr>
          <w:rFonts w:ascii="Times New Roman" w:hAnsi="Times New Roman" w:cs="Times New Roman" w:eastAsia="Times New Roman" w:hint="default"/>
          <w:spacing w:val="13"/>
        </w:rPr>
        <w:t> </w:t>
      </w:r>
      <w:r>
        <w:rPr>
          <w:spacing w:val="-3"/>
        </w:rPr>
        <w:t>市场风险</w:t>
      </w:r>
    </w:p>
    <w:p>
      <w:pPr>
        <w:spacing w:line="240" w:lineRule="auto" w:before="7"/>
        <w:rPr>
          <w:rFonts w:ascii="宋体" w:hAnsi="宋体" w:cs="宋体" w:eastAsia="宋体" w:hint="default"/>
          <w:sz w:val="16"/>
          <w:szCs w:val="16"/>
        </w:rPr>
      </w:pPr>
    </w:p>
    <w:p>
      <w:pPr>
        <w:pStyle w:val="BodyText"/>
        <w:spacing w:line="453" w:lineRule="auto"/>
        <w:ind w:left="513" w:right="1029"/>
        <w:jc w:val="left"/>
      </w:pPr>
      <w:r>
        <w:rPr>
          <w:rFonts w:ascii="Times New Roman" w:hAnsi="Times New Roman" w:cs="Times New Roman" w:eastAsia="Times New Roman" w:hint="default"/>
        </w:rPr>
        <w:t>1</w:t>
      </w:r>
      <w:r>
        <w:rPr/>
        <w:t>．汇率风险</w:t>
      </w:r>
      <w:r>
        <w:rPr>
          <w:spacing w:val="-87"/>
        </w:rPr>
        <w:t> </w:t>
      </w:r>
      <w:r>
        <w:rPr>
          <w:spacing w:val="-87"/>
        </w:rPr>
      </w:r>
      <w:r>
        <w:rPr>
          <w:spacing w:val="-5"/>
          <w:w w:val="101"/>
        </w:rPr>
        <w:t>汇率风险是指金融工具的公允价值或未来现金流量因外汇汇率变动而发生波动的风险。公司承受外汇风险主要与美元有</w:t>
      </w:r>
      <w:r>
        <w:rPr>
          <w:spacing w:val="-5"/>
        </w:rPr>
      </w:r>
    </w:p>
    <w:p>
      <w:pPr>
        <w:pStyle w:val="BodyText"/>
        <w:spacing w:line="463" w:lineRule="auto" w:before="70"/>
        <w:ind w:right="1120"/>
        <w:jc w:val="left"/>
      </w:pPr>
      <w:r>
        <w:rPr/>
        <w:pict>
          <v:shape style="position:absolute;margin-left:56.183998pt;margin-top:69.231712pt;width:483.2pt;height:68.45pt;mso-position-horizontal-relative:page;mso-position-vertical-relative:paragraph;z-index:184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212"/>
                    <w:gridCol w:w="3217"/>
                    <w:gridCol w:w="3213"/>
                  </w:tblGrid>
                  <w:tr>
                    <w:trPr>
                      <w:trHeight w:val="499" w:hRule="exact"/>
                    </w:trPr>
                    <w:tc>
                      <w:tcPr>
                        <w:tcW w:w="321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97"/>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1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97"/>
                          <w:ind w:left="10" w:right="0"/>
                          <w:jc w:val="center"/>
                          <w:rPr>
                            <w:rFonts w:ascii="宋体" w:hAnsi="宋体" w:cs="宋体" w:eastAsia="宋体" w:hint="default"/>
                            <w:sz w:val="18"/>
                            <w:szCs w:val="18"/>
                          </w:rPr>
                        </w:pPr>
                        <w:r>
                          <w:rPr>
                            <w:rFonts w:ascii="宋体" w:hAnsi="宋体" w:cs="宋体" w:eastAsia="宋体" w:hint="default"/>
                            <w:sz w:val="18"/>
                            <w:szCs w:val="18"/>
                          </w:rPr>
                          <w:t>年末数</w:t>
                        </w:r>
                      </w:p>
                    </w:tc>
                    <w:tc>
                      <w:tcPr>
                        <w:tcW w:w="321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97"/>
                          <w:ind w:left="4" w:right="0"/>
                          <w:jc w:val="center"/>
                          <w:rPr>
                            <w:rFonts w:ascii="宋体" w:hAnsi="宋体" w:cs="宋体" w:eastAsia="宋体" w:hint="default"/>
                            <w:sz w:val="18"/>
                            <w:szCs w:val="18"/>
                          </w:rPr>
                        </w:pPr>
                        <w:r>
                          <w:rPr>
                            <w:rFonts w:ascii="宋体" w:hAnsi="宋体" w:cs="宋体" w:eastAsia="宋体" w:hint="default"/>
                            <w:sz w:val="18"/>
                            <w:szCs w:val="18"/>
                          </w:rPr>
                          <w:t>年初数</w:t>
                        </w:r>
                      </w:p>
                    </w:tc>
                  </w:tr>
                  <w:tr>
                    <w:trPr>
                      <w:trHeight w:val="427" w:hRule="exact"/>
                    </w:trPr>
                    <w:tc>
                      <w:tcPr>
                        <w:tcW w:w="321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现金及现金等价物</w:t>
                        </w:r>
                      </w:p>
                    </w:tc>
                    <w:tc>
                      <w:tcPr>
                        <w:tcW w:w="3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4"/>
                          <w:jc w:val="right"/>
                          <w:rPr>
                            <w:rFonts w:ascii="Times New Roman" w:hAnsi="Times New Roman" w:cs="Times New Roman" w:eastAsia="Times New Roman" w:hint="default"/>
                            <w:sz w:val="18"/>
                            <w:szCs w:val="18"/>
                          </w:rPr>
                        </w:pPr>
                        <w:r>
                          <w:rPr>
                            <w:rFonts w:ascii="Times New Roman"/>
                            <w:spacing w:val="-1"/>
                            <w:sz w:val="18"/>
                          </w:rPr>
                          <w:t>36,675,449.42</w:t>
                        </w:r>
                      </w:p>
                    </w:tc>
                    <w:tc>
                      <w:tcPr>
                        <w:tcW w:w="32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4"/>
                          <w:jc w:val="right"/>
                          <w:rPr>
                            <w:rFonts w:ascii="Times New Roman" w:hAnsi="Times New Roman" w:cs="Times New Roman" w:eastAsia="Times New Roman" w:hint="default"/>
                            <w:sz w:val="18"/>
                            <w:szCs w:val="18"/>
                          </w:rPr>
                        </w:pPr>
                        <w:r>
                          <w:rPr>
                            <w:rFonts w:ascii="Times New Roman"/>
                            <w:spacing w:val="-1"/>
                            <w:sz w:val="18"/>
                          </w:rPr>
                          <w:t>36,928,246.27</w:t>
                        </w:r>
                      </w:p>
                    </w:tc>
                  </w:tr>
                  <w:tr>
                    <w:trPr>
                      <w:trHeight w:val="428" w:hRule="exact"/>
                    </w:trPr>
                    <w:tc>
                      <w:tcPr>
                        <w:tcW w:w="321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4"/>
                          <w:jc w:val="right"/>
                          <w:rPr>
                            <w:rFonts w:ascii="Times New Roman" w:hAnsi="Times New Roman" w:cs="Times New Roman" w:eastAsia="Times New Roman" w:hint="default"/>
                            <w:sz w:val="18"/>
                            <w:szCs w:val="18"/>
                          </w:rPr>
                        </w:pPr>
                        <w:r>
                          <w:rPr>
                            <w:rFonts w:ascii="Times New Roman"/>
                            <w:spacing w:val="-1"/>
                            <w:sz w:val="18"/>
                          </w:rPr>
                          <w:t>18,683,131.21</w:t>
                        </w:r>
                      </w:p>
                    </w:tc>
                    <w:tc>
                      <w:tcPr>
                        <w:tcW w:w="32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4"/>
                          <w:jc w:val="right"/>
                          <w:rPr>
                            <w:rFonts w:ascii="Times New Roman" w:hAnsi="Times New Roman" w:cs="Times New Roman" w:eastAsia="Times New Roman" w:hint="default"/>
                            <w:sz w:val="18"/>
                            <w:szCs w:val="18"/>
                          </w:rPr>
                        </w:pPr>
                        <w:r>
                          <w:rPr>
                            <w:rFonts w:ascii="Times New Roman"/>
                            <w:spacing w:val="-1"/>
                            <w:sz w:val="18"/>
                          </w:rPr>
                          <w:t>4,018,105.20</w:t>
                        </w:r>
                      </w:p>
                    </w:tc>
                  </w:tr>
                </w:tbl>
                <w:p>
                  <w:pPr/>
                </w:p>
              </w:txbxContent>
            </v:textbox>
            <w10:wrap type="none"/>
          </v:shape>
        </w:pict>
      </w:r>
      <w:r>
        <w:rPr>
          <w:spacing w:val="-3"/>
        </w:rPr>
        <w:t>关，除本公司下属孙公司安科创新（香港）有限公司主要以美元进行销售外，公司的其他主要业务活动以人民币计价结算。</w:t>
      </w:r>
      <w:r>
        <w:rPr>
          <w:spacing w:val="75"/>
        </w:rPr>
        <w:t> </w:t>
      </w:r>
      <w:r>
        <w:rPr>
          <w:spacing w:val="75"/>
        </w:rPr>
      </w:r>
      <w:r>
        <w:rPr/>
        <w:t>于</w:t>
      </w:r>
      <w:r>
        <w:rPr>
          <w:spacing w:val="-32"/>
        </w:rPr>
        <w:t> </w:t>
      </w:r>
      <w:r>
        <w:rPr>
          <w:rFonts w:ascii="Times New Roman" w:hAnsi="Times New Roman" w:cs="Times New Roman" w:eastAsia="Times New Roman" w:hint="default"/>
        </w:rPr>
        <w:t>2019</w:t>
      </w:r>
      <w:r>
        <w:rPr>
          <w:rFonts w:ascii="Times New Roman" w:hAnsi="Times New Roman" w:cs="Times New Roman" w:eastAsia="Times New Roman" w:hint="default"/>
          <w:spacing w:val="7"/>
        </w:rPr>
        <w:t> </w:t>
      </w:r>
      <w:r>
        <w:rPr/>
        <w:t>年</w:t>
      </w:r>
      <w:r>
        <w:rPr>
          <w:spacing w:val="-32"/>
        </w:rPr>
        <w:t> </w:t>
      </w:r>
      <w:r>
        <w:rPr>
          <w:rFonts w:ascii="Times New Roman" w:hAnsi="Times New Roman" w:cs="Times New Roman" w:eastAsia="Times New Roman" w:hint="default"/>
          <w:spacing w:val="-3"/>
        </w:rPr>
        <w:t>12</w:t>
      </w:r>
      <w:r>
        <w:rPr>
          <w:rFonts w:ascii="Times New Roman" w:hAnsi="Times New Roman" w:cs="Times New Roman" w:eastAsia="Times New Roman" w:hint="default"/>
          <w:spacing w:val="7"/>
        </w:rPr>
        <w:t> </w:t>
      </w:r>
      <w:r>
        <w:rPr/>
        <w:t>月</w:t>
      </w:r>
      <w:r>
        <w:rPr>
          <w:spacing w:val="-32"/>
        </w:rPr>
        <w:t> </w:t>
      </w:r>
      <w:r>
        <w:rPr>
          <w:rFonts w:ascii="Times New Roman" w:hAnsi="Times New Roman" w:cs="Times New Roman" w:eastAsia="Times New Roman" w:hint="default"/>
          <w:spacing w:val="-3"/>
        </w:rPr>
        <w:t>31</w:t>
      </w:r>
      <w:r>
        <w:rPr>
          <w:rFonts w:ascii="Times New Roman" w:hAnsi="Times New Roman" w:cs="Times New Roman" w:eastAsia="Times New Roman" w:hint="default"/>
          <w:spacing w:val="7"/>
        </w:rPr>
        <w:t> </w:t>
      </w:r>
      <w:r>
        <w:rPr>
          <w:spacing w:val="-3"/>
        </w:rPr>
        <w:t>日，除下表所述资产及负债为外币余额外，公司其他资产及负债均为记账本位币余额。该等外币余额的</w:t>
      </w:r>
      <w:r>
        <w:rPr>
          <w:spacing w:val="-38"/>
        </w:rPr>
        <w:t> </w:t>
      </w:r>
      <w:r>
        <w:rPr>
          <w:spacing w:val="-38"/>
        </w:rPr>
      </w:r>
      <w:r>
        <w:rPr>
          <w:spacing w:val="-3"/>
        </w:rPr>
        <w:t>资产和负债产生的外汇风险可能对公司的经营业绩产生影响。</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6"/>
          <w:szCs w:val="26"/>
        </w:rPr>
      </w:pPr>
    </w:p>
    <w:p>
      <w:pPr>
        <w:pStyle w:val="BodyText"/>
        <w:spacing w:line="240" w:lineRule="auto" w:before="46"/>
        <w:ind w:left="513" w:right="0"/>
        <w:jc w:val="left"/>
      </w:pPr>
      <w:r>
        <w:rPr>
          <w:spacing w:val="-3"/>
        </w:rPr>
        <w:t>公司密切关注汇率变动对公司外汇风险的影响。</w:t>
      </w:r>
    </w:p>
    <w:p>
      <w:pPr>
        <w:spacing w:line="240" w:lineRule="auto" w:before="8"/>
        <w:rPr>
          <w:rFonts w:ascii="宋体" w:hAnsi="宋体" w:cs="宋体" w:eastAsia="宋体" w:hint="default"/>
          <w:sz w:val="17"/>
          <w:szCs w:val="17"/>
        </w:rPr>
      </w:pPr>
    </w:p>
    <w:p>
      <w:pPr>
        <w:pStyle w:val="BodyText"/>
        <w:spacing w:line="453" w:lineRule="auto"/>
        <w:ind w:left="513" w:right="1029"/>
        <w:jc w:val="left"/>
      </w:pPr>
      <w:r>
        <w:rPr>
          <w:rFonts w:ascii="Times New Roman" w:hAnsi="Times New Roman" w:cs="Times New Roman" w:eastAsia="Times New Roman" w:hint="default"/>
        </w:rPr>
        <w:t>2</w:t>
      </w:r>
      <w:r>
        <w:rPr/>
        <w:t>．利率风险</w:t>
      </w:r>
      <w:r>
        <w:rPr>
          <w:spacing w:val="-87"/>
        </w:rPr>
        <w:t> </w:t>
      </w:r>
      <w:r>
        <w:rPr>
          <w:spacing w:val="-87"/>
        </w:rPr>
      </w:r>
      <w:r>
        <w:rPr>
          <w:spacing w:val="-4"/>
        </w:rPr>
        <w:t>利率风险，是指金融工具的公允价值或未来现金流量因市场利率变动而发生波动的风险。利率风险可源于已确认的计息</w:t>
      </w:r>
    </w:p>
    <w:p>
      <w:pPr>
        <w:pStyle w:val="BodyText"/>
        <w:spacing w:line="463" w:lineRule="auto" w:before="70"/>
        <w:ind w:left="513" w:right="6680" w:hanging="360"/>
        <w:jc w:val="left"/>
      </w:pPr>
      <w:r>
        <w:rPr>
          <w:spacing w:val="-3"/>
        </w:rPr>
        <w:t>金融工具和未确认的金融工具</w:t>
      </w:r>
      <w:r>
        <w:rPr>
          <w:rFonts w:ascii="Times New Roman" w:hAnsi="Times New Roman" w:cs="Times New Roman" w:eastAsia="Times New Roman" w:hint="default"/>
          <w:spacing w:val="-3"/>
        </w:rPr>
        <w:t>(</w:t>
      </w:r>
      <w:r>
        <w:rPr>
          <w:spacing w:val="-3"/>
        </w:rPr>
        <w:t>如某些贷款承诺</w:t>
      </w:r>
      <w:r>
        <w:rPr>
          <w:rFonts w:ascii="Times New Roman" w:hAnsi="Times New Roman" w:cs="Times New Roman" w:eastAsia="Times New Roman" w:hint="default"/>
          <w:spacing w:val="-3"/>
        </w:rPr>
        <w:t>)</w:t>
      </w:r>
      <w:r>
        <w:rPr>
          <w:spacing w:val="-3"/>
        </w:rPr>
        <w:t>。</w:t>
      </w:r>
      <w:r>
        <w:rPr>
          <w:spacing w:val="-22"/>
        </w:rPr>
        <w:t> </w:t>
      </w:r>
      <w:r>
        <w:rPr>
          <w:spacing w:val="-3"/>
        </w:rPr>
        <w:t>本公司利率风险主要来源于银行借款，</w:t>
      </w:r>
      <w:r>
        <w:rPr>
          <w:w w:val="101"/>
        </w:rPr>
        <w:t> </w:t>
      </w:r>
      <w:r>
        <w:rPr>
          <w:rFonts w:ascii="Times New Roman" w:hAnsi="Times New Roman" w:cs="Times New Roman" w:eastAsia="Times New Roman" w:hint="default"/>
        </w:rPr>
        <w:t>3</w:t>
      </w:r>
      <w:r>
        <w:rPr/>
        <w:t>．其他价格风险</w:t>
      </w:r>
    </w:p>
    <w:p>
      <w:pPr>
        <w:pStyle w:val="BodyText"/>
        <w:spacing w:line="240" w:lineRule="auto" w:before="36"/>
        <w:ind w:left="513" w:right="0"/>
        <w:jc w:val="left"/>
      </w:pPr>
      <w:r>
        <w:rPr>
          <w:spacing w:val="-3"/>
        </w:rPr>
        <w:t>本公司管理层认为与金融资产、金融负债相关的价格风险对本公司无重大影响。</w:t>
      </w:r>
    </w:p>
    <w:p>
      <w:pPr>
        <w:spacing w:line="240" w:lineRule="auto" w:before="8"/>
        <w:rPr>
          <w:rFonts w:ascii="宋体" w:hAnsi="宋体" w:cs="宋体" w:eastAsia="宋体" w:hint="default"/>
          <w:sz w:val="17"/>
          <w:szCs w:val="17"/>
        </w:rPr>
      </w:pPr>
    </w:p>
    <w:p>
      <w:pPr>
        <w:pStyle w:val="BodyText"/>
        <w:spacing w:line="453" w:lineRule="auto"/>
        <w:ind w:left="513" w:right="1029"/>
        <w:jc w:val="left"/>
      </w:pPr>
      <w:r>
        <w:rPr>
          <w:rFonts w:ascii="Times New Roman" w:hAnsi="Times New Roman" w:cs="Times New Roman" w:eastAsia="Times New Roman" w:hint="default"/>
        </w:rPr>
        <w:t>(</w:t>
      </w:r>
      <w:r>
        <w:rPr/>
        <w:t>二</w:t>
      </w:r>
      <w:r>
        <w:rPr>
          <w:rFonts w:ascii="Times New Roman" w:hAnsi="Times New Roman" w:cs="Times New Roman" w:eastAsia="Times New Roman" w:hint="default"/>
        </w:rPr>
        <w:t>)</w:t>
      </w:r>
      <w:r>
        <w:rPr>
          <w:rFonts w:ascii="Times New Roman" w:hAnsi="Times New Roman" w:cs="Times New Roman" w:eastAsia="Times New Roman" w:hint="default"/>
          <w:spacing w:val="28"/>
        </w:rPr>
        <w:t> </w:t>
      </w:r>
      <w:r>
        <w:rPr>
          <w:spacing w:val="-3"/>
        </w:rPr>
        <w:t>信用风险</w:t>
      </w:r>
      <w:r>
        <w:rPr>
          <w:spacing w:val="-79"/>
        </w:rPr>
        <w:t> </w:t>
      </w:r>
      <w:r>
        <w:rPr>
          <w:spacing w:val="-79"/>
        </w:rPr>
      </w:r>
      <w:r>
        <w:rPr>
          <w:spacing w:val="-4"/>
        </w:rPr>
        <w:t>信用风险，是指交易对手方未能履行合同义务而导致本公司产生财务损失的风险。本公司信用风险主要产生于银行存款</w:t>
      </w:r>
    </w:p>
    <w:p>
      <w:pPr>
        <w:spacing w:after="0" w:line="453" w:lineRule="auto"/>
        <w:jc w:val="left"/>
        <w:sectPr>
          <w:headerReference w:type="default" r:id="rId39"/>
          <w:footerReference w:type="default" r:id="rId40"/>
          <w:pgSz w:w="11910" w:h="16840"/>
          <w:pgMar w:header="871" w:footer="1186" w:top="1100" w:bottom="1380" w:left="980" w:right="0"/>
          <w:pgNumType w:start="192"/>
        </w:sectPr>
      </w:pPr>
    </w:p>
    <w:p>
      <w:pPr>
        <w:spacing w:line="240" w:lineRule="auto" w:before="1"/>
        <w:rPr>
          <w:rFonts w:ascii="宋体" w:hAnsi="宋体" w:cs="宋体" w:eastAsia="宋体" w:hint="default"/>
          <w:sz w:val="28"/>
          <w:szCs w:val="28"/>
        </w:rPr>
      </w:pPr>
    </w:p>
    <w:p>
      <w:pPr>
        <w:pStyle w:val="BodyText"/>
        <w:spacing w:line="240" w:lineRule="auto" w:before="46"/>
        <w:ind w:right="0"/>
        <w:jc w:val="left"/>
      </w:pPr>
      <w:r>
        <w:rPr>
          <w:spacing w:val="-3"/>
        </w:rPr>
        <w:t>和应收款项等。</w:t>
      </w:r>
    </w:p>
    <w:p>
      <w:pPr>
        <w:spacing w:line="240" w:lineRule="auto" w:before="8"/>
        <w:rPr>
          <w:rFonts w:ascii="宋体" w:hAnsi="宋体" w:cs="宋体" w:eastAsia="宋体" w:hint="default"/>
          <w:sz w:val="17"/>
          <w:szCs w:val="17"/>
        </w:rPr>
      </w:pPr>
    </w:p>
    <w:p>
      <w:pPr>
        <w:pStyle w:val="BodyText"/>
        <w:spacing w:line="460" w:lineRule="auto"/>
        <w:ind w:left="513" w:right="1170"/>
        <w:jc w:val="left"/>
      </w:pPr>
      <w:r>
        <w:rPr>
          <w:rFonts w:ascii="Times New Roman" w:hAnsi="Times New Roman" w:cs="Times New Roman" w:eastAsia="Times New Roman" w:hint="default"/>
        </w:rPr>
        <w:t>1</w:t>
      </w:r>
      <w:r>
        <w:rPr/>
        <w:t>、银行存款</w:t>
      </w:r>
      <w:r>
        <w:rPr>
          <w:spacing w:val="-87"/>
        </w:rPr>
        <w:t> </w:t>
      </w:r>
      <w:r>
        <w:rPr>
          <w:spacing w:val="-87"/>
        </w:rPr>
      </w:r>
      <w:r>
        <w:rPr>
          <w:spacing w:val="-3"/>
        </w:rPr>
        <w:t>本公司银行存款主要存放于国有银行和其它大中型上市银行，本公司预期银行存款不存在重大的信用风险。</w:t>
      </w:r>
      <w:r>
        <w:rPr>
          <w:spacing w:val="48"/>
        </w:rPr>
        <w:t> </w:t>
      </w:r>
      <w:r>
        <w:rPr>
          <w:spacing w:val="48"/>
        </w:rPr>
      </w:r>
      <w:r>
        <w:rPr>
          <w:rFonts w:ascii="Times New Roman" w:hAnsi="Times New Roman" w:cs="Times New Roman" w:eastAsia="Times New Roman" w:hint="default"/>
        </w:rPr>
        <w:t>2</w:t>
      </w:r>
      <w:r>
        <w:rPr/>
        <w:t>、应收款项</w:t>
      </w:r>
      <w:r>
        <w:rPr>
          <w:spacing w:val="-87"/>
        </w:rPr>
        <w:t> </w:t>
      </w:r>
      <w:r>
        <w:rPr>
          <w:spacing w:val="-87"/>
        </w:rPr>
      </w:r>
      <w:r>
        <w:rPr>
          <w:spacing w:val="-4"/>
        </w:rPr>
        <w:t>对于应收款项，本公司按照客户管理信用风险集中度，设定相关政策以控制信用风险敞口。本公司持续对采用信用方式</w:t>
      </w:r>
    </w:p>
    <w:p>
      <w:pPr>
        <w:pStyle w:val="BodyText"/>
        <w:spacing w:line="480" w:lineRule="auto" w:before="64"/>
        <w:ind w:right="0"/>
        <w:jc w:val="left"/>
      </w:pPr>
      <w:r>
        <w:rPr>
          <w:spacing w:val="-4"/>
        </w:rPr>
        <w:t>交易的客户进行信用评估。根据信用评估结果，本公司选择与经认可的且信用良好的客户进行交易，并对其应收款项余额进</w:t>
      </w:r>
      <w:r>
        <w:rPr>
          <w:spacing w:val="43"/>
        </w:rPr>
        <w:t> </w:t>
      </w:r>
      <w:r>
        <w:rPr>
          <w:spacing w:val="43"/>
        </w:rPr>
      </w:r>
      <w:r>
        <w:rPr>
          <w:spacing w:val="-3"/>
        </w:rPr>
        <w:t>行监控，以确保本公司不会面临重大坏账风险。本公司无重大信用集中风险。</w:t>
      </w:r>
    </w:p>
    <w:p>
      <w:pPr>
        <w:pStyle w:val="BodyText"/>
        <w:spacing w:line="453" w:lineRule="auto" w:before="50"/>
        <w:ind w:left="513" w:right="2115"/>
        <w:jc w:val="left"/>
      </w:pPr>
      <w:r>
        <w:rPr>
          <w:rFonts w:ascii="Times New Roman" w:hAnsi="Times New Roman" w:cs="Times New Roman" w:eastAsia="Times New Roman" w:hint="default"/>
        </w:rPr>
        <w:t>(</w:t>
      </w:r>
      <w:r>
        <w:rPr/>
        <w:t>三</w:t>
      </w:r>
      <w:r>
        <w:rPr>
          <w:rFonts w:ascii="Times New Roman" w:hAnsi="Times New Roman" w:cs="Times New Roman" w:eastAsia="Times New Roman" w:hint="default"/>
        </w:rPr>
        <w:t>)</w:t>
      </w:r>
      <w:r>
        <w:rPr>
          <w:rFonts w:ascii="Times New Roman" w:hAnsi="Times New Roman" w:cs="Times New Roman" w:eastAsia="Times New Roman" w:hint="default"/>
          <w:spacing w:val="28"/>
        </w:rPr>
        <w:t> </w:t>
      </w:r>
      <w:r>
        <w:rPr>
          <w:spacing w:val="-3"/>
        </w:rPr>
        <w:t>流动风险</w:t>
      </w:r>
      <w:r>
        <w:rPr>
          <w:spacing w:val="-79"/>
        </w:rPr>
        <w:t> </w:t>
      </w:r>
      <w:r>
        <w:rPr>
          <w:spacing w:val="-79"/>
        </w:rPr>
      </w:r>
      <w:r>
        <w:rPr>
          <w:spacing w:val="-3"/>
        </w:rPr>
        <w:t>流动风险，是指企业在履行以交付现金或其他金融资产的方式结算的义务时发生资金短缺的风险。</w:t>
      </w:r>
    </w:p>
    <w:p>
      <w:pPr>
        <w:pStyle w:val="BodyText"/>
        <w:spacing w:line="480" w:lineRule="auto" w:before="70"/>
        <w:ind w:right="0" w:firstLine="360"/>
        <w:jc w:val="left"/>
      </w:pPr>
      <w:r>
        <w:rPr>
          <w:spacing w:val="-5"/>
        </w:rPr>
        <w:t>为控制该项风险，本公司运用银行借款等融资手段，并采取长、短期融资方式适当结合，优化融资结构的方法，保持融</w:t>
      </w:r>
      <w:r>
        <w:rPr>
          <w:w w:val="101"/>
        </w:rPr>
        <w:t> </w:t>
      </w:r>
      <w:r>
        <w:rPr>
          <w:spacing w:val="-3"/>
        </w:rPr>
        <w:t>资持续性与灵活性之间的平衡。本公司已从多家商业银行取得银行授信额度以满足营运资金需求和资本开支。</w:t>
      </w:r>
    </w:p>
    <w:p>
      <w:pPr>
        <w:pStyle w:val="BodyText"/>
        <w:spacing w:line="240" w:lineRule="auto" w:before="50"/>
        <w:ind w:left="513" w:right="0"/>
        <w:jc w:val="left"/>
      </w:pPr>
      <w:r>
        <w:rPr>
          <w:spacing w:val="-3"/>
        </w:rPr>
        <w:t>金融负债按未折现剩余合同现金流量的到期期限分析如下：</w:t>
      </w:r>
    </w:p>
    <w:p>
      <w:pPr>
        <w:spacing w:line="240" w:lineRule="auto" w:before="12"/>
        <w:rPr>
          <w:rFonts w:ascii="宋体" w:hAnsi="宋体" w:cs="宋体" w:eastAsia="宋体" w:hint="default"/>
          <w:sz w:val="10"/>
          <w:szCs w:val="10"/>
        </w:rPr>
      </w:pPr>
    </w:p>
    <w:tbl>
      <w:tblPr>
        <w:tblW w:w="0" w:type="auto"/>
        <w:jc w:val="left"/>
        <w:tblInd w:w="138" w:type="dxa"/>
        <w:tblLayout w:type="fixed"/>
        <w:tblCellMar>
          <w:top w:w="0" w:type="dxa"/>
          <w:left w:w="0" w:type="dxa"/>
          <w:bottom w:w="0" w:type="dxa"/>
          <w:right w:w="0" w:type="dxa"/>
        </w:tblCellMar>
        <w:tblLook w:val="01E0"/>
      </w:tblPr>
      <w:tblGrid>
        <w:gridCol w:w="2396"/>
        <w:gridCol w:w="1613"/>
        <w:gridCol w:w="1402"/>
        <w:gridCol w:w="1397"/>
        <w:gridCol w:w="1239"/>
        <w:gridCol w:w="1614"/>
      </w:tblGrid>
      <w:tr>
        <w:trPr>
          <w:trHeight w:val="341" w:hRule="exact"/>
        </w:trPr>
        <w:tc>
          <w:tcPr>
            <w:tcW w:w="2396"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6"/>
                <w:szCs w:val="16"/>
              </w:rPr>
            </w:pPr>
            <w:r>
              <w:rPr>
                <w:rFonts w:ascii="宋体" w:hAnsi="宋体" w:cs="宋体" w:eastAsia="宋体" w:hint="default"/>
                <w:sz w:val="16"/>
                <w:szCs w:val="16"/>
              </w:rPr>
              <w:t>项</w:t>
            </w:r>
            <w:r>
              <w:rPr>
                <w:rFonts w:ascii="宋体" w:hAnsi="宋体" w:cs="宋体" w:eastAsia="宋体" w:hint="default"/>
                <w:spacing w:val="40"/>
                <w:sz w:val="16"/>
                <w:szCs w:val="16"/>
              </w:rPr>
              <w:t> </w:t>
            </w:r>
            <w:r>
              <w:rPr>
                <w:rFonts w:ascii="宋体" w:hAnsi="宋体" w:cs="宋体" w:eastAsia="宋体" w:hint="default"/>
                <w:sz w:val="16"/>
                <w:szCs w:val="16"/>
              </w:rPr>
              <w:t>目</w:t>
            </w:r>
          </w:p>
        </w:tc>
        <w:tc>
          <w:tcPr>
            <w:tcW w:w="7265" w:type="dxa"/>
            <w:gridSpan w:val="5"/>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34"/>
              <w:ind w:right="8"/>
              <w:jc w:val="center"/>
              <w:rPr>
                <w:rFonts w:ascii="宋体" w:hAnsi="宋体" w:cs="宋体" w:eastAsia="宋体" w:hint="default"/>
                <w:sz w:val="16"/>
                <w:szCs w:val="16"/>
              </w:rPr>
            </w:pPr>
            <w:r>
              <w:rPr>
                <w:rFonts w:ascii="宋体" w:hAnsi="宋体" w:cs="宋体" w:eastAsia="宋体" w:hint="default"/>
                <w:sz w:val="16"/>
                <w:szCs w:val="16"/>
              </w:rPr>
              <w:t>期末数</w:t>
            </w:r>
          </w:p>
        </w:tc>
      </w:tr>
      <w:tr>
        <w:trPr>
          <w:trHeight w:val="341" w:hRule="exact"/>
        </w:trPr>
        <w:tc>
          <w:tcPr>
            <w:tcW w:w="2396" w:type="dxa"/>
            <w:vMerge/>
            <w:tcBorders>
              <w:left w:val="single" w:sz="4" w:space="0" w:color="000000"/>
              <w:bottom w:val="single" w:sz="4" w:space="0" w:color="000000"/>
              <w:right w:val="single" w:sz="4" w:space="0" w:color="000000"/>
            </w:tcBorders>
            <w:shd w:val="clear" w:color="auto" w:fill="D9D9D9"/>
          </w:tcPr>
          <w:p>
            <w:pPr/>
          </w:p>
        </w:tc>
        <w:tc>
          <w:tcPr>
            <w:tcW w:w="161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34"/>
              <w:ind w:left="479" w:right="0"/>
              <w:jc w:val="left"/>
              <w:rPr>
                <w:rFonts w:ascii="宋体" w:hAnsi="宋体" w:cs="宋体" w:eastAsia="宋体" w:hint="default"/>
                <w:sz w:val="16"/>
                <w:szCs w:val="16"/>
              </w:rPr>
            </w:pPr>
            <w:r>
              <w:rPr>
                <w:rFonts w:ascii="宋体" w:hAnsi="宋体" w:cs="宋体" w:eastAsia="宋体" w:hint="default"/>
                <w:sz w:val="16"/>
                <w:szCs w:val="16"/>
              </w:rPr>
              <w:t>一年以内</w:t>
            </w:r>
          </w:p>
        </w:tc>
        <w:tc>
          <w:tcPr>
            <w:tcW w:w="140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34"/>
              <w:ind w:left="374" w:right="0"/>
              <w:jc w:val="left"/>
              <w:rPr>
                <w:rFonts w:ascii="宋体" w:hAnsi="宋体" w:cs="宋体" w:eastAsia="宋体" w:hint="default"/>
                <w:sz w:val="16"/>
                <w:szCs w:val="16"/>
              </w:rPr>
            </w:pPr>
            <w:r>
              <w:rPr>
                <w:rFonts w:ascii="宋体" w:hAnsi="宋体" w:cs="宋体" w:eastAsia="宋体" w:hint="default"/>
                <w:sz w:val="16"/>
                <w:szCs w:val="16"/>
              </w:rPr>
              <w:t>一至两年</w:t>
            </w:r>
          </w:p>
        </w:tc>
        <w:tc>
          <w:tcPr>
            <w:tcW w:w="139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34"/>
              <w:ind w:left="374" w:right="0"/>
              <w:jc w:val="left"/>
              <w:rPr>
                <w:rFonts w:ascii="宋体" w:hAnsi="宋体" w:cs="宋体" w:eastAsia="宋体" w:hint="default"/>
                <w:sz w:val="16"/>
                <w:szCs w:val="16"/>
              </w:rPr>
            </w:pPr>
            <w:r>
              <w:rPr>
                <w:rFonts w:ascii="宋体" w:hAnsi="宋体" w:cs="宋体" w:eastAsia="宋体" w:hint="default"/>
                <w:sz w:val="16"/>
                <w:szCs w:val="16"/>
              </w:rPr>
              <w:t>两至三年</w:t>
            </w:r>
          </w:p>
        </w:tc>
        <w:tc>
          <w:tcPr>
            <w:tcW w:w="123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34"/>
              <w:ind w:left="298" w:right="0"/>
              <w:jc w:val="left"/>
              <w:rPr>
                <w:rFonts w:ascii="宋体" w:hAnsi="宋体" w:cs="宋体" w:eastAsia="宋体" w:hint="default"/>
                <w:sz w:val="16"/>
                <w:szCs w:val="16"/>
              </w:rPr>
            </w:pPr>
            <w:r>
              <w:rPr>
                <w:rFonts w:ascii="宋体" w:hAnsi="宋体" w:cs="宋体" w:eastAsia="宋体" w:hint="default"/>
                <w:sz w:val="16"/>
                <w:szCs w:val="16"/>
              </w:rPr>
              <w:t>三年以上</w:t>
            </w:r>
          </w:p>
        </w:tc>
        <w:tc>
          <w:tcPr>
            <w:tcW w:w="161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34"/>
              <w:ind w:right="0"/>
              <w:jc w:val="center"/>
              <w:rPr>
                <w:rFonts w:ascii="宋体" w:hAnsi="宋体" w:cs="宋体" w:eastAsia="宋体" w:hint="default"/>
                <w:sz w:val="16"/>
                <w:szCs w:val="16"/>
              </w:rPr>
            </w:pPr>
            <w:r>
              <w:rPr>
                <w:rFonts w:ascii="宋体" w:hAnsi="宋体" w:cs="宋体" w:eastAsia="宋体" w:hint="default"/>
                <w:sz w:val="16"/>
                <w:szCs w:val="16"/>
              </w:rPr>
              <w:t>合</w:t>
            </w:r>
            <w:r>
              <w:rPr>
                <w:rFonts w:ascii="宋体" w:hAnsi="宋体" w:cs="宋体" w:eastAsia="宋体" w:hint="default"/>
                <w:spacing w:val="40"/>
                <w:sz w:val="16"/>
                <w:szCs w:val="16"/>
              </w:rPr>
              <w:t> </w:t>
            </w:r>
            <w:r>
              <w:rPr>
                <w:rFonts w:ascii="宋体" w:hAnsi="宋体" w:cs="宋体" w:eastAsia="宋体" w:hint="default"/>
                <w:sz w:val="16"/>
                <w:szCs w:val="16"/>
              </w:rPr>
              <w:t>计</w:t>
            </w:r>
          </w:p>
        </w:tc>
      </w:tr>
      <w:tr>
        <w:trPr>
          <w:trHeight w:val="346" w:hRule="exact"/>
        </w:trPr>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4" w:right="0"/>
              <w:jc w:val="left"/>
              <w:rPr>
                <w:rFonts w:ascii="宋体" w:hAnsi="宋体" w:cs="宋体" w:eastAsia="宋体" w:hint="default"/>
                <w:sz w:val="16"/>
                <w:szCs w:val="16"/>
              </w:rPr>
            </w:pPr>
            <w:r>
              <w:rPr>
                <w:rFonts w:ascii="宋体" w:hAnsi="宋体" w:cs="宋体" w:eastAsia="宋体" w:hint="default"/>
                <w:sz w:val="16"/>
                <w:szCs w:val="16"/>
              </w:rPr>
              <w:t>金融负债：</w:t>
            </w:r>
          </w:p>
        </w:tc>
        <w:tc>
          <w:tcPr>
            <w:tcW w:w="1613" w:type="dxa"/>
            <w:tcBorders>
              <w:top w:val="single" w:sz="4" w:space="0" w:color="000000"/>
              <w:left w:val="single" w:sz="4" w:space="0" w:color="000000"/>
              <w:bottom w:val="single" w:sz="4" w:space="0" w:color="000000"/>
              <w:right w:val="single" w:sz="4" w:space="0" w:color="000000"/>
            </w:tcBorders>
          </w:tcPr>
          <w:p>
            <w:pPr/>
          </w:p>
        </w:tc>
        <w:tc>
          <w:tcPr>
            <w:tcW w:w="1402"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
        </w:tc>
        <w:tc>
          <w:tcPr>
            <w:tcW w:w="1239" w:type="dxa"/>
            <w:tcBorders>
              <w:top w:val="single" w:sz="4" w:space="0" w:color="000000"/>
              <w:left w:val="single" w:sz="4" w:space="0" w:color="000000"/>
              <w:bottom w:val="single" w:sz="4" w:space="0" w:color="000000"/>
              <w:right w:val="single" w:sz="4" w:space="0" w:color="000000"/>
            </w:tcBorders>
          </w:tcPr>
          <w:p>
            <w:pPr/>
          </w:p>
        </w:tc>
        <w:tc>
          <w:tcPr>
            <w:tcW w:w="1614"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4" w:right="0"/>
              <w:jc w:val="left"/>
              <w:rPr>
                <w:rFonts w:ascii="宋体" w:hAnsi="宋体" w:cs="宋体" w:eastAsia="宋体" w:hint="default"/>
                <w:sz w:val="16"/>
                <w:szCs w:val="16"/>
              </w:rPr>
            </w:pPr>
            <w:r>
              <w:rPr>
                <w:rFonts w:ascii="宋体" w:hAnsi="宋体" w:cs="宋体" w:eastAsia="宋体" w:hint="default"/>
                <w:sz w:val="16"/>
                <w:szCs w:val="16"/>
              </w:rPr>
              <w:t>短期借款</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2"/>
              <w:jc w:val="right"/>
              <w:rPr>
                <w:rFonts w:ascii="Times New Roman" w:hAnsi="Times New Roman" w:cs="Times New Roman" w:eastAsia="Times New Roman" w:hint="default"/>
                <w:sz w:val="16"/>
                <w:szCs w:val="16"/>
              </w:rPr>
            </w:pPr>
            <w:r>
              <w:rPr>
                <w:rFonts w:ascii="Times New Roman"/>
                <w:w w:val="95"/>
                <w:sz w:val="16"/>
              </w:rPr>
              <w:t>330,000,000.00</w:t>
            </w:r>
            <w:r>
              <w:rPr>
                <w:rFonts w:ascii="Times New Roman"/>
                <w:sz w:val="16"/>
              </w:rPr>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2"/>
              <w:jc w:val="right"/>
              <w:rPr>
                <w:rFonts w:ascii="Times New Roman" w:hAnsi="Times New Roman" w:cs="Times New Roman" w:eastAsia="Times New Roman" w:hint="default"/>
                <w:sz w:val="16"/>
                <w:szCs w:val="16"/>
              </w:rPr>
            </w:pPr>
            <w:r>
              <w:rPr>
                <w:rFonts w:ascii="Times New Roman"/>
                <w:w w:val="98"/>
                <w:sz w:val="16"/>
              </w:rPr>
              <w:t>-</w:t>
            </w:r>
            <w:r>
              <w:rPr>
                <w:rFonts w:ascii="Times New Roman"/>
                <w:sz w:val="16"/>
              </w:rPr>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0"/>
              <w:jc w:val="right"/>
              <w:rPr>
                <w:rFonts w:ascii="Times New Roman" w:hAnsi="Times New Roman" w:cs="Times New Roman" w:eastAsia="Times New Roman" w:hint="default"/>
                <w:sz w:val="16"/>
                <w:szCs w:val="16"/>
              </w:rPr>
            </w:pPr>
            <w:r>
              <w:rPr>
                <w:rFonts w:ascii="Times New Roman"/>
                <w:w w:val="98"/>
                <w:sz w:val="16"/>
              </w:rPr>
              <w:t>-</w:t>
            </w:r>
            <w:r>
              <w:rPr>
                <w:rFonts w:ascii="Times New Roman"/>
                <w:sz w:val="16"/>
              </w:rPr>
            </w:r>
          </w:p>
        </w:tc>
        <w:tc>
          <w:tcPr>
            <w:tcW w:w="1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0"/>
              <w:jc w:val="right"/>
              <w:rPr>
                <w:rFonts w:ascii="Times New Roman" w:hAnsi="Times New Roman" w:cs="Times New Roman" w:eastAsia="Times New Roman" w:hint="default"/>
                <w:sz w:val="16"/>
                <w:szCs w:val="16"/>
              </w:rPr>
            </w:pPr>
            <w:r>
              <w:rPr>
                <w:rFonts w:ascii="Times New Roman"/>
                <w:w w:val="98"/>
                <w:sz w:val="16"/>
              </w:rPr>
              <w:t>-</w:t>
            </w:r>
            <w:r>
              <w:rPr>
                <w:rFonts w:ascii="Times New Roman"/>
                <w:sz w:val="16"/>
              </w:rPr>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2"/>
              <w:jc w:val="right"/>
              <w:rPr>
                <w:rFonts w:ascii="Times New Roman" w:hAnsi="Times New Roman" w:cs="Times New Roman" w:eastAsia="Times New Roman" w:hint="default"/>
                <w:sz w:val="16"/>
                <w:szCs w:val="16"/>
              </w:rPr>
            </w:pPr>
            <w:r>
              <w:rPr>
                <w:rFonts w:ascii="Times New Roman"/>
                <w:w w:val="95"/>
                <w:sz w:val="16"/>
              </w:rPr>
              <w:t>330,000,000.00</w:t>
            </w:r>
            <w:r>
              <w:rPr>
                <w:rFonts w:ascii="Times New Roman"/>
                <w:sz w:val="16"/>
              </w:rPr>
            </w:r>
          </w:p>
        </w:tc>
      </w:tr>
      <w:tr>
        <w:trPr>
          <w:trHeight w:val="341" w:hRule="exact"/>
        </w:trPr>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4" w:right="0"/>
              <w:jc w:val="left"/>
              <w:rPr>
                <w:rFonts w:ascii="宋体" w:hAnsi="宋体" w:cs="宋体" w:eastAsia="宋体" w:hint="default"/>
                <w:sz w:val="16"/>
                <w:szCs w:val="16"/>
              </w:rPr>
            </w:pPr>
            <w:r>
              <w:rPr>
                <w:rFonts w:ascii="宋体" w:hAnsi="宋体" w:cs="宋体" w:eastAsia="宋体" w:hint="default"/>
                <w:sz w:val="16"/>
                <w:szCs w:val="16"/>
              </w:rPr>
              <w:t>应付票据及应付账款</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2"/>
              <w:jc w:val="right"/>
              <w:rPr>
                <w:rFonts w:ascii="Times New Roman" w:hAnsi="Times New Roman" w:cs="Times New Roman" w:eastAsia="Times New Roman" w:hint="default"/>
                <w:sz w:val="16"/>
                <w:szCs w:val="16"/>
              </w:rPr>
            </w:pPr>
            <w:r>
              <w:rPr>
                <w:rFonts w:ascii="Times New Roman"/>
                <w:w w:val="95"/>
                <w:sz w:val="16"/>
              </w:rPr>
              <w:t>83,657,083.79</w:t>
            </w:r>
            <w:r>
              <w:rPr>
                <w:rFonts w:ascii="Times New Roman"/>
                <w:sz w:val="16"/>
              </w:rPr>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2"/>
              <w:jc w:val="right"/>
              <w:rPr>
                <w:rFonts w:ascii="Times New Roman" w:hAnsi="Times New Roman" w:cs="Times New Roman" w:eastAsia="Times New Roman" w:hint="default"/>
                <w:sz w:val="16"/>
                <w:szCs w:val="16"/>
              </w:rPr>
            </w:pPr>
            <w:r>
              <w:rPr>
                <w:rFonts w:ascii="Times New Roman"/>
                <w:w w:val="98"/>
                <w:sz w:val="16"/>
              </w:rPr>
              <w:t>-</w:t>
            </w:r>
            <w:r>
              <w:rPr>
                <w:rFonts w:ascii="Times New Roman"/>
                <w:sz w:val="16"/>
              </w:rPr>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0"/>
              <w:jc w:val="right"/>
              <w:rPr>
                <w:rFonts w:ascii="Times New Roman" w:hAnsi="Times New Roman" w:cs="Times New Roman" w:eastAsia="Times New Roman" w:hint="default"/>
                <w:sz w:val="16"/>
                <w:szCs w:val="16"/>
              </w:rPr>
            </w:pPr>
            <w:r>
              <w:rPr>
                <w:rFonts w:ascii="Times New Roman"/>
                <w:w w:val="98"/>
                <w:sz w:val="16"/>
              </w:rPr>
              <w:t>-</w:t>
            </w:r>
            <w:r>
              <w:rPr>
                <w:rFonts w:ascii="Times New Roman"/>
                <w:sz w:val="16"/>
              </w:rPr>
            </w:r>
          </w:p>
        </w:tc>
        <w:tc>
          <w:tcPr>
            <w:tcW w:w="1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0"/>
              <w:jc w:val="right"/>
              <w:rPr>
                <w:rFonts w:ascii="Times New Roman" w:hAnsi="Times New Roman" w:cs="Times New Roman" w:eastAsia="Times New Roman" w:hint="default"/>
                <w:sz w:val="16"/>
                <w:szCs w:val="16"/>
              </w:rPr>
            </w:pPr>
            <w:r>
              <w:rPr>
                <w:rFonts w:ascii="Times New Roman"/>
                <w:w w:val="98"/>
                <w:sz w:val="16"/>
              </w:rPr>
              <w:t>-</w:t>
            </w:r>
            <w:r>
              <w:rPr>
                <w:rFonts w:ascii="Times New Roman"/>
                <w:sz w:val="16"/>
              </w:rPr>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2"/>
              <w:jc w:val="right"/>
              <w:rPr>
                <w:rFonts w:ascii="Times New Roman" w:hAnsi="Times New Roman" w:cs="Times New Roman" w:eastAsia="Times New Roman" w:hint="default"/>
                <w:sz w:val="16"/>
                <w:szCs w:val="16"/>
              </w:rPr>
            </w:pPr>
            <w:r>
              <w:rPr>
                <w:rFonts w:ascii="Times New Roman"/>
                <w:w w:val="95"/>
                <w:sz w:val="16"/>
              </w:rPr>
              <w:t>83,657,083.79</w:t>
            </w:r>
            <w:r>
              <w:rPr>
                <w:rFonts w:ascii="Times New Roman"/>
                <w:sz w:val="16"/>
              </w:rPr>
            </w:r>
          </w:p>
        </w:tc>
      </w:tr>
      <w:tr>
        <w:trPr>
          <w:trHeight w:val="341" w:hRule="exact"/>
        </w:trPr>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4" w:right="0"/>
              <w:jc w:val="left"/>
              <w:rPr>
                <w:rFonts w:ascii="宋体" w:hAnsi="宋体" w:cs="宋体" w:eastAsia="宋体" w:hint="default"/>
                <w:sz w:val="16"/>
                <w:szCs w:val="16"/>
              </w:rPr>
            </w:pPr>
            <w:r>
              <w:rPr>
                <w:rFonts w:ascii="宋体" w:hAnsi="宋体" w:cs="宋体" w:eastAsia="宋体" w:hint="default"/>
                <w:sz w:val="16"/>
                <w:szCs w:val="16"/>
              </w:rPr>
              <w:t>其他应付款</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2"/>
              <w:jc w:val="right"/>
              <w:rPr>
                <w:rFonts w:ascii="Times New Roman" w:hAnsi="Times New Roman" w:cs="Times New Roman" w:eastAsia="Times New Roman" w:hint="default"/>
                <w:sz w:val="16"/>
                <w:szCs w:val="16"/>
              </w:rPr>
            </w:pPr>
            <w:r>
              <w:rPr>
                <w:rFonts w:ascii="Times New Roman"/>
                <w:w w:val="95"/>
                <w:sz w:val="16"/>
              </w:rPr>
              <w:t>4,023,030.58</w:t>
            </w:r>
            <w:r>
              <w:rPr>
                <w:rFonts w:ascii="Times New Roman"/>
                <w:sz w:val="16"/>
              </w:rPr>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2"/>
              <w:jc w:val="right"/>
              <w:rPr>
                <w:rFonts w:ascii="Times New Roman" w:hAnsi="Times New Roman" w:cs="Times New Roman" w:eastAsia="Times New Roman" w:hint="default"/>
                <w:sz w:val="16"/>
                <w:szCs w:val="16"/>
              </w:rPr>
            </w:pPr>
            <w:r>
              <w:rPr>
                <w:rFonts w:ascii="Times New Roman"/>
                <w:w w:val="98"/>
                <w:sz w:val="16"/>
              </w:rPr>
              <w:t>-</w:t>
            </w:r>
            <w:r>
              <w:rPr>
                <w:rFonts w:ascii="Times New Roman"/>
                <w:sz w:val="16"/>
              </w:rPr>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0"/>
              <w:jc w:val="right"/>
              <w:rPr>
                <w:rFonts w:ascii="Times New Roman" w:hAnsi="Times New Roman" w:cs="Times New Roman" w:eastAsia="Times New Roman" w:hint="default"/>
                <w:sz w:val="16"/>
                <w:szCs w:val="16"/>
              </w:rPr>
            </w:pPr>
            <w:r>
              <w:rPr>
                <w:rFonts w:ascii="Times New Roman"/>
                <w:w w:val="98"/>
                <w:sz w:val="16"/>
              </w:rPr>
              <w:t>-</w:t>
            </w:r>
            <w:r>
              <w:rPr>
                <w:rFonts w:ascii="Times New Roman"/>
                <w:sz w:val="16"/>
              </w:rPr>
            </w:r>
          </w:p>
        </w:tc>
        <w:tc>
          <w:tcPr>
            <w:tcW w:w="1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0"/>
              <w:jc w:val="right"/>
              <w:rPr>
                <w:rFonts w:ascii="Times New Roman" w:hAnsi="Times New Roman" w:cs="Times New Roman" w:eastAsia="Times New Roman" w:hint="default"/>
                <w:sz w:val="16"/>
                <w:szCs w:val="16"/>
              </w:rPr>
            </w:pPr>
            <w:r>
              <w:rPr>
                <w:rFonts w:ascii="Times New Roman"/>
                <w:w w:val="98"/>
                <w:sz w:val="16"/>
              </w:rPr>
              <w:t>-</w:t>
            </w:r>
            <w:r>
              <w:rPr>
                <w:rFonts w:ascii="Times New Roman"/>
                <w:sz w:val="16"/>
              </w:rPr>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2"/>
              <w:jc w:val="right"/>
              <w:rPr>
                <w:rFonts w:ascii="Times New Roman" w:hAnsi="Times New Roman" w:cs="Times New Roman" w:eastAsia="Times New Roman" w:hint="default"/>
                <w:sz w:val="16"/>
                <w:szCs w:val="16"/>
              </w:rPr>
            </w:pPr>
            <w:r>
              <w:rPr>
                <w:rFonts w:ascii="Times New Roman"/>
                <w:w w:val="95"/>
                <w:sz w:val="16"/>
              </w:rPr>
              <w:t>4,023,030.58</w:t>
            </w:r>
            <w:r>
              <w:rPr>
                <w:rFonts w:ascii="Times New Roman"/>
                <w:sz w:val="16"/>
              </w:rPr>
            </w:r>
          </w:p>
        </w:tc>
      </w:tr>
      <w:tr>
        <w:trPr>
          <w:trHeight w:val="346" w:hRule="exact"/>
        </w:trPr>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4" w:right="0"/>
              <w:jc w:val="left"/>
              <w:rPr>
                <w:rFonts w:ascii="宋体" w:hAnsi="宋体" w:cs="宋体" w:eastAsia="宋体" w:hint="default"/>
                <w:sz w:val="16"/>
                <w:szCs w:val="16"/>
              </w:rPr>
            </w:pPr>
            <w:r>
              <w:rPr>
                <w:rFonts w:ascii="宋体" w:hAnsi="宋体" w:cs="宋体" w:eastAsia="宋体" w:hint="default"/>
                <w:sz w:val="16"/>
                <w:szCs w:val="16"/>
              </w:rPr>
              <w:t>一年内到期的长期借款</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2"/>
              <w:jc w:val="right"/>
              <w:rPr>
                <w:rFonts w:ascii="Times New Roman" w:hAnsi="Times New Roman" w:cs="Times New Roman" w:eastAsia="Times New Roman" w:hint="default"/>
                <w:sz w:val="16"/>
                <w:szCs w:val="16"/>
              </w:rPr>
            </w:pPr>
            <w:r>
              <w:rPr>
                <w:rFonts w:ascii="Times New Roman"/>
                <w:w w:val="95"/>
                <w:sz w:val="16"/>
              </w:rPr>
              <w:t>110,000,000.00</w:t>
            </w:r>
            <w:r>
              <w:rPr>
                <w:rFonts w:ascii="Times New Roman"/>
                <w:sz w:val="16"/>
              </w:rPr>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2"/>
              <w:jc w:val="right"/>
              <w:rPr>
                <w:rFonts w:ascii="Times New Roman" w:hAnsi="Times New Roman" w:cs="Times New Roman" w:eastAsia="Times New Roman" w:hint="default"/>
                <w:sz w:val="16"/>
                <w:szCs w:val="16"/>
              </w:rPr>
            </w:pPr>
            <w:r>
              <w:rPr>
                <w:rFonts w:ascii="Times New Roman"/>
                <w:w w:val="98"/>
                <w:sz w:val="16"/>
              </w:rPr>
              <w:t>-</w:t>
            </w:r>
            <w:r>
              <w:rPr>
                <w:rFonts w:ascii="Times New Roman"/>
                <w:sz w:val="16"/>
              </w:rPr>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0"/>
              <w:jc w:val="right"/>
              <w:rPr>
                <w:rFonts w:ascii="Times New Roman" w:hAnsi="Times New Roman" w:cs="Times New Roman" w:eastAsia="Times New Roman" w:hint="default"/>
                <w:sz w:val="16"/>
                <w:szCs w:val="16"/>
              </w:rPr>
            </w:pPr>
            <w:r>
              <w:rPr>
                <w:rFonts w:ascii="Times New Roman"/>
                <w:w w:val="98"/>
                <w:sz w:val="16"/>
              </w:rPr>
              <w:t>-</w:t>
            </w:r>
            <w:r>
              <w:rPr>
                <w:rFonts w:ascii="Times New Roman"/>
                <w:sz w:val="16"/>
              </w:rPr>
            </w:r>
          </w:p>
        </w:tc>
        <w:tc>
          <w:tcPr>
            <w:tcW w:w="1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0"/>
              <w:jc w:val="right"/>
              <w:rPr>
                <w:rFonts w:ascii="Times New Roman" w:hAnsi="Times New Roman" w:cs="Times New Roman" w:eastAsia="Times New Roman" w:hint="default"/>
                <w:sz w:val="16"/>
                <w:szCs w:val="16"/>
              </w:rPr>
            </w:pPr>
            <w:r>
              <w:rPr>
                <w:rFonts w:ascii="Times New Roman"/>
                <w:w w:val="98"/>
                <w:sz w:val="16"/>
              </w:rPr>
              <w:t>-</w:t>
            </w:r>
            <w:r>
              <w:rPr>
                <w:rFonts w:ascii="Times New Roman"/>
                <w:sz w:val="16"/>
              </w:rPr>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2"/>
              <w:jc w:val="right"/>
              <w:rPr>
                <w:rFonts w:ascii="Times New Roman" w:hAnsi="Times New Roman" w:cs="Times New Roman" w:eastAsia="Times New Roman" w:hint="default"/>
                <w:sz w:val="16"/>
                <w:szCs w:val="16"/>
              </w:rPr>
            </w:pPr>
            <w:r>
              <w:rPr>
                <w:rFonts w:ascii="Times New Roman"/>
                <w:w w:val="95"/>
                <w:sz w:val="16"/>
              </w:rPr>
              <w:t>110,000,000.00</w:t>
            </w:r>
            <w:r>
              <w:rPr>
                <w:rFonts w:ascii="Times New Roman"/>
                <w:sz w:val="16"/>
              </w:rPr>
            </w:r>
          </w:p>
        </w:tc>
      </w:tr>
      <w:tr>
        <w:trPr>
          <w:trHeight w:val="341" w:hRule="exact"/>
        </w:trPr>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4" w:right="0"/>
              <w:jc w:val="left"/>
              <w:rPr>
                <w:rFonts w:ascii="宋体" w:hAnsi="宋体" w:cs="宋体" w:eastAsia="宋体" w:hint="default"/>
                <w:sz w:val="16"/>
                <w:szCs w:val="16"/>
              </w:rPr>
            </w:pPr>
            <w:r>
              <w:rPr>
                <w:rFonts w:ascii="宋体" w:hAnsi="宋体" w:cs="宋体" w:eastAsia="宋体" w:hint="default"/>
                <w:sz w:val="16"/>
                <w:szCs w:val="16"/>
              </w:rPr>
              <w:t>合计</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2"/>
              <w:jc w:val="right"/>
              <w:rPr>
                <w:rFonts w:ascii="Times New Roman" w:hAnsi="Times New Roman" w:cs="Times New Roman" w:eastAsia="Times New Roman" w:hint="default"/>
                <w:sz w:val="16"/>
                <w:szCs w:val="16"/>
              </w:rPr>
            </w:pPr>
            <w:r>
              <w:rPr>
                <w:rFonts w:ascii="Times New Roman"/>
                <w:w w:val="95"/>
                <w:sz w:val="16"/>
              </w:rPr>
              <w:t>527,680,114.37</w:t>
            </w:r>
            <w:r>
              <w:rPr>
                <w:rFonts w:ascii="Times New Roman"/>
                <w:sz w:val="16"/>
              </w:rPr>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2"/>
              <w:jc w:val="right"/>
              <w:rPr>
                <w:rFonts w:ascii="Times New Roman" w:hAnsi="Times New Roman" w:cs="Times New Roman" w:eastAsia="Times New Roman" w:hint="default"/>
                <w:sz w:val="16"/>
                <w:szCs w:val="16"/>
              </w:rPr>
            </w:pPr>
            <w:r>
              <w:rPr>
                <w:rFonts w:ascii="Times New Roman"/>
                <w:w w:val="98"/>
                <w:sz w:val="16"/>
              </w:rPr>
              <w:t>-</w:t>
            </w:r>
            <w:r>
              <w:rPr>
                <w:rFonts w:ascii="Times New Roman"/>
                <w:sz w:val="16"/>
              </w:rPr>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0"/>
              <w:jc w:val="right"/>
              <w:rPr>
                <w:rFonts w:ascii="Times New Roman" w:hAnsi="Times New Roman" w:cs="Times New Roman" w:eastAsia="Times New Roman" w:hint="default"/>
                <w:sz w:val="16"/>
                <w:szCs w:val="16"/>
              </w:rPr>
            </w:pPr>
            <w:r>
              <w:rPr>
                <w:rFonts w:ascii="Times New Roman"/>
                <w:w w:val="98"/>
                <w:sz w:val="16"/>
              </w:rPr>
              <w:t>-</w:t>
            </w:r>
            <w:r>
              <w:rPr>
                <w:rFonts w:ascii="Times New Roman"/>
                <w:sz w:val="16"/>
              </w:rPr>
            </w:r>
          </w:p>
        </w:tc>
        <w:tc>
          <w:tcPr>
            <w:tcW w:w="1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0"/>
              <w:jc w:val="right"/>
              <w:rPr>
                <w:rFonts w:ascii="Times New Roman" w:hAnsi="Times New Roman" w:cs="Times New Roman" w:eastAsia="Times New Roman" w:hint="default"/>
                <w:sz w:val="16"/>
                <w:szCs w:val="16"/>
              </w:rPr>
            </w:pPr>
            <w:r>
              <w:rPr>
                <w:rFonts w:ascii="Times New Roman"/>
                <w:w w:val="98"/>
                <w:sz w:val="16"/>
              </w:rPr>
              <w:t>-</w:t>
            </w:r>
            <w:r>
              <w:rPr>
                <w:rFonts w:ascii="Times New Roman"/>
                <w:sz w:val="16"/>
              </w:rPr>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2"/>
              <w:jc w:val="right"/>
              <w:rPr>
                <w:rFonts w:ascii="Times New Roman" w:hAnsi="Times New Roman" w:cs="Times New Roman" w:eastAsia="Times New Roman" w:hint="default"/>
                <w:sz w:val="16"/>
                <w:szCs w:val="16"/>
              </w:rPr>
            </w:pPr>
            <w:r>
              <w:rPr>
                <w:rFonts w:ascii="Times New Roman"/>
                <w:w w:val="95"/>
                <w:sz w:val="16"/>
              </w:rPr>
              <w:t>527,680,114.37</w:t>
            </w:r>
            <w:r>
              <w:rPr>
                <w:rFonts w:ascii="Times New Roman"/>
                <w:sz w:val="16"/>
              </w:rPr>
            </w:r>
          </w:p>
        </w:tc>
      </w:tr>
    </w:tbl>
    <w:p>
      <w:pPr>
        <w:pStyle w:val="BodyText"/>
        <w:spacing w:line="240" w:lineRule="auto" w:before="92"/>
        <w:ind w:left="513" w:right="0"/>
        <w:jc w:val="left"/>
      </w:pPr>
      <w:r>
        <w:rPr/>
        <w:t>续上表：</w:t>
      </w:r>
    </w:p>
    <w:p>
      <w:pPr>
        <w:spacing w:line="240" w:lineRule="auto" w:before="12"/>
        <w:rPr>
          <w:rFonts w:ascii="宋体" w:hAnsi="宋体" w:cs="宋体" w:eastAsia="宋体" w:hint="default"/>
          <w:sz w:val="10"/>
          <w:szCs w:val="10"/>
        </w:rPr>
      </w:pPr>
    </w:p>
    <w:tbl>
      <w:tblPr>
        <w:tblW w:w="0" w:type="auto"/>
        <w:jc w:val="left"/>
        <w:tblInd w:w="138" w:type="dxa"/>
        <w:tblLayout w:type="fixed"/>
        <w:tblCellMar>
          <w:top w:w="0" w:type="dxa"/>
          <w:left w:w="0" w:type="dxa"/>
          <w:bottom w:w="0" w:type="dxa"/>
          <w:right w:w="0" w:type="dxa"/>
        </w:tblCellMar>
        <w:tblLook w:val="01E0"/>
      </w:tblPr>
      <w:tblGrid>
        <w:gridCol w:w="2372"/>
        <w:gridCol w:w="1604"/>
        <w:gridCol w:w="1445"/>
        <w:gridCol w:w="1440"/>
        <w:gridCol w:w="1186"/>
        <w:gridCol w:w="1614"/>
      </w:tblGrid>
      <w:tr>
        <w:trPr>
          <w:trHeight w:val="341" w:hRule="exact"/>
        </w:trPr>
        <w:tc>
          <w:tcPr>
            <w:tcW w:w="2372"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7"/>
              <w:jc w:val="center"/>
              <w:rPr>
                <w:rFonts w:ascii="宋体" w:hAnsi="宋体" w:cs="宋体" w:eastAsia="宋体" w:hint="default"/>
                <w:sz w:val="16"/>
                <w:szCs w:val="16"/>
              </w:rPr>
            </w:pPr>
            <w:r>
              <w:rPr>
                <w:rFonts w:ascii="宋体" w:hAnsi="宋体" w:cs="宋体" w:eastAsia="宋体" w:hint="default"/>
                <w:sz w:val="16"/>
                <w:szCs w:val="16"/>
              </w:rPr>
              <w:t>项</w:t>
            </w:r>
            <w:r>
              <w:rPr>
                <w:rFonts w:ascii="宋体" w:hAnsi="宋体" w:cs="宋体" w:eastAsia="宋体" w:hint="default"/>
                <w:spacing w:val="40"/>
                <w:sz w:val="16"/>
                <w:szCs w:val="16"/>
              </w:rPr>
              <w:t> </w:t>
            </w:r>
            <w:r>
              <w:rPr>
                <w:rFonts w:ascii="宋体" w:hAnsi="宋体" w:cs="宋体" w:eastAsia="宋体" w:hint="default"/>
                <w:sz w:val="16"/>
                <w:szCs w:val="16"/>
              </w:rPr>
              <w:t>目</w:t>
            </w:r>
          </w:p>
        </w:tc>
        <w:tc>
          <w:tcPr>
            <w:tcW w:w="7289" w:type="dxa"/>
            <w:gridSpan w:val="5"/>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34"/>
              <w:ind w:right="3"/>
              <w:jc w:val="center"/>
              <w:rPr>
                <w:rFonts w:ascii="宋体" w:hAnsi="宋体" w:cs="宋体" w:eastAsia="宋体" w:hint="default"/>
                <w:sz w:val="16"/>
                <w:szCs w:val="16"/>
              </w:rPr>
            </w:pPr>
            <w:r>
              <w:rPr>
                <w:rFonts w:ascii="宋体" w:hAnsi="宋体" w:cs="宋体" w:eastAsia="宋体" w:hint="default"/>
                <w:sz w:val="16"/>
                <w:szCs w:val="16"/>
              </w:rPr>
              <w:t>期初数</w:t>
            </w:r>
          </w:p>
        </w:tc>
      </w:tr>
      <w:tr>
        <w:trPr>
          <w:trHeight w:val="341" w:hRule="exact"/>
        </w:trPr>
        <w:tc>
          <w:tcPr>
            <w:tcW w:w="2372" w:type="dxa"/>
            <w:vMerge/>
            <w:tcBorders>
              <w:left w:val="single" w:sz="4" w:space="0" w:color="000000"/>
              <w:bottom w:val="single" w:sz="4" w:space="0" w:color="000000"/>
              <w:right w:val="single" w:sz="4" w:space="0" w:color="000000"/>
            </w:tcBorders>
            <w:shd w:val="clear" w:color="auto" w:fill="D9D9D9"/>
          </w:tcPr>
          <w:p>
            <w:pPr/>
          </w:p>
        </w:tc>
        <w:tc>
          <w:tcPr>
            <w:tcW w:w="160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34"/>
              <w:ind w:left="475" w:right="0"/>
              <w:jc w:val="left"/>
              <w:rPr>
                <w:rFonts w:ascii="宋体" w:hAnsi="宋体" w:cs="宋体" w:eastAsia="宋体" w:hint="default"/>
                <w:sz w:val="16"/>
                <w:szCs w:val="16"/>
              </w:rPr>
            </w:pPr>
            <w:r>
              <w:rPr>
                <w:rFonts w:ascii="宋体" w:hAnsi="宋体" w:cs="宋体" w:eastAsia="宋体" w:hint="default"/>
                <w:sz w:val="16"/>
                <w:szCs w:val="16"/>
              </w:rPr>
              <w:t>一年以内</w:t>
            </w:r>
          </w:p>
        </w:tc>
        <w:tc>
          <w:tcPr>
            <w:tcW w:w="144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34"/>
              <w:ind w:left="393" w:right="0"/>
              <w:jc w:val="left"/>
              <w:rPr>
                <w:rFonts w:ascii="宋体" w:hAnsi="宋体" w:cs="宋体" w:eastAsia="宋体" w:hint="default"/>
                <w:sz w:val="16"/>
                <w:szCs w:val="16"/>
              </w:rPr>
            </w:pPr>
            <w:r>
              <w:rPr>
                <w:rFonts w:ascii="宋体" w:hAnsi="宋体" w:cs="宋体" w:eastAsia="宋体" w:hint="default"/>
                <w:sz w:val="16"/>
                <w:szCs w:val="16"/>
              </w:rPr>
              <w:t>一至两年</w:t>
            </w:r>
          </w:p>
        </w:tc>
        <w:tc>
          <w:tcPr>
            <w:tcW w:w="144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34"/>
              <w:ind w:left="393" w:right="0"/>
              <w:jc w:val="left"/>
              <w:rPr>
                <w:rFonts w:ascii="宋体" w:hAnsi="宋体" w:cs="宋体" w:eastAsia="宋体" w:hint="default"/>
                <w:sz w:val="16"/>
                <w:szCs w:val="16"/>
              </w:rPr>
            </w:pPr>
            <w:r>
              <w:rPr>
                <w:rFonts w:ascii="宋体" w:hAnsi="宋体" w:cs="宋体" w:eastAsia="宋体" w:hint="default"/>
                <w:sz w:val="16"/>
                <w:szCs w:val="16"/>
              </w:rPr>
              <w:t>两至三年</w:t>
            </w:r>
          </w:p>
        </w:tc>
        <w:tc>
          <w:tcPr>
            <w:tcW w:w="118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34"/>
              <w:ind w:left="269" w:right="0"/>
              <w:jc w:val="left"/>
              <w:rPr>
                <w:rFonts w:ascii="宋体" w:hAnsi="宋体" w:cs="宋体" w:eastAsia="宋体" w:hint="default"/>
                <w:sz w:val="16"/>
                <w:szCs w:val="16"/>
              </w:rPr>
            </w:pPr>
            <w:r>
              <w:rPr>
                <w:rFonts w:ascii="宋体" w:hAnsi="宋体" w:cs="宋体" w:eastAsia="宋体" w:hint="default"/>
                <w:sz w:val="16"/>
                <w:szCs w:val="16"/>
              </w:rPr>
              <w:t>三年以上</w:t>
            </w:r>
          </w:p>
        </w:tc>
        <w:tc>
          <w:tcPr>
            <w:tcW w:w="161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34"/>
              <w:ind w:right="7"/>
              <w:jc w:val="center"/>
              <w:rPr>
                <w:rFonts w:ascii="宋体" w:hAnsi="宋体" w:cs="宋体" w:eastAsia="宋体" w:hint="default"/>
                <w:sz w:val="16"/>
                <w:szCs w:val="16"/>
              </w:rPr>
            </w:pPr>
            <w:r>
              <w:rPr>
                <w:rFonts w:ascii="宋体" w:hAnsi="宋体" w:cs="宋体" w:eastAsia="宋体" w:hint="default"/>
                <w:sz w:val="16"/>
                <w:szCs w:val="16"/>
              </w:rPr>
              <w:t>合</w:t>
            </w:r>
            <w:r>
              <w:rPr>
                <w:rFonts w:ascii="宋体" w:hAnsi="宋体" w:cs="宋体" w:eastAsia="宋体" w:hint="default"/>
                <w:spacing w:val="40"/>
                <w:sz w:val="16"/>
                <w:szCs w:val="16"/>
              </w:rPr>
              <w:t> </w:t>
            </w:r>
            <w:r>
              <w:rPr>
                <w:rFonts w:ascii="宋体" w:hAnsi="宋体" w:cs="宋体" w:eastAsia="宋体" w:hint="default"/>
                <w:sz w:val="16"/>
                <w:szCs w:val="16"/>
              </w:rPr>
              <w:t>计</w:t>
            </w:r>
          </w:p>
        </w:tc>
      </w:tr>
      <w:tr>
        <w:trPr>
          <w:trHeight w:val="341" w:hRule="exact"/>
        </w:trPr>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4" w:right="0"/>
              <w:jc w:val="left"/>
              <w:rPr>
                <w:rFonts w:ascii="宋体" w:hAnsi="宋体" w:cs="宋体" w:eastAsia="宋体" w:hint="default"/>
                <w:sz w:val="16"/>
                <w:szCs w:val="16"/>
              </w:rPr>
            </w:pPr>
            <w:r>
              <w:rPr>
                <w:rFonts w:ascii="宋体" w:hAnsi="宋体" w:cs="宋体" w:eastAsia="宋体" w:hint="default"/>
                <w:sz w:val="16"/>
                <w:szCs w:val="16"/>
              </w:rPr>
              <w:t>金融负债：</w:t>
            </w:r>
          </w:p>
        </w:tc>
        <w:tc>
          <w:tcPr>
            <w:tcW w:w="1604" w:type="dxa"/>
            <w:tcBorders>
              <w:top w:val="single" w:sz="4" w:space="0" w:color="000000"/>
              <w:left w:val="single" w:sz="4" w:space="0" w:color="000000"/>
              <w:bottom w:val="single" w:sz="4" w:space="0" w:color="000000"/>
              <w:right w:val="single" w:sz="4" w:space="0" w:color="000000"/>
            </w:tcBorders>
          </w:tcPr>
          <w:p>
            <w:pPr/>
          </w:p>
        </w:tc>
        <w:tc>
          <w:tcPr>
            <w:tcW w:w="1445"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
        </w:tc>
        <w:tc>
          <w:tcPr>
            <w:tcW w:w="1614" w:type="dxa"/>
            <w:tcBorders>
              <w:top w:val="single" w:sz="4" w:space="0" w:color="000000"/>
              <w:left w:val="single" w:sz="4" w:space="0" w:color="000000"/>
              <w:bottom w:val="single" w:sz="4" w:space="0" w:color="000000"/>
              <w:right w:val="single" w:sz="4" w:space="0" w:color="000000"/>
            </w:tcBorders>
          </w:tcPr>
          <w:p>
            <w:pPr/>
          </w:p>
        </w:tc>
      </w:tr>
      <w:tr>
        <w:trPr>
          <w:trHeight w:val="346" w:hRule="exact"/>
        </w:trPr>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4" w:right="0"/>
              <w:jc w:val="left"/>
              <w:rPr>
                <w:rFonts w:ascii="宋体" w:hAnsi="宋体" w:cs="宋体" w:eastAsia="宋体" w:hint="default"/>
                <w:sz w:val="16"/>
                <w:szCs w:val="16"/>
              </w:rPr>
            </w:pPr>
            <w:r>
              <w:rPr>
                <w:rFonts w:ascii="宋体" w:hAnsi="宋体" w:cs="宋体" w:eastAsia="宋体" w:hint="default"/>
                <w:sz w:val="16"/>
                <w:szCs w:val="16"/>
              </w:rPr>
              <w:t>短期借款</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2"/>
              <w:jc w:val="right"/>
              <w:rPr>
                <w:rFonts w:ascii="Times New Roman" w:hAnsi="Times New Roman" w:cs="Times New Roman" w:eastAsia="Times New Roman" w:hint="default"/>
                <w:sz w:val="16"/>
                <w:szCs w:val="16"/>
              </w:rPr>
            </w:pPr>
            <w:r>
              <w:rPr>
                <w:rFonts w:ascii="Times New Roman"/>
                <w:w w:val="95"/>
                <w:sz w:val="16"/>
              </w:rPr>
              <w:t>287,900,000.00</w:t>
            </w:r>
            <w:r>
              <w:rPr>
                <w:rFonts w:ascii="Times New Roman"/>
                <w:sz w:val="16"/>
              </w:rPr>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7"/>
              <w:jc w:val="right"/>
              <w:rPr>
                <w:rFonts w:ascii="Times New Roman" w:hAnsi="Times New Roman" w:cs="Times New Roman" w:eastAsia="Times New Roman" w:hint="default"/>
                <w:sz w:val="16"/>
                <w:szCs w:val="16"/>
              </w:rPr>
            </w:pPr>
            <w:r>
              <w:rPr>
                <w:rFonts w:ascii="Times New Roman"/>
                <w:w w:val="98"/>
                <w:sz w:val="16"/>
              </w:rPr>
              <w:t>-</w:t>
            </w:r>
            <w:r>
              <w:rPr>
                <w:rFonts w:ascii="Times New Roman"/>
                <w:sz w:val="16"/>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2"/>
              <w:jc w:val="right"/>
              <w:rPr>
                <w:rFonts w:ascii="Times New Roman" w:hAnsi="Times New Roman" w:cs="Times New Roman" w:eastAsia="Times New Roman" w:hint="default"/>
                <w:sz w:val="16"/>
                <w:szCs w:val="16"/>
              </w:rPr>
            </w:pPr>
            <w:r>
              <w:rPr>
                <w:rFonts w:ascii="Times New Roman"/>
                <w:w w:val="98"/>
                <w:sz w:val="16"/>
              </w:rPr>
              <w:t>-</w:t>
            </w:r>
            <w:r>
              <w:rPr>
                <w:rFonts w:ascii="Times New Roman"/>
                <w:sz w:val="16"/>
              </w:rPr>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2"/>
              <w:jc w:val="right"/>
              <w:rPr>
                <w:rFonts w:ascii="Times New Roman" w:hAnsi="Times New Roman" w:cs="Times New Roman" w:eastAsia="Times New Roman" w:hint="default"/>
                <w:sz w:val="16"/>
                <w:szCs w:val="16"/>
              </w:rPr>
            </w:pPr>
            <w:r>
              <w:rPr>
                <w:rFonts w:ascii="Times New Roman"/>
                <w:w w:val="98"/>
                <w:sz w:val="16"/>
              </w:rPr>
              <w:t>-</w:t>
            </w:r>
            <w:r>
              <w:rPr>
                <w:rFonts w:ascii="Times New Roman"/>
                <w:sz w:val="16"/>
              </w:rPr>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2"/>
              <w:jc w:val="right"/>
              <w:rPr>
                <w:rFonts w:ascii="Times New Roman" w:hAnsi="Times New Roman" w:cs="Times New Roman" w:eastAsia="Times New Roman" w:hint="default"/>
                <w:sz w:val="16"/>
                <w:szCs w:val="16"/>
              </w:rPr>
            </w:pPr>
            <w:r>
              <w:rPr>
                <w:rFonts w:ascii="Times New Roman"/>
                <w:w w:val="95"/>
                <w:sz w:val="16"/>
              </w:rPr>
              <w:t>287,900,000.00</w:t>
            </w:r>
            <w:r>
              <w:rPr>
                <w:rFonts w:ascii="Times New Roman"/>
                <w:sz w:val="16"/>
              </w:rPr>
            </w:r>
          </w:p>
        </w:tc>
      </w:tr>
      <w:tr>
        <w:trPr>
          <w:trHeight w:val="341" w:hRule="exact"/>
        </w:trPr>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4" w:right="0"/>
              <w:jc w:val="left"/>
              <w:rPr>
                <w:rFonts w:ascii="宋体" w:hAnsi="宋体" w:cs="宋体" w:eastAsia="宋体" w:hint="default"/>
                <w:sz w:val="16"/>
                <w:szCs w:val="16"/>
              </w:rPr>
            </w:pPr>
            <w:r>
              <w:rPr>
                <w:rFonts w:ascii="宋体" w:hAnsi="宋体" w:cs="宋体" w:eastAsia="宋体" w:hint="default"/>
                <w:sz w:val="16"/>
                <w:szCs w:val="16"/>
              </w:rPr>
              <w:t>应付票据及应付账款</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2"/>
              <w:jc w:val="right"/>
              <w:rPr>
                <w:rFonts w:ascii="Times New Roman" w:hAnsi="Times New Roman" w:cs="Times New Roman" w:eastAsia="Times New Roman" w:hint="default"/>
                <w:sz w:val="16"/>
                <w:szCs w:val="16"/>
              </w:rPr>
            </w:pPr>
            <w:r>
              <w:rPr>
                <w:rFonts w:ascii="Times New Roman"/>
                <w:w w:val="95"/>
                <w:sz w:val="16"/>
              </w:rPr>
              <w:t>101,285,276.21</w:t>
            </w:r>
            <w:r>
              <w:rPr>
                <w:rFonts w:ascii="Times New Roman"/>
                <w:sz w:val="16"/>
              </w:rPr>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7"/>
              <w:jc w:val="right"/>
              <w:rPr>
                <w:rFonts w:ascii="Times New Roman" w:hAnsi="Times New Roman" w:cs="Times New Roman" w:eastAsia="Times New Roman" w:hint="default"/>
                <w:sz w:val="16"/>
                <w:szCs w:val="16"/>
              </w:rPr>
            </w:pPr>
            <w:r>
              <w:rPr>
                <w:rFonts w:ascii="Times New Roman"/>
                <w:w w:val="98"/>
                <w:sz w:val="16"/>
              </w:rPr>
              <w:t>-</w:t>
            </w:r>
            <w:r>
              <w:rPr>
                <w:rFonts w:ascii="Times New Roman"/>
                <w:sz w:val="16"/>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2"/>
              <w:jc w:val="right"/>
              <w:rPr>
                <w:rFonts w:ascii="Times New Roman" w:hAnsi="Times New Roman" w:cs="Times New Roman" w:eastAsia="Times New Roman" w:hint="default"/>
                <w:sz w:val="16"/>
                <w:szCs w:val="16"/>
              </w:rPr>
            </w:pPr>
            <w:r>
              <w:rPr>
                <w:rFonts w:ascii="Times New Roman"/>
                <w:w w:val="98"/>
                <w:sz w:val="16"/>
              </w:rPr>
              <w:t>-</w:t>
            </w:r>
            <w:r>
              <w:rPr>
                <w:rFonts w:ascii="Times New Roman"/>
                <w:sz w:val="16"/>
              </w:rPr>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2"/>
              <w:jc w:val="right"/>
              <w:rPr>
                <w:rFonts w:ascii="Times New Roman" w:hAnsi="Times New Roman" w:cs="Times New Roman" w:eastAsia="Times New Roman" w:hint="default"/>
                <w:sz w:val="16"/>
                <w:szCs w:val="16"/>
              </w:rPr>
            </w:pPr>
            <w:r>
              <w:rPr>
                <w:rFonts w:ascii="Times New Roman"/>
                <w:w w:val="98"/>
                <w:sz w:val="16"/>
              </w:rPr>
              <w:t>-</w:t>
            </w:r>
            <w:r>
              <w:rPr>
                <w:rFonts w:ascii="Times New Roman"/>
                <w:sz w:val="16"/>
              </w:rPr>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2"/>
              <w:jc w:val="right"/>
              <w:rPr>
                <w:rFonts w:ascii="Times New Roman" w:hAnsi="Times New Roman" w:cs="Times New Roman" w:eastAsia="Times New Roman" w:hint="default"/>
                <w:sz w:val="16"/>
                <w:szCs w:val="16"/>
              </w:rPr>
            </w:pPr>
            <w:r>
              <w:rPr>
                <w:rFonts w:ascii="Times New Roman"/>
                <w:w w:val="95"/>
                <w:sz w:val="16"/>
              </w:rPr>
              <w:t>101,285,276.21</w:t>
            </w:r>
            <w:r>
              <w:rPr>
                <w:rFonts w:ascii="Times New Roman"/>
                <w:sz w:val="16"/>
              </w:rPr>
            </w:r>
          </w:p>
        </w:tc>
      </w:tr>
      <w:tr>
        <w:trPr>
          <w:trHeight w:val="341" w:hRule="exact"/>
        </w:trPr>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4" w:right="0"/>
              <w:jc w:val="left"/>
              <w:rPr>
                <w:rFonts w:ascii="宋体" w:hAnsi="宋体" w:cs="宋体" w:eastAsia="宋体" w:hint="default"/>
                <w:sz w:val="16"/>
                <w:szCs w:val="16"/>
              </w:rPr>
            </w:pPr>
            <w:r>
              <w:rPr>
                <w:rFonts w:ascii="宋体" w:hAnsi="宋体" w:cs="宋体" w:eastAsia="宋体" w:hint="default"/>
                <w:sz w:val="16"/>
                <w:szCs w:val="16"/>
              </w:rPr>
              <w:t>其他应付款</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2"/>
              <w:jc w:val="right"/>
              <w:rPr>
                <w:rFonts w:ascii="Times New Roman" w:hAnsi="Times New Roman" w:cs="Times New Roman" w:eastAsia="Times New Roman" w:hint="default"/>
                <w:sz w:val="16"/>
                <w:szCs w:val="16"/>
              </w:rPr>
            </w:pPr>
            <w:r>
              <w:rPr>
                <w:rFonts w:ascii="Times New Roman"/>
                <w:w w:val="95"/>
                <w:sz w:val="16"/>
              </w:rPr>
              <w:t>18,882,268.06</w:t>
            </w:r>
            <w:r>
              <w:rPr>
                <w:rFonts w:ascii="Times New Roman"/>
                <w:sz w:val="16"/>
              </w:rPr>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7"/>
              <w:jc w:val="right"/>
              <w:rPr>
                <w:rFonts w:ascii="Times New Roman" w:hAnsi="Times New Roman" w:cs="Times New Roman" w:eastAsia="Times New Roman" w:hint="default"/>
                <w:sz w:val="16"/>
                <w:szCs w:val="16"/>
              </w:rPr>
            </w:pPr>
            <w:r>
              <w:rPr>
                <w:rFonts w:ascii="Times New Roman"/>
                <w:w w:val="98"/>
                <w:sz w:val="16"/>
              </w:rPr>
              <w:t>-</w:t>
            </w:r>
            <w:r>
              <w:rPr>
                <w:rFonts w:ascii="Times New Roman"/>
                <w:sz w:val="16"/>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2"/>
              <w:jc w:val="right"/>
              <w:rPr>
                <w:rFonts w:ascii="Times New Roman" w:hAnsi="Times New Roman" w:cs="Times New Roman" w:eastAsia="Times New Roman" w:hint="default"/>
                <w:sz w:val="16"/>
                <w:szCs w:val="16"/>
              </w:rPr>
            </w:pPr>
            <w:r>
              <w:rPr>
                <w:rFonts w:ascii="Times New Roman"/>
                <w:w w:val="98"/>
                <w:sz w:val="16"/>
              </w:rPr>
              <w:t>-</w:t>
            </w:r>
            <w:r>
              <w:rPr>
                <w:rFonts w:ascii="Times New Roman"/>
                <w:sz w:val="16"/>
              </w:rPr>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2"/>
              <w:jc w:val="right"/>
              <w:rPr>
                <w:rFonts w:ascii="Times New Roman" w:hAnsi="Times New Roman" w:cs="Times New Roman" w:eastAsia="Times New Roman" w:hint="default"/>
                <w:sz w:val="16"/>
                <w:szCs w:val="16"/>
              </w:rPr>
            </w:pPr>
            <w:r>
              <w:rPr>
                <w:rFonts w:ascii="Times New Roman"/>
                <w:w w:val="98"/>
                <w:sz w:val="16"/>
              </w:rPr>
              <w:t>-</w:t>
            </w:r>
            <w:r>
              <w:rPr>
                <w:rFonts w:ascii="Times New Roman"/>
                <w:sz w:val="16"/>
              </w:rPr>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2"/>
              <w:jc w:val="right"/>
              <w:rPr>
                <w:rFonts w:ascii="Times New Roman" w:hAnsi="Times New Roman" w:cs="Times New Roman" w:eastAsia="Times New Roman" w:hint="default"/>
                <w:sz w:val="16"/>
                <w:szCs w:val="16"/>
              </w:rPr>
            </w:pPr>
            <w:r>
              <w:rPr>
                <w:rFonts w:ascii="Times New Roman"/>
                <w:w w:val="95"/>
                <w:sz w:val="16"/>
              </w:rPr>
              <w:t>18,882,268.06</w:t>
            </w:r>
            <w:r>
              <w:rPr>
                <w:rFonts w:ascii="Times New Roman"/>
                <w:sz w:val="16"/>
              </w:rPr>
            </w:r>
          </w:p>
        </w:tc>
      </w:tr>
      <w:tr>
        <w:trPr>
          <w:trHeight w:val="341" w:hRule="exact"/>
        </w:trPr>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4" w:right="0"/>
              <w:jc w:val="left"/>
              <w:rPr>
                <w:rFonts w:ascii="宋体" w:hAnsi="宋体" w:cs="宋体" w:eastAsia="宋体" w:hint="default"/>
                <w:sz w:val="16"/>
                <w:szCs w:val="16"/>
              </w:rPr>
            </w:pPr>
            <w:r>
              <w:rPr>
                <w:rFonts w:ascii="宋体" w:hAnsi="宋体" w:cs="宋体" w:eastAsia="宋体" w:hint="default"/>
                <w:sz w:val="16"/>
                <w:szCs w:val="16"/>
              </w:rPr>
              <w:t>合计</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2"/>
              <w:jc w:val="right"/>
              <w:rPr>
                <w:rFonts w:ascii="Times New Roman" w:hAnsi="Times New Roman" w:cs="Times New Roman" w:eastAsia="Times New Roman" w:hint="default"/>
                <w:sz w:val="16"/>
                <w:szCs w:val="16"/>
              </w:rPr>
            </w:pPr>
            <w:r>
              <w:rPr>
                <w:rFonts w:ascii="Times New Roman"/>
                <w:w w:val="95"/>
                <w:sz w:val="16"/>
              </w:rPr>
              <w:t>408,067,544.27</w:t>
            </w:r>
            <w:r>
              <w:rPr>
                <w:rFonts w:ascii="Times New Roman"/>
                <w:sz w:val="16"/>
              </w:rPr>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7"/>
              <w:jc w:val="right"/>
              <w:rPr>
                <w:rFonts w:ascii="Times New Roman" w:hAnsi="Times New Roman" w:cs="Times New Roman" w:eastAsia="Times New Roman" w:hint="default"/>
                <w:sz w:val="16"/>
                <w:szCs w:val="16"/>
              </w:rPr>
            </w:pPr>
            <w:r>
              <w:rPr>
                <w:rFonts w:ascii="Times New Roman"/>
                <w:w w:val="98"/>
                <w:sz w:val="16"/>
              </w:rPr>
              <w:t>-</w:t>
            </w:r>
            <w:r>
              <w:rPr>
                <w:rFonts w:ascii="Times New Roman"/>
                <w:sz w:val="16"/>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2"/>
              <w:jc w:val="right"/>
              <w:rPr>
                <w:rFonts w:ascii="Times New Roman" w:hAnsi="Times New Roman" w:cs="Times New Roman" w:eastAsia="Times New Roman" w:hint="default"/>
                <w:sz w:val="16"/>
                <w:szCs w:val="16"/>
              </w:rPr>
            </w:pPr>
            <w:r>
              <w:rPr>
                <w:rFonts w:ascii="Times New Roman"/>
                <w:w w:val="98"/>
                <w:sz w:val="16"/>
              </w:rPr>
              <w:t>-</w:t>
            </w:r>
            <w:r>
              <w:rPr>
                <w:rFonts w:ascii="Times New Roman"/>
                <w:sz w:val="16"/>
              </w:rPr>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2"/>
              <w:jc w:val="right"/>
              <w:rPr>
                <w:rFonts w:ascii="Times New Roman" w:hAnsi="Times New Roman" w:cs="Times New Roman" w:eastAsia="Times New Roman" w:hint="default"/>
                <w:sz w:val="16"/>
                <w:szCs w:val="16"/>
              </w:rPr>
            </w:pPr>
            <w:r>
              <w:rPr>
                <w:rFonts w:ascii="Times New Roman"/>
                <w:w w:val="98"/>
                <w:sz w:val="16"/>
              </w:rPr>
              <w:t>-</w:t>
            </w:r>
            <w:r>
              <w:rPr>
                <w:rFonts w:ascii="Times New Roman"/>
                <w:sz w:val="16"/>
              </w:rPr>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2"/>
              <w:jc w:val="right"/>
              <w:rPr>
                <w:rFonts w:ascii="Times New Roman" w:hAnsi="Times New Roman" w:cs="Times New Roman" w:eastAsia="Times New Roman" w:hint="default"/>
                <w:sz w:val="16"/>
                <w:szCs w:val="16"/>
              </w:rPr>
            </w:pPr>
            <w:r>
              <w:rPr>
                <w:rFonts w:ascii="Times New Roman"/>
                <w:w w:val="95"/>
                <w:sz w:val="16"/>
              </w:rPr>
              <w:t>408,067,544.27</w:t>
            </w:r>
            <w:r>
              <w:rPr>
                <w:rFonts w:ascii="Times New Roman"/>
                <w:sz w:val="16"/>
              </w:rPr>
            </w:r>
          </w:p>
        </w:tc>
      </w:tr>
    </w:tbl>
    <w:p>
      <w:pPr>
        <w:pStyle w:val="BodyText"/>
        <w:spacing w:line="240" w:lineRule="auto" w:before="92"/>
        <w:ind w:left="513" w:right="0"/>
        <w:jc w:val="left"/>
      </w:pPr>
      <w:r>
        <w:rPr>
          <w:spacing w:val="-3"/>
        </w:rPr>
        <w:t>上表中披露的金融负债金额为未经折现的合同现金流量，因而可能与资产负债表中的账面金额有所不同。</w:t>
      </w:r>
    </w:p>
    <w:p>
      <w:pPr>
        <w:spacing w:line="240" w:lineRule="auto" w:before="12"/>
        <w:rPr>
          <w:rFonts w:ascii="宋体" w:hAnsi="宋体" w:cs="宋体" w:eastAsia="宋体" w:hint="default"/>
          <w:sz w:val="17"/>
          <w:szCs w:val="17"/>
        </w:rPr>
      </w:pPr>
    </w:p>
    <w:p>
      <w:pPr>
        <w:pStyle w:val="BodyText"/>
        <w:spacing w:line="448" w:lineRule="auto"/>
        <w:ind w:left="513" w:right="1029"/>
        <w:jc w:val="left"/>
      </w:pPr>
      <w:r>
        <w:rPr>
          <w:rFonts w:ascii="Times New Roman" w:hAnsi="Times New Roman" w:cs="Times New Roman" w:eastAsia="Times New Roman" w:hint="default"/>
        </w:rPr>
        <w:t>(</w:t>
      </w:r>
      <w:r>
        <w:rPr/>
        <w:t>四</w:t>
      </w:r>
      <w:r>
        <w:rPr>
          <w:rFonts w:ascii="Times New Roman" w:hAnsi="Times New Roman" w:cs="Times New Roman" w:eastAsia="Times New Roman" w:hint="default"/>
        </w:rPr>
        <w:t>)</w:t>
      </w:r>
      <w:r>
        <w:rPr>
          <w:rFonts w:ascii="Times New Roman" w:hAnsi="Times New Roman" w:cs="Times New Roman" w:eastAsia="Times New Roman" w:hint="default"/>
          <w:spacing w:val="28"/>
        </w:rPr>
        <w:t> </w:t>
      </w:r>
      <w:r>
        <w:rPr>
          <w:spacing w:val="-3"/>
        </w:rPr>
        <w:t>资本管理</w:t>
      </w:r>
      <w:r>
        <w:rPr>
          <w:spacing w:val="-79"/>
        </w:rPr>
        <w:t> </w:t>
      </w:r>
      <w:r>
        <w:rPr>
          <w:spacing w:val="-79"/>
        </w:rPr>
      </w:r>
      <w:r>
        <w:rPr>
          <w:spacing w:val="-4"/>
        </w:rPr>
        <w:t>本公司资本管理政策的目标是为了保障本公司能够持续经营，从而为股东提供回报，并使其他利益相关者获益，同时维</w:t>
      </w:r>
    </w:p>
    <w:p>
      <w:pPr>
        <w:pStyle w:val="BodyText"/>
        <w:spacing w:line="475" w:lineRule="auto" w:before="79"/>
        <w:ind w:right="1116"/>
        <w:jc w:val="left"/>
      </w:pPr>
      <w:r>
        <w:rPr>
          <w:spacing w:val="-8"/>
          <w:w w:val="101"/>
        </w:rPr>
        <w:t>持最佳的资本结构以降低资本成本。为了维持或调整资本结构，本公司可能会调整支付给股东的股利金额、向股东返还资本、</w:t>
      </w:r>
      <w:r>
        <w:rPr>
          <w:spacing w:val="-53"/>
          <w:w w:val="101"/>
        </w:rPr>
        <w:t> </w:t>
      </w:r>
      <w:r>
        <w:rPr>
          <w:spacing w:val="-53"/>
          <w:w w:val="101"/>
        </w:rPr>
      </w:r>
      <w:r>
        <w:rPr>
          <w:spacing w:val="-3"/>
        </w:rPr>
        <w:t>发行新股或出售资产以减低债务。本公司以资产负债率</w:t>
      </w:r>
      <w:r>
        <w:rPr>
          <w:rFonts w:ascii="Times New Roman" w:hAnsi="Times New Roman" w:cs="Times New Roman" w:eastAsia="Times New Roman" w:hint="default"/>
          <w:spacing w:val="-3"/>
        </w:rPr>
        <w:t>(</w:t>
      </w:r>
      <w:r>
        <w:rPr>
          <w:spacing w:val="-3"/>
        </w:rPr>
        <w:t>即总负债除以总资产</w:t>
      </w:r>
      <w:r>
        <w:rPr>
          <w:rFonts w:ascii="Times New Roman" w:hAnsi="Times New Roman" w:cs="Times New Roman" w:eastAsia="Times New Roman" w:hint="default"/>
          <w:spacing w:val="-3"/>
        </w:rPr>
        <w:t>)</w:t>
      </w:r>
      <w:r>
        <w:rPr>
          <w:spacing w:val="-3"/>
        </w:rPr>
        <w:t>为基础对资本结构进行监控。于 </w:t>
      </w:r>
      <w:r>
        <w:rPr>
          <w:rFonts w:ascii="Times New Roman" w:hAnsi="Times New Roman" w:cs="Times New Roman" w:eastAsia="Times New Roman" w:hint="default"/>
          <w:spacing w:val="-3"/>
        </w:rPr>
        <w:t>2019  </w:t>
      </w:r>
      <w:r>
        <w:rPr/>
        <w:t>年 </w:t>
      </w:r>
      <w:r>
        <w:rPr>
          <w:rFonts w:ascii="Times New Roman" w:hAnsi="Times New Roman" w:cs="Times New Roman" w:eastAsia="Times New Roman" w:hint="default"/>
          <w:spacing w:val="-3"/>
        </w:rPr>
        <w:t>12</w:t>
      </w:r>
      <w:r>
        <w:rPr>
          <w:rFonts w:ascii="Times New Roman" w:hAnsi="Times New Roman" w:cs="Times New Roman" w:eastAsia="Times New Roman" w:hint="default"/>
          <w:spacing w:val="14"/>
        </w:rPr>
        <w:t> </w:t>
      </w:r>
      <w:r>
        <w:rPr/>
        <w:t>月</w:t>
      </w:r>
    </w:p>
    <w:p>
      <w:pPr>
        <w:pStyle w:val="BodyText"/>
        <w:spacing w:line="240" w:lineRule="auto" w:before="26"/>
        <w:ind w:right="0"/>
        <w:jc w:val="left"/>
      </w:pP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spacing w:val="-3"/>
        </w:rPr>
        <w:t>日，本公司的资产负债率为</w:t>
      </w:r>
      <w:r>
        <w:rPr>
          <w:spacing w:val="-40"/>
        </w:rPr>
        <w:t> </w:t>
      </w:r>
      <w:r>
        <w:rPr>
          <w:rFonts w:ascii="Times New Roman" w:hAnsi="Times New Roman" w:cs="Times New Roman" w:eastAsia="Times New Roman" w:hint="default"/>
        </w:rPr>
        <w:t>34.41%(2018</w:t>
      </w:r>
      <w:r>
        <w:rPr>
          <w:rFonts w:ascii="Times New Roman" w:hAnsi="Times New Roman" w:cs="Times New Roman" w:eastAsia="Times New Roman" w:hint="default"/>
          <w:spacing w:val="1"/>
        </w:rPr>
        <w:t> </w:t>
      </w:r>
      <w:r>
        <w:rPr/>
        <w:t>年</w:t>
      </w:r>
      <w:r>
        <w:rPr>
          <w:spacing w:val="-40"/>
        </w:rPr>
        <w:t> </w:t>
      </w:r>
      <w:r>
        <w:rPr>
          <w:rFonts w:ascii="Times New Roman" w:hAnsi="Times New Roman" w:cs="Times New Roman" w:eastAsia="Times New Roman" w:hint="default"/>
          <w:spacing w:val="-3"/>
        </w:rPr>
        <w:t>12</w:t>
      </w:r>
      <w:r>
        <w:rPr>
          <w:rFonts w:ascii="Times New Roman" w:hAnsi="Times New Roman" w:cs="Times New Roman" w:eastAsia="Times New Roman" w:hint="default"/>
          <w:spacing w:val="-1"/>
        </w:rPr>
        <w:t>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7"/>
        </w:rPr>
        <w:t> </w:t>
      </w:r>
      <w:r>
        <w:rPr/>
        <w:t>日：</w:t>
      </w:r>
      <w:r>
        <w:rPr>
          <w:rFonts w:ascii="Times New Roman" w:hAnsi="Times New Roman" w:cs="Times New Roman" w:eastAsia="Times New Roman" w:hint="default"/>
        </w:rPr>
        <w:t>36.60%)</w:t>
      </w:r>
      <w:r>
        <w:rPr/>
        <w:t>。</w:t>
      </w:r>
    </w:p>
    <w:p>
      <w:pPr>
        <w:spacing w:after="0" w:line="240" w:lineRule="auto"/>
        <w:jc w:val="left"/>
        <w:sectPr>
          <w:pgSz w:w="11910" w:h="16840"/>
          <w:pgMar w:header="871" w:footer="1186" w:top="1100" w:bottom="1380" w:left="980" w:right="0"/>
        </w:sectPr>
      </w:pPr>
    </w:p>
    <w:p>
      <w:pPr>
        <w:spacing w:line="240" w:lineRule="auto" w:before="7"/>
        <w:rPr>
          <w:rFonts w:ascii="宋体" w:hAnsi="宋体" w:cs="宋体" w:eastAsia="宋体" w:hint="default"/>
          <w:sz w:val="19"/>
          <w:szCs w:val="19"/>
        </w:rPr>
      </w:pPr>
    </w:p>
    <w:p>
      <w:pPr>
        <w:pStyle w:val="Heading2"/>
        <w:spacing w:line="240" w:lineRule="auto" w:before="26"/>
        <w:ind w:right="0"/>
        <w:jc w:val="left"/>
        <w:rPr>
          <w:b w:val="0"/>
          <w:bCs w:val="0"/>
        </w:rPr>
      </w:pPr>
      <w:bookmarkStart w:name="十一、公允价值的披露" w:id="365"/>
      <w:bookmarkEnd w:id="365"/>
      <w:r>
        <w:rPr>
          <w:b w:val="0"/>
          <w:bCs w:val="0"/>
        </w:rPr>
      </w:r>
      <w:r>
        <w:rPr/>
        <w:t>十一、公允价值的披露</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left"/>
        <w:rPr>
          <w:b w:val="0"/>
          <w:bCs w:val="0"/>
        </w:rPr>
      </w:pPr>
      <w:bookmarkStart w:name="1、以公允价值计量的资产和负债的期末公允价值" w:id="366"/>
      <w:bookmarkEnd w:id="366"/>
      <w:r>
        <w:rPr>
          <w:b w:val="0"/>
          <w:bCs w:val="0"/>
        </w:rPr>
      </w:r>
      <w:r>
        <w:rPr>
          <w:rFonts w:ascii="Times New Roman" w:hAnsi="Times New Roman" w:cs="Times New Roman" w:eastAsia="Times New Roman" w:hint="default"/>
        </w:rPr>
        <w:t>1</w:t>
      </w:r>
      <w:r>
        <w:rPr/>
        <w:t>、以公允价值计量的资产和负债的期末公允价值</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971"/>
        <w:gridCol w:w="2127"/>
        <w:gridCol w:w="2127"/>
        <w:gridCol w:w="1988"/>
        <w:gridCol w:w="1349"/>
      </w:tblGrid>
      <w:tr>
        <w:trPr>
          <w:trHeight w:val="206" w:hRule="exact"/>
        </w:trPr>
        <w:tc>
          <w:tcPr>
            <w:tcW w:w="1971" w:type="dxa"/>
            <w:tcBorders>
              <w:top w:val="single" w:sz="4" w:space="0" w:color="000000"/>
              <w:left w:val="single" w:sz="4" w:space="0" w:color="000000"/>
              <w:bottom w:val="nil" w:sz="6" w:space="0" w:color="auto"/>
              <w:right w:val="single" w:sz="4" w:space="0" w:color="000000"/>
            </w:tcBorders>
            <w:shd w:val="clear" w:color="auto" w:fill="D2D2D2"/>
          </w:tcPr>
          <w:p>
            <w:pPr/>
          </w:p>
        </w:tc>
        <w:tc>
          <w:tcPr>
            <w:tcW w:w="7592" w:type="dxa"/>
            <w:gridSpan w:val="4"/>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4" w:right="0"/>
              <w:jc w:val="center"/>
              <w:rPr>
                <w:rFonts w:ascii="宋体" w:hAnsi="宋体" w:cs="宋体" w:eastAsia="宋体" w:hint="default"/>
                <w:sz w:val="18"/>
                <w:szCs w:val="18"/>
              </w:rPr>
            </w:pPr>
            <w:r>
              <w:rPr>
                <w:rFonts w:ascii="宋体" w:hAnsi="宋体" w:cs="宋体" w:eastAsia="宋体" w:hint="default"/>
                <w:sz w:val="18"/>
                <w:szCs w:val="18"/>
              </w:rPr>
              <w:t>期末公允价值</w:t>
            </w:r>
          </w:p>
        </w:tc>
      </w:tr>
      <w:tr>
        <w:trPr>
          <w:trHeight w:val="192" w:hRule="exact"/>
        </w:trPr>
        <w:tc>
          <w:tcPr>
            <w:tcW w:w="197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7592" w:type="dxa"/>
            <w:gridSpan w:val="4"/>
            <w:vMerge/>
            <w:tcBorders>
              <w:left w:val="single" w:sz="4" w:space="0" w:color="000000"/>
              <w:bottom w:val="single" w:sz="4" w:space="0" w:color="000000"/>
              <w:right w:val="single" w:sz="4" w:space="0" w:color="000000"/>
            </w:tcBorders>
            <w:shd w:val="clear" w:color="auto" w:fill="D2D2D2"/>
          </w:tcPr>
          <w:p>
            <w:pPr/>
          </w:p>
        </w:tc>
      </w:tr>
      <w:tr>
        <w:trPr>
          <w:trHeight w:val="197" w:hRule="exact"/>
        </w:trPr>
        <w:tc>
          <w:tcPr>
            <w:tcW w:w="1971" w:type="dxa"/>
            <w:vMerge/>
            <w:tcBorders>
              <w:left w:val="single" w:sz="4" w:space="0" w:color="000000"/>
              <w:bottom w:val="nil" w:sz="6" w:space="0" w:color="auto"/>
              <w:right w:val="single" w:sz="4" w:space="0" w:color="000000"/>
            </w:tcBorders>
            <w:shd w:val="clear" w:color="auto" w:fill="D2D2D2"/>
          </w:tcPr>
          <w:p>
            <w:pPr/>
          </w:p>
        </w:tc>
        <w:tc>
          <w:tcPr>
            <w:tcW w:w="212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163" w:right="0"/>
              <w:jc w:val="left"/>
              <w:rPr>
                <w:rFonts w:ascii="宋体" w:hAnsi="宋体" w:cs="宋体" w:eastAsia="宋体" w:hint="default"/>
                <w:sz w:val="18"/>
                <w:szCs w:val="18"/>
              </w:rPr>
            </w:pPr>
            <w:r>
              <w:rPr>
                <w:rFonts w:ascii="宋体" w:hAnsi="宋体" w:cs="宋体" w:eastAsia="宋体" w:hint="default"/>
                <w:sz w:val="18"/>
                <w:szCs w:val="18"/>
              </w:rPr>
              <w:t>第一层次公允价值计量</w:t>
            </w:r>
          </w:p>
        </w:tc>
        <w:tc>
          <w:tcPr>
            <w:tcW w:w="212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163" w:right="0"/>
              <w:jc w:val="left"/>
              <w:rPr>
                <w:rFonts w:ascii="宋体" w:hAnsi="宋体" w:cs="宋体" w:eastAsia="宋体" w:hint="default"/>
                <w:sz w:val="18"/>
                <w:szCs w:val="18"/>
              </w:rPr>
            </w:pPr>
            <w:r>
              <w:rPr>
                <w:rFonts w:ascii="宋体" w:hAnsi="宋体" w:cs="宋体" w:eastAsia="宋体" w:hint="default"/>
                <w:sz w:val="18"/>
                <w:szCs w:val="18"/>
              </w:rPr>
              <w:t>第二层次公允价值计量</w:t>
            </w:r>
          </w:p>
        </w:tc>
        <w:tc>
          <w:tcPr>
            <w:tcW w:w="19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86" w:right="0"/>
              <w:jc w:val="left"/>
              <w:rPr>
                <w:rFonts w:ascii="宋体" w:hAnsi="宋体" w:cs="宋体" w:eastAsia="宋体" w:hint="default"/>
                <w:sz w:val="18"/>
                <w:szCs w:val="18"/>
              </w:rPr>
            </w:pPr>
            <w:r>
              <w:rPr>
                <w:rFonts w:ascii="宋体" w:hAnsi="宋体" w:cs="宋体" w:eastAsia="宋体" w:hint="default"/>
                <w:sz w:val="18"/>
                <w:szCs w:val="18"/>
              </w:rPr>
              <w:t>第三层次公允价值计量</w:t>
            </w:r>
          </w:p>
        </w:tc>
        <w:tc>
          <w:tcPr>
            <w:tcW w:w="134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5"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206" w:hRule="exact"/>
        </w:trPr>
        <w:tc>
          <w:tcPr>
            <w:tcW w:w="1971" w:type="dxa"/>
            <w:tcBorders>
              <w:top w:val="nil" w:sz="6" w:space="0" w:color="auto"/>
              <w:left w:val="single" w:sz="4" w:space="0" w:color="000000"/>
              <w:bottom w:val="single" w:sz="4" w:space="0" w:color="000000"/>
              <w:right w:val="single" w:sz="4" w:space="0" w:color="000000"/>
            </w:tcBorders>
            <w:shd w:val="clear" w:color="auto" w:fill="D2D2D2"/>
          </w:tcPr>
          <w:p>
            <w:pPr/>
          </w:p>
        </w:tc>
        <w:tc>
          <w:tcPr>
            <w:tcW w:w="2127" w:type="dxa"/>
            <w:vMerge/>
            <w:tcBorders>
              <w:left w:val="single" w:sz="4" w:space="0" w:color="000000"/>
              <w:bottom w:val="single" w:sz="4" w:space="0" w:color="000000"/>
              <w:right w:val="single" w:sz="4" w:space="0" w:color="000000"/>
            </w:tcBorders>
            <w:shd w:val="clear" w:color="auto" w:fill="D2D2D2"/>
          </w:tcPr>
          <w:p>
            <w:pPr/>
          </w:p>
        </w:tc>
        <w:tc>
          <w:tcPr>
            <w:tcW w:w="2127" w:type="dxa"/>
            <w:vMerge/>
            <w:tcBorders>
              <w:left w:val="single" w:sz="4" w:space="0" w:color="000000"/>
              <w:bottom w:val="single" w:sz="4" w:space="0" w:color="000000"/>
              <w:right w:val="single" w:sz="4" w:space="0" w:color="000000"/>
            </w:tcBorders>
            <w:shd w:val="clear" w:color="auto" w:fill="D2D2D2"/>
          </w:tcPr>
          <w:p>
            <w:pPr/>
          </w:p>
        </w:tc>
        <w:tc>
          <w:tcPr>
            <w:tcW w:w="1988" w:type="dxa"/>
            <w:vMerge/>
            <w:tcBorders>
              <w:left w:val="single" w:sz="4" w:space="0" w:color="000000"/>
              <w:bottom w:val="single" w:sz="4" w:space="0" w:color="000000"/>
              <w:right w:val="single" w:sz="4" w:space="0" w:color="000000"/>
            </w:tcBorders>
            <w:shd w:val="clear" w:color="auto" w:fill="D2D2D2"/>
          </w:tcPr>
          <w:p>
            <w:pPr/>
          </w:p>
        </w:tc>
        <w:tc>
          <w:tcPr>
            <w:tcW w:w="1349" w:type="dxa"/>
            <w:vMerge/>
            <w:tcBorders>
              <w:left w:val="single" w:sz="4" w:space="0" w:color="000000"/>
              <w:bottom w:val="single" w:sz="4" w:space="0" w:color="000000"/>
              <w:right w:val="single" w:sz="4" w:space="0" w:color="000000"/>
            </w:tcBorders>
            <w:shd w:val="clear" w:color="auto" w:fill="D2D2D2"/>
          </w:tcPr>
          <w:p>
            <w:pPr/>
          </w:p>
        </w:tc>
      </w:tr>
      <w:tr>
        <w:trPr>
          <w:trHeight w:val="404" w:hRule="exact"/>
        </w:trPr>
        <w:tc>
          <w:tcPr>
            <w:tcW w:w="1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6"/>
                <w:sz w:val="18"/>
                <w:szCs w:val="18"/>
              </w:rPr>
              <w:t>一、持续的公允价值计量</w:t>
            </w:r>
          </w:p>
        </w:tc>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1003" w:right="0"/>
              <w:jc w:val="left"/>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4"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1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927" w:right="0"/>
              <w:jc w:val="left"/>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1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r>
        <w:trPr>
          <w:trHeight w:val="403" w:hRule="exact"/>
        </w:trPr>
        <w:tc>
          <w:tcPr>
            <w:tcW w:w="1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（一）交易性金融资产</w:t>
            </w:r>
          </w:p>
        </w:tc>
        <w:tc>
          <w:tcPr>
            <w:tcW w:w="2127" w:type="dxa"/>
            <w:tcBorders>
              <w:top w:val="single" w:sz="4" w:space="0" w:color="000000"/>
              <w:left w:val="single" w:sz="10" w:space="0" w:color="D2D2D2"/>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917" w:right="0"/>
              <w:jc w:val="left"/>
              <w:rPr>
                <w:rFonts w:ascii="Times New Roman" w:hAnsi="Times New Roman" w:cs="Times New Roman" w:eastAsia="Times New Roman" w:hint="default"/>
                <w:sz w:val="18"/>
                <w:szCs w:val="18"/>
              </w:rPr>
            </w:pPr>
            <w:r>
              <w:rPr>
                <w:rFonts w:ascii="Times New Roman"/>
                <w:sz w:val="18"/>
              </w:rPr>
              <w:t>60,000,000.00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60,000,000.00</w:t>
            </w:r>
          </w:p>
        </w:tc>
      </w:tr>
      <w:tr>
        <w:trPr>
          <w:trHeight w:val="1027" w:hRule="exact"/>
        </w:trPr>
        <w:tc>
          <w:tcPr>
            <w:tcW w:w="1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3"/>
              <w:ind w:left="11" w:right="7"/>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以公允价值计量且其变</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动计入当期损益的金融</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资产</w:t>
            </w:r>
          </w:p>
        </w:tc>
        <w:tc>
          <w:tcPr>
            <w:tcW w:w="2127" w:type="dxa"/>
            <w:tcBorders>
              <w:top w:val="single" w:sz="4" w:space="0" w:color="000000"/>
              <w:left w:val="single" w:sz="10" w:space="0" w:color="D2D2D2"/>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917" w:right="0"/>
              <w:jc w:val="left"/>
              <w:rPr>
                <w:rFonts w:ascii="Times New Roman" w:hAnsi="Times New Roman" w:cs="Times New Roman" w:eastAsia="Times New Roman" w:hint="default"/>
                <w:sz w:val="18"/>
                <w:szCs w:val="18"/>
              </w:rPr>
            </w:pPr>
            <w:r>
              <w:rPr>
                <w:rFonts w:ascii="Times New Roman"/>
                <w:sz w:val="18"/>
              </w:rPr>
              <w:t>60,000,000.00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60,000,000.00</w:t>
            </w:r>
          </w:p>
        </w:tc>
      </w:tr>
      <w:tr>
        <w:trPr>
          <w:trHeight w:val="399" w:hRule="exact"/>
        </w:trPr>
        <w:tc>
          <w:tcPr>
            <w:tcW w:w="1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）债务工具投资</w:t>
            </w:r>
          </w:p>
        </w:tc>
        <w:tc>
          <w:tcPr>
            <w:tcW w:w="2127" w:type="dxa"/>
            <w:tcBorders>
              <w:top w:val="single" w:sz="4" w:space="0" w:color="000000"/>
              <w:left w:val="single" w:sz="10" w:space="0" w:color="D2D2D2"/>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917" w:right="0"/>
              <w:jc w:val="left"/>
              <w:rPr>
                <w:rFonts w:ascii="Times New Roman" w:hAnsi="Times New Roman" w:cs="Times New Roman" w:eastAsia="Times New Roman" w:hint="default"/>
                <w:sz w:val="18"/>
                <w:szCs w:val="18"/>
              </w:rPr>
            </w:pPr>
            <w:r>
              <w:rPr>
                <w:rFonts w:ascii="Times New Roman"/>
                <w:sz w:val="18"/>
              </w:rPr>
              <w:t>60,000,000.00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60,000,000.00</w:t>
            </w:r>
          </w:p>
        </w:tc>
      </w:tr>
      <w:tr>
        <w:trPr>
          <w:trHeight w:val="403" w:hRule="exact"/>
        </w:trPr>
        <w:tc>
          <w:tcPr>
            <w:tcW w:w="1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6"/>
                <w:sz w:val="18"/>
                <w:szCs w:val="18"/>
              </w:rPr>
              <w:t>（三）其他权益工具投资</w:t>
            </w:r>
          </w:p>
        </w:tc>
        <w:tc>
          <w:tcPr>
            <w:tcW w:w="212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42,250,014.54</w:t>
            </w:r>
          </w:p>
        </w:tc>
        <w:tc>
          <w:tcPr>
            <w:tcW w:w="2127" w:type="dxa"/>
            <w:tcBorders>
              <w:top w:val="single" w:sz="4" w:space="0" w:color="000000"/>
              <w:left w:val="single" w:sz="4" w:space="0" w:color="000000"/>
              <w:bottom w:val="single" w:sz="4" w:space="0" w:color="000000"/>
              <w:right w:val="single" w:sz="4" w:space="0" w:color="000000"/>
            </w:tcBorders>
          </w:tcPr>
          <w:p>
            <w:pP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917" w:right="0"/>
              <w:jc w:val="left"/>
              <w:rPr>
                <w:rFonts w:ascii="Times New Roman" w:hAnsi="Times New Roman" w:cs="Times New Roman" w:eastAsia="Times New Roman" w:hint="default"/>
                <w:sz w:val="18"/>
                <w:szCs w:val="18"/>
              </w:rPr>
            </w:pPr>
            <w:r>
              <w:rPr>
                <w:rFonts w:ascii="Times New Roman"/>
                <w:sz w:val="18"/>
              </w:rPr>
              <w:t>30,000,000.00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72,250,014.54</w:t>
            </w:r>
          </w:p>
        </w:tc>
      </w:tr>
      <w:tr>
        <w:trPr>
          <w:trHeight w:val="715" w:hRule="exact"/>
        </w:trPr>
        <w:tc>
          <w:tcPr>
            <w:tcW w:w="1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11" w:right="142"/>
              <w:jc w:val="left"/>
              <w:rPr>
                <w:rFonts w:ascii="宋体" w:hAnsi="宋体" w:cs="宋体" w:eastAsia="宋体" w:hint="default"/>
                <w:sz w:val="18"/>
                <w:szCs w:val="18"/>
              </w:rPr>
            </w:pPr>
            <w:r>
              <w:rPr>
                <w:rFonts w:ascii="宋体" w:hAnsi="宋体" w:cs="宋体" w:eastAsia="宋体" w:hint="default"/>
                <w:spacing w:val="-2"/>
                <w:sz w:val="18"/>
                <w:szCs w:val="18"/>
              </w:rPr>
              <w:t>持续以公允价值计量的</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资产总额</w:t>
            </w:r>
          </w:p>
        </w:tc>
        <w:tc>
          <w:tcPr>
            <w:tcW w:w="212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42,250,014.54</w:t>
            </w:r>
          </w:p>
        </w:tc>
        <w:tc>
          <w:tcPr>
            <w:tcW w:w="2127" w:type="dxa"/>
            <w:tcBorders>
              <w:top w:val="single" w:sz="4" w:space="0" w:color="000000"/>
              <w:left w:val="single" w:sz="4" w:space="0" w:color="000000"/>
              <w:bottom w:val="single" w:sz="4" w:space="0" w:color="000000"/>
              <w:right w:val="single" w:sz="4" w:space="0" w:color="000000"/>
            </w:tcBorders>
          </w:tcPr>
          <w:p>
            <w:pP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917" w:right="0"/>
              <w:jc w:val="left"/>
              <w:rPr>
                <w:rFonts w:ascii="Times New Roman" w:hAnsi="Times New Roman" w:cs="Times New Roman" w:eastAsia="Times New Roman" w:hint="default"/>
                <w:sz w:val="18"/>
                <w:szCs w:val="18"/>
              </w:rPr>
            </w:pPr>
            <w:r>
              <w:rPr>
                <w:rFonts w:ascii="Times New Roman"/>
                <w:sz w:val="18"/>
              </w:rPr>
              <w:t>90,000,000.00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132,250,014.54</w:t>
            </w:r>
          </w:p>
        </w:tc>
      </w:tr>
      <w:tr>
        <w:trPr>
          <w:trHeight w:val="404" w:hRule="exact"/>
        </w:trPr>
        <w:tc>
          <w:tcPr>
            <w:tcW w:w="1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（六）交易性金融负债</w:t>
            </w:r>
          </w:p>
        </w:tc>
        <w:tc>
          <w:tcPr>
            <w:tcW w:w="212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50,455.50</w:t>
            </w:r>
          </w:p>
        </w:tc>
        <w:tc>
          <w:tcPr>
            <w:tcW w:w="2127" w:type="dxa"/>
            <w:tcBorders>
              <w:top w:val="single" w:sz="4" w:space="0" w:color="000000"/>
              <w:left w:val="single" w:sz="4" w:space="0" w:color="000000"/>
              <w:bottom w:val="single" w:sz="4" w:space="0" w:color="000000"/>
              <w:right w:val="single" w:sz="4" w:space="0" w:color="000000"/>
            </w:tcBorders>
          </w:tcPr>
          <w:p>
            <w:pPr/>
          </w:p>
        </w:tc>
        <w:tc>
          <w:tcPr>
            <w:tcW w:w="1988"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50,455.50</w:t>
            </w:r>
          </w:p>
        </w:tc>
      </w:tr>
      <w:tr>
        <w:trPr>
          <w:trHeight w:val="710" w:hRule="exact"/>
        </w:trPr>
        <w:tc>
          <w:tcPr>
            <w:tcW w:w="1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 w:right="142"/>
              <w:jc w:val="left"/>
              <w:rPr>
                <w:rFonts w:ascii="宋体" w:hAnsi="宋体" w:cs="宋体" w:eastAsia="宋体" w:hint="default"/>
                <w:sz w:val="18"/>
                <w:szCs w:val="18"/>
              </w:rPr>
            </w:pPr>
            <w:r>
              <w:rPr>
                <w:rFonts w:ascii="宋体" w:hAnsi="宋体" w:cs="宋体" w:eastAsia="宋体" w:hint="default"/>
                <w:spacing w:val="-2"/>
                <w:sz w:val="18"/>
                <w:szCs w:val="18"/>
              </w:rPr>
              <w:t>持续以公允价值计量的</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负债总额</w:t>
            </w:r>
          </w:p>
        </w:tc>
        <w:tc>
          <w:tcPr>
            <w:tcW w:w="212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50,455.50</w:t>
            </w:r>
          </w:p>
        </w:tc>
        <w:tc>
          <w:tcPr>
            <w:tcW w:w="2127" w:type="dxa"/>
            <w:tcBorders>
              <w:top w:val="single" w:sz="4" w:space="0" w:color="000000"/>
              <w:left w:val="single" w:sz="4" w:space="0" w:color="000000"/>
              <w:bottom w:val="single" w:sz="4" w:space="0" w:color="000000"/>
              <w:right w:val="single" w:sz="4" w:space="0" w:color="000000"/>
            </w:tcBorders>
          </w:tcPr>
          <w:p>
            <w:pPr/>
          </w:p>
        </w:tc>
        <w:tc>
          <w:tcPr>
            <w:tcW w:w="1988"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50,455.50</w:t>
            </w:r>
          </w:p>
        </w:tc>
      </w:tr>
      <w:tr>
        <w:trPr>
          <w:trHeight w:val="163" w:hRule="exact"/>
        </w:trPr>
        <w:tc>
          <w:tcPr>
            <w:tcW w:w="1971" w:type="dxa"/>
            <w:vMerge w:val="restart"/>
            <w:tcBorders>
              <w:top w:val="single" w:sz="4" w:space="0" w:color="000000"/>
              <w:left w:val="single" w:sz="4" w:space="0" w:color="000000"/>
              <w:right w:val="single" w:sz="4" w:space="0" w:color="000000"/>
            </w:tcBorders>
            <w:shd w:val="clear" w:color="auto" w:fill="D2D2D2"/>
          </w:tcPr>
          <w:p>
            <w:pPr>
              <w:pStyle w:val="TableParagraph"/>
              <w:spacing w:line="321" w:lineRule="auto" w:before="53"/>
              <w:ind w:left="11" w:right="3"/>
              <w:jc w:val="left"/>
              <w:rPr>
                <w:rFonts w:ascii="宋体" w:hAnsi="宋体" w:cs="宋体" w:eastAsia="宋体" w:hint="default"/>
                <w:sz w:val="18"/>
                <w:szCs w:val="18"/>
              </w:rPr>
            </w:pPr>
            <w:r>
              <w:rPr>
                <w:rFonts w:ascii="宋体" w:hAnsi="宋体" w:cs="宋体" w:eastAsia="宋体" w:hint="default"/>
                <w:spacing w:val="-6"/>
                <w:sz w:val="18"/>
                <w:szCs w:val="18"/>
              </w:rPr>
              <w:t>二、非持续的公允价值计</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量</w:t>
            </w:r>
          </w:p>
        </w:tc>
        <w:tc>
          <w:tcPr>
            <w:tcW w:w="2127" w:type="dxa"/>
            <w:tcBorders>
              <w:top w:val="single" w:sz="4" w:space="0" w:color="000000"/>
              <w:left w:val="single" w:sz="4" w:space="0" w:color="000000"/>
              <w:bottom w:val="nil" w:sz="6" w:space="0" w:color="auto"/>
              <w:right w:val="single" w:sz="4" w:space="0" w:color="000000"/>
            </w:tcBorders>
            <w:shd w:val="clear" w:color="auto" w:fill="D2D2D2"/>
          </w:tcPr>
          <w:p>
            <w:pPr/>
          </w:p>
        </w:tc>
        <w:tc>
          <w:tcPr>
            <w:tcW w:w="2127" w:type="dxa"/>
            <w:tcBorders>
              <w:top w:val="single" w:sz="4" w:space="0" w:color="000000"/>
              <w:left w:val="single" w:sz="4" w:space="0" w:color="000000"/>
              <w:bottom w:val="nil" w:sz="6" w:space="0" w:color="auto"/>
              <w:right w:val="single" w:sz="4" w:space="0" w:color="000000"/>
            </w:tcBorders>
            <w:shd w:val="clear" w:color="auto" w:fill="D2D2D2"/>
          </w:tcPr>
          <w:p>
            <w:pPr/>
          </w:p>
        </w:tc>
        <w:tc>
          <w:tcPr>
            <w:tcW w:w="1988" w:type="dxa"/>
            <w:tcBorders>
              <w:top w:val="single" w:sz="4" w:space="0" w:color="000000"/>
              <w:left w:val="single" w:sz="4" w:space="0" w:color="000000"/>
              <w:bottom w:val="nil" w:sz="6" w:space="0" w:color="auto"/>
              <w:right w:val="single" w:sz="4" w:space="0" w:color="000000"/>
            </w:tcBorders>
            <w:shd w:val="clear" w:color="auto" w:fill="D2D2D2"/>
          </w:tcPr>
          <w:p>
            <w:pPr/>
          </w:p>
        </w:tc>
        <w:tc>
          <w:tcPr>
            <w:tcW w:w="134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4" w:hRule="exact"/>
        </w:trPr>
        <w:tc>
          <w:tcPr>
            <w:tcW w:w="1971" w:type="dxa"/>
            <w:vMerge/>
            <w:tcBorders>
              <w:left w:val="single" w:sz="4" w:space="0" w:color="000000"/>
              <w:right w:val="single" w:sz="4" w:space="0" w:color="000000"/>
            </w:tcBorders>
            <w:shd w:val="clear" w:color="auto" w:fill="D2D2D2"/>
          </w:tcPr>
          <w:p>
            <w:pPr/>
          </w:p>
        </w:tc>
        <w:tc>
          <w:tcPr>
            <w:tcW w:w="21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6"/>
              <w:ind w:left="1003" w:right="0"/>
              <w:jc w:val="left"/>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21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6"/>
              <w:ind w:left="4"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198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6"/>
              <w:ind w:left="927" w:right="0"/>
              <w:jc w:val="left"/>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134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6"/>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r>
        <w:trPr>
          <w:trHeight w:val="158" w:hRule="exact"/>
        </w:trPr>
        <w:tc>
          <w:tcPr>
            <w:tcW w:w="1971" w:type="dxa"/>
            <w:vMerge/>
            <w:tcBorders>
              <w:left w:val="single" w:sz="4" w:space="0" w:color="000000"/>
              <w:bottom w:val="single" w:sz="4" w:space="0" w:color="000000"/>
              <w:right w:val="single" w:sz="4" w:space="0" w:color="000000"/>
            </w:tcBorders>
            <w:shd w:val="clear" w:color="auto" w:fill="D2D2D2"/>
          </w:tcPr>
          <w:p>
            <w:pPr/>
          </w:p>
        </w:tc>
        <w:tc>
          <w:tcPr>
            <w:tcW w:w="2127" w:type="dxa"/>
            <w:tcBorders>
              <w:top w:val="nil" w:sz="6" w:space="0" w:color="auto"/>
              <w:left w:val="single" w:sz="4" w:space="0" w:color="000000"/>
              <w:bottom w:val="single" w:sz="4" w:space="0" w:color="000000"/>
              <w:right w:val="single" w:sz="4" w:space="0" w:color="000000"/>
            </w:tcBorders>
            <w:shd w:val="clear" w:color="auto" w:fill="D2D2D2"/>
          </w:tcPr>
          <w:p>
            <w:pPr/>
          </w:p>
        </w:tc>
        <w:tc>
          <w:tcPr>
            <w:tcW w:w="2127" w:type="dxa"/>
            <w:tcBorders>
              <w:top w:val="nil" w:sz="6" w:space="0" w:color="auto"/>
              <w:left w:val="single" w:sz="4" w:space="0" w:color="000000"/>
              <w:bottom w:val="single" w:sz="4" w:space="0" w:color="000000"/>
              <w:right w:val="single" w:sz="4" w:space="0" w:color="000000"/>
            </w:tcBorders>
            <w:shd w:val="clear" w:color="auto" w:fill="D2D2D2"/>
          </w:tcPr>
          <w:p>
            <w:pPr/>
          </w:p>
        </w:tc>
        <w:tc>
          <w:tcPr>
            <w:tcW w:w="198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49" w:type="dxa"/>
            <w:tcBorders>
              <w:top w:val="nil" w:sz="6" w:space="0" w:color="auto"/>
              <w:left w:val="single" w:sz="4" w:space="0" w:color="000000"/>
              <w:bottom w:val="single" w:sz="4" w:space="0" w:color="000000"/>
              <w:right w:val="single" w:sz="4" w:space="0" w:color="000000"/>
            </w:tcBorders>
            <w:shd w:val="clear" w:color="auto" w:fill="D2D2D2"/>
          </w:tcPr>
          <w:p>
            <w:pP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2、持续和非持续第一层次公允价值计量项目市价的确定依据" w:id="367"/>
      <w:bookmarkEnd w:id="367"/>
      <w:r>
        <w:rPr>
          <w:b w:val="0"/>
          <w:bCs w:val="0"/>
        </w:rPr>
      </w:r>
      <w:r>
        <w:rPr>
          <w:rFonts w:ascii="Times New Roman" w:hAnsi="Times New Roman" w:cs="Times New Roman" w:eastAsia="Times New Roman" w:hint="default"/>
        </w:rPr>
        <w:t>2</w:t>
      </w:r>
      <w:r>
        <w:rPr/>
        <w:t>、持续和非持续第一层次公允价值计量项目市价的确定依据</w:t>
      </w:r>
      <w:r>
        <w:rPr>
          <w:b w:val="0"/>
          <w:bCs w:val="0"/>
        </w:rPr>
      </w:r>
    </w:p>
    <w:p>
      <w:pPr>
        <w:spacing w:line="240" w:lineRule="auto" w:before="7"/>
        <w:rPr>
          <w:rFonts w:ascii="宋体" w:hAnsi="宋体" w:cs="宋体" w:eastAsia="宋体" w:hint="default"/>
          <w:b/>
          <w:bCs/>
          <w:sz w:val="32"/>
          <w:szCs w:val="32"/>
        </w:rPr>
      </w:pPr>
    </w:p>
    <w:p>
      <w:pPr>
        <w:pStyle w:val="BodyText"/>
        <w:spacing w:line="453" w:lineRule="auto"/>
        <w:ind w:right="0" w:firstLine="360"/>
        <w:jc w:val="left"/>
      </w:pPr>
      <w:r>
        <w:rPr>
          <w:rFonts w:ascii="Times New Roman" w:hAnsi="Times New Roman" w:cs="Times New Roman" w:eastAsia="Times New Roman" w:hint="default"/>
          <w:spacing w:val="-3"/>
        </w:rPr>
        <w:t>1</w:t>
      </w:r>
      <w:r>
        <w:rPr>
          <w:spacing w:val="-3"/>
        </w:rPr>
        <w:t>、本公司对深圳票联金融服务有限公司、北京智帆金科信息服务有限公司的其他权益工具投资公允价值，根据报告期</w:t>
      </w:r>
      <w:r>
        <w:rPr>
          <w:w w:val="101"/>
        </w:rPr>
        <w:t> </w:t>
      </w:r>
      <w:r>
        <w:rPr>
          <w:spacing w:val="-3"/>
        </w:rPr>
        <w:t>内被投资方增资协议约定的对价作为估计基础进行计量。</w:t>
      </w:r>
    </w:p>
    <w:p>
      <w:pPr>
        <w:pStyle w:val="BodyText"/>
        <w:spacing w:line="453" w:lineRule="auto" w:before="70"/>
        <w:ind w:right="0" w:firstLine="360"/>
        <w:jc w:val="left"/>
      </w:pPr>
      <w:r>
        <w:rPr>
          <w:rFonts w:ascii="Times New Roman" w:hAnsi="Times New Roman" w:cs="Times New Roman" w:eastAsia="Times New Roman" w:hint="default"/>
          <w:spacing w:val="-3"/>
        </w:rPr>
        <w:t>2</w:t>
      </w:r>
      <w:r>
        <w:rPr>
          <w:spacing w:val="-3"/>
        </w:rPr>
        <w:t>、本公司持有的分类以公允价值计量且其变动计入当期损益的金融资产，系公司根据持有的远期结售汇锁定汇率和资</w:t>
      </w:r>
      <w:r>
        <w:rPr>
          <w:w w:val="101"/>
        </w:rPr>
        <w:t> </w:t>
      </w:r>
      <w:r>
        <w:rPr>
          <w:spacing w:val="-3"/>
        </w:rPr>
        <w:t>产负债表日的剩余交割期限对应的远期汇率之间的差额确认。</w:t>
      </w:r>
    </w:p>
    <w:p>
      <w:pPr>
        <w:spacing w:line="240" w:lineRule="auto" w:before="3"/>
        <w:rPr>
          <w:rFonts w:ascii="宋体" w:hAnsi="宋体" w:cs="宋体" w:eastAsia="宋体" w:hint="default"/>
          <w:sz w:val="20"/>
          <w:szCs w:val="20"/>
        </w:rPr>
      </w:pPr>
    </w:p>
    <w:p>
      <w:pPr>
        <w:pStyle w:val="Heading3"/>
        <w:spacing w:line="240" w:lineRule="auto"/>
        <w:ind w:right="0"/>
        <w:jc w:val="left"/>
        <w:rPr>
          <w:b w:val="0"/>
          <w:bCs w:val="0"/>
        </w:rPr>
      </w:pPr>
      <w:bookmarkStart w:name="3、持续和非持续第二层次公允价值计量项目，采用的估值技术和重要参数的定性及定量信" w:id="368"/>
      <w:bookmarkEnd w:id="368"/>
      <w:r>
        <w:rPr>
          <w:b w:val="0"/>
          <w:bCs w:val="0"/>
        </w:rPr>
      </w:r>
      <w:r>
        <w:rPr>
          <w:rFonts w:ascii="Times New Roman" w:hAnsi="Times New Roman" w:cs="Times New Roman" w:eastAsia="Times New Roman" w:hint="default"/>
        </w:rPr>
        <w:t>3</w:t>
      </w:r>
      <w:r>
        <w:rPr/>
        <w:t>、持续和非持续第二层次公允价值计量项目，采用的估值技术和重要参数的定性及定量信息</w:t>
      </w:r>
      <w:r>
        <w:rPr>
          <w:b w:val="0"/>
          <w:bCs w:val="0"/>
        </w:rPr>
      </w:r>
    </w:p>
    <w:p>
      <w:pPr>
        <w:spacing w:line="240" w:lineRule="auto" w:before="12"/>
        <w:rPr>
          <w:rFonts w:ascii="宋体" w:hAnsi="宋体" w:cs="宋体" w:eastAsia="宋体" w:hint="default"/>
          <w:b/>
          <w:bCs/>
          <w:sz w:val="32"/>
          <w:szCs w:val="32"/>
        </w:rPr>
      </w:pPr>
    </w:p>
    <w:p>
      <w:pPr>
        <w:pStyle w:val="BodyText"/>
        <w:spacing w:line="240" w:lineRule="auto"/>
        <w:ind w:left="513" w:right="0"/>
        <w:jc w:val="left"/>
      </w:pPr>
      <w:r>
        <w:rPr/>
        <w:t>不适用。</w:t>
      </w: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14"/>
          <w:szCs w:val="14"/>
        </w:rPr>
      </w:pPr>
    </w:p>
    <w:p>
      <w:pPr>
        <w:pStyle w:val="Heading3"/>
        <w:spacing w:line="240" w:lineRule="auto"/>
        <w:ind w:right="0"/>
        <w:jc w:val="left"/>
        <w:rPr>
          <w:b w:val="0"/>
          <w:bCs w:val="0"/>
        </w:rPr>
      </w:pPr>
      <w:bookmarkStart w:name="4、持续和非持续第三层次公允价值计量项目，采用的估值技术和重要参数的定性及定量信" w:id="369"/>
      <w:bookmarkEnd w:id="369"/>
      <w:r>
        <w:rPr>
          <w:b w:val="0"/>
          <w:bCs w:val="0"/>
        </w:rPr>
      </w:r>
      <w:r>
        <w:rPr>
          <w:rFonts w:ascii="Times New Roman" w:hAnsi="Times New Roman" w:cs="Times New Roman" w:eastAsia="Times New Roman" w:hint="default"/>
        </w:rPr>
        <w:t>4</w:t>
      </w:r>
      <w:r>
        <w:rPr/>
        <w:t>、持续和非持续第三层次公允价值计量项目，采用的估值技术和重要参数的定性及定量信息</w:t>
      </w:r>
      <w:r>
        <w:rPr>
          <w:b w:val="0"/>
          <w:bCs w:val="0"/>
        </w:rPr>
      </w:r>
    </w:p>
    <w:p>
      <w:pPr>
        <w:spacing w:line="240" w:lineRule="auto" w:before="8"/>
        <w:rPr>
          <w:rFonts w:ascii="宋体" w:hAnsi="宋体" w:cs="宋体" w:eastAsia="宋体" w:hint="default"/>
          <w:b/>
          <w:bCs/>
          <w:sz w:val="32"/>
          <w:szCs w:val="32"/>
        </w:rPr>
      </w:pPr>
    </w:p>
    <w:p>
      <w:pPr>
        <w:pStyle w:val="BodyText"/>
        <w:spacing w:line="240" w:lineRule="auto"/>
        <w:ind w:left="513" w:right="0"/>
        <w:jc w:val="left"/>
      </w:pPr>
      <w:r>
        <w:rPr>
          <w:rFonts w:ascii="Times New Roman" w:hAnsi="Times New Roman" w:cs="Times New Roman" w:eastAsia="Times New Roman" w:hint="default"/>
          <w:spacing w:val="-3"/>
        </w:rPr>
        <w:t>1</w:t>
      </w:r>
      <w:r>
        <w:rPr>
          <w:spacing w:val="-3"/>
        </w:rPr>
        <w:t>、对于购买的保本浮动收益型银行短期理财产品，采用票面金额确定其公允价值；</w:t>
      </w:r>
    </w:p>
    <w:p>
      <w:pPr>
        <w:pStyle w:val="BodyText"/>
        <w:spacing w:line="450" w:lineRule="atLeast" w:before="20"/>
        <w:ind w:right="0" w:firstLine="360"/>
        <w:jc w:val="left"/>
      </w:pPr>
      <w:r>
        <w:rPr>
          <w:rFonts w:ascii="Times New Roman" w:hAnsi="Times New Roman" w:cs="Times New Roman" w:eastAsia="Times New Roman" w:hint="default"/>
          <w:spacing w:val="-3"/>
        </w:rPr>
        <w:t>2</w:t>
      </w:r>
      <w:r>
        <w:rPr>
          <w:spacing w:val="-3"/>
        </w:rPr>
        <w:t>、被投资单位上海保险交易所股份有限公司的经营环境和经营情况、财务状况未发生重大变化，按投资成本作为公允</w:t>
      </w:r>
      <w:r>
        <w:rPr>
          <w:w w:val="101"/>
        </w:rPr>
        <w:t> </w:t>
      </w:r>
      <w:r>
        <w:rPr>
          <w:spacing w:val="-3"/>
        </w:rPr>
        <w:t>价值的合理估计进行计量。</w:t>
      </w:r>
    </w:p>
    <w:p>
      <w:pPr>
        <w:spacing w:after="0" w:line="450" w:lineRule="atLeast"/>
        <w:jc w:val="left"/>
        <w:sectPr>
          <w:footerReference w:type="default" r:id="rId41"/>
          <w:pgSz w:w="11910" w:h="16840"/>
          <w:pgMar w:footer="1186" w:header="871" w:top="1100" w:bottom="1380" w:left="980" w:right="0"/>
          <w:pgNumType w:start="194"/>
        </w:sectPr>
      </w:pPr>
    </w:p>
    <w:p>
      <w:pPr>
        <w:spacing w:line="240" w:lineRule="auto" w:before="0"/>
        <w:rPr>
          <w:rFonts w:ascii="宋体" w:hAnsi="宋体" w:cs="宋体" w:eastAsia="宋体" w:hint="default"/>
          <w:sz w:val="21"/>
          <w:szCs w:val="21"/>
        </w:rPr>
      </w:pPr>
    </w:p>
    <w:p>
      <w:pPr>
        <w:pStyle w:val="Heading3"/>
        <w:spacing w:line="240" w:lineRule="auto" w:before="36"/>
        <w:ind w:right="0"/>
        <w:jc w:val="left"/>
        <w:rPr>
          <w:b w:val="0"/>
          <w:bCs w:val="0"/>
        </w:rPr>
      </w:pPr>
      <w:bookmarkStart w:name="5、不以公允价值计量的金融资产和金融负债的公允价值情况" w:id="370"/>
      <w:bookmarkEnd w:id="370"/>
      <w:r>
        <w:rPr>
          <w:b w:val="0"/>
          <w:bCs w:val="0"/>
        </w:rPr>
      </w:r>
      <w:r>
        <w:rPr>
          <w:rFonts w:ascii="Times New Roman" w:hAnsi="Times New Roman" w:cs="Times New Roman" w:eastAsia="Times New Roman" w:hint="default"/>
        </w:rPr>
        <w:t>5</w:t>
      </w:r>
      <w:r>
        <w:rPr/>
        <w:t>、不以公允价值计量的金融资产和金融负债的公允价值情况</w:t>
      </w:r>
      <w:r>
        <w:rPr>
          <w:b w:val="0"/>
          <w:bCs w:val="0"/>
        </w:rPr>
      </w:r>
    </w:p>
    <w:p>
      <w:pPr>
        <w:spacing w:line="240" w:lineRule="auto" w:before="7"/>
        <w:rPr>
          <w:rFonts w:ascii="宋体" w:hAnsi="宋体" w:cs="宋体" w:eastAsia="宋体" w:hint="default"/>
          <w:b/>
          <w:bCs/>
          <w:sz w:val="32"/>
          <w:szCs w:val="32"/>
        </w:rPr>
      </w:pPr>
    </w:p>
    <w:p>
      <w:pPr>
        <w:pStyle w:val="BodyText"/>
        <w:spacing w:line="475" w:lineRule="auto"/>
        <w:ind w:right="0" w:firstLine="360"/>
        <w:jc w:val="left"/>
      </w:pPr>
      <w:r>
        <w:rPr>
          <w:spacing w:val="-5"/>
        </w:rPr>
        <w:t>本公司以摊余成本计量的金融资产和金融负债主要包括：货币资金、应收票据、应收账款、其他应收款、短期借款、应</w:t>
      </w:r>
      <w:r>
        <w:rPr>
          <w:w w:val="101"/>
        </w:rPr>
        <w:t> </w:t>
      </w:r>
      <w:r>
        <w:rPr>
          <w:spacing w:val="-3"/>
        </w:rPr>
        <w:t>付票据、应付账款、其他应付款等。本公司不以公允价值计量的金融资产和金融负债的账面价值与公允价值相差很小。</w:t>
      </w:r>
    </w:p>
    <w:p>
      <w:pPr>
        <w:spacing w:line="240" w:lineRule="auto" w:before="1"/>
        <w:rPr>
          <w:rFonts w:ascii="宋体" w:hAnsi="宋体" w:cs="宋体" w:eastAsia="宋体" w:hint="default"/>
          <w:sz w:val="17"/>
          <w:szCs w:val="17"/>
        </w:rPr>
      </w:pPr>
    </w:p>
    <w:p>
      <w:pPr>
        <w:pStyle w:val="Heading2"/>
        <w:spacing w:line="240" w:lineRule="auto"/>
        <w:ind w:right="0"/>
        <w:jc w:val="left"/>
        <w:rPr>
          <w:b w:val="0"/>
          <w:bCs w:val="0"/>
        </w:rPr>
      </w:pPr>
      <w:bookmarkStart w:name="十二、关联方及关联交易" w:id="371"/>
      <w:bookmarkEnd w:id="371"/>
      <w:r>
        <w:rPr>
          <w:b w:val="0"/>
          <w:bCs w:val="0"/>
        </w:rPr>
      </w:r>
      <w:r>
        <w:rPr/>
        <w:t>十二、关联方及关联交易</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left"/>
        <w:rPr>
          <w:b w:val="0"/>
          <w:bCs w:val="0"/>
        </w:rPr>
      </w:pPr>
      <w:bookmarkStart w:name="1、本企业的母公司情况" w:id="372"/>
      <w:bookmarkEnd w:id="372"/>
      <w:r>
        <w:rPr>
          <w:b w:val="0"/>
          <w:bCs w:val="0"/>
        </w:rPr>
      </w:r>
      <w:r>
        <w:rPr>
          <w:rFonts w:ascii="Times New Roman" w:hAnsi="Times New Roman" w:cs="Times New Roman" w:eastAsia="Times New Roman" w:hint="default"/>
        </w:rPr>
        <w:t>1</w:t>
      </w:r>
      <w:r>
        <w:rPr/>
        <w:t>、本企业的母公司情况</w:t>
      </w:r>
      <w:r>
        <w:rPr>
          <w:b w:val="0"/>
          <w:bCs w:val="0"/>
        </w:rPr>
      </w:r>
    </w:p>
    <w:p>
      <w:pPr>
        <w:spacing w:line="240" w:lineRule="auto" w:before="12"/>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594"/>
        <w:gridCol w:w="1594"/>
        <w:gridCol w:w="1595"/>
        <w:gridCol w:w="1599"/>
        <w:gridCol w:w="1594"/>
        <w:gridCol w:w="1594"/>
      </w:tblGrid>
      <w:tr>
        <w:trPr>
          <w:trHeight w:val="715"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345" w:right="0"/>
              <w:jc w:val="left"/>
              <w:rPr>
                <w:rFonts w:ascii="宋体" w:hAnsi="宋体" w:cs="宋体" w:eastAsia="宋体" w:hint="default"/>
                <w:sz w:val="18"/>
                <w:szCs w:val="18"/>
              </w:rPr>
            </w:pPr>
            <w:r>
              <w:rPr>
                <w:rFonts w:ascii="宋体" w:hAnsi="宋体" w:cs="宋体" w:eastAsia="宋体" w:hint="default"/>
                <w:sz w:val="18"/>
                <w:szCs w:val="18"/>
              </w:rPr>
              <w:t>母公司名称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436"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431" w:right="65" w:hanging="360"/>
              <w:jc w:val="left"/>
              <w:rPr>
                <w:rFonts w:ascii="宋体" w:hAnsi="宋体" w:cs="宋体" w:eastAsia="宋体" w:hint="default"/>
                <w:sz w:val="18"/>
                <w:szCs w:val="18"/>
              </w:rPr>
            </w:pPr>
            <w:r>
              <w:rPr>
                <w:rFonts w:ascii="宋体" w:hAnsi="宋体" w:cs="宋体" w:eastAsia="宋体" w:hint="default"/>
                <w:spacing w:val="-2"/>
                <w:sz w:val="18"/>
                <w:szCs w:val="18"/>
              </w:rPr>
              <w:t>母公司对本企业的</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持股比例</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345" w:right="65" w:hanging="274"/>
              <w:jc w:val="left"/>
              <w:rPr>
                <w:rFonts w:ascii="宋体" w:hAnsi="宋体" w:cs="宋体" w:eastAsia="宋体" w:hint="default"/>
                <w:sz w:val="18"/>
                <w:szCs w:val="18"/>
              </w:rPr>
            </w:pPr>
            <w:r>
              <w:rPr>
                <w:rFonts w:ascii="宋体" w:hAnsi="宋体" w:cs="宋体" w:eastAsia="宋体" w:hint="default"/>
                <w:spacing w:val="-2"/>
                <w:sz w:val="18"/>
                <w:szCs w:val="18"/>
              </w:rPr>
              <w:t>母公司对本企业的</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表决权比例</w:t>
            </w:r>
          </w:p>
        </w:tc>
      </w:tr>
      <w:tr>
        <w:trPr>
          <w:trHeight w:val="398"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张学君</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8"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18.98%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18.98%</w:t>
            </w:r>
          </w:p>
        </w:tc>
      </w:tr>
      <w:tr>
        <w:trPr>
          <w:trHeight w:val="40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陈向军</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8"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8.16%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8.16%</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李军</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8"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8.16%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8.16%</w:t>
            </w:r>
          </w:p>
        </w:tc>
      </w:tr>
    </w:tbl>
    <w:p>
      <w:pPr>
        <w:pStyle w:val="BodyText"/>
        <w:spacing w:line="439" w:lineRule="auto" w:before="53"/>
        <w:ind w:left="513" w:right="2115" w:hanging="360"/>
        <w:jc w:val="left"/>
      </w:pPr>
      <w:r>
        <w:rPr>
          <w:spacing w:val="-3"/>
        </w:rPr>
        <w:t>本企业的母公司情况的说明</w:t>
      </w:r>
      <w:r>
        <w:rPr>
          <w:spacing w:val="-51"/>
        </w:rPr>
        <w:t> </w:t>
      </w:r>
      <w:r>
        <w:rPr>
          <w:spacing w:val="-51"/>
        </w:rPr>
      </w:r>
      <w:r>
        <w:rPr>
          <w:spacing w:val="-3"/>
        </w:rPr>
        <w:t>张学君、陈向军、李军三人以一致行动人的方式对公司实施共同控制，为本公司控股股东和实际控制人。</w:t>
      </w:r>
    </w:p>
    <w:p>
      <w:pPr>
        <w:pStyle w:val="BodyText"/>
        <w:spacing w:line="362" w:lineRule="auto" w:before="42"/>
        <w:ind w:right="6680"/>
        <w:jc w:val="left"/>
      </w:pPr>
      <w:r>
        <w:rPr>
          <w:spacing w:val="-3"/>
        </w:rPr>
        <w:t>本企业最终控制方是张学君、陈向军、李军。</w:t>
      </w:r>
      <w:r>
        <w:rPr>
          <w:spacing w:val="-27"/>
        </w:rPr>
        <w:t> </w:t>
      </w:r>
      <w:r>
        <w:rPr>
          <w:spacing w:val="-27"/>
        </w:rPr>
      </w:r>
      <w:r>
        <w:rPr/>
        <w:t>其他说明：</w:t>
      </w:r>
    </w:p>
    <w:p>
      <w:pPr>
        <w:spacing w:line="240" w:lineRule="auto" w:before="3"/>
        <w:rPr>
          <w:rFonts w:ascii="宋体" w:hAnsi="宋体" w:cs="宋体" w:eastAsia="宋体" w:hint="default"/>
          <w:sz w:val="19"/>
          <w:szCs w:val="19"/>
        </w:rPr>
      </w:pPr>
    </w:p>
    <w:p>
      <w:pPr>
        <w:pStyle w:val="Heading3"/>
        <w:spacing w:line="240" w:lineRule="auto"/>
        <w:ind w:right="0"/>
        <w:jc w:val="left"/>
        <w:rPr>
          <w:b w:val="0"/>
          <w:bCs w:val="0"/>
        </w:rPr>
      </w:pPr>
      <w:bookmarkStart w:name="2、本企业的子公司情况" w:id="373"/>
      <w:bookmarkEnd w:id="373"/>
      <w:r>
        <w:rPr>
          <w:b w:val="0"/>
          <w:bCs w:val="0"/>
        </w:rPr>
      </w:r>
      <w:r>
        <w:rPr>
          <w:rFonts w:ascii="Times New Roman" w:hAnsi="Times New Roman" w:cs="Times New Roman" w:eastAsia="Times New Roman" w:hint="default"/>
        </w:rPr>
        <w:t>2</w:t>
      </w:r>
      <w:r>
        <w:rPr/>
        <w:t>、本企业的子公司情况</w:t>
      </w:r>
      <w:r>
        <w:rPr>
          <w:b w:val="0"/>
          <w:bCs w:val="0"/>
        </w:rPr>
      </w:r>
    </w:p>
    <w:p>
      <w:pPr>
        <w:spacing w:line="240" w:lineRule="auto" w:before="12"/>
        <w:rPr>
          <w:rFonts w:ascii="宋体" w:hAnsi="宋体" w:cs="宋体" w:eastAsia="宋体" w:hint="default"/>
          <w:b/>
          <w:bCs/>
          <w:sz w:val="32"/>
          <w:szCs w:val="32"/>
        </w:rPr>
      </w:pPr>
    </w:p>
    <w:p>
      <w:pPr>
        <w:pStyle w:val="BodyText"/>
        <w:spacing w:line="240" w:lineRule="auto"/>
        <w:ind w:left="513" w:right="0"/>
        <w:jc w:val="left"/>
      </w:pPr>
      <w:r>
        <w:rPr>
          <w:spacing w:val="-3"/>
        </w:rPr>
        <w:t>本企业子公司的情况详见附注九、</w:t>
      </w:r>
      <w:r>
        <w:rPr>
          <w:rFonts w:ascii="Times New Roman" w:hAnsi="Times New Roman" w:cs="Times New Roman" w:eastAsia="Times New Roman" w:hint="default"/>
          <w:spacing w:val="-3"/>
        </w:rPr>
        <w:t>1</w:t>
      </w:r>
      <w:r>
        <w:rPr>
          <w:spacing w:val="-3"/>
        </w:rPr>
        <w:t>、在子公司中的权益。</w:t>
      </w: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13"/>
          <w:szCs w:val="13"/>
        </w:rPr>
      </w:pPr>
    </w:p>
    <w:p>
      <w:pPr>
        <w:pStyle w:val="Heading3"/>
        <w:spacing w:line="240" w:lineRule="auto"/>
        <w:ind w:right="0"/>
        <w:jc w:val="left"/>
        <w:rPr>
          <w:b w:val="0"/>
          <w:bCs w:val="0"/>
        </w:rPr>
      </w:pPr>
      <w:bookmarkStart w:name="3、本企业合营和联营企业情况" w:id="374"/>
      <w:bookmarkEnd w:id="374"/>
      <w:r>
        <w:rPr>
          <w:b w:val="0"/>
          <w:bCs w:val="0"/>
        </w:rPr>
      </w:r>
      <w:r>
        <w:rPr>
          <w:rFonts w:ascii="Times New Roman" w:hAnsi="Times New Roman" w:cs="Times New Roman" w:eastAsia="Times New Roman" w:hint="default"/>
        </w:rPr>
        <w:t>3</w:t>
      </w:r>
      <w:r>
        <w:rPr/>
        <w:t>、本企业合营和联营企业情况</w:t>
      </w:r>
      <w:r>
        <w:rPr>
          <w:b w:val="0"/>
          <w:bCs w:val="0"/>
        </w:rPr>
      </w:r>
    </w:p>
    <w:p>
      <w:pPr>
        <w:spacing w:line="240" w:lineRule="auto" w:before="12"/>
        <w:rPr>
          <w:rFonts w:ascii="宋体" w:hAnsi="宋体" w:cs="宋体" w:eastAsia="宋体" w:hint="default"/>
          <w:b/>
          <w:bCs/>
          <w:sz w:val="32"/>
          <w:szCs w:val="32"/>
        </w:rPr>
      </w:pPr>
    </w:p>
    <w:p>
      <w:pPr>
        <w:pStyle w:val="BodyText"/>
        <w:spacing w:line="240" w:lineRule="auto"/>
        <w:ind w:left="513" w:right="0"/>
        <w:jc w:val="left"/>
      </w:pPr>
      <w:r>
        <w:rPr>
          <w:spacing w:val="-3"/>
        </w:rPr>
        <w:t>本企业重要的合营或联营企业详见附注九、</w:t>
      </w:r>
      <w:r>
        <w:rPr>
          <w:rFonts w:ascii="Times New Roman" w:hAnsi="Times New Roman" w:cs="Times New Roman" w:eastAsia="Times New Roman" w:hint="default"/>
          <w:spacing w:val="-3"/>
        </w:rPr>
        <w:t>2</w:t>
      </w:r>
      <w:r>
        <w:rPr>
          <w:spacing w:val="-3"/>
        </w:rPr>
        <w:t>、在合营安排或联营企业中的权益。</w:t>
      </w: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13"/>
          <w:szCs w:val="13"/>
        </w:rPr>
      </w:pPr>
    </w:p>
    <w:p>
      <w:pPr>
        <w:pStyle w:val="Heading3"/>
        <w:spacing w:line="240" w:lineRule="auto"/>
        <w:ind w:right="0"/>
        <w:jc w:val="left"/>
        <w:rPr>
          <w:b w:val="0"/>
          <w:bCs w:val="0"/>
        </w:rPr>
      </w:pPr>
      <w:bookmarkStart w:name="4、其他关联方情况" w:id="375"/>
      <w:bookmarkEnd w:id="375"/>
      <w:r>
        <w:rPr>
          <w:b w:val="0"/>
          <w:bCs w:val="0"/>
        </w:rPr>
      </w:r>
      <w:r>
        <w:rPr>
          <w:rFonts w:ascii="Times New Roman" w:hAnsi="Times New Roman" w:cs="Times New Roman" w:eastAsia="Times New Roman" w:hint="default"/>
        </w:rPr>
        <w:t>4</w:t>
      </w:r>
      <w:r>
        <w:rPr/>
        <w:t>、其他关联方情况</w:t>
      </w:r>
      <w:r>
        <w:rPr>
          <w:b w:val="0"/>
          <w:bCs w:val="0"/>
        </w:rPr>
      </w:r>
    </w:p>
    <w:p>
      <w:pPr>
        <w:spacing w:line="240" w:lineRule="auto" w:before="11"/>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4783"/>
        <w:gridCol w:w="4787"/>
      </w:tblGrid>
      <w:tr>
        <w:trPr>
          <w:trHeight w:val="398"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pacing w:val="-3"/>
                <w:sz w:val="18"/>
                <w:szCs w:val="18"/>
              </w:rPr>
              <w:t>其他关联方名称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397" w:right="0"/>
              <w:jc w:val="left"/>
              <w:rPr>
                <w:rFonts w:ascii="宋体" w:hAnsi="宋体" w:cs="宋体" w:eastAsia="宋体" w:hint="default"/>
                <w:sz w:val="18"/>
                <w:szCs w:val="18"/>
              </w:rPr>
            </w:pPr>
            <w:r>
              <w:rPr>
                <w:rFonts w:ascii="宋体" w:hAnsi="宋体" w:cs="宋体" w:eastAsia="宋体" w:hint="default"/>
                <w:spacing w:val="-3"/>
                <w:sz w:val="18"/>
                <w:szCs w:val="18"/>
              </w:rPr>
              <w:t>其他关联方与本企业关系</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冯军</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本公司之董事</w:t>
            </w:r>
          </w:p>
        </w:tc>
      </w:tr>
      <w:tr>
        <w:trPr>
          <w:trHeight w:val="404"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刘佳</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本公司之董事冯军配偶</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李俊</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本公司控股子公司股东</w:t>
            </w:r>
          </w:p>
        </w:tc>
      </w:tr>
    </w:tbl>
    <w:p>
      <w:pPr>
        <w:spacing w:line="240" w:lineRule="auto" w:before="3"/>
        <w:rPr>
          <w:rFonts w:ascii="宋体" w:hAnsi="宋体" w:cs="宋体" w:eastAsia="宋体" w:hint="default"/>
          <w:b/>
          <w:bCs/>
          <w:sz w:val="19"/>
          <w:szCs w:val="19"/>
        </w:rPr>
      </w:pPr>
    </w:p>
    <w:p>
      <w:pPr>
        <w:pStyle w:val="Heading3"/>
        <w:spacing w:line="240" w:lineRule="auto" w:before="36"/>
        <w:ind w:right="0"/>
        <w:jc w:val="left"/>
        <w:rPr>
          <w:b w:val="0"/>
          <w:bCs w:val="0"/>
        </w:rPr>
      </w:pPr>
      <w:bookmarkStart w:name="5、关联交易情况" w:id="376"/>
      <w:bookmarkEnd w:id="376"/>
      <w:r>
        <w:rPr>
          <w:b w:val="0"/>
          <w:bCs w:val="0"/>
        </w:rPr>
      </w:r>
      <w:r>
        <w:rPr>
          <w:rFonts w:ascii="Times New Roman" w:hAnsi="Times New Roman" w:cs="Times New Roman" w:eastAsia="Times New Roman" w:hint="default"/>
        </w:rPr>
        <w:t>5</w:t>
      </w:r>
      <w:r>
        <w:rPr/>
        <w:t>、关联交易情况</w:t>
      </w:r>
      <w:r>
        <w:rPr>
          <w:b w:val="0"/>
          <w:bCs w:val="0"/>
        </w:rPr>
      </w:r>
    </w:p>
    <w:p>
      <w:pPr>
        <w:spacing w:line="240" w:lineRule="auto" w:before="5"/>
        <w:rPr>
          <w:rFonts w:ascii="宋体" w:hAnsi="宋体" w:cs="宋体" w:eastAsia="宋体" w:hint="default"/>
          <w:b/>
          <w:bCs/>
          <w:sz w:val="24"/>
          <w:szCs w:val="24"/>
        </w:rPr>
      </w:pPr>
    </w:p>
    <w:p>
      <w:pPr>
        <w:pStyle w:val="Heading3"/>
        <w:spacing w:line="240" w:lineRule="auto"/>
        <w:ind w:right="0"/>
        <w:jc w:val="left"/>
        <w:rPr>
          <w:b w:val="0"/>
          <w:bCs w:val="0"/>
        </w:rPr>
      </w:pPr>
      <w:bookmarkStart w:name="（1）购销商品、提供和接受劳务的关联交易" w:id="377"/>
      <w:bookmarkEnd w:id="377"/>
      <w:r>
        <w:rPr>
          <w:b w:val="0"/>
          <w:bCs w:val="0"/>
        </w:rPr>
      </w:r>
      <w:r>
        <w:rPr/>
        <w:t>（</w:t>
      </w:r>
      <w:r>
        <w:rPr>
          <w:rFonts w:ascii="Times New Roman" w:hAnsi="Times New Roman" w:cs="Times New Roman" w:eastAsia="Times New Roman" w:hint="default"/>
        </w:rPr>
        <w:t>1</w:t>
      </w:r>
      <w:r>
        <w:rPr/>
        <w:t>）购销商品、提供和接受劳务的关联交易</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right="0"/>
        <w:jc w:val="left"/>
      </w:pPr>
      <w:r>
        <w:rPr/>
        <w:t>采购商品</w:t>
      </w:r>
      <w:r>
        <w:rPr>
          <w:rFonts w:ascii="Times New Roman" w:hAnsi="Times New Roman" w:cs="Times New Roman" w:eastAsia="Times New Roman" w:hint="default"/>
        </w:rPr>
        <w:t>/</w:t>
      </w:r>
      <w:r>
        <w:rPr/>
        <w:t>接受劳务情况表</w:t>
      </w:r>
    </w:p>
    <w:p>
      <w:pPr>
        <w:spacing w:after="0" w:line="240" w:lineRule="auto"/>
        <w:jc w:val="left"/>
        <w:sectPr>
          <w:pgSz w:w="11910" w:h="16840"/>
          <w:pgMar w:header="871" w:footer="1186" w:top="1100" w:bottom="1380" w:left="980" w:right="0"/>
        </w:sectPr>
      </w:pPr>
    </w:p>
    <w:p>
      <w:pPr>
        <w:spacing w:line="240" w:lineRule="auto" w:before="3"/>
        <w:rPr>
          <w:rFonts w:ascii="宋体" w:hAnsi="宋体" w:cs="宋体" w:eastAsia="宋体" w:hint="default"/>
          <w:sz w:val="22"/>
          <w:szCs w:val="22"/>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541"/>
        <w:gridCol w:w="1455"/>
        <w:gridCol w:w="1455"/>
        <w:gridCol w:w="1705"/>
        <w:gridCol w:w="1709"/>
        <w:gridCol w:w="1709"/>
      </w:tblGrid>
      <w:tr>
        <w:trPr>
          <w:trHeight w:val="403" w:hRule="exact"/>
        </w:trPr>
        <w:tc>
          <w:tcPr>
            <w:tcW w:w="15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94"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82"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73"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7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1" w:right="0"/>
              <w:jc w:val="left"/>
              <w:rPr>
                <w:rFonts w:ascii="宋体" w:hAnsi="宋体" w:cs="宋体" w:eastAsia="宋体" w:hint="default"/>
                <w:sz w:val="18"/>
                <w:szCs w:val="18"/>
              </w:rPr>
            </w:pPr>
            <w:r>
              <w:rPr>
                <w:rFonts w:ascii="宋体" w:hAnsi="宋体" w:cs="宋体" w:eastAsia="宋体" w:hint="default"/>
                <w:spacing w:val="-3"/>
                <w:sz w:val="18"/>
                <w:szCs w:val="18"/>
              </w:rPr>
              <w:t>获批的交易额度</w:t>
            </w:r>
          </w:p>
        </w:tc>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29" w:right="0"/>
              <w:jc w:val="left"/>
              <w:rPr>
                <w:rFonts w:ascii="宋体" w:hAnsi="宋体" w:cs="宋体" w:eastAsia="宋体" w:hint="default"/>
                <w:sz w:val="18"/>
                <w:szCs w:val="18"/>
              </w:rPr>
            </w:pPr>
            <w:r>
              <w:rPr>
                <w:rFonts w:ascii="宋体" w:hAnsi="宋体" w:cs="宋体" w:eastAsia="宋体" w:hint="default"/>
                <w:sz w:val="18"/>
                <w:szCs w:val="18"/>
              </w:rPr>
              <w:t>是否超过交易额度</w:t>
            </w:r>
          </w:p>
        </w:tc>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98"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6"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60"/>
              <w:jc w:val="left"/>
              <w:rPr>
                <w:rFonts w:ascii="宋体" w:hAnsi="宋体" w:cs="宋体" w:eastAsia="宋体" w:hint="default"/>
                <w:sz w:val="18"/>
                <w:szCs w:val="18"/>
              </w:rPr>
            </w:pPr>
            <w:r>
              <w:rPr>
                <w:rFonts w:ascii="宋体" w:hAnsi="宋体" w:cs="宋体" w:eastAsia="宋体" w:hint="default"/>
                <w:spacing w:val="-2"/>
                <w:sz w:val="18"/>
                <w:szCs w:val="18"/>
              </w:rPr>
              <w:t>深圳票联金融服务</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有限公司</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采购商品</w:t>
            </w:r>
          </w:p>
        </w:tc>
        <w:tc>
          <w:tcPr>
            <w:tcW w:w="1455"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3,547.01</w:t>
            </w:r>
          </w:p>
        </w:tc>
      </w:tr>
      <w:tr>
        <w:trPr>
          <w:trHeight w:val="715"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60"/>
              <w:jc w:val="left"/>
              <w:rPr>
                <w:rFonts w:ascii="宋体" w:hAnsi="宋体" w:cs="宋体" w:eastAsia="宋体" w:hint="default"/>
                <w:sz w:val="18"/>
                <w:szCs w:val="18"/>
              </w:rPr>
            </w:pPr>
            <w:r>
              <w:rPr>
                <w:rFonts w:ascii="宋体" w:hAnsi="宋体" w:cs="宋体" w:eastAsia="宋体" w:hint="default"/>
                <w:spacing w:val="-2"/>
                <w:sz w:val="18"/>
                <w:szCs w:val="18"/>
              </w:rPr>
              <w:t>北京华道征信有限</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公司</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数据服务</w:t>
            </w:r>
          </w:p>
        </w:tc>
        <w:tc>
          <w:tcPr>
            <w:tcW w:w="1455"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4,459,979.25</w:t>
            </w:r>
          </w:p>
        </w:tc>
      </w:tr>
      <w:tr>
        <w:trPr>
          <w:trHeight w:val="711"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60"/>
              <w:jc w:val="left"/>
              <w:rPr>
                <w:rFonts w:ascii="宋体" w:hAnsi="宋体" w:cs="宋体" w:eastAsia="宋体" w:hint="default"/>
                <w:sz w:val="18"/>
                <w:szCs w:val="18"/>
              </w:rPr>
            </w:pPr>
            <w:r>
              <w:rPr>
                <w:rFonts w:ascii="宋体" w:hAnsi="宋体" w:cs="宋体" w:eastAsia="宋体" w:hint="default"/>
                <w:spacing w:val="-2"/>
                <w:sz w:val="18"/>
                <w:szCs w:val="18"/>
              </w:rPr>
              <w:t>百可录（北京）科</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技有限公司</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3"/>
              <w:ind w:left="23" w:right="103"/>
              <w:jc w:val="left"/>
              <w:rPr>
                <w:rFonts w:ascii="宋体" w:hAnsi="宋体" w:cs="宋体" w:eastAsia="宋体" w:hint="default"/>
                <w:sz w:val="18"/>
                <w:szCs w:val="18"/>
              </w:rPr>
            </w:pPr>
            <w:r>
              <w:rPr>
                <w:rFonts w:ascii="宋体" w:hAnsi="宋体" w:cs="宋体" w:eastAsia="宋体" w:hint="default"/>
                <w:spacing w:val="-2"/>
                <w:sz w:val="18"/>
                <w:szCs w:val="18"/>
              </w:rPr>
              <w:t>技术开发服务</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电</w:t>
            </w:r>
            <w:r>
              <w:rPr>
                <w:rFonts w:ascii="宋体" w:hAnsi="宋体" w:cs="宋体" w:eastAsia="宋体" w:hint="default"/>
                <w:spacing w:val="-70"/>
                <w:sz w:val="18"/>
                <w:szCs w:val="18"/>
              </w:rPr>
              <w:t> </w:t>
            </w:r>
            <w:r>
              <w:rPr>
                <w:rFonts w:ascii="宋体" w:hAnsi="宋体" w:cs="宋体" w:eastAsia="宋体" w:hint="default"/>
                <w:sz w:val="18"/>
                <w:szCs w:val="18"/>
              </w:rPr>
              <w:t>信服务</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10" w:right="0"/>
              <w:jc w:val="left"/>
              <w:rPr>
                <w:rFonts w:ascii="Times New Roman" w:hAnsi="Times New Roman" w:cs="Times New Roman" w:eastAsia="Times New Roman" w:hint="default"/>
                <w:sz w:val="18"/>
                <w:szCs w:val="18"/>
              </w:rPr>
            </w:pPr>
            <w:r>
              <w:rPr>
                <w:rFonts w:ascii="Times New Roman"/>
                <w:sz w:val="18"/>
              </w:rPr>
              <w:t>809,216.57</w:t>
            </w:r>
          </w:p>
        </w:tc>
        <w:tc>
          <w:tcPr>
            <w:tcW w:w="1705"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45,341.22</w:t>
            </w:r>
          </w:p>
        </w:tc>
      </w:tr>
    </w:tbl>
    <w:p>
      <w:pPr>
        <w:pStyle w:val="BodyText"/>
        <w:spacing w:line="240" w:lineRule="auto" w:before="53"/>
        <w:ind w:right="0"/>
        <w:jc w:val="left"/>
      </w:pPr>
      <w:r>
        <w:rPr/>
        <w:t>出售商品</w:t>
      </w:r>
      <w:r>
        <w:rPr>
          <w:rFonts w:ascii="Times New Roman" w:hAnsi="Times New Roman" w:cs="Times New Roman" w:eastAsia="Times New Roman" w:hint="default"/>
        </w:rPr>
        <w:t>/</w:t>
      </w:r>
      <w:r>
        <w:rPr/>
        <w:t>提供劳务情况表</w:t>
      </w:r>
    </w:p>
    <w:p>
      <w:pPr>
        <w:pStyle w:val="BodyText"/>
        <w:spacing w:line="240" w:lineRule="auto" w:before="10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396"/>
        <w:gridCol w:w="2262"/>
        <w:gridCol w:w="2261"/>
        <w:gridCol w:w="2651"/>
      </w:tblGrid>
      <w:tr>
        <w:trPr>
          <w:trHeight w:val="403" w:hRule="exact"/>
        </w:trPr>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2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85"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7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6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874"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4" w:hRule="exact"/>
        </w:trPr>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北京华道征信有限公司</w:t>
            </w:r>
          </w:p>
        </w:tc>
        <w:tc>
          <w:tcPr>
            <w:tcW w:w="2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技术开发服务</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数据服务</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14,056,564.06</w:t>
            </w:r>
          </w:p>
        </w:tc>
        <w:tc>
          <w:tcPr>
            <w:tcW w:w="2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20,742,355.97</w:t>
            </w:r>
          </w:p>
        </w:tc>
      </w:tr>
      <w:tr>
        <w:trPr>
          <w:trHeight w:val="403" w:hRule="exact"/>
        </w:trPr>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易安财产保险股份有限公司</w:t>
            </w:r>
          </w:p>
        </w:tc>
        <w:tc>
          <w:tcPr>
            <w:tcW w:w="2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技术开发服务</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电信服务</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3,232,434.26</w:t>
            </w:r>
          </w:p>
        </w:tc>
        <w:tc>
          <w:tcPr>
            <w:tcW w:w="2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1,719,804.22</w:t>
            </w:r>
          </w:p>
        </w:tc>
      </w:tr>
      <w:tr>
        <w:trPr>
          <w:trHeight w:val="398" w:hRule="exact"/>
        </w:trPr>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百可录（北京）科技有限公司</w:t>
            </w:r>
          </w:p>
        </w:tc>
        <w:tc>
          <w:tcPr>
            <w:tcW w:w="2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电信服务</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439,060.86</w:t>
            </w:r>
          </w:p>
        </w:tc>
        <w:tc>
          <w:tcPr>
            <w:tcW w:w="2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65,863.79</w:t>
            </w:r>
          </w:p>
        </w:tc>
      </w:tr>
      <w:tr>
        <w:trPr>
          <w:trHeight w:val="403" w:hRule="exact"/>
        </w:trPr>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东亚前海证券有限责任公司</w:t>
            </w:r>
          </w:p>
        </w:tc>
        <w:tc>
          <w:tcPr>
            <w:tcW w:w="2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销售商品</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电信服务</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160,503.08</w:t>
            </w:r>
          </w:p>
        </w:tc>
        <w:tc>
          <w:tcPr>
            <w:tcW w:w="2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24,764.48</w:t>
            </w:r>
          </w:p>
        </w:tc>
      </w:tr>
      <w:tr>
        <w:trPr>
          <w:trHeight w:val="716" w:hRule="exact"/>
        </w:trPr>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324" w:lineRule="auto" w:before="53"/>
              <w:ind w:left="24" w:right="104"/>
              <w:jc w:val="left"/>
              <w:rPr>
                <w:rFonts w:ascii="宋体" w:hAnsi="宋体" w:cs="宋体" w:eastAsia="宋体" w:hint="default"/>
                <w:sz w:val="18"/>
                <w:szCs w:val="18"/>
              </w:rPr>
            </w:pPr>
            <w:r>
              <w:rPr>
                <w:rFonts w:ascii="宋体" w:hAnsi="宋体" w:cs="宋体" w:eastAsia="宋体" w:hint="default"/>
                <w:spacing w:val="-9"/>
                <w:w w:val="101"/>
                <w:sz w:val="18"/>
                <w:szCs w:val="18"/>
              </w:rPr>
              <w:t>国誉创富国际金融服务（深圳</w:t>
            </w:r>
            <w:r>
              <w:rPr>
                <w:rFonts w:ascii="宋体" w:hAnsi="宋体" w:cs="宋体" w:eastAsia="宋体" w:hint="default"/>
                <w:w w:val="101"/>
                <w:sz w:val="18"/>
                <w:szCs w:val="18"/>
              </w:rPr>
              <w:t> </w:t>
            </w:r>
            <w:r>
              <w:rPr>
                <w:rFonts w:ascii="宋体" w:hAnsi="宋体" w:cs="宋体" w:eastAsia="宋体" w:hint="default"/>
                <w:sz w:val="18"/>
                <w:szCs w:val="18"/>
              </w:rPr>
              <w:t>有限公司</w:t>
            </w:r>
          </w:p>
        </w:tc>
        <w:tc>
          <w:tcPr>
            <w:tcW w:w="2262" w:type="dxa"/>
            <w:tcBorders>
              <w:top w:val="single" w:sz="4" w:space="0" w:color="000000"/>
              <w:left w:val="single" w:sz="4" w:space="0" w:color="000000"/>
              <w:bottom w:val="single" w:sz="4" w:space="0" w:color="000000"/>
              <w:right w:val="single" w:sz="4" w:space="0" w:color="000000"/>
            </w:tcBorders>
          </w:tcPr>
          <w:p>
            <w:pPr>
              <w:pStyle w:val="TableParagraph"/>
              <w:spacing w:line="197" w:lineRule="exact" w:before="53"/>
              <w:ind w:left="-116" w:right="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p>
            <w:pPr>
              <w:pStyle w:val="TableParagraph"/>
              <w:spacing w:line="197" w:lineRule="exact"/>
              <w:ind w:left="23" w:right="0"/>
              <w:jc w:val="left"/>
              <w:rPr>
                <w:rFonts w:ascii="宋体" w:hAnsi="宋体" w:cs="宋体" w:eastAsia="宋体" w:hint="default"/>
                <w:sz w:val="18"/>
                <w:szCs w:val="18"/>
              </w:rPr>
            </w:pPr>
            <w:r>
              <w:rPr>
                <w:rFonts w:ascii="宋体" w:hAnsi="宋体" w:cs="宋体" w:eastAsia="宋体" w:hint="default"/>
                <w:sz w:val="18"/>
                <w:szCs w:val="18"/>
              </w:rPr>
              <w:t>电信服务</w:t>
            </w:r>
          </w:p>
          <w:p>
            <w:pPr>
              <w:pStyle w:val="TableParagraph"/>
              <w:spacing w:line="557" w:lineRule="exact"/>
              <w:ind w:left="4" w:right="-41"/>
              <w:jc w:val="left"/>
              <w:rPr>
                <w:rFonts w:ascii="宋体" w:hAnsi="宋体" w:cs="宋体" w:eastAsia="宋体" w:hint="default"/>
                <w:sz w:val="20"/>
                <w:szCs w:val="20"/>
              </w:rPr>
            </w:pPr>
            <w:r>
              <w:rPr>
                <w:rFonts w:ascii="宋体" w:hAnsi="宋体" w:cs="宋体" w:eastAsia="宋体" w:hint="default"/>
                <w:position w:val="-10"/>
                <w:sz w:val="20"/>
                <w:szCs w:val="20"/>
              </w:rPr>
              <w:pict>
                <v:group style="width:112.4pt;height:27.9pt;mso-position-horizontal-relative:char;mso-position-vertical-relative:line" coordorigin="0,0" coordsize="2248,558">
                  <v:group style="position:absolute;left:0;top:0;width:2248;height:159" coordorigin="0,0" coordsize="2248,159">
                    <v:shape style="position:absolute;left:0;top:0;width:2248;height:159" coordorigin="0,0" coordsize="2248,159" path="m0,158l2247,158,2247,0,0,0,0,158xe" filled="true" fillcolor="#ffffff" stroked="false">
                      <v:path arrowok="t"/>
                      <v:fill type="solid"/>
                    </v:shape>
                  </v:group>
                  <v:group style="position:absolute;left:10;top:158;width:2;height:390" coordorigin="10,158" coordsize="2,390">
                    <v:shape style="position:absolute;left:10;top:158;width:2;height:390" coordorigin="10,158" coordsize="0,390" path="m10,158l10,548e" filled="false" stroked="true" strokeweight=".96001pt" strokecolor="#ffffff">
                      <v:path arrowok="t"/>
                    </v:shape>
                  </v:group>
                  <v:group style="position:absolute;left:19;top:158;width:2205;height:390" coordorigin="19,158" coordsize="2205,390">
                    <v:shape style="position:absolute;left:19;top:158;width:2205;height:390" coordorigin="19,158" coordsize="2205,390" path="m19,548l2223,548,2223,158,19,158,19,548xe" filled="true" fillcolor="#ffffff" stroked="false">
                      <v:path arrowok="t"/>
                      <v:fill type="solid"/>
                    </v:shape>
                  </v:group>
                </v:group>
              </w:pict>
            </w:r>
            <w:r>
              <w:rPr>
                <w:rFonts w:ascii="宋体" w:hAnsi="宋体" w:cs="宋体" w:eastAsia="宋体" w:hint="default"/>
                <w:position w:val="-10"/>
                <w:sz w:val="20"/>
                <w:szCs w:val="20"/>
              </w:rPr>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133,983.28</w:t>
            </w:r>
          </w:p>
        </w:tc>
        <w:tc>
          <w:tcPr>
            <w:tcW w:w="2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1,047.13</w:t>
            </w:r>
          </w:p>
        </w:tc>
      </w:tr>
      <w:tr>
        <w:trPr>
          <w:trHeight w:val="403" w:hRule="exact"/>
        </w:trPr>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深圳票联金融服务有限公司</w:t>
            </w:r>
          </w:p>
        </w:tc>
        <w:tc>
          <w:tcPr>
            <w:tcW w:w="2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电信服务</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447.92</w:t>
            </w:r>
          </w:p>
        </w:tc>
        <w:tc>
          <w:tcPr>
            <w:tcW w:w="2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100.09</w:t>
            </w:r>
          </w:p>
        </w:tc>
      </w:tr>
      <w:tr>
        <w:trPr>
          <w:trHeight w:val="710" w:hRule="exact"/>
        </w:trPr>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17"/>
              <w:jc w:val="left"/>
              <w:rPr>
                <w:rFonts w:ascii="宋体" w:hAnsi="宋体" w:cs="宋体" w:eastAsia="宋体" w:hint="default"/>
                <w:sz w:val="18"/>
                <w:szCs w:val="18"/>
              </w:rPr>
            </w:pPr>
            <w:r>
              <w:rPr>
                <w:rFonts w:ascii="宋体" w:hAnsi="宋体" w:cs="宋体" w:eastAsia="宋体" w:hint="default"/>
                <w:spacing w:val="-3"/>
                <w:sz w:val="18"/>
                <w:szCs w:val="18"/>
              </w:rPr>
              <w:t>北京智帆金科信息服务有限公</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z w:val="18"/>
                <w:szCs w:val="18"/>
              </w:rPr>
              <w:t>司</w:t>
            </w:r>
          </w:p>
        </w:tc>
        <w:tc>
          <w:tcPr>
            <w:tcW w:w="2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电信服务</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4,726.21</w:t>
            </w:r>
          </w:p>
        </w:tc>
        <w:tc>
          <w:tcPr>
            <w:tcW w:w="2651" w:type="dxa"/>
            <w:tcBorders>
              <w:top w:val="single" w:sz="4" w:space="0" w:color="000000"/>
              <w:left w:val="single" w:sz="4" w:space="0" w:color="000000"/>
              <w:bottom w:val="single" w:sz="4" w:space="0" w:color="000000"/>
              <w:right w:val="single" w:sz="4" w:space="0" w:color="000000"/>
            </w:tcBorders>
          </w:tcPr>
          <w:p>
            <w:pPr/>
          </w:p>
        </w:tc>
      </w:tr>
    </w:tbl>
    <w:p>
      <w:pPr>
        <w:pStyle w:val="BodyText"/>
        <w:spacing w:line="441" w:lineRule="auto" w:before="53"/>
        <w:ind w:left="513" w:right="7068" w:hanging="360"/>
        <w:jc w:val="left"/>
      </w:pPr>
      <w:r>
        <w:rPr>
          <w:spacing w:val="-3"/>
        </w:rPr>
        <w:t>购销商品、提供和接受劳务的关联交易说明</w:t>
      </w:r>
      <w:r>
        <w:rPr>
          <w:spacing w:val="-33"/>
        </w:rPr>
        <w:t> </w:t>
      </w:r>
      <w:r>
        <w:rPr>
          <w:spacing w:val="-33"/>
        </w:rPr>
      </w:r>
      <w:r>
        <w:rPr/>
        <w:t>无。</w:t>
      </w:r>
    </w:p>
    <w:p>
      <w:pPr>
        <w:spacing w:line="240" w:lineRule="auto" w:before="4"/>
        <w:rPr>
          <w:rFonts w:ascii="宋体" w:hAnsi="宋体" w:cs="宋体" w:eastAsia="宋体" w:hint="default"/>
          <w:sz w:val="21"/>
          <w:szCs w:val="21"/>
        </w:rPr>
      </w:pPr>
    </w:p>
    <w:p>
      <w:pPr>
        <w:pStyle w:val="Heading3"/>
        <w:spacing w:line="240" w:lineRule="auto"/>
        <w:ind w:right="0"/>
        <w:jc w:val="left"/>
        <w:rPr>
          <w:b w:val="0"/>
          <w:bCs w:val="0"/>
        </w:rPr>
      </w:pPr>
      <w:bookmarkStart w:name="（2）关联受托管理/承包及委托管理/出包情况" w:id="378"/>
      <w:bookmarkEnd w:id="378"/>
      <w:r>
        <w:rPr>
          <w:b w:val="0"/>
          <w:bCs w:val="0"/>
        </w:rPr>
      </w:r>
      <w:r>
        <w:rPr/>
        <w:t>（</w:t>
      </w:r>
      <w:r>
        <w:rPr>
          <w:rFonts w:ascii="Times New Roman" w:hAnsi="Times New Roman" w:cs="Times New Roman" w:eastAsia="Times New Roman" w:hint="default"/>
        </w:rPr>
        <w:t>2</w:t>
      </w:r>
      <w:r>
        <w:rPr/>
        <w:t>）关联受托管理</w:t>
      </w:r>
      <w:r>
        <w:rPr>
          <w:rFonts w:ascii="Times New Roman" w:hAnsi="Times New Roman" w:cs="Times New Roman" w:eastAsia="Times New Roman" w:hint="default"/>
        </w:rPr>
        <w:t>/</w:t>
      </w:r>
      <w:r>
        <w:rPr/>
        <w:t>承包及委托管理</w:t>
      </w:r>
      <w:r>
        <w:rPr>
          <w:rFonts w:ascii="Times New Roman" w:hAnsi="Times New Roman" w:cs="Times New Roman" w:eastAsia="Times New Roman" w:hint="default"/>
        </w:rPr>
        <w:t>/</w:t>
      </w:r>
      <w:r>
        <w:rPr/>
        <w:t>出包情况</w:t>
      </w:r>
      <w:r>
        <w:rPr>
          <w:b w:val="0"/>
          <w:bCs w:val="0"/>
        </w:rPr>
      </w:r>
    </w:p>
    <w:p>
      <w:pPr>
        <w:spacing w:line="240" w:lineRule="auto" w:before="9"/>
        <w:rPr>
          <w:rFonts w:ascii="宋体" w:hAnsi="宋体" w:cs="宋体" w:eastAsia="宋体" w:hint="default"/>
          <w:b/>
          <w:bCs/>
          <w:sz w:val="26"/>
          <w:szCs w:val="26"/>
        </w:rPr>
      </w:pPr>
    </w:p>
    <w:p>
      <w:pPr>
        <w:pStyle w:val="BodyText"/>
        <w:spacing w:line="412" w:lineRule="auto"/>
        <w:ind w:left="513" w:right="8069" w:hanging="360"/>
        <w:jc w:val="left"/>
      </w:pPr>
      <w:r>
        <w:rPr>
          <w:spacing w:val="-2"/>
        </w:rPr>
        <w:t>本公司受托管理</w:t>
      </w:r>
      <w:r>
        <w:rPr>
          <w:rFonts w:ascii="Times New Roman" w:hAnsi="Times New Roman" w:cs="Times New Roman" w:eastAsia="Times New Roman" w:hint="default"/>
          <w:spacing w:val="-2"/>
        </w:rPr>
        <w:t>/</w:t>
      </w:r>
      <w:r>
        <w:rPr>
          <w:spacing w:val="-2"/>
        </w:rPr>
        <w:t>承包情况表：</w:t>
      </w:r>
      <w:r>
        <w:rPr>
          <w:spacing w:val="-59"/>
        </w:rPr>
        <w:t> </w:t>
      </w:r>
      <w:r>
        <w:rPr>
          <w:spacing w:val="-59"/>
        </w:rPr>
      </w:r>
      <w:r>
        <w:rPr/>
        <w:t>无。</w:t>
      </w:r>
    </w:p>
    <w:p>
      <w:pPr>
        <w:pStyle w:val="BodyText"/>
        <w:spacing w:line="410" w:lineRule="auto" w:before="67"/>
        <w:ind w:left="513" w:right="8838" w:hanging="360"/>
        <w:jc w:val="left"/>
      </w:pPr>
      <w:r>
        <w:rPr>
          <w:spacing w:val="-3"/>
        </w:rPr>
        <w:t>关联托管</w:t>
      </w:r>
      <w:r>
        <w:rPr>
          <w:rFonts w:ascii="Times New Roman" w:hAnsi="Times New Roman" w:cs="Times New Roman" w:eastAsia="Times New Roman" w:hint="default"/>
          <w:spacing w:val="-3"/>
        </w:rPr>
        <w:t>/</w:t>
      </w:r>
      <w:r>
        <w:rPr>
          <w:spacing w:val="-3"/>
        </w:rPr>
        <w:t>承包情况说明</w:t>
      </w:r>
      <w:r>
        <w:rPr>
          <w:spacing w:val="-56"/>
        </w:rPr>
        <w:t> </w:t>
      </w:r>
      <w:r>
        <w:rPr>
          <w:spacing w:val="-56"/>
        </w:rPr>
      </w:r>
      <w:r>
        <w:rPr/>
        <w:t>无。</w:t>
      </w:r>
    </w:p>
    <w:p>
      <w:pPr>
        <w:pStyle w:val="BodyText"/>
        <w:spacing w:line="415" w:lineRule="auto" w:before="69"/>
        <w:ind w:left="513" w:right="8069" w:hanging="360"/>
        <w:jc w:val="left"/>
      </w:pPr>
      <w:r>
        <w:rPr>
          <w:spacing w:val="-2"/>
        </w:rPr>
        <w:t>本公司委托管理</w:t>
      </w:r>
      <w:r>
        <w:rPr>
          <w:rFonts w:ascii="Times New Roman" w:hAnsi="Times New Roman" w:cs="Times New Roman" w:eastAsia="Times New Roman" w:hint="default"/>
          <w:spacing w:val="-2"/>
        </w:rPr>
        <w:t>/</w:t>
      </w:r>
      <w:r>
        <w:rPr>
          <w:spacing w:val="-2"/>
        </w:rPr>
        <w:t>出包情况表：</w:t>
      </w:r>
      <w:r>
        <w:rPr>
          <w:spacing w:val="-59"/>
        </w:rPr>
        <w:t> </w:t>
      </w:r>
      <w:r>
        <w:rPr>
          <w:spacing w:val="-59"/>
        </w:rPr>
      </w:r>
      <w:r>
        <w:rPr/>
        <w:t>无。</w:t>
      </w:r>
    </w:p>
    <w:p>
      <w:pPr>
        <w:pStyle w:val="BodyText"/>
        <w:spacing w:line="415" w:lineRule="auto" w:before="60"/>
        <w:ind w:left="513" w:right="8838" w:hanging="360"/>
        <w:jc w:val="left"/>
      </w:pPr>
      <w:r>
        <w:rPr>
          <w:spacing w:val="-3"/>
        </w:rPr>
        <w:t>关联管理</w:t>
      </w:r>
      <w:r>
        <w:rPr>
          <w:rFonts w:ascii="Times New Roman" w:hAnsi="Times New Roman" w:cs="Times New Roman" w:eastAsia="Times New Roman" w:hint="default"/>
          <w:spacing w:val="-3"/>
        </w:rPr>
        <w:t>/</w:t>
      </w:r>
      <w:r>
        <w:rPr>
          <w:spacing w:val="-3"/>
        </w:rPr>
        <w:t>出包情况说明</w:t>
      </w:r>
      <w:r>
        <w:rPr>
          <w:spacing w:val="-56"/>
        </w:rPr>
        <w:t> </w:t>
      </w:r>
      <w:r>
        <w:rPr>
          <w:spacing w:val="-56"/>
        </w:rPr>
      </w:r>
      <w:r>
        <w:rPr/>
        <w:t>无。</w:t>
      </w:r>
    </w:p>
    <w:p>
      <w:pPr>
        <w:spacing w:line="240" w:lineRule="auto" w:before="7"/>
        <w:rPr>
          <w:rFonts w:ascii="宋体" w:hAnsi="宋体" w:cs="宋体" w:eastAsia="宋体" w:hint="default"/>
          <w:sz w:val="22"/>
          <w:szCs w:val="22"/>
        </w:rPr>
      </w:pPr>
    </w:p>
    <w:p>
      <w:pPr>
        <w:pStyle w:val="Heading3"/>
        <w:spacing w:line="240" w:lineRule="auto"/>
        <w:ind w:right="0"/>
        <w:jc w:val="left"/>
        <w:rPr>
          <w:b w:val="0"/>
          <w:bCs w:val="0"/>
        </w:rPr>
      </w:pPr>
      <w:bookmarkStart w:name="（3）关联租赁情况" w:id="379"/>
      <w:bookmarkEnd w:id="379"/>
      <w:r>
        <w:rPr>
          <w:b w:val="0"/>
          <w:bCs w:val="0"/>
        </w:rPr>
      </w:r>
      <w:r>
        <w:rPr/>
        <w:t>（</w:t>
      </w:r>
      <w:r>
        <w:rPr>
          <w:rFonts w:ascii="Times New Roman" w:hAnsi="Times New Roman" w:cs="Times New Roman" w:eastAsia="Times New Roman" w:hint="default"/>
        </w:rPr>
        <w:t>3</w:t>
      </w:r>
      <w:r>
        <w:rPr/>
        <w:t>）关联租赁情况</w:t>
      </w:r>
      <w:r>
        <w:rPr>
          <w:b w:val="0"/>
          <w:bCs w:val="0"/>
        </w:rPr>
      </w:r>
    </w:p>
    <w:p>
      <w:pPr>
        <w:spacing w:line="240" w:lineRule="auto" w:before="12"/>
        <w:rPr>
          <w:rFonts w:ascii="宋体" w:hAnsi="宋体" w:cs="宋体" w:eastAsia="宋体" w:hint="default"/>
          <w:b/>
          <w:bCs/>
          <w:sz w:val="32"/>
          <w:szCs w:val="32"/>
        </w:rPr>
      </w:pPr>
    </w:p>
    <w:p>
      <w:pPr>
        <w:pStyle w:val="BodyText"/>
        <w:spacing w:line="240" w:lineRule="auto"/>
        <w:ind w:left="513" w:right="0"/>
        <w:jc w:val="left"/>
      </w:pPr>
      <w:r>
        <w:rPr/>
        <w:t>无。</w:t>
      </w:r>
    </w:p>
    <w:p>
      <w:pPr>
        <w:spacing w:after="0" w:line="240" w:lineRule="auto"/>
        <w:jc w:val="left"/>
        <w:sectPr>
          <w:pgSz w:w="11910" w:h="16840"/>
          <w:pgMar w:header="871" w:footer="1186" w:top="1100" w:bottom="1380" w:left="980" w:right="0"/>
        </w:sectPr>
      </w:pPr>
    </w:p>
    <w:p>
      <w:pPr>
        <w:spacing w:line="240" w:lineRule="auto" w:before="0"/>
        <w:rPr>
          <w:rFonts w:ascii="宋体" w:hAnsi="宋体" w:cs="宋体" w:eastAsia="宋体" w:hint="default"/>
          <w:sz w:val="21"/>
          <w:szCs w:val="21"/>
        </w:rPr>
      </w:pPr>
    </w:p>
    <w:p>
      <w:pPr>
        <w:pStyle w:val="Heading3"/>
        <w:spacing w:line="240" w:lineRule="auto" w:before="36"/>
        <w:ind w:right="0"/>
        <w:jc w:val="left"/>
        <w:rPr>
          <w:b w:val="0"/>
          <w:bCs w:val="0"/>
        </w:rPr>
      </w:pPr>
      <w:bookmarkStart w:name="（4）关联担保情况" w:id="380"/>
      <w:bookmarkEnd w:id="380"/>
      <w:r>
        <w:rPr>
          <w:b w:val="0"/>
          <w:bCs w:val="0"/>
        </w:rPr>
      </w:r>
      <w:r>
        <w:rPr/>
        <w:t>（</w:t>
      </w:r>
      <w:r>
        <w:rPr>
          <w:rFonts w:ascii="Times New Roman" w:hAnsi="Times New Roman" w:cs="Times New Roman" w:eastAsia="Times New Roman" w:hint="default"/>
        </w:rPr>
        <w:t>4</w:t>
      </w:r>
      <w:r>
        <w:rPr/>
        <w:t>）关联担保情况</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right="0"/>
        <w:jc w:val="left"/>
      </w:pPr>
      <w:r>
        <w:rPr/>
        <w:t>本公司作为担保方</w:t>
      </w:r>
    </w:p>
    <w:p>
      <w:pPr>
        <w:pStyle w:val="BodyText"/>
        <w:spacing w:line="240" w:lineRule="auto" w:before="115"/>
        <w:ind w:left="0" w:right="1122"/>
        <w:jc w:val="right"/>
      </w:pPr>
      <w:r>
        <w:rPr/>
        <w:t>单位：</w:t>
      </w:r>
      <w:r>
        <w:rPr>
          <w:spacing w:val="5"/>
        </w:rPr>
        <w:t> </w:t>
      </w:r>
      <w:r>
        <w:rPr/>
        <w:t>元</w:t>
      </w:r>
    </w:p>
    <w:p>
      <w:pPr>
        <w:spacing w:line="240" w:lineRule="auto" w:before="10"/>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16"/>
        <w:gridCol w:w="1916"/>
        <w:gridCol w:w="1911"/>
        <w:gridCol w:w="1916"/>
        <w:gridCol w:w="1916"/>
      </w:tblGrid>
      <w:tr>
        <w:trPr>
          <w:trHeight w:val="401"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被担保方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590"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503"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504"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52"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r>
        <w:trPr>
          <w:trHeight w:val="715"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4" w:right="75"/>
              <w:jc w:val="left"/>
              <w:rPr>
                <w:rFonts w:ascii="宋体" w:hAnsi="宋体" w:cs="宋体" w:eastAsia="宋体" w:hint="default"/>
                <w:sz w:val="18"/>
                <w:szCs w:val="18"/>
              </w:rPr>
            </w:pPr>
            <w:r>
              <w:rPr>
                <w:rFonts w:ascii="宋体" w:hAnsi="宋体" w:cs="宋体" w:eastAsia="宋体" w:hint="default"/>
                <w:spacing w:val="-2"/>
                <w:sz w:val="18"/>
                <w:szCs w:val="18"/>
              </w:rPr>
              <w:t>安科创新（深圳）有限</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10,000,000.00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6"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75"/>
              <w:jc w:val="left"/>
              <w:rPr>
                <w:rFonts w:ascii="宋体" w:hAnsi="宋体" w:cs="宋体" w:eastAsia="宋体" w:hint="default"/>
                <w:sz w:val="18"/>
                <w:szCs w:val="18"/>
              </w:rPr>
            </w:pPr>
            <w:r>
              <w:rPr>
                <w:rFonts w:ascii="宋体" w:hAnsi="宋体" w:cs="宋体" w:eastAsia="宋体" w:hint="default"/>
                <w:spacing w:val="-2"/>
                <w:sz w:val="18"/>
                <w:szCs w:val="18"/>
              </w:rPr>
              <w:t>深圳市科安电子商务有</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10,000,000.00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51"/>
              <w:jc w:val="center"/>
              <w:rPr>
                <w:rFonts w:ascii="宋体" w:hAnsi="宋体" w:cs="宋体" w:eastAsia="宋体" w:hint="default"/>
                <w:sz w:val="18"/>
                <w:szCs w:val="18"/>
              </w:rPr>
            </w:pPr>
            <w:r>
              <w:rPr>
                <w:rFonts w:ascii="宋体" w:hAnsi="宋体" w:cs="宋体" w:eastAsia="宋体" w:hint="default"/>
                <w:sz w:val="18"/>
                <w:szCs w:val="18"/>
              </w:rPr>
              <w:t>北京华道征信有限公司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14,000,000.00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bl>
    <w:p>
      <w:pPr>
        <w:pStyle w:val="BodyText"/>
        <w:spacing w:line="240" w:lineRule="auto" w:before="53"/>
        <w:ind w:right="0"/>
        <w:jc w:val="left"/>
      </w:pPr>
      <w:r>
        <w:rPr>
          <w:spacing w:val="-3"/>
        </w:rPr>
        <w:t>本公司作为被担保方</w:t>
      </w:r>
    </w:p>
    <w:p>
      <w:pPr>
        <w:pStyle w:val="BodyText"/>
        <w:spacing w:line="240" w:lineRule="auto" w:before="115"/>
        <w:ind w:left="0" w:right="1122"/>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16"/>
        <w:gridCol w:w="1916"/>
        <w:gridCol w:w="1911"/>
        <w:gridCol w:w="1916"/>
        <w:gridCol w:w="1916"/>
      </w:tblGrid>
      <w:tr>
        <w:trPr>
          <w:trHeight w:val="399"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担保方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590"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503"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504"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52"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冯军、刘佳</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8,000,000.00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冯军、刘佳</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12,000,000.00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冯军、刘佳</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20,000,000.00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4"/>
              <w:ind w:left="24" w:right="75"/>
              <w:jc w:val="left"/>
              <w:rPr>
                <w:rFonts w:ascii="宋体" w:hAnsi="宋体" w:cs="宋体" w:eastAsia="宋体" w:hint="default"/>
                <w:sz w:val="18"/>
                <w:szCs w:val="18"/>
              </w:rPr>
            </w:pPr>
            <w:r>
              <w:rPr>
                <w:rFonts w:ascii="宋体" w:hAnsi="宋体" w:cs="宋体" w:eastAsia="宋体" w:hint="default"/>
                <w:spacing w:val="-2"/>
                <w:sz w:val="18"/>
                <w:szCs w:val="18"/>
              </w:rPr>
              <w:t>深圳银之杰智慧科技有</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60,000,000.00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bl>
    <w:p>
      <w:pPr>
        <w:pStyle w:val="BodyText"/>
        <w:spacing w:line="240" w:lineRule="auto" w:before="53"/>
        <w:ind w:right="0"/>
        <w:jc w:val="left"/>
      </w:pPr>
      <w:r>
        <w:rPr/>
        <w:t>关联担保情况说明</w:t>
      </w:r>
    </w:p>
    <w:p>
      <w:pPr>
        <w:spacing w:line="240" w:lineRule="auto" w:before="0"/>
        <w:rPr>
          <w:rFonts w:ascii="宋体" w:hAnsi="宋体" w:cs="宋体" w:eastAsia="宋体" w:hint="default"/>
          <w:sz w:val="15"/>
          <w:szCs w:val="15"/>
        </w:rPr>
      </w:pPr>
    </w:p>
    <w:p>
      <w:pPr>
        <w:pStyle w:val="BodyText"/>
        <w:spacing w:line="240" w:lineRule="auto"/>
        <w:ind w:left="513" w:right="0"/>
        <w:jc w:val="left"/>
        <w:rPr>
          <w:rFonts w:ascii="Times New Roman" w:hAnsi="Times New Roman" w:cs="Times New Roman" w:eastAsia="Times New Roman" w:hint="default"/>
        </w:rPr>
      </w:pPr>
      <w:r>
        <w:rPr>
          <w:rFonts w:ascii="Times New Roman" w:hAnsi="Times New Roman" w:cs="Times New Roman" w:eastAsia="Times New Roman" w:hint="default"/>
          <w:w w:val="101"/>
        </w:rPr>
        <w:t>1</w:t>
      </w:r>
      <w:r>
        <w:rPr>
          <w:rFonts w:ascii="Times New Roman" w:hAnsi="Times New Roman" w:cs="Times New Roman" w:eastAsia="Times New Roman" w:hint="default"/>
          <w:spacing w:val="2"/>
          <w:w w:val="101"/>
        </w:rPr>
        <w:t>.</w:t>
      </w:r>
      <w:r>
        <w:rPr>
          <w:spacing w:val="-5"/>
          <w:w w:val="101"/>
        </w:rPr>
        <w:t>安</w:t>
      </w:r>
      <w:r>
        <w:rPr>
          <w:w w:val="101"/>
        </w:rPr>
        <w:t>科</w:t>
      </w:r>
      <w:r>
        <w:rPr>
          <w:spacing w:val="-5"/>
          <w:w w:val="101"/>
        </w:rPr>
        <w:t>创</w:t>
      </w:r>
      <w:r>
        <w:rPr>
          <w:spacing w:val="-77"/>
          <w:w w:val="101"/>
        </w:rPr>
        <w:t>新</w:t>
      </w:r>
      <w:r>
        <w:rPr>
          <w:spacing w:val="-5"/>
          <w:w w:val="101"/>
        </w:rPr>
        <w:t>（</w:t>
      </w:r>
      <w:r>
        <w:rPr>
          <w:w w:val="101"/>
        </w:rPr>
        <w:t>深</w:t>
      </w:r>
      <w:r>
        <w:rPr>
          <w:spacing w:val="-5"/>
          <w:w w:val="101"/>
        </w:rPr>
        <w:t>圳</w:t>
      </w:r>
      <w:r>
        <w:rPr>
          <w:spacing w:val="-77"/>
          <w:w w:val="101"/>
        </w:rPr>
        <w:t>）</w:t>
      </w:r>
      <w:r>
        <w:rPr>
          <w:spacing w:val="-5"/>
          <w:w w:val="101"/>
        </w:rPr>
        <w:t>有</w:t>
      </w:r>
      <w:r>
        <w:rPr>
          <w:w w:val="101"/>
        </w:rPr>
        <w:t>限</w:t>
      </w:r>
      <w:r>
        <w:rPr>
          <w:spacing w:val="-5"/>
          <w:w w:val="101"/>
        </w:rPr>
        <w:t>公</w:t>
      </w:r>
      <w:r>
        <w:rPr>
          <w:w w:val="101"/>
        </w:rPr>
        <w:t>司</w:t>
      </w:r>
      <w:r>
        <w:rPr>
          <w:spacing w:val="-82"/>
          <w:w w:val="101"/>
        </w:rPr>
        <w:t>、</w:t>
      </w:r>
      <w:r>
        <w:rPr>
          <w:w w:val="101"/>
        </w:rPr>
        <w:t>深</w:t>
      </w:r>
      <w:r>
        <w:rPr>
          <w:spacing w:val="-5"/>
          <w:w w:val="101"/>
        </w:rPr>
        <w:t>圳</w:t>
      </w:r>
      <w:r>
        <w:rPr>
          <w:w w:val="101"/>
        </w:rPr>
        <w:t>市</w:t>
      </w:r>
      <w:r>
        <w:rPr>
          <w:spacing w:val="-5"/>
          <w:w w:val="101"/>
        </w:rPr>
        <w:t>科</w:t>
      </w:r>
      <w:r>
        <w:rPr>
          <w:w w:val="101"/>
        </w:rPr>
        <w:t>安</w:t>
      </w:r>
      <w:r>
        <w:rPr>
          <w:spacing w:val="-5"/>
          <w:w w:val="101"/>
        </w:rPr>
        <w:t>电</w:t>
      </w:r>
      <w:r>
        <w:rPr>
          <w:w w:val="101"/>
        </w:rPr>
        <w:t>子</w:t>
      </w:r>
      <w:r>
        <w:rPr>
          <w:spacing w:val="-5"/>
          <w:w w:val="101"/>
        </w:rPr>
        <w:t>商</w:t>
      </w:r>
      <w:r>
        <w:rPr>
          <w:w w:val="101"/>
        </w:rPr>
        <w:t>务</w:t>
      </w:r>
      <w:r>
        <w:rPr>
          <w:spacing w:val="-5"/>
          <w:w w:val="101"/>
        </w:rPr>
        <w:t>有</w:t>
      </w:r>
      <w:r>
        <w:rPr>
          <w:w w:val="101"/>
        </w:rPr>
        <w:t>限</w:t>
      </w:r>
      <w:r>
        <w:rPr>
          <w:spacing w:val="-5"/>
          <w:w w:val="101"/>
        </w:rPr>
        <w:t>公</w:t>
      </w:r>
      <w:r>
        <w:rPr>
          <w:w w:val="101"/>
        </w:rPr>
        <w:t>司</w:t>
      </w:r>
      <w:r>
        <w:rPr>
          <w:spacing w:val="-5"/>
          <w:w w:val="101"/>
        </w:rPr>
        <w:t>使</w:t>
      </w:r>
      <w:r>
        <w:rPr>
          <w:w w:val="101"/>
        </w:rPr>
        <w:t>用</w:t>
      </w:r>
      <w:r>
        <w:rPr>
          <w:spacing w:val="-5"/>
          <w:w w:val="101"/>
        </w:rPr>
        <w:t>本</w:t>
      </w:r>
      <w:r>
        <w:rPr>
          <w:w w:val="101"/>
        </w:rPr>
        <w:t>公</w:t>
      </w:r>
      <w:r>
        <w:rPr>
          <w:spacing w:val="-5"/>
          <w:w w:val="101"/>
        </w:rPr>
        <w:t>司</w:t>
      </w:r>
      <w:r>
        <w:rPr>
          <w:w w:val="101"/>
        </w:rPr>
        <w:t>在</w:t>
      </w:r>
      <w:r>
        <w:rPr>
          <w:spacing w:val="-5"/>
          <w:w w:val="101"/>
        </w:rPr>
        <w:t>北</w:t>
      </w:r>
      <w:r>
        <w:rPr>
          <w:w w:val="101"/>
        </w:rPr>
        <w:t>京</w:t>
      </w:r>
      <w:r>
        <w:rPr>
          <w:spacing w:val="-5"/>
          <w:w w:val="101"/>
        </w:rPr>
        <w:t>银</w:t>
      </w:r>
      <w:r>
        <w:rPr>
          <w:w w:val="101"/>
        </w:rPr>
        <w:t>行</w:t>
      </w:r>
      <w:r>
        <w:rPr>
          <w:spacing w:val="-5"/>
          <w:w w:val="101"/>
        </w:rPr>
        <w:t>的</w:t>
      </w:r>
      <w:r>
        <w:rPr>
          <w:w w:val="101"/>
        </w:rPr>
        <w:t>综</w:t>
      </w:r>
      <w:r>
        <w:rPr>
          <w:spacing w:val="-5"/>
          <w:w w:val="101"/>
        </w:rPr>
        <w:t>合</w:t>
      </w:r>
      <w:r>
        <w:rPr>
          <w:w w:val="101"/>
        </w:rPr>
        <w:t>授</w:t>
      </w:r>
      <w:r>
        <w:rPr>
          <w:spacing w:val="-5"/>
          <w:w w:val="101"/>
        </w:rPr>
        <w:t>信</w:t>
      </w:r>
      <w:r>
        <w:rPr>
          <w:w w:val="101"/>
        </w:rPr>
        <w:t>额</w:t>
      </w:r>
      <w:r>
        <w:rPr>
          <w:spacing w:val="-5"/>
          <w:w w:val="101"/>
        </w:rPr>
        <w:t>度</w:t>
      </w:r>
      <w:r>
        <w:rPr>
          <w:spacing w:val="-77"/>
          <w:w w:val="101"/>
        </w:rPr>
        <w:t>，</w:t>
      </w:r>
      <w:r>
        <w:rPr>
          <w:spacing w:val="-5"/>
          <w:w w:val="101"/>
        </w:rPr>
        <w:t>各</w:t>
      </w:r>
      <w:r>
        <w:rPr>
          <w:w w:val="101"/>
        </w:rPr>
        <w:t>自</w:t>
      </w:r>
      <w:r>
        <w:rPr>
          <w:spacing w:val="-5"/>
          <w:w w:val="101"/>
        </w:rPr>
        <w:t>短</w:t>
      </w:r>
      <w:r>
        <w:rPr>
          <w:w w:val="101"/>
        </w:rPr>
        <w:t>期借款</w:t>
      </w:r>
      <w:r>
        <w:rPr>
          <w:spacing w:val="-50"/>
        </w:rPr>
        <w:t> </w:t>
      </w:r>
      <w:r>
        <w:rPr>
          <w:rFonts w:ascii="Times New Roman" w:hAnsi="Times New Roman" w:cs="Times New Roman" w:eastAsia="Times New Roman" w:hint="default"/>
          <w:w w:val="101"/>
        </w:rPr>
        <w:t>1</w:t>
      </w:r>
      <w:r>
        <w:rPr>
          <w:rFonts w:ascii="Times New Roman" w:hAnsi="Times New Roman" w:cs="Times New Roman" w:eastAsia="Times New Roman" w:hint="default"/>
          <w:spacing w:val="2"/>
          <w:w w:val="101"/>
        </w:rPr>
        <w:t>,</w:t>
      </w:r>
      <w:r>
        <w:rPr>
          <w:rFonts w:ascii="Times New Roman" w:hAnsi="Times New Roman" w:cs="Times New Roman" w:eastAsia="Times New Roman" w:hint="default"/>
          <w:spacing w:val="-5"/>
          <w:w w:val="101"/>
        </w:rPr>
        <w:t>0</w:t>
      </w:r>
      <w:r>
        <w:rPr>
          <w:rFonts w:ascii="Times New Roman" w:hAnsi="Times New Roman" w:cs="Times New Roman" w:eastAsia="Times New Roman" w:hint="default"/>
          <w:w w:val="101"/>
        </w:rPr>
        <w:t>00</w:t>
      </w:r>
      <w:r>
        <w:rPr>
          <w:rFonts w:ascii="Times New Roman" w:hAnsi="Times New Roman" w:cs="Times New Roman" w:eastAsia="Times New Roman" w:hint="default"/>
        </w:rPr>
      </w:r>
    </w:p>
    <w:p>
      <w:pPr>
        <w:spacing w:line="240" w:lineRule="auto" w:before="3"/>
        <w:rPr>
          <w:rFonts w:ascii="Times New Roman" w:hAnsi="Times New Roman" w:cs="Times New Roman" w:eastAsia="Times New Roman" w:hint="default"/>
          <w:sz w:val="19"/>
          <w:szCs w:val="19"/>
        </w:rPr>
      </w:pPr>
    </w:p>
    <w:p>
      <w:pPr>
        <w:pStyle w:val="BodyText"/>
        <w:spacing w:line="240" w:lineRule="auto"/>
        <w:ind w:right="0"/>
        <w:jc w:val="left"/>
      </w:pPr>
      <w:r>
        <w:rPr>
          <w:spacing w:val="-3"/>
        </w:rPr>
        <w:t>万元；本公司的综合授信额度是由深圳银之杰智慧科技有限公司提供连带责任保证。</w:t>
      </w:r>
    </w:p>
    <w:p>
      <w:pPr>
        <w:spacing w:line="240" w:lineRule="auto" w:before="8"/>
        <w:rPr>
          <w:rFonts w:ascii="宋体" w:hAnsi="宋体" w:cs="宋体" w:eastAsia="宋体" w:hint="default"/>
          <w:sz w:val="17"/>
          <w:szCs w:val="17"/>
        </w:rPr>
      </w:pPr>
    </w:p>
    <w:p>
      <w:pPr>
        <w:pStyle w:val="BodyText"/>
        <w:spacing w:line="453" w:lineRule="auto"/>
        <w:ind w:right="0" w:firstLine="360"/>
        <w:jc w:val="left"/>
      </w:pPr>
      <w:r>
        <w:rPr>
          <w:rFonts w:ascii="Times New Roman" w:hAnsi="Times New Roman" w:cs="Times New Roman" w:eastAsia="Times New Roman" w:hint="default"/>
          <w:spacing w:val="-3"/>
        </w:rPr>
        <w:t>2.</w:t>
      </w:r>
      <w:r>
        <w:rPr>
          <w:spacing w:val="-3"/>
        </w:rPr>
        <w:t>本公司联营公司北京华道征信有限公司信托借款 </w:t>
      </w:r>
      <w:r>
        <w:rPr>
          <w:rFonts w:ascii="Times New Roman" w:hAnsi="Times New Roman" w:cs="Times New Roman" w:eastAsia="Times New Roman" w:hint="default"/>
        </w:rPr>
        <w:t>1,400</w:t>
      </w:r>
      <w:r>
        <w:rPr>
          <w:rFonts w:ascii="Times New Roman" w:hAnsi="Times New Roman" w:cs="Times New Roman" w:eastAsia="Times New Roman" w:hint="default"/>
          <w:spacing w:val="27"/>
        </w:rPr>
        <w:t> </w:t>
      </w:r>
      <w:r>
        <w:rPr>
          <w:spacing w:val="-4"/>
        </w:rPr>
        <w:t>万元，本公司提供连带责任保证担保，同时，北京华道征信有</w:t>
      </w:r>
      <w:r>
        <w:rPr>
          <w:w w:val="101"/>
        </w:rPr>
        <w:t> </w:t>
      </w:r>
      <w:r>
        <w:rPr>
          <w:spacing w:val="-3"/>
        </w:rPr>
        <w:t>限公司向本公司提供反担保，承担保证担保责任。</w:t>
      </w:r>
    </w:p>
    <w:p>
      <w:pPr>
        <w:spacing w:line="240" w:lineRule="auto" w:before="3"/>
        <w:rPr>
          <w:rFonts w:ascii="宋体" w:hAnsi="宋体" w:cs="宋体" w:eastAsia="宋体" w:hint="default"/>
          <w:sz w:val="20"/>
          <w:szCs w:val="20"/>
        </w:rPr>
      </w:pPr>
    </w:p>
    <w:p>
      <w:pPr>
        <w:pStyle w:val="Heading3"/>
        <w:spacing w:line="240" w:lineRule="auto"/>
        <w:ind w:right="0"/>
        <w:jc w:val="left"/>
        <w:rPr>
          <w:b w:val="0"/>
          <w:bCs w:val="0"/>
        </w:rPr>
      </w:pPr>
      <w:bookmarkStart w:name="（5）关联方资金拆借" w:id="381"/>
      <w:bookmarkEnd w:id="381"/>
      <w:r>
        <w:rPr>
          <w:b w:val="0"/>
          <w:bCs w:val="0"/>
        </w:rPr>
      </w:r>
      <w:r>
        <w:rPr/>
        <w:t>（</w:t>
      </w:r>
      <w:r>
        <w:rPr>
          <w:rFonts w:ascii="Times New Roman" w:hAnsi="Times New Roman" w:cs="Times New Roman" w:eastAsia="Times New Roman" w:hint="default"/>
        </w:rPr>
        <w:t>5</w:t>
      </w:r>
      <w:r>
        <w:rPr/>
        <w:t>）关联方资金拆借</w:t>
      </w:r>
      <w:r>
        <w:rPr>
          <w:b w:val="0"/>
          <w:bCs w:val="0"/>
        </w:rPr>
      </w:r>
    </w:p>
    <w:p>
      <w:pPr>
        <w:spacing w:line="240" w:lineRule="auto" w:before="8"/>
        <w:rPr>
          <w:rFonts w:ascii="宋体" w:hAnsi="宋体" w:cs="宋体" w:eastAsia="宋体" w:hint="default"/>
          <w:b/>
          <w:bCs/>
          <w:sz w:val="32"/>
          <w:szCs w:val="32"/>
        </w:rPr>
      </w:pPr>
    </w:p>
    <w:p>
      <w:pPr>
        <w:pStyle w:val="BodyText"/>
        <w:spacing w:line="240" w:lineRule="auto"/>
        <w:ind w:left="513" w:right="0"/>
        <w:jc w:val="left"/>
      </w:pPr>
      <w:r>
        <w:rPr/>
        <w:t>无。</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4"/>
          <w:szCs w:val="14"/>
        </w:rPr>
      </w:pPr>
    </w:p>
    <w:p>
      <w:pPr>
        <w:pStyle w:val="Heading3"/>
        <w:spacing w:line="240" w:lineRule="auto"/>
        <w:ind w:right="0"/>
        <w:jc w:val="left"/>
        <w:rPr>
          <w:b w:val="0"/>
          <w:bCs w:val="0"/>
        </w:rPr>
      </w:pPr>
      <w:bookmarkStart w:name="（6）关联方资产转让、债务重组情况" w:id="382"/>
      <w:bookmarkEnd w:id="382"/>
      <w:r>
        <w:rPr>
          <w:b w:val="0"/>
          <w:bCs w:val="0"/>
        </w:rPr>
      </w:r>
      <w:r>
        <w:rPr/>
        <w:t>（</w:t>
      </w:r>
      <w:r>
        <w:rPr>
          <w:rFonts w:ascii="Times New Roman" w:hAnsi="Times New Roman" w:cs="Times New Roman" w:eastAsia="Times New Roman" w:hint="default"/>
        </w:rPr>
        <w:t>6</w:t>
      </w:r>
      <w:r>
        <w:rPr/>
        <w:t>）关联方资产转让、债务重组情况</w:t>
      </w:r>
      <w:r>
        <w:rPr>
          <w:b w:val="0"/>
          <w:bCs w:val="0"/>
        </w:rPr>
      </w:r>
    </w:p>
    <w:p>
      <w:pPr>
        <w:spacing w:line="240" w:lineRule="auto" w:before="8"/>
        <w:rPr>
          <w:rFonts w:ascii="宋体" w:hAnsi="宋体" w:cs="宋体" w:eastAsia="宋体" w:hint="default"/>
          <w:b/>
          <w:bCs/>
          <w:sz w:val="32"/>
          <w:szCs w:val="32"/>
        </w:rPr>
      </w:pPr>
    </w:p>
    <w:p>
      <w:pPr>
        <w:pStyle w:val="BodyText"/>
        <w:spacing w:line="240" w:lineRule="auto"/>
        <w:ind w:left="513" w:right="0"/>
        <w:jc w:val="left"/>
      </w:pPr>
      <w:r>
        <w:rPr/>
        <w:t>无。</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4"/>
          <w:szCs w:val="14"/>
        </w:rPr>
      </w:pPr>
    </w:p>
    <w:p>
      <w:pPr>
        <w:pStyle w:val="Heading3"/>
        <w:spacing w:line="240" w:lineRule="auto"/>
        <w:ind w:right="0"/>
        <w:jc w:val="left"/>
        <w:rPr>
          <w:b w:val="0"/>
          <w:bCs w:val="0"/>
        </w:rPr>
      </w:pPr>
      <w:bookmarkStart w:name="（7）关键管理人员报酬" w:id="383"/>
      <w:bookmarkEnd w:id="383"/>
      <w:r>
        <w:rPr>
          <w:b w:val="0"/>
          <w:bCs w:val="0"/>
        </w:rPr>
      </w:r>
      <w:r>
        <w:rPr/>
        <w:t>（</w:t>
      </w:r>
      <w:r>
        <w:rPr>
          <w:rFonts w:ascii="Times New Roman" w:hAnsi="Times New Roman" w:cs="Times New Roman" w:eastAsia="Times New Roman" w:hint="default"/>
        </w:rPr>
        <w:t>7</w:t>
      </w:r>
      <w:r>
        <w:rPr/>
        <w:t>）关键管理人员报酬</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关键管理人员报酬</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1,260,000.00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1,236,000.00</w:t>
            </w:r>
          </w:p>
        </w:tc>
      </w:tr>
    </w:tbl>
    <w:p>
      <w:pPr>
        <w:spacing w:after="0" w:line="240" w:lineRule="auto"/>
        <w:jc w:val="right"/>
        <w:rPr>
          <w:rFonts w:ascii="Times New Roman" w:hAnsi="Times New Roman" w:cs="Times New Roman" w:eastAsia="Times New Roman" w:hint="default"/>
          <w:sz w:val="18"/>
          <w:szCs w:val="18"/>
        </w:rPr>
        <w:sectPr>
          <w:pgSz w:w="11910" w:h="16840"/>
          <w:pgMar w:header="871" w:footer="1186" w:top="1100" w:bottom="1380" w:left="980" w:right="0"/>
        </w:sectPr>
      </w:pPr>
    </w:p>
    <w:p>
      <w:pPr>
        <w:spacing w:line="240" w:lineRule="auto" w:before="0"/>
        <w:rPr>
          <w:rFonts w:ascii="宋体" w:hAnsi="宋体" w:cs="宋体" w:eastAsia="宋体" w:hint="default"/>
          <w:sz w:val="21"/>
          <w:szCs w:val="21"/>
        </w:rPr>
      </w:pPr>
    </w:p>
    <w:p>
      <w:pPr>
        <w:pStyle w:val="Heading3"/>
        <w:spacing w:line="240" w:lineRule="auto" w:before="36"/>
        <w:ind w:right="0"/>
        <w:jc w:val="left"/>
        <w:rPr>
          <w:b w:val="0"/>
          <w:bCs w:val="0"/>
        </w:rPr>
      </w:pPr>
      <w:bookmarkStart w:name="（8）其他关联交易" w:id="384"/>
      <w:bookmarkEnd w:id="384"/>
      <w:r>
        <w:rPr>
          <w:b w:val="0"/>
          <w:bCs w:val="0"/>
        </w:rPr>
      </w:r>
      <w:r>
        <w:rPr/>
        <w:t>（</w:t>
      </w:r>
      <w:r>
        <w:rPr>
          <w:rFonts w:ascii="Times New Roman" w:hAnsi="Times New Roman" w:cs="Times New Roman" w:eastAsia="Times New Roman" w:hint="default"/>
        </w:rPr>
        <w:t>8</w:t>
      </w:r>
      <w:r>
        <w:rPr/>
        <w:t>）其他关联交易</w:t>
      </w:r>
      <w:r>
        <w:rPr>
          <w:b w:val="0"/>
          <w:bCs w:val="0"/>
        </w:rPr>
      </w:r>
    </w:p>
    <w:p>
      <w:pPr>
        <w:spacing w:line="240" w:lineRule="auto" w:before="7"/>
        <w:rPr>
          <w:rFonts w:ascii="宋体" w:hAnsi="宋体" w:cs="宋体" w:eastAsia="宋体" w:hint="default"/>
          <w:b/>
          <w:bCs/>
          <w:sz w:val="32"/>
          <w:szCs w:val="32"/>
        </w:rPr>
      </w:pPr>
    </w:p>
    <w:p>
      <w:pPr>
        <w:pStyle w:val="BodyText"/>
        <w:spacing w:line="240" w:lineRule="auto"/>
        <w:ind w:left="513" w:right="0"/>
        <w:jc w:val="left"/>
      </w:pPr>
      <w:r>
        <w:rPr/>
        <w:t>无。</w:t>
      </w: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14"/>
          <w:szCs w:val="14"/>
        </w:rPr>
      </w:pPr>
    </w:p>
    <w:p>
      <w:pPr>
        <w:pStyle w:val="Heading3"/>
        <w:spacing w:line="240" w:lineRule="auto"/>
        <w:ind w:right="0"/>
        <w:jc w:val="left"/>
        <w:rPr>
          <w:b w:val="0"/>
          <w:bCs w:val="0"/>
        </w:rPr>
      </w:pPr>
      <w:bookmarkStart w:name="6、关联方应收应付款项" w:id="385"/>
      <w:bookmarkEnd w:id="385"/>
      <w:r>
        <w:rPr>
          <w:b w:val="0"/>
          <w:bCs w:val="0"/>
        </w:rPr>
      </w:r>
      <w:r>
        <w:rPr>
          <w:rFonts w:ascii="Times New Roman" w:hAnsi="Times New Roman" w:cs="Times New Roman" w:eastAsia="Times New Roman" w:hint="default"/>
        </w:rPr>
        <w:t>6</w:t>
      </w:r>
      <w:r>
        <w:rPr/>
        <w:t>、关联方应收应付款项</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应收项目" w:id="386"/>
      <w:bookmarkEnd w:id="386"/>
      <w:r>
        <w:rPr>
          <w:b w:val="0"/>
          <w:bCs w:val="0"/>
        </w:rPr>
      </w:r>
      <w:r>
        <w:rPr/>
        <w:t>（</w:t>
      </w:r>
      <w:r>
        <w:rPr>
          <w:rFonts w:ascii="Times New Roman" w:hAnsi="Times New Roman" w:cs="Times New Roman" w:eastAsia="Times New Roman" w:hint="default"/>
        </w:rPr>
        <w:t>1</w:t>
      </w:r>
      <w:r>
        <w:rPr/>
        <w:t>）应收项目</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594"/>
        <w:gridCol w:w="1599"/>
        <w:gridCol w:w="1595"/>
        <w:gridCol w:w="1594"/>
        <w:gridCol w:w="1594"/>
        <w:gridCol w:w="1594"/>
      </w:tblGrid>
      <w:tr>
        <w:trPr>
          <w:trHeight w:val="398" w:hRule="exact"/>
        </w:trPr>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5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31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1594" w:type="dxa"/>
            <w:vMerge/>
            <w:tcBorders>
              <w:left w:val="single" w:sz="4" w:space="0" w:color="000000"/>
              <w:bottom w:val="single" w:sz="4" w:space="0" w:color="000000"/>
              <w:right w:val="single" w:sz="4" w:space="0" w:color="000000"/>
            </w:tcBorders>
            <w:shd w:val="clear" w:color="auto" w:fill="D2D2D2"/>
          </w:tcPr>
          <w:p>
            <w:pPr/>
          </w:p>
        </w:tc>
        <w:tc>
          <w:tcPr>
            <w:tcW w:w="1599" w:type="dxa"/>
            <w:vMerge/>
            <w:tcBorders>
              <w:left w:val="single" w:sz="4" w:space="0" w:color="000000"/>
              <w:bottom w:val="single" w:sz="4" w:space="0" w:color="000000"/>
              <w:right w:val="single" w:sz="4" w:space="0" w:color="000000"/>
            </w:tcBorders>
            <w:shd w:val="clear" w:color="auto" w:fill="D2D2D2"/>
          </w:tcPr>
          <w:p>
            <w:pP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3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3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32"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b/>
                <w:bCs/>
                <w:sz w:val="18"/>
                <w:szCs w:val="18"/>
              </w:rPr>
              <w:t>应收账款：</w:t>
            </w:r>
            <w:r>
              <w:rPr>
                <w:rFonts w:ascii="宋体" w:hAnsi="宋体" w:cs="宋体" w:eastAsia="宋体" w:hint="default"/>
                <w:sz w:val="18"/>
                <w:szCs w:val="18"/>
              </w:rPr>
            </w:r>
          </w:p>
        </w:tc>
        <w:tc>
          <w:tcPr>
            <w:tcW w:w="1599"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594"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3" w:right="118"/>
              <w:jc w:val="left"/>
              <w:rPr>
                <w:rFonts w:ascii="宋体" w:hAnsi="宋体" w:cs="宋体" w:eastAsia="宋体" w:hint="default"/>
                <w:sz w:val="18"/>
                <w:szCs w:val="18"/>
              </w:rPr>
            </w:pPr>
            <w:r>
              <w:rPr>
                <w:rFonts w:ascii="宋体" w:hAnsi="宋体" w:cs="宋体" w:eastAsia="宋体" w:hint="default"/>
                <w:spacing w:val="-2"/>
                <w:sz w:val="18"/>
                <w:szCs w:val="18"/>
              </w:rPr>
              <w:t>北京华道征信有限</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40,851,858.52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5,891,210.34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38,519,915.04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3,028,521.75</w:t>
            </w:r>
          </w:p>
        </w:tc>
      </w:tr>
      <w:tr>
        <w:trPr>
          <w:trHeight w:val="710" w:hRule="exact"/>
        </w:trPr>
        <w:tc>
          <w:tcPr>
            <w:tcW w:w="1594"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118"/>
              <w:jc w:val="left"/>
              <w:rPr>
                <w:rFonts w:ascii="宋体" w:hAnsi="宋体" w:cs="宋体" w:eastAsia="宋体" w:hint="default"/>
                <w:sz w:val="18"/>
                <w:szCs w:val="18"/>
              </w:rPr>
            </w:pPr>
            <w:r>
              <w:rPr>
                <w:rFonts w:ascii="宋体" w:hAnsi="宋体" w:cs="宋体" w:eastAsia="宋体" w:hint="default"/>
                <w:spacing w:val="-2"/>
                <w:sz w:val="18"/>
                <w:szCs w:val="18"/>
              </w:rPr>
              <w:t>深圳票联金融服务</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2,197,559.62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1,142,731.00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2,197,559.62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2"/>
                <w:sz w:val="18"/>
              </w:rPr>
              <w:t>439,511.92</w:t>
            </w:r>
          </w:p>
        </w:tc>
      </w:tr>
      <w:tr>
        <w:trPr>
          <w:trHeight w:val="716" w:hRule="exact"/>
        </w:trPr>
        <w:tc>
          <w:tcPr>
            <w:tcW w:w="1594"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324" w:lineRule="auto" w:before="53"/>
              <w:ind w:left="23" w:right="118"/>
              <w:jc w:val="left"/>
              <w:rPr>
                <w:rFonts w:ascii="宋体" w:hAnsi="宋体" w:cs="宋体" w:eastAsia="宋体" w:hint="default"/>
                <w:sz w:val="18"/>
                <w:szCs w:val="18"/>
              </w:rPr>
            </w:pPr>
            <w:r>
              <w:rPr>
                <w:rFonts w:ascii="宋体" w:hAnsi="宋体" w:cs="宋体" w:eastAsia="宋体" w:hint="default"/>
                <w:spacing w:val="-2"/>
                <w:sz w:val="18"/>
                <w:szCs w:val="18"/>
              </w:rPr>
              <w:t>易安财产保险股份</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309,318.19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15,465.91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363,165.66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18,158.28</w:t>
            </w: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3" w:right="17"/>
              <w:jc w:val="left"/>
              <w:rPr>
                <w:rFonts w:ascii="宋体" w:hAnsi="宋体" w:cs="宋体" w:eastAsia="宋体" w:hint="default"/>
                <w:sz w:val="18"/>
                <w:szCs w:val="18"/>
              </w:rPr>
            </w:pPr>
            <w:r>
              <w:rPr>
                <w:rFonts w:ascii="宋体" w:hAnsi="宋体" w:cs="宋体" w:eastAsia="宋体" w:hint="default"/>
                <w:spacing w:val="-11"/>
                <w:sz w:val="18"/>
                <w:szCs w:val="18"/>
              </w:rPr>
              <w:t>百可录（北京）科技</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2"/>
                <w:sz w:val="18"/>
              </w:rPr>
              <w:t>162,113.36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8,105.67</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118"/>
              <w:jc w:val="left"/>
              <w:rPr>
                <w:rFonts w:ascii="宋体" w:hAnsi="宋体" w:cs="宋体" w:eastAsia="宋体" w:hint="default"/>
                <w:sz w:val="18"/>
                <w:szCs w:val="18"/>
              </w:rPr>
            </w:pPr>
            <w:r>
              <w:rPr>
                <w:rFonts w:ascii="宋体" w:hAnsi="宋体" w:cs="宋体" w:eastAsia="宋体" w:hint="default"/>
                <w:spacing w:val="-2"/>
                <w:sz w:val="18"/>
                <w:szCs w:val="18"/>
              </w:rPr>
              <w:t>东亚前海证券有限</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责任公司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2"/>
                <w:sz w:val="18"/>
              </w:rPr>
              <w:t>118,590.24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5,929.51</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1023" w:hRule="exact"/>
        </w:trPr>
        <w:tc>
          <w:tcPr>
            <w:tcW w:w="1594"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4"/>
              <w:ind w:left="23" w:right="17"/>
              <w:jc w:val="left"/>
              <w:rPr>
                <w:rFonts w:ascii="宋体" w:hAnsi="宋体" w:cs="宋体" w:eastAsia="宋体" w:hint="default"/>
                <w:sz w:val="18"/>
                <w:szCs w:val="18"/>
              </w:rPr>
            </w:pPr>
            <w:r>
              <w:rPr>
                <w:rFonts w:ascii="宋体" w:hAnsi="宋体" w:cs="宋体" w:eastAsia="宋体" w:hint="default"/>
                <w:sz w:val="18"/>
                <w:szCs w:val="18"/>
              </w:rPr>
              <w:t>国誉创富国际金融</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1"/>
                <w:sz w:val="18"/>
                <w:szCs w:val="18"/>
              </w:rPr>
              <w:t>服务（深圳）有限公</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2,596.09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129.80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1,109.95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55.50</w:t>
            </w: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3" w:right="118"/>
              <w:jc w:val="left"/>
              <w:rPr>
                <w:rFonts w:ascii="宋体" w:hAnsi="宋体" w:cs="宋体" w:eastAsia="宋体" w:hint="default"/>
                <w:sz w:val="18"/>
                <w:szCs w:val="18"/>
              </w:rPr>
            </w:pPr>
            <w:r>
              <w:rPr>
                <w:rFonts w:ascii="宋体" w:hAnsi="宋体" w:cs="宋体" w:eastAsia="宋体" w:hint="default"/>
                <w:spacing w:val="-2"/>
                <w:sz w:val="18"/>
                <w:szCs w:val="18"/>
              </w:rPr>
              <w:t>北京智帆金科信息</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服务有限公司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9.78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0.49</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594"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4"/>
              <w:ind w:left="23" w:right="118"/>
              <w:jc w:val="left"/>
              <w:rPr>
                <w:rFonts w:ascii="宋体" w:hAnsi="宋体" w:cs="宋体" w:eastAsia="宋体" w:hint="default"/>
                <w:sz w:val="18"/>
                <w:szCs w:val="18"/>
              </w:rPr>
            </w:pPr>
            <w:r>
              <w:rPr>
                <w:rFonts w:ascii="宋体" w:hAnsi="宋体" w:cs="宋体" w:eastAsia="宋体" w:hint="default"/>
                <w:spacing w:val="-2"/>
                <w:sz w:val="18"/>
                <w:szCs w:val="18"/>
              </w:rPr>
              <w:t>福建片仔癀银之杰</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2"/>
                <w:sz w:val="18"/>
                <w:szCs w:val="18"/>
              </w:rPr>
              <w:t>健康管理有限公司</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183,100.94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83,235.32</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1"/>
                <w:sz w:val="18"/>
                <w:szCs w:val="18"/>
              </w:rPr>
              <w:t> </w:t>
            </w:r>
            <w:r>
              <w:rPr>
                <w:rFonts w:ascii="宋体" w:hAnsi="宋体" w:cs="宋体" w:eastAsia="宋体" w:hint="default"/>
                <w:sz w:val="18"/>
                <w:szCs w:val="18"/>
              </w:rPr>
              <w:t>计</w:t>
            </w:r>
          </w:p>
        </w:tc>
        <w:tc>
          <w:tcPr>
            <w:tcW w:w="1599"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43,642,045.80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7,063,572.73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41,264,851.21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3,569,482.77</w:t>
            </w:r>
          </w:p>
        </w:tc>
      </w:tr>
      <w:tr>
        <w:trPr>
          <w:trHeight w:val="398"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b/>
                <w:bCs/>
                <w:sz w:val="18"/>
                <w:szCs w:val="18"/>
              </w:rPr>
              <w:t>其他应收款：</w:t>
            </w:r>
            <w:r>
              <w:rPr>
                <w:rFonts w:ascii="宋体" w:hAnsi="宋体" w:cs="宋体" w:eastAsia="宋体" w:hint="default"/>
                <w:sz w:val="18"/>
                <w:szCs w:val="18"/>
              </w:rPr>
            </w:r>
          </w:p>
        </w:tc>
        <w:tc>
          <w:tcPr>
            <w:tcW w:w="1599"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594"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4"/>
              <w:ind w:left="23" w:right="17"/>
              <w:jc w:val="left"/>
              <w:rPr>
                <w:rFonts w:ascii="宋体" w:hAnsi="宋体" w:cs="宋体" w:eastAsia="宋体" w:hint="default"/>
                <w:sz w:val="18"/>
                <w:szCs w:val="18"/>
              </w:rPr>
            </w:pPr>
            <w:r>
              <w:rPr>
                <w:rFonts w:ascii="宋体" w:hAnsi="宋体" w:cs="宋体" w:eastAsia="宋体" w:hint="default"/>
                <w:sz w:val="18"/>
                <w:szCs w:val="18"/>
              </w:rPr>
              <w:t>国誉创富国际金融</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1"/>
                <w:sz w:val="18"/>
                <w:szCs w:val="18"/>
              </w:rPr>
              <w:t>服务（深圳）有限公</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23,970,001.44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1,198,500.07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17,450,000.00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1,657,500.00</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李俊</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10,787,540.31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581,336.89</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594"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3" w:right="118"/>
              <w:jc w:val="left"/>
              <w:rPr>
                <w:rFonts w:ascii="宋体" w:hAnsi="宋体" w:cs="宋体" w:eastAsia="宋体" w:hint="default"/>
                <w:sz w:val="18"/>
                <w:szCs w:val="18"/>
              </w:rPr>
            </w:pPr>
            <w:r>
              <w:rPr>
                <w:rFonts w:ascii="宋体" w:hAnsi="宋体" w:cs="宋体" w:eastAsia="宋体" w:hint="default"/>
                <w:spacing w:val="-2"/>
                <w:sz w:val="18"/>
                <w:szCs w:val="18"/>
              </w:rPr>
              <w:t>北京华道征信有限</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公司</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4,500,000.00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225,000.00</w:t>
            </w:r>
          </w:p>
        </w:tc>
      </w:tr>
      <w:tr>
        <w:trPr>
          <w:trHeight w:val="398"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1"/>
                <w:sz w:val="18"/>
                <w:szCs w:val="18"/>
              </w:rPr>
              <w:t> </w:t>
            </w:r>
            <w:r>
              <w:rPr>
                <w:rFonts w:ascii="宋体" w:hAnsi="宋体" w:cs="宋体" w:eastAsia="宋体" w:hint="default"/>
                <w:sz w:val="18"/>
                <w:szCs w:val="18"/>
              </w:rPr>
              <w:t>计</w:t>
            </w:r>
          </w:p>
        </w:tc>
        <w:tc>
          <w:tcPr>
            <w:tcW w:w="1599"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34,757,541.75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1,779,836.96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21,950,000.00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1,882,500.00</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b/>
                <w:bCs/>
                <w:sz w:val="18"/>
                <w:szCs w:val="18"/>
              </w:rPr>
              <w:t>预付款项：</w:t>
            </w:r>
            <w:r>
              <w:rPr>
                <w:rFonts w:ascii="宋体" w:hAnsi="宋体" w:cs="宋体" w:eastAsia="宋体" w:hint="default"/>
                <w:sz w:val="18"/>
                <w:szCs w:val="18"/>
              </w:rPr>
            </w:r>
          </w:p>
        </w:tc>
        <w:tc>
          <w:tcPr>
            <w:tcW w:w="1599"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1" w:footer="1186" w:top="1100" w:bottom="1440" w:left="980" w:right="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1594"/>
        <w:gridCol w:w="1599"/>
        <w:gridCol w:w="1595"/>
        <w:gridCol w:w="1594"/>
        <w:gridCol w:w="1594"/>
        <w:gridCol w:w="1594"/>
      </w:tblGrid>
      <w:tr>
        <w:trPr>
          <w:trHeight w:val="715" w:hRule="exact"/>
        </w:trPr>
        <w:tc>
          <w:tcPr>
            <w:tcW w:w="1594"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118"/>
              <w:jc w:val="left"/>
              <w:rPr>
                <w:rFonts w:ascii="宋体" w:hAnsi="宋体" w:cs="宋体" w:eastAsia="宋体" w:hint="default"/>
                <w:sz w:val="18"/>
                <w:szCs w:val="18"/>
              </w:rPr>
            </w:pPr>
            <w:r>
              <w:rPr>
                <w:rFonts w:ascii="宋体" w:hAnsi="宋体" w:cs="宋体" w:eastAsia="宋体" w:hint="default"/>
                <w:spacing w:val="-2"/>
                <w:sz w:val="18"/>
                <w:szCs w:val="18"/>
              </w:rPr>
              <w:t>北京华道征信有限</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12,618,410.00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13,638,753.00</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1" w:hRule="exact"/>
        </w:trPr>
        <w:tc>
          <w:tcPr>
            <w:tcW w:w="1594"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3"/>
              <w:ind w:left="23" w:right="185"/>
              <w:jc w:val="left"/>
              <w:rPr>
                <w:rFonts w:ascii="宋体" w:hAnsi="宋体" w:cs="宋体" w:eastAsia="宋体" w:hint="default"/>
                <w:sz w:val="18"/>
                <w:szCs w:val="18"/>
              </w:rPr>
            </w:pPr>
            <w:r>
              <w:rPr>
                <w:rFonts w:ascii="宋体" w:hAnsi="宋体" w:cs="宋体" w:eastAsia="宋体" w:hint="default"/>
                <w:spacing w:val="-3"/>
                <w:sz w:val="18"/>
                <w:szCs w:val="18"/>
              </w:rPr>
              <w:t>百可录</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北京</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科技</w:t>
            </w:r>
            <w:r>
              <w:rPr>
                <w:rFonts w:ascii="宋体" w:hAnsi="宋体" w:cs="宋体" w:eastAsia="宋体" w:hint="default"/>
                <w:spacing w:val="-68"/>
                <w:sz w:val="18"/>
                <w:szCs w:val="18"/>
              </w:rPr>
              <w:t> </w:t>
            </w:r>
            <w:r>
              <w:rPr>
                <w:rFonts w:ascii="宋体" w:hAnsi="宋体" w:cs="宋体" w:eastAsia="宋体" w:hint="default"/>
                <w:sz w:val="18"/>
                <w:szCs w:val="18"/>
              </w:rPr>
              <w:t>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2"/>
                <w:sz w:val="18"/>
              </w:rPr>
              <w:t>682,784.11</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1"/>
                <w:sz w:val="18"/>
                <w:szCs w:val="18"/>
              </w:rPr>
              <w:t> </w:t>
            </w:r>
            <w:r>
              <w:rPr>
                <w:rFonts w:ascii="宋体" w:hAnsi="宋体" w:cs="宋体" w:eastAsia="宋体" w:hint="default"/>
                <w:sz w:val="18"/>
                <w:szCs w:val="18"/>
              </w:rPr>
              <w:t>计</w:t>
            </w:r>
          </w:p>
        </w:tc>
        <w:tc>
          <w:tcPr>
            <w:tcW w:w="1599"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2"/>
                <w:sz w:val="18"/>
              </w:rPr>
              <w:t>13,301,194.11</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13,638,753.00</w:t>
            </w:r>
          </w:p>
        </w:tc>
        <w:tc>
          <w:tcPr>
            <w:tcW w:w="159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2）应付项目" w:id="387"/>
      <w:bookmarkEnd w:id="387"/>
      <w:r>
        <w:rPr>
          <w:b w:val="0"/>
          <w:bCs w:val="0"/>
        </w:rPr>
      </w:r>
      <w:r>
        <w:rPr/>
        <w:t>（</w:t>
      </w:r>
      <w:r>
        <w:rPr>
          <w:rFonts w:ascii="Times New Roman" w:hAnsi="Times New Roman" w:cs="Times New Roman" w:eastAsia="Times New Roman" w:hint="default"/>
        </w:rPr>
        <w:t>2</w:t>
      </w:r>
      <w:r>
        <w:rPr/>
        <w:t>）应付项目</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391"/>
        <w:gridCol w:w="2396"/>
        <w:gridCol w:w="2391"/>
        <w:gridCol w:w="2391"/>
      </w:tblGrid>
      <w:tr>
        <w:trPr>
          <w:trHeight w:val="40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52"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52"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398"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b/>
                <w:bCs/>
                <w:sz w:val="18"/>
                <w:szCs w:val="18"/>
              </w:rPr>
              <w:t>应付账款：</w:t>
            </w:r>
            <w:r>
              <w:rPr>
                <w:rFonts w:ascii="宋体" w:hAnsi="宋体" w:cs="宋体" w:eastAsia="宋体" w:hint="default"/>
                <w:sz w:val="18"/>
                <w:szCs w:val="18"/>
              </w:rPr>
            </w:r>
          </w:p>
        </w:tc>
        <w:tc>
          <w:tcPr>
            <w:tcW w:w="2396"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pacing w:val="-3"/>
                <w:sz w:val="18"/>
                <w:szCs w:val="18"/>
              </w:rPr>
              <w:t>深圳票联金融服务有限公司</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345,562.39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345,562.39</w:t>
            </w:r>
          </w:p>
        </w:tc>
      </w:tr>
      <w:tr>
        <w:trPr>
          <w:trHeight w:val="404" w:hRule="exact"/>
        </w:trPr>
        <w:tc>
          <w:tcPr>
            <w:tcW w:w="2391" w:type="dxa"/>
            <w:tcBorders>
              <w:top w:val="single" w:sz="4" w:space="0" w:color="000000"/>
              <w:left w:val="single" w:sz="4" w:space="0" w:color="000000"/>
              <w:bottom w:val="single" w:sz="4" w:space="0" w:color="000000"/>
              <w:right w:val="single" w:sz="4" w:space="0" w:color="000000"/>
            </w:tcBorders>
          </w:tcPr>
          <w:p>
            <w:pP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pacing w:val="-3"/>
                <w:sz w:val="18"/>
                <w:szCs w:val="18"/>
              </w:rPr>
              <w:t>百可录</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北京</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科技有限公司</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327,683.15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31,687.60</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673,245.54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377,249.99</w:t>
            </w:r>
          </w:p>
        </w:tc>
      </w:tr>
      <w:tr>
        <w:trPr>
          <w:trHeight w:val="398"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b/>
                <w:bCs/>
                <w:sz w:val="18"/>
                <w:szCs w:val="18"/>
              </w:rPr>
              <w:t>预收款项：</w:t>
            </w:r>
            <w:r>
              <w:rPr>
                <w:rFonts w:ascii="宋体" w:hAnsi="宋体" w:cs="宋体" w:eastAsia="宋体" w:hint="default"/>
                <w:sz w:val="18"/>
                <w:szCs w:val="18"/>
              </w:rPr>
            </w:r>
          </w:p>
        </w:tc>
        <w:tc>
          <w:tcPr>
            <w:tcW w:w="2396"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pacing w:val="-3"/>
                <w:sz w:val="18"/>
                <w:szCs w:val="18"/>
              </w:rPr>
              <w:t>易安财产保险股份有限公司</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30,862.71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43,153.03</w:t>
            </w:r>
          </w:p>
        </w:tc>
      </w:tr>
      <w:tr>
        <w:trPr>
          <w:trHeight w:val="404" w:hRule="exact"/>
        </w:trPr>
        <w:tc>
          <w:tcPr>
            <w:tcW w:w="2391" w:type="dxa"/>
            <w:tcBorders>
              <w:top w:val="single" w:sz="4" w:space="0" w:color="000000"/>
              <w:left w:val="single" w:sz="4" w:space="0" w:color="000000"/>
              <w:bottom w:val="single" w:sz="4" w:space="0" w:color="000000"/>
              <w:right w:val="single" w:sz="4" w:space="0" w:color="000000"/>
            </w:tcBorders>
          </w:tcPr>
          <w:p>
            <w:pP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pacing w:val="-3"/>
                <w:sz w:val="18"/>
                <w:szCs w:val="18"/>
              </w:rPr>
              <w:t>百可录（北京）科技有限公司</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20,245.25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23,536.40</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深圳票联金融服务有限公司</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4,419.10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4,893.90</w:t>
            </w:r>
          </w:p>
        </w:tc>
      </w:tr>
      <w:tr>
        <w:trPr>
          <w:trHeight w:val="398" w:hRule="exact"/>
        </w:trPr>
        <w:tc>
          <w:tcPr>
            <w:tcW w:w="2391" w:type="dxa"/>
            <w:tcBorders>
              <w:top w:val="single" w:sz="4" w:space="0" w:color="000000"/>
              <w:left w:val="single" w:sz="4" w:space="0" w:color="000000"/>
              <w:bottom w:val="single" w:sz="4" w:space="0" w:color="000000"/>
              <w:right w:val="single" w:sz="4" w:space="0" w:color="000000"/>
            </w:tcBorders>
          </w:tcPr>
          <w:p>
            <w:pP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东亚前海证券有限责任公司</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59,474.74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99,792.76</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1"/>
                <w:sz w:val="18"/>
                <w:szCs w:val="18"/>
              </w:rPr>
              <w:t> </w:t>
            </w:r>
            <w:r>
              <w:rPr>
                <w:rFonts w:ascii="宋体" w:hAnsi="宋体" w:cs="宋体" w:eastAsia="宋体" w:hint="default"/>
                <w:sz w:val="18"/>
                <w:szCs w:val="18"/>
              </w:rPr>
              <w:t>计</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2"/>
                <w:sz w:val="18"/>
              </w:rPr>
              <w:t>115,001.80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171,376.09</w:t>
            </w:r>
          </w:p>
        </w:tc>
      </w:tr>
      <w:tr>
        <w:trPr>
          <w:trHeight w:val="404"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b/>
                <w:bCs/>
                <w:sz w:val="18"/>
                <w:szCs w:val="18"/>
              </w:rPr>
              <w:t>其他应付款：</w:t>
            </w:r>
            <w:r>
              <w:rPr>
                <w:rFonts w:ascii="宋体" w:hAnsi="宋体" w:cs="宋体" w:eastAsia="宋体" w:hint="default"/>
                <w:sz w:val="18"/>
                <w:szCs w:val="18"/>
              </w:rPr>
            </w:r>
          </w:p>
        </w:tc>
        <w:tc>
          <w:tcPr>
            <w:tcW w:w="2396"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391" w:type="dxa"/>
            <w:tcBorders>
              <w:top w:val="single" w:sz="4" w:space="0" w:color="000000"/>
              <w:left w:val="single" w:sz="4" w:space="0" w:color="000000"/>
              <w:bottom w:val="single" w:sz="4" w:space="0" w:color="000000"/>
              <w:right w:val="single" w:sz="4" w:space="0" w:color="000000"/>
            </w:tcBorders>
          </w:tcPr>
          <w:p>
            <w:pP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3"/>
              <w:ind w:left="23" w:right="76"/>
              <w:jc w:val="left"/>
              <w:rPr>
                <w:rFonts w:ascii="宋体" w:hAnsi="宋体" w:cs="宋体" w:eastAsia="宋体" w:hint="default"/>
                <w:sz w:val="18"/>
                <w:szCs w:val="18"/>
              </w:rPr>
            </w:pPr>
            <w:r>
              <w:rPr>
                <w:rFonts w:ascii="宋体" w:hAnsi="宋体" w:cs="宋体" w:eastAsia="宋体" w:hint="default"/>
                <w:spacing w:val="-3"/>
                <w:sz w:val="18"/>
                <w:szCs w:val="18"/>
              </w:rPr>
              <w:t>国誉创富国际金融服务</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深圳</w:t>
            </w:r>
            <w:r>
              <w:rPr>
                <w:rFonts w:ascii="Times New Roman" w:hAnsi="Times New Roman" w:cs="Times New Roman" w:eastAsia="Times New Roman" w:hint="default"/>
                <w:spacing w:val="-3"/>
                <w:sz w:val="18"/>
                <w:szCs w:val="18"/>
              </w:rPr>
              <w: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有限公司</w:t>
            </w: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10,853,000.00</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1"/>
                <w:sz w:val="18"/>
                <w:szCs w:val="18"/>
              </w:rPr>
              <w:t> </w:t>
            </w:r>
            <w:r>
              <w:rPr>
                <w:rFonts w:ascii="宋体" w:hAnsi="宋体" w:cs="宋体" w:eastAsia="宋体" w:hint="default"/>
                <w:sz w:val="18"/>
                <w:szCs w:val="18"/>
              </w:rPr>
              <w:t>计</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10,853,000.00</w:t>
            </w:r>
          </w:p>
        </w:tc>
      </w:tr>
    </w:tbl>
    <w:p>
      <w:pPr>
        <w:spacing w:line="240" w:lineRule="auto" w:before="9"/>
        <w:rPr>
          <w:rFonts w:ascii="宋体" w:hAnsi="宋体" w:cs="宋体" w:eastAsia="宋体" w:hint="default"/>
          <w:sz w:val="17"/>
          <w:szCs w:val="17"/>
        </w:rPr>
      </w:pPr>
    </w:p>
    <w:p>
      <w:pPr>
        <w:spacing w:line="511" w:lineRule="auto" w:before="26"/>
        <w:ind w:left="153" w:right="8341" w:firstLine="0"/>
        <w:jc w:val="left"/>
        <w:rPr>
          <w:rFonts w:ascii="宋体" w:hAnsi="宋体" w:cs="宋体" w:eastAsia="宋体" w:hint="default"/>
          <w:sz w:val="18"/>
          <w:szCs w:val="18"/>
        </w:rPr>
      </w:pPr>
      <w:bookmarkStart w:name="十三、承诺及或有事项" w:id="388"/>
      <w:bookmarkEnd w:id="388"/>
      <w:r>
        <w:rPr/>
      </w:r>
      <w:r>
        <w:rPr>
          <w:rFonts w:ascii="宋体" w:hAnsi="宋体" w:cs="宋体" w:eastAsia="宋体" w:hint="default"/>
          <w:b/>
          <w:bCs/>
          <w:sz w:val="24"/>
          <w:szCs w:val="24"/>
        </w:rPr>
        <w:t>十三、承诺及或有事项</w:t>
      </w:r>
      <w:r>
        <w:rPr>
          <w:rFonts w:ascii="宋体" w:hAnsi="宋体" w:cs="宋体" w:eastAsia="宋体" w:hint="default"/>
          <w:b/>
          <w:bCs/>
          <w:w w:val="99"/>
          <w:sz w:val="24"/>
          <w:szCs w:val="24"/>
        </w:rPr>
        <w:t> </w:t>
      </w:r>
      <w:bookmarkStart w:name="1、重要承诺事项" w:id="389"/>
      <w:bookmarkEnd w:id="389"/>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、重要承诺事项</w:t>
      </w:r>
      <w:r>
        <w:rPr>
          <w:rFonts w:ascii="宋体" w:hAnsi="宋体" w:cs="宋体" w:eastAsia="宋体" w:hint="default"/>
          <w:b/>
          <w:bCs/>
          <w:spacing w:val="-103"/>
          <w:sz w:val="21"/>
          <w:szCs w:val="21"/>
        </w:rPr>
        <w:t> </w:t>
      </w:r>
      <w:r>
        <w:rPr>
          <w:rFonts w:ascii="宋体" w:hAnsi="宋体" w:cs="宋体" w:eastAsia="宋体" w:hint="default"/>
          <w:spacing w:val="-3"/>
          <w:sz w:val="18"/>
          <w:szCs w:val="18"/>
        </w:rPr>
        <w:t>资产负债表日存在的重要承诺</w:t>
      </w:r>
    </w:p>
    <w:p>
      <w:pPr>
        <w:pStyle w:val="BodyText"/>
        <w:spacing w:line="238" w:lineRule="exact"/>
        <w:ind w:left="513" w:right="0"/>
        <w:jc w:val="left"/>
      </w:pPr>
      <w:r>
        <w:rPr>
          <w:rFonts w:ascii="Times New Roman" w:hAnsi="Times New Roman" w:cs="Times New Roman" w:eastAsia="Times New Roman" w:hint="default"/>
          <w:spacing w:val="-3"/>
        </w:rPr>
        <w:t>1</w:t>
      </w:r>
      <w:r>
        <w:rPr>
          <w:spacing w:val="-3"/>
        </w:rPr>
        <w:t>．募集资金使用承诺情况</w:t>
      </w:r>
    </w:p>
    <w:p>
      <w:pPr>
        <w:spacing w:line="240" w:lineRule="auto" w:before="7"/>
        <w:rPr>
          <w:rFonts w:ascii="宋体" w:hAnsi="宋体" w:cs="宋体" w:eastAsia="宋体" w:hint="default"/>
          <w:sz w:val="16"/>
          <w:szCs w:val="16"/>
        </w:rPr>
      </w:pPr>
    </w:p>
    <w:p>
      <w:pPr>
        <w:pStyle w:val="BodyText"/>
        <w:spacing w:line="463" w:lineRule="auto"/>
        <w:ind w:right="1029" w:firstLine="360"/>
        <w:jc w:val="left"/>
      </w:pPr>
      <w:r>
        <w:rPr>
          <w:spacing w:val="-7"/>
          <w:w w:val="101"/>
        </w:rPr>
        <w:t>经中国证券监督管理委员会《关于核准深圳市银之杰科技股份有限公司非公开发行股票的批复》（证监许可</w:t>
      </w:r>
      <w:r>
        <w:rPr>
          <w:rFonts w:ascii="Times New Roman" w:hAnsi="Times New Roman" w:cs="Times New Roman" w:eastAsia="Times New Roman" w:hint="default"/>
          <w:spacing w:val="-7"/>
          <w:w w:val="101"/>
        </w:rPr>
        <w:t>[2017]559</w:t>
      </w:r>
      <w:r>
        <w:rPr>
          <w:rFonts w:ascii="Times New Roman" w:hAnsi="Times New Roman" w:cs="Times New Roman" w:eastAsia="Times New Roman" w:hint="default"/>
          <w:spacing w:val="10"/>
          <w:w w:val="101"/>
        </w:rPr>
        <w:t> </w:t>
      </w:r>
      <w:r>
        <w:rPr>
          <w:w w:val="101"/>
        </w:rPr>
        <w:t>号） </w:t>
      </w:r>
      <w:r>
        <w:rPr>
          <w:spacing w:val="-3"/>
        </w:rPr>
        <w:t>核准，公司向同方金融控股（深圳）有限公司、武汉亘星投资有限公司、财通基金管理有限公司非公开发行人民币普通股</w:t>
      </w:r>
      <w:r>
        <w:rPr>
          <w:spacing w:val="66"/>
        </w:rPr>
        <w:t> </w:t>
      </w:r>
      <w:r>
        <w:rPr>
          <w:spacing w:val="66"/>
        </w:rPr>
      </w:r>
      <w:r>
        <w:rPr>
          <w:rFonts w:ascii="Times New Roman" w:hAnsi="Times New Roman" w:cs="Times New Roman" w:eastAsia="Times New Roman" w:hint="default"/>
        </w:rPr>
        <w:t>22,626,766</w:t>
      </w:r>
      <w:r>
        <w:rPr>
          <w:rFonts w:ascii="Times New Roman" w:hAnsi="Times New Roman" w:cs="Times New Roman" w:eastAsia="Times New Roman" w:hint="default"/>
          <w:spacing w:val="5"/>
        </w:rPr>
        <w:t> </w:t>
      </w:r>
      <w:r>
        <w:rPr/>
        <w:t>股，每股面值</w:t>
      </w:r>
      <w:r>
        <w:rPr>
          <w:spacing w:val="-41"/>
        </w:rPr>
        <w:t> </w:t>
      </w:r>
      <w:r>
        <w:rPr>
          <w:rFonts w:ascii="Times New Roman" w:hAnsi="Times New Roman" w:cs="Times New Roman" w:eastAsia="Times New Roman" w:hint="default"/>
        </w:rPr>
        <w:t>1.00</w:t>
      </w:r>
      <w:r>
        <w:rPr>
          <w:rFonts w:ascii="Times New Roman" w:hAnsi="Times New Roman" w:cs="Times New Roman" w:eastAsia="Times New Roman" w:hint="default"/>
          <w:spacing w:val="-3"/>
        </w:rPr>
        <w:t> </w:t>
      </w:r>
      <w:r>
        <w:rPr/>
        <w:t>元，每股发行价格</w:t>
      </w:r>
      <w:r>
        <w:rPr>
          <w:spacing w:val="-35"/>
        </w:rPr>
        <w:t> </w:t>
      </w:r>
      <w:r>
        <w:rPr>
          <w:rFonts w:ascii="Times New Roman" w:hAnsi="Times New Roman" w:cs="Times New Roman" w:eastAsia="Times New Roman" w:hint="default"/>
        </w:rPr>
        <w:t>15.99</w:t>
      </w:r>
      <w:r>
        <w:rPr>
          <w:rFonts w:ascii="Times New Roman" w:hAnsi="Times New Roman" w:cs="Times New Roman" w:eastAsia="Times New Roman" w:hint="default"/>
          <w:spacing w:val="-3"/>
        </w:rPr>
        <w:t> </w:t>
      </w:r>
      <w:r>
        <w:rPr>
          <w:spacing w:val="-3"/>
        </w:rPr>
        <w:t>元，本次发行募集资金总额为人民币</w:t>
      </w:r>
      <w:r>
        <w:rPr>
          <w:spacing w:val="-34"/>
        </w:rPr>
        <w:t> </w:t>
      </w:r>
      <w:r>
        <w:rPr>
          <w:rFonts w:ascii="Times New Roman" w:hAnsi="Times New Roman" w:cs="Times New Roman" w:eastAsia="Times New Roman" w:hint="default"/>
        </w:rPr>
        <w:t>361,801,988.34</w:t>
      </w:r>
      <w:r>
        <w:rPr>
          <w:rFonts w:ascii="Times New Roman" w:hAnsi="Times New Roman" w:cs="Times New Roman" w:eastAsia="Times New Roman" w:hint="default"/>
          <w:spacing w:val="-2"/>
        </w:rPr>
        <w:t> </w:t>
      </w:r>
      <w:r>
        <w:rPr>
          <w:spacing w:val="-3"/>
        </w:rPr>
        <w:t>元，扣除各项发</w:t>
      </w:r>
    </w:p>
    <w:p>
      <w:pPr>
        <w:pStyle w:val="BodyText"/>
        <w:spacing w:line="240" w:lineRule="auto" w:before="36"/>
        <w:ind w:right="0"/>
        <w:jc w:val="left"/>
      </w:pPr>
      <w:r>
        <w:rPr/>
        <w:t>行费用人民币 </w:t>
      </w:r>
      <w:r>
        <w:rPr>
          <w:rFonts w:ascii="Times New Roman" w:hAnsi="Times New Roman" w:cs="Times New Roman" w:eastAsia="Times New Roman" w:hint="default"/>
        </w:rPr>
        <w:t>16,909,930.00 </w:t>
      </w:r>
      <w:r>
        <w:rPr>
          <w:spacing w:val="-3"/>
        </w:rPr>
        <w:t>元后，本次募集资金净额为人民币 </w:t>
      </w:r>
      <w:r>
        <w:rPr>
          <w:rFonts w:ascii="Times New Roman" w:hAnsi="Times New Roman" w:cs="Times New Roman" w:eastAsia="Times New Roman" w:hint="default"/>
        </w:rPr>
        <w:t>344,892,058.34</w:t>
      </w:r>
      <w:r>
        <w:rPr>
          <w:rFonts w:ascii="Times New Roman" w:hAnsi="Times New Roman" w:cs="Times New Roman" w:eastAsia="Times New Roman" w:hint="default"/>
          <w:spacing w:val="-21"/>
        </w:rPr>
        <w:t> </w:t>
      </w:r>
      <w:r>
        <w:rPr>
          <w:spacing w:val="-3"/>
        </w:rPr>
        <w:t>元。募集资金投向使用情况如下：</w:t>
      </w:r>
    </w:p>
    <w:p>
      <w:pPr>
        <w:spacing w:line="240" w:lineRule="auto" w:before="6"/>
        <w:rPr>
          <w:rFonts w:ascii="宋体" w:hAnsi="宋体" w:cs="宋体" w:eastAsia="宋体" w:hint="default"/>
          <w:sz w:val="9"/>
          <w:szCs w:val="9"/>
        </w:rPr>
      </w:pPr>
    </w:p>
    <w:tbl>
      <w:tblPr>
        <w:tblW w:w="0" w:type="auto"/>
        <w:jc w:val="left"/>
        <w:tblInd w:w="138" w:type="dxa"/>
        <w:tblLayout w:type="fixed"/>
        <w:tblCellMar>
          <w:top w:w="0" w:type="dxa"/>
          <w:left w:w="0" w:type="dxa"/>
          <w:bottom w:w="0" w:type="dxa"/>
          <w:right w:w="0" w:type="dxa"/>
        </w:tblCellMar>
        <w:tblLook w:val="01E0"/>
      </w:tblPr>
      <w:tblGrid>
        <w:gridCol w:w="3222"/>
        <w:gridCol w:w="3217"/>
        <w:gridCol w:w="3222"/>
      </w:tblGrid>
      <w:tr>
        <w:trPr>
          <w:trHeight w:val="331" w:hRule="exact"/>
        </w:trPr>
        <w:tc>
          <w:tcPr>
            <w:tcW w:w="322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5"/>
              <w:ind w:left="1061" w:right="0"/>
              <w:jc w:val="left"/>
              <w:rPr>
                <w:rFonts w:ascii="宋体" w:hAnsi="宋体" w:cs="宋体" w:eastAsia="宋体" w:hint="default"/>
                <w:sz w:val="18"/>
                <w:szCs w:val="18"/>
              </w:rPr>
            </w:pPr>
            <w:r>
              <w:rPr>
                <w:rFonts w:ascii="宋体" w:hAnsi="宋体" w:cs="宋体" w:eastAsia="宋体" w:hint="default"/>
                <w:sz w:val="18"/>
                <w:szCs w:val="18"/>
              </w:rPr>
              <w:t>承诺投资项目</w:t>
            </w:r>
          </w:p>
        </w:tc>
        <w:tc>
          <w:tcPr>
            <w:tcW w:w="321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5"/>
              <w:ind w:left="883" w:right="0"/>
              <w:jc w:val="left"/>
              <w:rPr>
                <w:rFonts w:ascii="宋体" w:hAnsi="宋体" w:cs="宋体" w:eastAsia="宋体" w:hint="default"/>
                <w:sz w:val="18"/>
                <w:szCs w:val="18"/>
              </w:rPr>
            </w:pPr>
            <w:r>
              <w:rPr>
                <w:rFonts w:ascii="宋体" w:hAnsi="宋体" w:cs="宋体" w:eastAsia="宋体" w:hint="default"/>
                <w:sz w:val="18"/>
                <w:szCs w:val="18"/>
              </w:rPr>
              <w:t>承诺投资金额（万元）</w:t>
            </w:r>
          </w:p>
        </w:tc>
        <w:tc>
          <w:tcPr>
            <w:tcW w:w="322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5"/>
              <w:ind w:left="888" w:right="0"/>
              <w:jc w:val="left"/>
              <w:rPr>
                <w:rFonts w:ascii="宋体" w:hAnsi="宋体" w:cs="宋体" w:eastAsia="宋体" w:hint="default"/>
                <w:sz w:val="18"/>
                <w:szCs w:val="18"/>
              </w:rPr>
            </w:pPr>
            <w:r>
              <w:rPr>
                <w:rFonts w:ascii="宋体" w:hAnsi="宋体" w:cs="宋体" w:eastAsia="宋体" w:hint="default"/>
                <w:sz w:val="18"/>
                <w:szCs w:val="18"/>
              </w:rPr>
              <w:t>实际投资金额（万元）</w:t>
            </w:r>
          </w:p>
        </w:tc>
      </w:tr>
    </w:tbl>
    <w:p>
      <w:pPr>
        <w:spacing w:after="0" w:line="240" w:lineRule="auto"/>
        <w:jc w:val="left"/>
        <w:rPr>
          <w:rFonts w:ascii="宋体" w:hAnsi="宋体" w:cs="宋体" w:eastAsia="宋体" w:hint="default"/>
          <w:sz w:val="18"/>
          <w:szCs w:val="18"/>
        </w:rPr>
        <w:sectPr>
          <w:pgSz w:w="11910" w:h="16840"/>
          <w:pgMar w:header="871" w:footer="1186" w:top="1100" w:bottom="1380" w:left="980" w:right="0"/>
        </w:sectPr>
      </w:pPr>
    </w:p>
    <w:p>
      <w:pPr>
        <w:spacing w:line="240" w:lineRule="auto" w:before="8"/>
        <w:rPr>
          <w:rFonts w:ascii="宋体" w:hAnsi="宋体" w:cs="宋体" w:eastAsia="宋体" w:hint="default"/>
          <w:sz w:val="24"/>
          <w:szCs w:val="24"/>
        </w:rPr>
      </w:pPr>
    </w:p>
    <w:tbl>
      <w:tblPr>
        <w:tblW w:w="0" w:type="auto"/>
        <w:jc w:val="left"/>
        <w:tblInd w:w="138" w:type="dxa"/>
        <w:tblLayout w:type="fixed"/>
        <w:tblCellMar>
          <w:top w:w="0" w:type="dxa"/>
          <w:left w:w="0" w:type="dxa"/>
          <w:bottom w:w="0" w:type="dxa"/>
          <w:right w:w="0" w:type="dxa"/>
        </w:tblCellMar>
        <w:tblLook w:val="01E0"/>
      </w:tblPr>
      <w:tblGrid>
        <w:gridCol w:w="3222"/>
        <w:gridCol w:w="3217"/>
        <w:gridCol w:w="3222"/>
      </w:tblGrid>
      <w:tr>
        <w:trPr>
          <w:trHeight w:val="341" w:hRule="exact"/>
        </w:trPr>
        <w:tc>
          <w:tcPr>
            <w:tcW w:w="3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pacing w:val="-3"/>
                <w:sz w:val="18"/>
                <w:szCs w:val="18"/>
              </w:rPr>
              <w:t>银行数据分析应用系统建设项目</w:t>
            </w:r>
          </w:p>
        </w:tc>
        <w:tc>
          <w:tcPr>
            <w:tcW w:w="3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27,880.20</w:t>
            </w:r>
          </w:p>
        </w:tc>
        <w:tc>
          <w:tcPr>
            <w:tcW w:w="3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859.73</w:t>
            </w:r>
          </w:p>
        </w:tc>
      </w:tr>
      <w:tr>
        <w:trPr>
          <w:trHeight w:val="341" w:hRule="exact"/>
        </w:trPr>
        <w:tc>
          <w:tcPr>
            <w:tcW w:w="3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补充流动资金</w:t>
            </w:r>
          </w:p>
        </w:tc>
        <w:tc>
          <w:tcPr>
            <w:tcW w:w="3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8,300.00</w:t>
            </w:r>
          </w:p>
        </w:tc>
        <w:tc>
          <w:tcPr>
            <w:tcW w:w="3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8,300.00</w:t>
            </w:r>
          </w:p>
        </w:tc>
      </w:tr>
      <w:tr>
        <w:trPr>
          <w:trHeight w:val="346" w:hRule="exact"/>
        </w:trPr>
        <w:tc>
          <w:tcPr>
            <w:tcW w:w="3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4" w:right="0"/>
              <w:jc w:val="left"/>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58"/>
                <w:sz w:val="18"/>
                <w:szCs w:val="18"/>
              </w:rPr>
              <w:t> </w:t>
            </w:r>
            <w:r>
              <w:rPr>
                <w:rFonts w:ascii="宋体" w:hAnsi="宋体" w:cs="宋体" w:eastAsia="宋体" w:hint="default"/>
                <w:sz w:val="18"/>
                <w:szCs w:val="18"/>
              </w:rPr>
              <w:t>计</w:t>
            </w:r>
          </w:p>
        </w:tc>
        <w:tc>
          <w:tcPr>
            <w:tcW w:w="3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0"/>
              <w:jc w:val="right"/>
              <w:rPr>
                <w:rFonts w:ascii="Times New Roman" w:hAnsi="Times New Roman" w:cs="Times New Roman" w:eastAsia="Times New Roman" w:hint="default"/>
                <w:sz w:val="18"/>
                <w:szCs w:val="18"/>
              </w:rPr>
            </w:pPr>
            <w:r>
              <w:rPr>
                <w:rFonts w:ascii="Times New Roman"/>
                <w:spacing w:val="-1"/>
                <w:sz w:val="18"/>
              </w:rPr>
              <w:t>36,180.20</w:t>
            </w:r>
          </w:p>
        </w:tc>
        <w:tc>
          <w:tcPr>
            <w:tcW w:w="3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0"/>
              <w:jc w:val="right"/>
              <w:rPr>
                <w:rFonts w:ascii="Times New Roman" w:hAnsi="Times New Roman" w:cs="Times New Roman" w:eastAsia="Times New Roman" w:hint="default"/>
                <w:sz w:val="18"/>
                <w:szCs w:val="18"/>
              </w:rPr>
            </w:pPr>
            <w:r>
              <w:rPr>
                <w:rFonts w:ascii="Times New Roman"/>
                <w:spacing w:val="-1"/>
                <w:sz w:val="18"/>
              </w:rPr>
              <w:t>9,159.73</w:t>
            </w:r>
          </w:p>
        </w:tc>
      </w:tr>
    </w:tbl>
    <w:p>
      <w:pPr>
        <w:pStyle w:val="BodyText"/>
        <w:spacing w:line="451" w:lineRule="auto" w:before="92"/>
        <w:ind w:left="513" w:right="2115"/>
        <w:jc w:val="left"/>
      </w:pPr>
      <w:r>
        <w:rPr/>
        <w:t>截至</w:t>
      </w:r>
      <w:r>
        <w:rPr>
          <w:spacing w:val="-45"/>
        </w:rPr>
        <w:t> </w:t>
      </w:r>
      <w:r>
        <w:rPr>
          <w:rFonts w:ascii="Times New Roman" w:hAnsi="Times New Roman" w:cs="Times New Roman" w:eastAsia="Times New Roman" w:hint="default"/>
        </w:rPr>
        <w:t>2019</w:t>
      </w:r>
      <w:r>
        <w:rPr>
          <w:rFonts w:ascii="Times New Roman" w:hAnsi="Times New Roman" w:cs="Times New Roman" w:eastAsia="Times New Roman" w:hint="default"/>
          <w:spacing w:val="-6"/>
        </w:rPr>
        <w:t> </w:t>
      </w:r>
      <w:r>
        <w:rPr/>
        <w:t>年</w:t>
      </w:r>
      <w:r>
        <w:rPr>
          <w:spacing w:val="-51"/>
        </w:rPr>
        <w:t> </w:t>
      </w:r>
      <w:r>
        <w:rPr>
          <w:rFonts w:ascii="Times New Roman" w:hAnsi="Times New Roman" w:cs="Times New Roman" w:eastAsia="Times New Roman" w:hint="default"/>
        </w:rPr>
        <w:t>12</w:t>
      </w:r>
      <w:r>
        <w:rPr>
          <w:rFonts w:ascii="Times New Roman" w:hAnsi="Times New Roman" w:cs="Times New Roman" w:eastAsia="Times New Roman" w:hint="default"/>
          <w:spacing w:val="-6"/>
        </w:rPr>
        <w:t> </w:t>
      </w:r>
      <w:r>
        <w:rPr/>
        <w:t>月</w:t>
      </w:r>
      <w:r>
        <w:rPr>
          <w:spacing w:val="-51"/>
        </w:rPr>
        <w:t> </w:t>
      </w:r>
      <w:r>
        <w:rPr>
          <w:rFonts w:ascii="Times New Roman" w:hAnsi="Times New Roman" w:cs="Times New Roman" w:eastAsia="Times New Roman" w:hint="default"/>
        </w:rPr>
        <w:t>31</w:t>
      </w:r>
      <w:r>
        <w:rPr>
          <w:rFonts w:ascii="Times New Roman" w:hAnsi="Times New Roman" w:cs="Times New Roman" w:eastAsia="Times New Roman" w:hint="default"/>
          <w:spacing w:val="-10"/>
        </w:rPr>
        <w:t> </w:t>
      </w:r>
      <w:r>
        <w:rPr>
          <w:spacing w:val="-3"/>
        </w:rPr>
        <w:t>日，除上述事项外，本公司无需要披露的其他重大承诺事项。</w:t>
      </w:r>
      <w:r>
        <w:rPr>
          <w:spacing w:val="-6"/>
        </w:rPr>
        <w:t> </w:t>
      </w:r>
      <w:r>
        <w:rPr>
          <w:spacing w:val="-6"/>
        </w:rPr>
      </w:r>
      <w:r>
        <w:rPr>
          <w:rFonts w:ascii="Times New Roman" w:hAnsi="Times New Roman" w:cs="Times New Roman" w:eastAsia="Times New Roman" w:hint="default"/>
          <w:spacing w:val="-3"/>
        </w:rPr>
        <w:t>2.</w:t>
      </w:r>
      <w:r>
        <w:rPr>
          <w:spacing w:val="-3"/>
        </w:rPr>
        <w:t>合并范围内公司之间的财产抵押、质押担保情况，详见本财务报表附注十二、</w:t>
      </w:r>
      <w:r>
        <w:rPr>
          <w:rFonts w:ascii="Times New Roman" w:hAnsi="Times New Roman" w:cs="Times New Roman" w:eastAsia="Times New Roman" w:hint="default"/>
          <w:spacing w:val="-3"/>
        </w:rPr>
        <w:t>5</w:t>
      </w:r>
      <w:r>
        <w:rPr>
          <w:rFonts w:ascii="Times New Roman" w:hAnsi="Times New Roman" w:cs="Times New Roman" w:eastAsia="Times New Roman" w:hint="default"/>
          <w:spacing w:val="-3"/>
        </w:rPr>
        <w:t>“</w:t>
      </w:r>
      <w:r>
        <w:rPr>
          <w:spacing w:val="-3"/>
        </w:rPr>
        <w:t>关联交易情况</w:t>
      </w:r>
      <w:r>
        <w:rPr>
          <w:rFonts w:ascii="Times New Roman" w:hAnsi="Times New Roman" w:cs="Times New Roman" w:eastAsia="Times New Roman" w:hint="default"/>
          <w:spacing w:val="-3"/>
        </w:rPr>
        <w:t>”</w:t>
      </w:r>
      <w:r>
        <w:rPr>
          <w:spacing w:val="-3"/>
        </w:rPr>
        <w:t>之说明。</w:t>
      </w:r>
      <w:r>
        <w:rPr>
          <w:spacing w:val="55"/>
        </w:rPr>
        <w:t> </w:t>
      </w:r>
      <w:r>
        <w:rPr>
          <w:spacing w:val="55"/>
        </w:rPr>
      </w:r>
      <w:r>
        <w:rPr/>
        <w:t>截至</w:t>
      </w:r>
      <w:r>
        <w:rPr>
          <w:spacing w:val="-30"/>
        </w:rPr>
        <w:t> </w:t>
      </w:r>
      <w:r>
        <w:rPr>
          <w:rFonts w:ascii="Times New Roman" w:hAnsi="Times New Roman" w:cs="Times New Roman" w:eastAsia="Times New Roman" w:hint="default"/>
        </w:rPr>
        <w:t>2019</w:t>
      </w:r>
      <w:r>
        <w:rPr>
          <w:rFonts w:ascii="Times New Roman" w:hAnsi="Times New Roman" w:cs="Times New Roman" w:eastAsia="Times New Roman" w:hint="default"/>
          <w:spacing w:val="8"/>
        </w:rPr>
        <w:t> </w:t>
      </w:r>
      <w:r>
        <w:rPr/>
        <w:t>年</w:t>
      </w:r>
      <w:r>
        <w:rPr>
          <w:spacing w:val="-37"/>
        </w:rPr>
        <w:t> </w:t>
      </w:r>
      <w:r>
        <w:rPr>
          <w:rFonts w:ascii="Times New Roman" w:hAnsi="Times New Roman" w:cs="Times New Roman" w:eastAsia="Times New Roman" w:hint="default"/>
        </w:rPr>
        <w:t>12</w:t>
      </w:r>
      <w:r>
        <w:rPr>
          <w:rFonts w:ascii="Times New Roman" w:hAnsi="Times New Roman" w:cs="Times New Roman" w:eastAsia="Times New Roman" w:hint="default"/>
          <w:spacing w:val="8"/>
        </w:rPr>
        <w:t> </w:t>
      </w:r>
      <w:r>
        <w:rPr/>
        <w:t>月</w:t>
      </w:r>
      <w:r>
        <w:rPr>
          <w:spacing w:val="-37"/>
        </w:rPr>
        <w:t> </w:t>
      </w:r>
      <w:r>
        <w:rPr>
          <w:rFonts w:ascii="Times New Roman" w:hAnsi="Times New Roman" w:cs="Times New Roman" w:eastAsia="Times New Roman" w:hint="default"/>
        </w:rPr>
        <w:t>31</w:t>
      </w:r>
      <w:r>
        <w:rPr>
          <w:rFonts w:ascii="Times New Roman" w:hAnsi="Times New Roman" w:cs="Times New Roman" w:eastAsia="Times New Roman" w:hint="default"/>
          <w:spacing w:val="3"/>
        </w:rPr>
        <w:t> </w:t>
      </w:r>
      <w:r>
        <w:rPr>
          <w:spacing w:val="-3"/>
        </w:rPr>
        <w:t>日，除上述事项外，本公司无需要披露的其他重大承诺事项。</w:t>
      </w:r>
    </w:p>
    <w:p>
      <w:pPr>
        <w:spacing w:line="240" w:lineRule="auto" w:before="1"/>
        <w:rPr>
          <w:rFonts w:ascii="宋体" w:hAnsi="宋体" w:cs="宋体" w:eastAsia="宋体" w:hint="default"/>
          <w:sz w:val="18"/>
          <w:szCs w:val="18"/>
        </w:rPr>
      </w:pPr>
    </w:p>
    <w:p>
      <w:pPr>
        <w:pStyle w:val="Heading3"/>
        <w:spacing w:line="240" w:lineRule="auto"/>
        <w:ind w:right="0"/>
        <w:jc w:val="left"/>
        <w:rPr>
          <w:b w:val="0"/>
          <w:bCs w:val="0"/>
        </w:rPr>
      </w:pPr>
      <w:bookmarkStart w:name="2、或有事项" w:id="390"/>
      <w:bookmarkEnd w:id="390"/>
      <w:r>
        <w:rPr>
          <w:b w:val="0"/>
          <w:bCs w:val="0"/>
        </w:rPr>
      </w:r>
      <w:r>
        <w:rPr>
          <w:rFonts w:ascii="Times New Roman" w:hAnsi="Times New Roman" w:cs="Times New Roman" w:eastAsia="Times New Roman" w:hint="default"/>
        </w:rPr>
        <w:t>2</w:t>
      </w:r>
      <w:r>
        <w:rPr/>
        <w:t>、或有事项</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资产负债表日存在的重要或有事项" w:id="391"/>
      <w:bookmarkEnd w:id="391"/>
      <w:r>
        <w:rPr>
          <w:b w:val="0"/>
          <w:bCs w:val="0"/>
        </w:rPr>
      </w:r>
      <w:r>
        <w:rPr/>
        <w:t>（</w:t>
      </w:r>
      <w:r>
        <w:rPr>
          <w:rFonts w:ascii="Times New Roman" w:hAnsi="Times New Roman" w:cs="Times New Roman" w:eastAsia="Times New Roman" w:hint="default"/>
        </w:rPr>
        <w:t>1</w:t>
      </w:r>
      <w:r>
        <w:rPr/>
        <w:t>）资产负债表日存在的重要或有事项</w:t>
      </w:r>
      <w:r>
        <w:rPr>
          <w:b w:val="0"/>
          <w:bCs w:val="0"/>
        </w:rPr>
      </w:r>
    </w:p>
    <w:p>
      <w:pPr>
        <w:spacing w:line="240" w:lineRule="auto" w:before="7"/>
        <w:rPr>
          <w:rFonts w:ascii="宋体" w:hAnsi="宋体" w:cs="宋体" w:eastAsia="宋体" w:hint="default"/>
          <w:b/>
          <w:bCs/>
          <w:sz w:val="32"/>
          <w:szCs w:val="32"/>
        </w:rPr>
      </w:pPr>
    </w:p>
    <w:p>
      <w:pPr>
        <w:pStyle w:val="BodyText"/>
        <w:spacing w:line="453" w:lineRule="auto"/>
        <w:ind w:right="0" w:firstLine="360"/>
        <w:jc w:val="left"/>
      </w:pPr>
      <w:r>
        <w:rPr>
          <w:spacing w:val="-4"/>
        </w:rPr>
        <w:t>本公司为合并范围以外关联方提供担保情况，详见本附注十二、</w:t>
      </w:r>
      <w:r>
        <w:rPr>
          <w:rFonts w:ascii="Times New Roman" w:hAnsi="Times New Roman" w:cs="Times New Roman" w:eastAsia="Times New Roman" w:hint="default"/>
          <w:spacing w:val="-4"/>
        </w:rPr>
        <w:t>2</w:t>
      </w:r>
      <w:r>
        <w:rPr>
          <w:rFonts w:ascii="Times New Roman" w:hAnsi="Times New Roman" w:cs="Times New Roman" w:eastAsia="Times New Roman" w:hint="default"/>
          <w:spacing w:val="35"/>
        </w:rPr>
        <w:t> </w:t>
      </w:r>
      <w:r>
        <w:rPr>
          <w:spacing w:val="-4"/>
        </w:rPr>
        <w:t>关联交易情况”之说明；本公司为非关联方提供反担</w:t>
      </w:r>
      <w:r>
        <w:rPr>
          <w:w w:val="101"/>
        </w:rPr>
        <w:t> </w:t>
      </w:r>
      <w:r>
        <w:rPr>
          <w:spacing w:val="-2"/>
          <w:w w:val="101"/>
        </w:rPr>
        <w:t>保情况，详见本附注七、</w:t>
      </w:r>
      <w:r>
        <w:rPr>
          <w:rFonts w:ascii="Times New Roman" w:hAnsi="Times New Roman" w:cs="Times New Roman" w:eastAsia="Times New Roman" w:hint="default"/>
          <w:spacing w:val="-2"/>
          <w:w w:val="101"/>
        </w:rPr>
        <w:t>17 </w:t>
      </w:r>
      <w:r>
        <w:rPr>
          <w:spacing w:val="-17"/>
          <w:w w:val="101"/>
        </w:rPr>
        <w:t>短期借款”。</w:t>
      </w:r>
      <w:r>
        <w:rPr>
          <w:spacing w:val="-17"/>
        </w:rPr>
      </w:r>
    </w:p>
    <w:p>
      <w:pPr>
        <w:pStyle w:val="BodyText"/>
        <w:spacing w:line="240" w:lineRule="auto" w:before="39"/>
        <w:ind w:left="513" w:right="0"/>
        <w:jc w:val="left"/>
      </w:pPr>
      <w:r>
        <w:rPr/>
        <w:t>截至</w:t>
      </w:r>
      <w:r>
        <w:rPr>
          <w:spacing w:val="-31"/>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4"/>
        </w:rPr>
        <w:t> </w:t>
      </w:r>
      <w:r>
        <w:rPr/>
        <w:t>年</w:t>
      </w:r>
      <w:r>
        <w:rPr>
          <w:spacing w:val="-38"/>
        </w:rPr>
        <w:t> </w:t>
      </w:r>
      <w:r>
        <w:rPr>
          <w:rFonts w:ascii="Times New Roman" w:hAnsi="Times New Roman" w:cs="Times New Roman" w:eastAsia="Times New Roman" w:hint="default"/>
        </w:rPr>
        <w:t>12</w:t>
      </w:r>
      <w:r>
        <w:rPr>
          <w:rFonts w:ascii="Times New Roman" w:hAnsi="Times New Roman" w:cs="Times New Roman" w:eastAsia="Times New Roman" w:hint="default"/>
          <w:spacing w:val="14"/>
        </w:rPr>
        <w:t> </w:t>
      </w:r>
      <w:r>
        <w:rPr/>
        <w:t>月</w:t>
      </w:r>
      <w:r>
        <w:rPr>
          <w:spacing w:val="-31"/>
        </w:rPr>
        <w:t> </w:t>
      </w:r>
      <w:r>
        <w:rPr>
          <w:rFonts w:ascii="Times New Roman" w:hAnsi="Times New Roman" w:cs="Times New Roman" w:eastAsia="Times New Roman" w:hint="default"/>
        </w:rPr>
        <w:t>31</w:t>
      </w:r>
      <w:r>
        <w:rPr>
          <w:rFonts w:ascii="Times New Roman" w:hAnsi="Times New Roman" w:cs="Times New Roman" w:eastAsia="Times New Roman" w:hint="default"/>
          <w:spacing w:val="14"/>
        </w:rPr>
        <w:t> </w:t>
      </w:r>
      <w:r>
        <w:rPr>
          <w:spacing w:val="-3"/>
        </w:rPr>
        <w:t>日，除上述事项外，本公司无需要披露的重大或有事项。</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3"/>
          <w:szCs w:val="13"/>
        </w:rPr>
      </w:pPr>
    </w:p>
    <w:p>
      <w:pPr>
        <w:pStyle w:val="Heading3"/>
        <w:spacing w:line="240" w:lineRule="auto"/>
        <w:ind w:right="0"/>
        <w:jc w:val="left"/>
        <w:rPr>
          <w:b w:val="0"/>
          <w:bCs w:val="0"/>
        </w:rPr>
      </w:pPr>
      <w:bookmarkStart w:name="（2）公司没有需要披露的重要或有事项，也应予以说明" w:id="392"/>
      <w:bookmarkEnd w:id="392"/>
      <w:r>
        <w:rPr>
          <w:b w:val="0"/>
          <w:bCs w:val="0"/>
        </w:rPr>
      </w:r>
      <w:r>
        <w:rPr/>
        <w:t>（</w:t>
      </w:r>
      <w:r>
        <w:rPr>
          <w:rFonts w:ascii="Times New Roman" w:hAnsi="Times New Roman" w:cs="Times New Roman" w:eastAsia="Times New Roman" w:hint="default"/>
        </w:rPr>
        <w:t>2</w:t>
      </w:r>
      <w:r>
        <w:rPr/>
        <w:t>）公司没有需要披露的重要或有事项，也应予以说明</w:t>
      </w:r>
      <w:r>
        <w:rPr>
          <w:b w:val="0"/>
          <w:bCs w:val="0"/>
        </w:rPr>
      </w:r>
    </w:p>
    <w:p>
      <w:pPr>
        <w:spacing w:line="240" w:lineRule="auto" w:before="8"/>
        <w:rPr>
          <w:rFonts w:ascii="宋体" w:hAnsi="宋体" w:cs="宋体" w:eastAsia="宋体" w:hint="default"/>
          <w:b/>
          <w:bCs/>
          <w:sz w:val="32"/>
          <w:szCs w:val="32"/>
        </w:rPr>
      </w:pPr>
    </w:p>
    <w:p>
      <w:pPr>
        <w:pStyle w:val="BodyText"/>
        <w:spacing w:line="240" w:lineRule="auto"/>
        <w:ind w:left="513" w:right="0"/>
        <w:jc w:val="left"/>
      </w:pPr>
      <w:r>
        <w:rPr>
          <w:spacing w:val="-3"/>
        </w:rPr>
        <w:t>公司不存在需要披露的重要或有事项。</w:t>
      </w: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12"/>
          <w:szCs w:val="12"/>
        </w:rPr>
      </w:pPr>
    </w:p>
    <w:p>
      <w:pPr>
        <w:pStyle w:val="Heading2"/>
        <w:spacing w:line="240" w:lineRule="auto"/>
        <w:ind w:right="0"/>
        <w:jc w:val="left"/>
        <w:rPr>
          <w:b w:val="0"/>
          <w:bCs w:val="0"/>
        </w:rPr>
      </w:pPr>
      <w:bookmarkStart w:name="十四、资产负债表日后事项" w:id="393"/>
      <w:bookmarkEnd w:id="393"/>
      <w:r>
        <w:rPr>
          <w:b w:val="0"/>
          <w:bCs w:val="0"/>
        </w:rPr>
      </w:r>
      <w:r>
        <w:rPr/>
        <w:t>十四、资产负债表日后事项</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left"/>
        <w:rPr>
          <w:b w:val="0"/>
          <w:bCs w:val="0"/>
        </w:rPr>
      </w:pPr>
      <w:bookmarkStart w:name="1、利润分配情况" w:id="394"/>
      <w:bookmarkEnd w:id="394"/>
      <w:r>
        <w:rPr>
          <w:b w:val="0"/>
          <w:bCs w:val="0"/>
        </w:rPr>
      </w:r>
      <w:r>
        <w:rPr>
          <w:rFonts w:ascii="Times New Roman" w:hAnsi="Times New Roman" w:cs="Times New Roman" w:eastAsia="Times New Roman" w:hint="default"/>
        </w:rPr>
        <w:t>1</w:t>
      </w:r>
      <w:r>
        <w:rPr/>
        <w:t>、利润分配情况</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4984"/>
        <w:gridCol w:w="4585"/>
      </w:tblGrid>
      <w:tr>
        <w:trPr>
          <w:trHeight w:val="403"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拟分配的利润或股利</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经审议批准宣告发放的利润或股利</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z w:val="18"/>
              </w:rPr>
              <w:t>0.00</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2、其他资产负债表日后事项说明" w:id="395"/>
      <w:bookmarkEnd w:id="395"/>
      <w:r>
        <w:rPr>
          <w:b w:val="0"/>
          <w:bCs w:val="0"/>
        </w:rPr>
      </w:r>
      <w:r>
        <w:rPr>
          <w:rFonts w:ascii="Times New Roman" w:hAnsi="Times New Roman" w:cs="Times New Roman" w:eastAsia="Times New Roman" w:hint="default"/>
        </w:rPr>
        <w:t>2</w:t>
      </w:r>
      <w:r>
        <w:rPr/>
        <w:t>、其他资产负债表日后事项说明</w:t>
      </w:r>
      <w:r>
        <w:rPr>
          <w:b w:val="0"/>
          <w:bCs w:val="0"/>
        </w:rPr>
      </w:r>
    </w:p>
    <w:p>
      <w:pPr>
        <w:spacing w:line="240" w:lineRule="auto" w:before="7"/>
        <w:rPr>
          <w:rFonts w:ascii="宋体" w:hAnsi="宋体" w:cs="宋体" w:eastAsia="宋体" w:hint="default"/>
          <w:b/>
          <w:bCs/>
          <w:sz w:val="32"/>
          <w:szCs w:val="32"/>
        </w:rPr>
      </w:pPr>
    </w:p>
    <w:p>
      <w:pPr>
        <w:pStyle w:val="BodyText"/>
        <w:spacing w:line="448" w:lineRule="auto"/>
        <w:ind w:right="1121" w:firstLine="360"/>
        <w:jc w:val="left"/>
      </w:pPr>
      <w:r>
        <w:rPr/>
        <w:t>自 </w:t>
      </w:r>
      <w:r>
        <w:rPr>
          <w:rFonts w:ascii="Times New Roman" w:hAnsi="Times New Roman" w:cs="Times New Roman" w:eastAsia="Times New Roman" w:hint="default"/>
        </w:rPr>
        <w:t>2020 </w:t>
      </w:r>
      <w:r>
        <w:rPr/>
        <w:t>年 </w:t>
      </w:r>
      <w:r>
        <w:rPr>
          <w:rFonts w:ascii="Times New Roman" w:hAnsi="Times New Roman" w:cs="Times New Roman" w:eastAsia="Times New Roman" w:hint="default"/>
        </w:rPr>
        <w:t>1 </w:t>
      </w:r>
      <w:r>
        <w:rPr>
          <w:spacing w:val="-5"/>
        </w:rPr>
        <w:t>月新型冠状病毒肺炎疫情爆发以来，随着疫情蔓延，全国范围内影响广泛。公司 </w:t>
      </w:r>
      <w:r>
        <w:rPr>
          <w:rFonts w:ascii="Times New Roman" w:hAnsi="Times New Roman" w:cs="Times New Roman" w:eastAsia="Times New Roman" w:hint="default"/>
        </w:rPr>
        <w:t>2020</w:t>
      </w:r>
      <w:r>
        <w:rPr>
          <w:rFonts w:ascii="Times New Roman" w:hAnsi="Times New Roman" w:cs="Times New Roman" w:eastAsia="Times New Roman" w:hint="default"/>
          <w:spacing w:val="-18"/>
        </w:rPr>
        <w:t> </w:t>
      </w:r>
      <w:r>
        <w:rPr>
          <w:spacing w:val="-3"/>
        </w:rPr>
        <w:t>年春节假期之后复工</w:t>
      </w:r>
      <w:r>
        <w:rPr>
          <w:w w:val="101"/>
        </w:rPr>
        <w:t> </w:t>
      </w:r>
      <w:r>
        <w:rPr>
          <w:spacing w:val="-3"/>
        </w:rPr>
        <w:t>时间延迟、客户项目延期交付、综合成本率有所提高，公司业绩在短期内将受到一定影响，但整体影响有限。</w:t>
      </w:r>
    </w:p>
    <w:p>
      <w:pPr>
        <w:pStyle w:val="BodyText"/>
        <w:spacing w:line="475" w:lineRule="auto" w:before="78"/>
        <w:ind w:right="0" w:firstLine="360"/>
        <w:jc w:val="left"/>
      </w:pPr>
      <w:r>
        <w:rPr>
          <w:spacing w:val="-4"/>
        </w:rPr>
        <w:t>公司将继续密切关注新冠病毒肺炎疫情发展情况，贯彻落实疫情防控工作，采取积极措施应对疫情对公司财务状及经营</w:t>
      </w:r>
      <w:r>
        <w:rPr>
          <w:w w:val="101"/>
        </w:rPr>
        <w:t> </w:t>
      </w:r>
      <w:r>
        <w:rPr>
          <w:spacing w:val="-3"/>
        </w:rPr>
        <w:t>方面的影响。截至本报告报出日，未发现重大不利影响。</w:t>
      </w:r>
    </w:p>
    <w:p>
      <w:pPr>
        <w:spacing w:after="0" w:line="475" w:lineRule="auto"/>
        <w:jc w:val="left"/>
        <w:sectPr>
          <w:footerReference w:type="default" r:id="rId42"/>
          <w:pgSz w:w="11910" w:h="16840"/>
          <w:pgMar w:footer="1186" w:header="871" w:top="1100" w:bottom="1380" w:left="980" w:right="0"/>
        </w:sectPr>
      </w:pPr>
    </w:p>
    <w:p>
      <w:pPr>
        <w:spacing w:line="240" w:lineRule="auto" w:before="7"/>
        <w:rPr>
          <w:rFonts w:ascii="宋体" w:hAnsi="宋体" w:cs="宋体" w:eastAsia="宋体" w:hint="default"/>
          <w:sz w:val="19"/>
          <w:szCs w:val="19"/>
        </w:rPr>
      </w:pPr>
    </w:p>
    <w:p>
      <w:pPr>
        <w:pStyle w:val="Heading2"/>
        <w:spacing w:line="240" w:lineRule="auto" w:before="26"/>
        <w:ind w:right="0"/>
        <w:jc w:val="left"/>
        <w:rPr>
          <w:b w:val="0"/>
          <w:bCs w:val="0"/>
        </w:rPr>
      </w:pPr>
      <w:bookmarkStart w:name="十五、其他重要事项" w:id="396"/>
      <w:bookmarkEnd w:id="396"/>
      <w:r>
        <w:rPr>
          <w:b w:val="0"/>
          <w:bCs w:val="0"/>
        </w:rPr>
      </w:r>
      <w:r>
        <w:rPr/>
        <w:t>十五、其他重要事项</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left"/>
        <w:rPr>
          <w:b w:val="0"/>
          <w:bCs w:val="0"/>
        </w:rPr>
      </w:pPr>
      <w:bookmarkStart w:name="1、分部信息" w:id="397"/>
      <w:bookmarkEnd w:id="397"/>
      <w:r>
        <w:rPr>
          <w:b w:val="0"/>
          <w:bCs w:val="0"/>
        </w:rPr>
      </w:r>
      <w:r>
        <w:rPr>
          <w:rFonts w:ascii="Times New Roman" w:hAnsi="Times New Roman" w:cs="Times New Roman" w:eastAsia="Times New Roman" w:hint="default"/>
        </w:rPr>
        <w:t>1</w:t>
      </w:r>
      <w:r>
        <w:rPr/>
        <w:t>、分部信息</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报告分部的确定依据与会计政策" w:id="398"/>
      <w:bookmarkEnd w:id="398"/>
      <w:r>
        <w:rPr>
          <w:b w:val="0"/>
          <w:bCs w:val="0"/>
        </w:rPr>
      </w:r>
      <w:r>
        <w:rPr/>
        <w:t>（</w:t>
      </w:r>
      <w:r>
        <w:rPr>
          <w:rFonts w:ascii="Times New Roman" w:hAnsi="Times New Roman" w:cs="Times New Roman" w:eastAsia="Times New Roman" w:hint="default"/>
        </w:rPr>
        <w:t>1</w:t>
      </w:r>
      <w:r>
        <w:rPr/>
        <w:t>）报告分部的确定依据与会计政策</w:t>
      </w:r>
      <w:r>
        <w:rPr>
          <w:b w:val="0"/>
          <w:bCs w:val="0"/>
        </w:rPr>
      </w:r>
    </w:p>
    <w:p>
      <w:pPr>
        <w:spacing w:line="240" w:lineRule="auto" w:before="7"/>
        <w:rPr>
          <w:rFonts w:ascii="宋体" w:hAnsi="宋体" w:cs="宋体" w:eastAsia="宋体" w:hint="default"/>
          <w:b/>
          <w:bCs/>
          <w:sz w:val="32"/>
          <w:szCs w:val="32"/>
        </w:rPr>
      </w:pPr>
    </w:p>
    <w:p>
      <w:pPr>
        <w:pStyle w:val="BodyText"/>
        <w:spacing w:line="480" w:lineRule="auto"/>
        <w:ind w:right="1029" w:firstLine="360"/>
        <w:jc w:val="left"/>
      </w:pPr>
      <w:r>
        <w:rPr>
          <w:spacing w:val="-4"/>
        </w:rPr>
        <w:t>公司以内部组织结构、管理要求、内部报告制度等为依据确定经营分部。公司的经营分部是指同时满足下列条件的组成</w:t>
      </w:r>
      <w:r>
        <w:rPr>
          <w:w w:val="101"/>
        </w:rPr>
        <w:t> </w:t>
      </w:r>
      <w:r>
        <w:rPr/>
        <w:t>部分：</w:t>
      </w:r>
    </w:p>
    <w:p>
      <w:pPr>
        <w:pStyle w:val="BodyText"/>
        <w:spacing w:line="240" w:lineRule="auto" w:before="50"/>
        <w:ind w:left="513" w:right="0"/>
        <w:jc w:val="left"/>
      </w:pPr>
      <w:r>
        <w:rPr>
          <w:spacing w:val="-3"/>
        </w:rPr>
        <w:t>①该组成部分能够在日常活动中产生收入、发生费用；</w:t>
      </w:r>
    </w:p>
    <w:p>
      <w:pPr>
        <w:spacing w:line="240" w:lineRule="auto" w:before="12"/>
        <w:rPr>
          <w:rFonts w:ascii="宋体" w:hAnsi="宋体" w:cs="宋体" w:eastAsia="宋体" w:hint="default"/>
          <w:sz w:val="17"/>
          <w:szCs w:val="17"/>
        </w:rPr>
      </w:pPr>
    </w:p>
    <w:p>
      <w:pPr>
        <w:pStyle w:val="BodyText"/>
        <w:spacing w:line="240" w:lineRule="auto"/>
        <w:ind w:left="513" w:right="0"/>
        <w:jc w:val="left"/>
      </w:pPr>
      <w:r>
        <w:rPr>
          <w:spacing w:val="-3"/>
        </w:rPr>
        <w:t>②管理层能够定期评价该组成部分的经营成果，以决定向其配置资源、评价其业绩；</w:t>
      </w:r>
    </w:p>
    <w:p>
      <w:pPr>
        <w:spacing w:line="240" w:lineRule="auto" w:before="8"/>
        <w:rPr>
          <w:rFonts w:ascii="宋体" w:hAnsi="宋体" w:cs="宋体" w:eastAsia="宋体" w:hint="default"/>
          <w:sz w:val="17"/>
          <w:szCs w:val="17"/>
        </w:rPr>
      </w:pPr>
    </w:p>
    <w:p>
      <w:pPr>
        <w:pStyle w:val="BodyText"/>
        <w:spacing w:line="480" w:lineRule="auto"/>
        <w:ind w:left="513" w:right="0"/>
        <w:jc w:val="left"/>
      </w:pPr>
      <w:r>
        <w:rPr>
          <w:spacing w:val="-3"/>
        </w:rPr>
        <w:t>③能够通过分析取得该组成部分的财务状况、经营成果和现金流量等有关会计信息。</w:t>
      </w:r>
      <w:r>
        <w:rPr>
          <w:spacing w:val="19"/>
        </w:rPr>
        <w:t> </w:t>
      </w:r>
      <w:r>
        <w:rPr>
          <w:spacing w:val="19"/>
        </w:rPr>
      </w:r>
      <w:r>
        <w:rPr>
          <w:spacing w:val="-3"/>
        </w:rPr>
        <w:t>本公司以行业分部为基础确定报告分部，与各分部共同使用的资产、负债按照规模比例在不同的分部之间分配。</w:t>
      </w:r>
    </w:p>
    <w:p>
      <w:pPr>
        <w:spacing w:line="240" w:lineRule="auto" w:before="10"/>
        <w:rPr>
          <w:rFonts w:ascii="宋体" w:hAnsi="宋体" w:cs="宋体" w:eastAsia="宋体" w:hint="default"/>
          <w:sz w:val="18"/>
          <w:szCs w:val="18"/>
        </w:rPr>
      </w:pPr>
    </w:p>
    <w:p>
      <w:pPr>
        <w:pStyle w:val="Heading3"/>
        <w:spacing w:line="240" w:lineRule="auto"/>
        <w:ind w:right="0"/>
        <w:jc w:val="left"/>
        <w:rPr>
          <w:b w:val="0"/>
          <w:bCs w:val="0"/>
        </w:rPr>
      </w:pPr>
      <w:bookmarkStart w:name="（2）报告分部的财务信息" w:id="399"/>
      <w:bookmarkEnd w:id="399"/>
      <w:r>
        <w:rPr>
          <w:b w:val="0"/>
          <w:bCs w:val="0"/>
        </w:rPr>
      </w:r>
      <w:r>
        <w:rPr/>
        <w:t>（</w:t>
      </w:r>
      <w:r>
        <w:rPr>
          <w:rFonts w:ascii="Times New Roman" w:hAnsi="Times New Roman" w:cs="Times New Roman" w:eastAsia="Times New Roman" w:hint="default"/>
        </w:rPr>
        <w:t>2</w:t>
      </w:r>
      <w:r>
        <w:rPr/>
        <w:t>）报告分部的财务信息</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570"/>
        <w:gridCol w:w="1606"/>
        <w:gridCol w:w="1595"/>
        <w:gridCol w:w="1594"/>
        <w:gridCol w:w="1594"/>
        <w:gridCol w:w="1599"/>
      </w:tblGrid>
      <w:tr>
        <w:trPr>
          <w:trHeight w:val="404" w:hRule="exact"/>
        </w:trPr>
        <w:tc>
          <w:tcPr>
            <w:tcW w:w="15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44" w:right="0"/>
              <w:jc w:val="left"/>
              <w:rPr>
                <w:rFonts w:ascii="宋体" w:hAnsi="宋体" w:cs="宋体" w:eastAsia="宋体" w:hint="default"/>
                <w:sz w:val="18"/>
                <w:szCs w:val="18"/>
              </w:rPr>
            </w:pPr>
            <w:r>
              <w:rPr>
                <w:rFonts w:ascii="宋体" w:hAnsi="宋体" w:cs="宋体" w:eastAsia="宋体" w:hint="default"/>
                <w:sz w:val="18"/>
                <w:szCs w:val="18"/>
              </w:rPr>
              <w:t>金融信息</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50" w:right="0"/>
              <w:jc w:val="left"/>
              <w:rPr>
                <w:rFonts w:ascii="宋体" w:hAnsi="宋体" w:cs="宋体" w:eastAsia="宋体" w:hint="default"/>
                <w:sz w:val="18"/>
                <w:szCs w:val="18"/>
              </w:rPr>
            </w:pPr>
            <w:r>
              <w:rPr>
                <w:rFonts w:ascii="宋体" w:hAnsi="宋体" w:cs="宋体" w:eastAsia="宋体" w:hint="default"/>
                <w:sz w:val="18"/>
                <w:szCs w:val="18"/>
              </w:rPr>
              <w:t>移动信息服务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31" w:right="0"/>
              <w:jc w:val="left"/>
              <w:rPr>
                <w:rFonts w:ascii="宋体" w:hAnsi="宋体" w:cs="宋体" w:eastAsia="宋体" w:hint="default"/>
                <w:sz w:val="18"/>
                <w:szCs w:val="18"/>
              </w:rPr>
            </w:pPr>
            <w:r>
              <w:rPr>
                <w:rFonts w:ascii="宋体" w:hAnsi="宋体" w:cs="宋体" w:eastAsia="宋体" w:hint="default"/>
                <w:sz w:val="18"/>
                <w:szCs w:val="18"/>
              </w:rPr>
              <w:t>电子商务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40" w:right="0"/>
              <w:jc w:val="left"/>
              <w:rPr>
                <w:rFonts w:ascii="宋体" w:hAnsi="宋体" w:cs="宋体" w:eastAsia="宋体" w:hint="default"/>
                <w:sz w:val="18"/>
                <w:szCs w:val="18"/>
              </w:rPr>
            </w:pPr>
            <w:r>
              <w:rPr>
                <w:rFonts w:ascii="宋体" w:hAnsi="宋体" w:cs="宋体" w:eastAsia="宋体" w:hint="default"/>
                <w:sz w:val="18"/>
                <w:szCs w:val="18"/>
              </w:rPr>
              <w:t>分部间抵销</w:t>
            </w:r>
          </w:p>
        </w:tc>
        <w:tc>
          <w:tcPr>
            <w:tcW w:w="1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2"/>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398" w:hRule="exact"/>
        </w:trPr>
        <w:tc>
          <w:tcPr>
            <w:tcW w:w="15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16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172,038,475.59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633,002,221.67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36" w:right="0"/>
              <w:jc w:val="left"/>
              <w:rPr>
                <w:rFonts w:ascii="Times New Roman" w:hAnsi="Times New Roman" w:cs="Times New Roman" w:eastAsia="Times New Roman" w:hint="default"/>
                <w:sz w:val="18"/>
                <w:szCs w:val="18"/>
              </w:rPr>
            </w:pPr>
            <w:r>
              <w:rPr>
                <w:rFonts w:ascii="Times New Roman"/>
                <w:sz w:val="18"/>
              </w:rPr>
              <w:t>375,965,856.35</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2"/>
                <w:sz w:val="18"/>
              </w:rPr>
              <w:t>1,181,006,553.61</w:t>
            </w:r>
          </w:p>
        </w:tc>
      </w:tr>
      <w:tr>
        <w:trPr>
          <w:trHeight w:val="403" w:hRule="exact"/>
        </w:trPr>
        <w:tc>
          <w:tcPr>
            <w:tcW w:w="15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主营业务成本</w:t>
            </w:r>
          </w:p>
        </w:tc>
        <w:tc>
          <w:tcPr>
            <w:tcW w:w="16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103,119,202.03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470,840,999.47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36" w:right="0"/>
              <w:jc w:val="left"/>
              <w:rPr>
                <w:rFonts w:ascii="Times New Roman" w:hAnsi="Times New Roman" w:cs="Times New Roman" w:eastAsia="Times New Roman" w:hint="default"/>
                <w:sz w:val="18"/>
                <w:szCs w:val="18"/>
              </w:rPr>
            </w:pPr>
            <w:r>
              <w:rPr>
                <w:rFonts w:ascii="Times New Roman"/>
                <w:sz w:val="18"/>
              </w:rPr>
              <w:t>235,446,738.48</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809,406,939.98</w:t>
            </w:r>
          </w:p>
        </w:tc>
      </w:tr>
      <w:tr>
        <w:trPr>
          <w:trHeight w:val="403" w:hRule="exact"/>
        </w:trPr>
        <w:tc>
          <w:tcPr>
            <w:tcW w:w="15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资产总额</w:t>
            </w:r>
          </w:p>
        </w:tc>
        <w:tc>
          <w:tcPr>
            <w:tcW w:w="16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1,625,049,149.52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577,243,656.24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36" w:right="0"/>
              <w:jc w:val="left"/>
              <w:rPr>
                <w:rFonts w:ascii="Times New Roman" w:hAnsi="Times New Roman" w:cs="Times New Roman" w:eastAsia="Times New Roman" w:hint="default"/>
                <w:sz w:val="18"/>
                <w:szCs w:val="18"/>
              </w:rPr>
            </w:pPr>
            <w:r>
              <w:rPr>
                <w:rFonts w:ascii="Times New Roman"/>
                <w:sz w:val="18"/>
              </w:rPr>
              <w:t>176,175,651.10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284,979,806.03</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2"/>
                <w:sz w:val="18"/>
              </w:rPr>
              <w:t>2,093,488,650.83</w:t>
            </w:r>
          </w:p>
        </w:tc>
      </w:tr>
      <w:tr>
        <w:trPr>
          <w:trHeight w:val="404" w:hRule="exact"/>
        </w:trPr>
        <w:tc>
          <w:tcPr>
            <w:tcW w:w="15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负债总额</w:t>
            </w:r>
          </w:p>
        </w:tc>
        <w:tc>
          <w:tcPr>
            <w:tcW w:w="16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371,243,543.36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258,785,155.78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36" w:right="0"/>
              <w:jc w:val="left"/>
              <w:rPr>
                <w:rFonts w:ascii="Times New Roman" w:hAnsi="Times New Roman" w:cs="Times New Roman" w:eastAsia="Times New Roman" w:hint="default"/>
                <w:sz w:val="18"/>
                <w:szCs w:val="18"/>
              </w:rPr>
            </w:pPr>
            <w:r>
              <w:rPr>
                <w:rFonts w:ascii="Times New Roman"/>
                <w:sz w:val="18"/>
              </w:rPr>
              <w:t>143,687,515.44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53,283,337.32</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720,432,877.26</w:t>
            </w:r>
          </w:p>
        </w:tc>
      </w:tr>
    </w:tbl>
    <w:p>
      <w:pPr>
        <w:spacing w:line="240" w:lineRule="auto" w:before="3"/>
        <w:rPr>
          <w:rFonts w:ascii="宋体" w:hAnsi="宋体" w:cs="宋体" w:eastAsia="宋体" w:hint="default"/>
          <w:sz w:val="19"/>
          <w:szCs w:val="19"/>
        </w:rPr>
      </w:pPr>
    </w:p>
    <w:p>
      <w:pPr>
        <w:pStyle w:val="Heading3"/>
        <w:spacing w:line="240" w:lineRule="auto" w:before="36"/>
        <w:ind w:left="136" w:right="6426"/>
        <w:jc w:val="center"/>
        <w:rPr>
          <w:b w:val="0"/>
          <w:bCs w:val="0"/>
        </w:rPr>
      </w:pPr>
      <w:bookmarkStart w:name="2、其他对投资者决策有影响的重要交易和事项" w:id="400"/>
      <w:bookmarkEnd w:id="400"/>
      <w:r>
        <w:rPr>
          <w:b w:val="0"/>
          <w:bCs w:val="0"/>
        </w:rPr>
      </w:r>
      <w:r>
        <w:rPr>
          <w:rFonts w:ascii="Times New Roman" w:hAnsi="Times New Roman" w:cs="Times New Roman" w:eastAsia="Times New Roman" w:hint="default"/>
        </w:rPr>
        <w:t>2</w:t>
      </w:r>
      <w:r>
        <w:rPr/>
        <w:t>、其他对投资者决策有影响的重要交易和事项</w:t>
      </w:r>
      <w:r>
        <w:rPr>
          <w:b w:val="0"/>
          <w:bCs w:val="0"/>
        </w:rPr>
      </w:r>
    </w:p>
    <w:p>
      <w:pPr>
        <w:spacing w:line="240" w:lineRule="auto" w:before="7"/>
        <w:rPr>
          <w:rFonts w:ascii="宋体" w:hAnsi="宋体" w:cs="宋体" w:eastAsia="宋体" w:hint="default"/>
          <w:b/>
          <w:bCs/>
          <w:sz w:val="32"/>
          <w:szCs w:val="32"/>
        </w:rPr>
      </w:pPr>
    </w:p>
    <w:p>
      <w:pPr>
        <w:pStyle w:val="BodyText"/>
        <w:spacing w:line="240" w:lineRule="auto"/>
        <w:ind w:left="513" w:right="0"/>
        <w:jc w:val="left"/>
      </w:pPr>
      <w:r>
        <w:rPr>
          <w:rFonts w:ascii="Times New Roman" w:hAnsi="Times New Roman" w:cs="Times New Roman" w:eastAsia="Times New Roman" w:hint="default"/>
          <w:spacing w:val="-3"/>
        </w:rPr>
        <w:t>1.</w:t>
      </w:r>
      <w:r>
        <w:rPr>
          <w:spacing w:val="-3"/>
        </w:rPr>
        <w:t>共同控制公司股东李军质押本公司的股份情况</w:t>
      </w:r>
    </w:p>
    <w:p>
      <w:pPr>
        <w:spacing w:line="240" w:lineRule="auto" w:before="12"/>
        <w:rPr>
          <w:rFonts w:ascii="宋体" w:hAnsi="宋体" w:cs="宋体" w:eastAsia="宋体" w:hint="default"/>
          <w:sz w:val="16"/>
          <w:szCs w:val="16"/>
        </w:rPr>
      </w:pPr>
    </w:p>
    <w:p>
      <w:pPr>
        <w:pStyle w:val="BodyText"/>
        <w:spacing w:line="448" w:lineRule="auto"/>
        <w:ind w:right="0" w:firstLine="360"/>
        <w:jc w:val="left"/>
      </w:pPr>
      <w:r>
        <w:rPr/>
        <w:t>截至</w:t>
      </w:r>
      <w:r>
        <w:rPr>
          <w:spacing w:val="-33"/>
        </w:rPr>
        <w:t> </w:t>
      </w:r>
      <w:r>
        <w:rPr>
          <w:rFonts w:ascii="Times New Roman" w:hAnsi="Times New Roman" w:cs="Times New Roman" w:eastAsia="Times New Roman" w:hint="default"/>
        </w:rPr>
        <w:t>2019</w:t>
      </w:r>
      <w:r>
        <w:rPr>
          <w:rFonts w:ascii="Times New Roman" w:hAnsi="Times New Roman" w:cs="Times New Roman" w:eastAsia="Times New Roman" w:hint="default"/>
          <w:spacing w:val="5"/>
        </w:rPr>
        <w:t> </w:t>
      </w:r>
      <w:r>
        <w:rPr/>
        <w:t>年</w:t>
      </w:r>
      <w:r>
        <w:rPr>
          <w:spacing w:val="-40"/>
        </w:rPr>
        <w:t> </w:t>
      </w:r>
      <w:r>
        <w:rPr>
          <w:rFonts w:ascii="Times New Roman" w:hAnsi="Times New Roman" w:cs="Times New Roman" w:eastAsia="Times New Roman" w:hint="default"/>
        </w:rPr>
        <w:t>12</w:t>
      </w:r>
      <w:r>
        <w:rPr>
          <w:rFonts w:ascii="Times New Roman" w:hAnsi="Times New Roman" w:cs="Times New Roman" w:eastAsia="Times New Roman" w:hint="default"/>
          <w:spacing w:val="5"/>
        </w:rPr>
        <w:t> </w:t>
      </w:r>
      <w:r>
        <w:rPr/>
        <w:t>月</w:t>
      </w:r>
      <w:r>
        <w:rPr>
          <w:spacing w:val="-40"/>
        </w:rPr>
        <w:t> </w:t>
      </w:r>
      <w:r>
        <w:rPr>
          <w:rFonts w:ascii="Times New Roman" w:hAnsi="Times New Roman" w:cs="Times New Roman" w:eastAsia="Times New Roman" w:hint="default"/>
        </w:rPr>
        <w:t>31 </w:t>
      </w:r>
      <w:r>
        <w:rPr>
          <w:spacing w:val="-6"/>
        </w:rPr>
        <w:t>日，公司控股股东、实际控制人李军持有公司股份数量</w:t>
      </w:r>
      <w:r>
        <w:rPr>
          <w:spacing w:val="-33"/>
        </w:rPr>
        <w:t> </w:t>
      </w:r>
      <w:r>
        <w:rPr>
          <w:rFonts w:ascii="Times New Roman" w:hAnsi="Times New Roman" w:cs="Times New Roman" w:eastAsia="Times New Roman" w:hint="default"/>
        </w:rPr>
        <w:t>57,644,200 </w:t>
      </w:r>
      <w:r>
        <w:rPr>
          <w:spacing w:val="-6"/>
        </w:rPr>
        <w:t>股，占公司总股本比例</w:t>
      </w:r>
      <w:r>
        <w:rPr>
          <w:spacing w:val="-40"/>
        </w:rPr>
        <w:t> </w:t>
      </w:r>
      <w:r>
        <w:rPr>
          <w:rFonts w:ascii="Times New Roman" w:hAnsi="Times New Roman" w:cs="Times New Roman" w:eastAsia="Times New Roman" w:hint="default"/>
        </w:rPr>
        <w:t>8.16%</w:t>
      </w:r>
      <w:r>
        <w:rPr/>
        <w:t>，</w:t>
      </w:r>
      <w:r>
        <w:rPr>
          <w:w w:val="101"/>
        </w:rPr>
        <w:t> </w:t>
      </w:r>
      <w:r>
        <w:rPr/>
        <w:t>累计被质押股份数量</w:t>
      </w:r>
      <w:r>
        <w:rPr>
          <w:spacing w:val="-32"/>
        </w:rPr>
        <w:t> </w:t>
      </w:r>
      <w:r>
        <w:rPr>
          <w:rFonts w:ascii="Times New Roman" w:hAnsi="Times New Roman" w:cs="Times New Roman" w:eastAsia="Times New Roman" w:hint="default"/>
        </w:rPr>
        <w:t>33,500,000</w:t>
      </w:r>
      <w:r>
        <w:rPr>
          <w:rFonts w:ascii="Times New Roman" w:hAnsi="Times New Roman" w:cs="Times New Roman" w:eastAsia="Times New Roman" w:hint="default"/>
          <w:spacing w:val="6"/>
        </w:rPr>
        <w:t> </w:t>
      </w:r>
      <w:r>
        <w:rPr>
          <w:spacing w:val="-3"/>
        </w:rPr>
        <w:t>股，占其所持有上市公司股份比例</w:t>
      </w:r>
      <w:r>
        <w:rPr>
          <w:spacing w:val="-32"/>
        </w:rPr>
        <w:t> </w:t>
      </w:r>
      <w:r>
        <w:rPr>
          <w:rFonts w:ascii="Times New Roman" w:hAnsi="Times New Roman" w:cs="Times New Roman" w:eastAsia="Times New Roman" w:hint="default"/>
        </w:rPr>
        <w:t>58.12%</w:t>
      </w:r>
      <w:r>
        <w:rPr/>
        <w:t>，占公司总股本比例</w:t>
      </w:r>
      <w:r>
        <w:rPr>
          <w:spacing w:val="-32"/>
        </w:rPr>
        <w:t> </w:t>
      </w:r>
      <w:r>
        <w:rPr>
          <w:rFonts w:ascii="Times New Roman" w:hAnsi="Times New Roman" w:cs="Times New Roman" w:eastAsia="Times New Roman" w:hint="default"/>
          <w:spacing w:val="-3"/>
        </w:rPr>
        <w:t>4.74%</w:t>
      </w:r>
      <w:r>
        <w:rPr>
          <w:spacing w:val="-3"/>
        </w:rPr>
        <w:t>。</w:t>
      </w:r>
    </w:p>
    <w:p>
      <w:pPr>
        <w:pStyle w:val="BodyText"/>
        <w:spacing w:line="240" w:lineRule="auto" w:before="48"/>
        <w:ind w:left="513" w:right="0"/>
        <w:jc w:val="left"/>
      </w:pPr>
      <w:r>
        <w:rPr>
          <w:rFonts w:ascii="Times New Roman" w:hAnsi="Times New Roman" w:cs="Times New Roman" w:eastAsia="Times New Roman" w:hint="default"/>
        </w:rPr>
        <w:t>2.</w:t>
      </w:r>
      <w:r>
        <w:rPr/>
        <w:t>非公开发行股票</w:t>
      </w:r>
    </w:p>
    <w:p>
      <w:pPr>
        <w:spacing w:line="240" w:lineRule="auto" w:before="7"/>
        <w:rPr>
          <w:rFonts w:ascii="宋体" w:hAnsi="宋体" w:cs="宋体" w:eastAsia="宋体" w:hint="default"/>
          <w:sz w:val="16"/>
          <w:szCs w:val="16"/>
        </w:rPr>
      </w:pPr>
    </w:p>
    <w:p>
      <w:pPr>
        <w:pStyle w:val="BodyText"/>
        <w:spacing w:line="451" w:lineRule="auto"/>
        <w:ind w:right="0" w:firstLine="436"/>
        <w:jc w:val="left"/>
      </w:pPr>
      <w:r>
        <w:rPr>
          <w:spacing w:val="-3"/>
        </w:rPr>
        <w:t>本公司分别于</w:t>
      </w:r>
      <w:r>
        <w:rPr>
          <w:spacing w:val="-38"/>
        </w:rPr>
        <w:t> </w:t>
      </w:r>
      <w:r>
        <w:rPr>
          <w:rFonts w:ascii="Times New Roman" w:hAnsi="Times New Roman" w:cs="Times New Roman" w:eastAsia="Times New Roman" w:hint="default"/>
        </w:rPr>
        <w:t>2020</w:t>
      </w:r>
      <w:r>
        <w:rPr>
          <w:rFonts w:ascii="Times New Roman" w:hAnsi="Times New Roman" w:cs="Times New Roman" w:eastAsia="Times New Roman" w:hint="default"/>
          <w:spacing w:val="1"/>
        </w:rPr>
        <w:t> </w:t>
      </w:r>
      <w:r>
        <w:rPr/>
        <w:t>年</w:t>
      </w:r>
      <w:r>
        <w:rPr>
          <w:spacing w:val="-44"/>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月</w:t>
      </w:r>
      <w:r>
        <w:rPr>
          <w:spacing w:val="-44"/>
        </w:rPr>
        <w:t> </w:t>
      </w:r>
      <w:r>
        <w:rPr>
          <w:rFonts w:ascii="Times New Roman" w:hAnsi="Times New Roman" w:cs="Times New Roman" w:eastAsia="Times New Roman" w:hint="default"/>
        </w:rPr>
        <w:t>8</w:t>
      </w:r>
      <w:r>
        <w:rPr>
          <w:rFonts w:ascii="Times New Roman" w:hAnsi="Times New Roman" w:cs="Times New Roman" w:eastAsia="Times New Roman" w:hint="default"/>
          <w:spacing w:val="1"/>
        </w:rPr>
        <w:t> </w:t>
      </w:r>
      <w:r>
        <w:rPr/>
        <w:t>日、</w:t>
      </w:r>
      <w:r>
        <w:rPr>
          <w:rFonts w:ascii="Times New Roman" w:hAnsi="Times New Roman" w:cs="Times New Roman" w:eastAsia="Times New Roman" w:hint="default"/>
        </w:rPr>
        <w:t>2020</w:t>
      </w:r>
      <w:r>
        <w:rPr>
          <w:rFonts w:ascii="Times New Roman" w:hAnsi="Times New Roman" w:cs="Times New Roman" w:eastAsia="Times New Roman" w:hint="default"/>
          <w:spacing w:val="-4"/>
        </w:rPr>
        <w:t> </w:t>
      </w:r>
      <w:r>
        <w:rPr/>
        <w:t>年</w:t>
      </w:r>
      <w:r>
        <w:rPr>
          <w:spacing w:val="-38"/>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月</w:t>
      </w:r>
      <w:r>
        <w:rPr>
          <w:spacing w:val="-44"/>
        </w:rPr>
        <w:t> </w:t>
      </w:r>
      <w:r>
        <w:rPr>
          <w:rFonts w:ascii="Times New Roman" w:hAnsi="Times New Roman" w:cs="Times New Roman" w:eastAsia="Times New Roman" w:hint="default"/>
        </w:rPr>
        <w:t>24</w:t>
      </w:r>
      <w:r>
        <w:rPr>
          <w:rFonts w:ascii="Times New Roman" w:hAnsi="Times New Roman" w:cs="Times New Roman" w:eastAsia="Times New Roman" w:hint="default"/>
          <w:spacing w:val="-5"/>
        </w:rPr>
        <w:t> </w:t>
      </w:r>
      <w:r>
        <w:rPr/>
        <w:t>日召开第四届董事会第二十一次会议、</w:t>
      </w:r>
      <w:r>
        <w:rPr>
          <w:rFonts w:ascii="Times New Roman" w:hAnsi="Times New Roman" w:cs="Times New Roman" w:eastAsia="Times New Roman" w:hint="default"/>
        </w:rPr>
        <w:t>2020</w:t>
      </w:r>
      <w:r>
        <w:rPr>
          <w:rFonts w:ascii="Times New Roman" w:hAnsi="Times New Roman" w:cs="Times New Roman" w:eastAsia="Times New Roman" w:hint="default"/>
          <w:spacing w:val="7"/>
        </w:rPr>
        <w:t> </w:t>
      </w:r>
      <w:r>
        <w:rPr/>
        <w:t>年第一次临时股东大会，</w:t>
      </w:r>
      <w:r>
        <w:rPr>
          <w:w w:val="101"/>
        </w:rPr>
        <w:t> </w:t>
      </w:r>
      <w:r>
        <w:rPr>
          <w:spacing w:val="-9"/>
          <w:w w:val="101"/>
        </w:rPr>
        <w:t>审议通过了《关于公司非公开发行股票预案的议案》，拟向不超过（含）</w:t>
      </w:r>
      <w:r>
        <w:rPr>
          <w:rFonts w:ascii="Times New Roman" w:hAnsi="Times New Roman" w:cs="Times New Roman" w:eastAsia="Times New Roman" w:hint="default"/>
          <w:spacing w:val="-9"/>
          <w:w w:val="101"/>
        </w:rPr>
        <w:t>35</w:t>
      </w:r>
      <w:r>
        <w:rPr>
          <w:rFonts w:ascii="Times New Roman" w:hAnsi="Times New Roman" w:cs="Times New Roman" w:eastAsia="Times New Roman" w:hint="default"/>
          <w:w w:val="101"/>
        </w:rPr>
        <w:t> </w:t>
      </w:r>
      <w:r>
        <w:rPr>
          <w:spacing w:val="-5"/>
          <w:w w:val="101"/>
        </w:rPr>
        <w:t>名发行对象，非公开发行股票</w:t>
      </w:r>
      <w:r>
        <w:rPr>
          <w:w w:val="101"/>
        </w:rPr>
        <w:t> </w:t>
      </w:r>
      <w:r>
        <w:rPr>
          <w:rFonts w:ascii="Times New Roman" w:hAnsi="Times New Roman" w:cs="Times New Roman" w:eastAsia="Times New Roman" w:hint="default"/>
          <w:spacing w:val="-2"/>
          <w:w w:val="101"/>
        </w:rPr>
        <w:t>211,992,160</w:t>
      </w:r>
      <w:r>
        <w:rPr>
          <w:rFonts w:ascii="Times New Roman" w:hAnsi="Times New Roman" w:cs="Times New Roman" w:eastAsia="Times New Roman" w:hint="default"/>
          <w:w w:val="101"/>
        </w:rPr>
        <w:t> </w:t>
      </w:r>
      <w:r>
        <w:rPr>
          <w:spacing w:val="-12"/>
          <w:w w:val="101"/>
        </w:rPr>
        <w:t>股（含</w:t>
      </w:r>
      <w:r>
        <w:rPr>
          <w:spacing w:val="-58"/>
          <w:w w:val="101"/>
        </w:rPr>
        <w:t> </w:t>
      </w:r>
      <w:r>
        <w:rPr>
          <w:spacing w:val="-58"/>
          <w:w w:val="101"/>
        </w:rPr>
      </w:r>
      <w:r>
        <w:rPr>
          <w:spacing w:val="-10"/>
          <w:w w:val="101"/>
        </w:rPr>
        <w:t>本数），募集资金总额不超过</w:t>
      </w:r>
      <w:r>
        <w:rPr>
          <w:spacing w:val="-45"/>
          <w:w w:val="101"/>
        </w:rPr>
        <w:t> </w:t>
      </w:r>
      <w:r>
        <w:rPr>
          <w:rFonts w:ascii="Times New Roman" w:hAnsi="Times New Roman" w:cs="Times New Roman" w:eastAsia="Times New Roman" w:hint="default"/>
          <w:spacing w:val="-2"/>
          <w:w w:val="101"/>
        </w:rPr>
        <w:t>135,297.50</w:t>
      </w:r>
      <w:r>
        <w:rPr>
          <w:rFonts w:ascii="Times New Roman" w:hAnsi="Times New Roman" w:cs="Times New Roman" w:eastAsia="Times New Roman" w:hint="default"/>
          <w:spacing w:val="-5"/>
          <w:w w:val="101"/>
        </w:rPr>
        <w:t> </w:t>
      </w:r>
      <w:r>
        <w:rPr>
          <w:spacing w:val="-7"/>
          <w:w w:val="101"/>
        </w:rPr>
        <w:t>万元（含本数），用于银行数字化转型解决方案项目、银行智能设备产业化项目、研</w:t>
      </w:r>
      <w:r>
        <w:rPr>
          <w:spacing w:val="-83"/>
          <w:w w:val="101"/>
        </w:rPr>
        <w:t> </w:t>
      </w:r>
      <w:r>
        <w:rPr>
          <w:spacing w:val="-83"/>
          <w:w w:val="101"/>
        </w:rPr>
      </w:r>
      <w:r>
        <w:rPr>
          <w:spacing w:val="-3"/>
        </w:rPr>
        <w:t>发中心项目、补充流动资金、偿还银行贷款等项目。</w:t>
      </w:r>
    </w:p>
    <w:p>
      <w:pPr>
        <w:pStyle w:val="BodyText"/>
        <w:spacing w:line="240" w:lineRule="auto" w:before="77"/>
        <w:ind w:left="513" w:right="0"/>
        <w:jc w:val="left"/>
      </w:pPr>
      <w:r>
        <w:rPr>
          <w:spacing w:val="-3"/>
        </w:rPr>
        <w:t>预案所述本次非公开发行股票相关事项的生效和完成尚待有关审批机关批准或核准。</w:t>
      </w:r>
    </w:p>
    <w:p>
      <w:pPr>
        <w:spacing w:line="240" w:lineRule="auto" w:before="8"/>
        <w:rPr>
          <w:rFonts w:ascii="宋体" w:hAnsi="宋体" w:cs="宋体" w:eastAsia="宋体" w:hint="default"/>
          <w:sz w:val="17"/>
          <w:szCs w:val="17"/>
        </w:rPr>
      </w:pPr>
    </w:p>
    <w:p>
      <w:pPr>
        <w:pStyle w:val="BodyText"/>
        <w:spacing w:line="240" w:lineRule="auto"/>
        <w:ind w:left="513" w:right="0"/>
        <w:jc w:val="left"/>
      </w:pPr>
      <w:r>
        <w:rPr>
          <w:rFonts w:ascii="Times New Roman" w:hAnsi="Times New Roman" w:cs="Times New Roman" w:eastAsia="Times New Roman" w:hint="default"/>
        </w:rPr>
        <w:t>3.</w:t>
      </w:r>
      <w:r>
        <w:rPr/>
        <w:t>变更募集资金用途</w:t>
      </w:r>
    </w:p>
    <w:p>
      <w:pPr>
        <w:spacing w:line="240" w:lineRule="auto" w:before="12"/>
        <w:rPr>
          <w:rFonts w:ascii="宋体" w:hAnsi="宋体" w:cs="宋体" w:eastAsia="宋体" w:hint="default"/>
          <w:sz w:val="16"/>
          <w:szCs w:val="16"/>
        </w:rPr>
      </w:pPr>
    </w:p>
    <w:p>
      <w:pPr>
        <w:pStyle w:val="BodyText"/>
        <w:spacing w:line="240" w:lineRule="auto"/>
        <w:ind w:left="513" w:right="0"/>
        <w:jc w:val="left"/>
      </w:pPr>
      <w:r>
        <w:rPr/>
        <w:t>公司分别于</w:t>
      </w:r>
      <w:r>
        <w:rPr>
          <w:spacing w:val="-36"/>
        </w:rPr>
        <w:t> </w:t>
      </w:r>
      <w:r>
        <w:rPr>
          <w:rFonts w:ascii="Times New Roman" w:hAnsi="Times New Roman" w:cs="Times New Roman" w:eastAsia="Times New Roman" w:hint="default"/>
          <w:spacing w:val="-3"/>
        </w:rPr>
        <w:t>2020</w:t>
      </w:r>
      <w:r>
        <w:rPr>
          <w:rFonts w:ascii="Times New Roman" w:hAnsi="Times New Roman" w:cs="Times New Roman" w:eastAsia="Times New Roman" w:hint="default"/>
          <w:spacing w:val="3"/>
        </w:rPr>
        <w:t> </w:t>
      </w:r>
      <w:r>
        <w:rPr/>
        <w:t>年</w:t>
      </w:r>
      <w:r>
        <w:rPr>
          <w:spacing w:val="-42"/>
        </w:rPr>
        <w:t> </w:t>
      </w:r>
      <w:r>
        <w:rPr>
          <w:rFonts w:ascii="Times New Roman" w:hAnsi="Times New Roman" w:cs="Times New Roman" w:eastAsia="Times New Roman" w:hint="default"/>
        </w:rPr>
        <w:t>4</w:t>
      </w:r>
      <w:r>
        <w:rPr>
          <w:rFonts w:ascii="Times New Roman" w:hAnsi="Times New Roman" w:cs="Times New Roman" w:eastAsia="Times New Roman" w:hint="default"/>
          <w:spacing w:val="3"/>
        </w:rPr>
        <w:t> </w:t>
      </w:r>
      <w:r>
        <w:rPr/>
        <w:t>月</w:t>
      </w:r>
      <w:r>
        <w:rPr>
          <w:spacing w:val="-36"/>
        </w:rPr>
        <w:t> </w:t>
      </w:r>
      <w:r>
        <w:rPr>
          <w:rFonts w:ascii="Times New Roman" w:hAnsi="Times New Roman" w:cs="Times New Roman" w:eastAsia="Times New Roman" w:hint="default"/>
        </w:rPr>
        <w:t>8</w:t>
      </w:r>
      <w:r>
        <w:rPr>
          <w:rFonts w:ascii="Times New Roman" w:hAnsi="Times New Roman" w:cs="Times New Roman" w:eastAsia="Times New Roman" w:hint="default"/>
          <w:spacing w:val="-4"/>
        </w:rPr>
        <w:t> </w:t>
      </w:r>
      <w:r>
        <w:rPr/>
        <w:t>日、</w:t>
      </w:r>
      <w:r>
        <w:rPr>
          <w:rFonts w:ascii="Times New Roman" w:hAnsi="Times New Roman" w:cs="Times New Roman" w:eastAsia="Times New Roman" w:hint="default"/>
        </w:rPr>
        <w:t>2020</w:t>
      </w:r>
      <w:r>
        <w:rPr>
          <w:rFonts w:ascii="Times New Roman" w:hAnsi="Times New Roman" w:cs="Times New Roman" w:eastAsia="Times New Roman" w:hint="default"/>
          <w:spacing w:val="3"/>
        </w:rPr>
        <w:t> </w:t>
      </w:r>
      <w:r>
        <w:rPr/>
        <w:t>年</w:t>
      </w:r>
      <w:r>
        <w:rPr>
          <w:spacing w:val="-41"/>
        </w:rPr>
        <w:t> </w:t>
      </w:r>
      <w:r>
        <w:rPr>
          <w:rFonts w:ascii="Times New Roman" w:hAnsi="Times New Roman" w:cs="Times New Roman" w:eastAsia="Times New Roman" w:hint="default"/>
        </w:rPr>
        <w:t>4</w:t>
      </w:r>
      <w:r>
        <w:rPr>
          <w:rFonts w:ascii="Times New Roman" w:hAnsi="Times New Roman" w:cs="Times New Roman" w:eastAsia="Times New Roman" w:hint="default"/>
          <w:spacing w:val="3"/>
        </w:rPr>
        <w:t> </w:t>
      </w:r>
      <w:r>
        <w:rPr/>
        <w:t>月</w:t>
      </w:r>
      <w:r>
        <w:rPr>
          <w:spacing w:val="-36"/>
        </w:rPr>
        <w:t> </w:t>
      </w:r>
      <w:r>
        <w:rPr>
          <w:rFonts w:ascii="Times New Roman" w:hAnsi="Times New Roman" w:cs="Times New Roman" w:eastAsia="Times New Roman" w:hint="default"/>
          <w:spacing w:val="-3"/>
        </w:rPr>
        <w:t>24</w:t>
      </w:r>
      <w:r>
        <w:rPr>
          <w:rFonts w:ascii="Times New Roman" w:hAnsi="Times New Roman" w:cs="Times New Roman" w:eastAsia="Times New Roman" w:hint="default"/>
          <w:spacing w:val="3"/>
        </w:rPr>
        <w:t> </w:t>
      </w:r>
      <w:r>
        <w:rPr>
          <w:spacing w:val="-3"/>
        </w:rPr>
        <w:t>日召开第四届董事会第二十一次会议、</w:t>
      </w:r>
      <w:r>
        <w:rPr>
          <w:rFonts w:ascii="Times New Roman" w:hAnsi="Times New Roman" w:cs="Times New Roman" w:eastAsia="Times New Roman" w:hint="default"/>
          <w:spacing w:val="-3"/>
        </w:rPr>
        <w:t>2020</w:t>
      </w:r>
      <w:r>
        <w:rPr>
          <w:rFonts w:ascii="Times New Roman" w:hAnsi="Times New Roman" w:cs="Times New Roman" w:eastAsia="Times New Roman" w:hint="default"/>
          <w:spacing w:val="3"/>
        </w:rPr>
        <w:t> </w:t>
      </w:r>
      <w:r>
        <w:rPr>
          <w:spacing w:val="-3"/>
        </w:rPr>
        <w:t>年第一次临时股东大会，审</w:t>
      </w:r>
    </w:p>
    <w:p>
      <w:pPr>
        <w:spacing w:after="0" w:line="240" w:lineRule="auto"/>
        <w:jc w:val="left"/>
        <w:sectPr>
          <w:footerReference w:type="default" r:id="rId43"/>
          <w:pgSz w:w="11910" w:h="16840"/>
          <w:pgMar w:footer="1186" w:header="871" w:top="1100" w:bottom="1380" w:left="980" w:right="0"/>
          <w:pgNumType w:start="201"/>
        </w:sectPr>
      </w:pPr>
    </w:p>
    <w:p>
      <w:pPr>
        <w:spacing w:line="240" w:lineRule="auto" w:before="1"/>
        <w:rPr>
          <w:rFonts w:ascii="宋体" w:hAnsi="宋体" w:cs="宋体" w:eastAsia="宋体" w:hint="default"/>
          <w:sz w:val="28"/>
          <w:szCs w:val="28"/>
        </w:rPr>
      </w:pPr>
    </w:p>
    <w:p>
      <w:pPr>
        <w:pStyle w:val="BodyText"/>
        <w:spacing w:line="240" w:lineRule="auto" w:before="46"/>
        <w:ind w:right="0"/>
        <w:jc w:val="left"/>
      </w:pPr>
      <w:r>
        <w:rPr>
          <w:w w:val="101"/>
        </w:rPr>
        <w:t>议</w:t>
      </w:r>
      <w:r>
        <w:rPr>
          <w:spacing w:val="-5"/>
          <w:w w:val="101"/>
        </w:rPr>
        <w:t>通</w:t>
      </w:r>
      <w:r>
        <w:rPr>
          <w:w w:val="101"/>
        </w:rPr>
        <w:t>过</w:t>
      </w:r>
      <w:r>
        <w:rPr>
          <w:spacing w:val="-29"/>
          <w:w w:val="101"/>
        </w:rPr>
        <w:t>了</w:t>
      </w:r>
      <w:r>
        <w:rPr>
          <w:w w:val="101"/>
        </w:rPr>
        <w:t>《</w:t>
      </w:r>
      <w:r>
        <w:rPr>
          <w:spacing w:val="-5"/>
          <w:w w:val="101"/>
        </w:rPr>
        <w:t>关</w:t>
      </w:r>
      <w:r>
        <w:rPr>
          <w:w w:val="101"/>
        </w:rPr>
        <w:t>于</w:t>
      </w:r>
      <w:r>
        <w:rPr>
          <w:spacing w:val="-5"/>
          <w:w w:val="101"/>
        </w:rPr>
        <w:t>变</w:t>
      </w:r>
      <w:r>
        <w:rPr>
          <w:w w:val="101"/>
        </w:rPr>
        <w:t>更</w:t>
      </w:r>
      <w:r>
        <w:rPr>
          <w:spacing w:val="-5"/>
          <w:w w:val="101"/>
        </w:rPr>
        <w:t>募</w:t>
      </w:r>
      <w:r>
        <w:rPr>
          <w:w w:val="101"/>
        </w:rPr>
        <w:t>集</w:t>
      </w:r>
      <w:r>
        <w:rPr>
          <w:spacing w:val="-5"/>
          <w:w w:val="101"/>
        </w:rPr>
        <w:t>资</w:t>
      </w:r>
      <w:r>
        <w:rPr>
          <w:w w:val="101"/>
        </w:rPr>
        <w:t>金</w:t>
      </w:r>
      <w:r>
        <w:rPr>
          <w:spacing w:val="-5"/>
          <w:w w:val="101"/>
        </w:rPr>
        <w:t>用</w:t>
      </w:r>
      <w:r>
        <w:rPr>
          <w:w w:val="101"/>
        </w:rPr>
        <w:t>途</w:t>
      </w:r>
      <w:r>
        <w:rPr>
          <w:spacing w:val="-5"/>
          <w:w w:val="101"/>
        </w:rPr>
        <w:t>的</w:t>
      </w:r>
      <w:r>
        <w:rPr>
          <w:w w:val="101"/>
        </w:rPr>
        <w:t>议案</w:t>
      </w:r>
      <w:r>
        <w:rPr>
          <w:spacing w:val="-96"/>
          <w:w w:val="101"/>
        </w:rPr>
        <w:t>》</w:t>
      </w:r>
      <w:r>
        <w:rPr>
          <w:spacing w:val="-29"/>
          <w:w w:val="101"/>
        </w:rPr>
        <w:t>，</w:t>
      </w:r>
      <w:r>
        <w:rPr>
          <w:w w:val="101"/>
        </w:rPr>
        <w:t>同</w:t>
      </w:r>
      <w:r>
        <w:rPr>
          <w:spacing w:val="-5"/>
          <w:w w:val="101"/>
        </w:rPr>
        <w:t>意</w:t>
      </w:r>
      <w:r>
        <w:rPr>
          <w:w w:val="101"/>
        </w:rPr>
        <w:t>终止</w:t>
      </w:r>
      <w:r>
        <w:rPr>
          <w:spacing w:val="-46"/>
        </w:rPr>
        <w:t> </w:t>
      </w:r>
      <w:r>
        <w:rPr>
          <w:rFonts w:ascii="Times New Roman" w:hAnsi="Times New Roman" w:cs="Times New Roman" w:eastAsia="Times New Roman" w:hint="default"/>
          <w:w w:val="101"/>
        </w:rPr>
        <w:t>20</w:t>
      </w:r>
      <w:r>
        <w:rPr>
          <w:rFonts w:ascii="Times New Roman" w:hAnsi="Times New Roman" w:cs="Times New Roman" w:eastAsia="Times New Roman" w:hint="default"/>
          <w:spacing w:val="-5"/>
          <w:w w:val="101"/>
        </w:rPr>
        <w:t>1</w:t>
      </w:r>
      <w:r>
        <w:rPr>
          <w:rFonts w:ascii="Times New Roman" w:hAnsi="Times New Roman" w:cs="Times New Roman" w:eastAsia="Times New Roman" w:hint="default"/>
          <w:w w:val="101"/>
        </w:rPr>
        <w:t>7</w:t>
      </w:r>
      <w:r>
        <w:rPr>
          <w:rFonts w:ascii="Times New Roman" w:hAnsi="Times New Roman" w:cs="Times New Roman" w:eastAsia="Times New Roman" w:hint="default"/>
          <w:spacing w:val="-12"/>
        </w:rPr>
        <w:t> </w:t>
      </w:r>
      <w:r>
        <w:rPr>
          <w:spacing w:val="-5"/>
          <w:w w:val="101"/>
        </w:rPr>
        <w:t>年</w:t>
      </w:r>
      <w:r>
        <w:rPr>
          <w:w w:val="101"/>
        </w:rPr>
        <w:t>非</w:t>
      </w:r>
      <w:r>
        <w:rPr>
          <w:spacing w:val="-5"/>
          <w:w w:val="101"/>
        </w:rPr>
        <w:t>公</w:t>
      </w:r>
      <w:r>
        <w:rPr>
          <w:w w:val="101"/>
        </w:rPr>
        <w:t>开</w:t>
      </w:r>
      <w:r>
        <w:rPr>
          <w:spacing w:val="-5"/>
          <w:w w:val="101"/>
        </w:rPr>
        <w:t>发</w:t>
      </w:r>
      <w:r>
        <w:rPr>
          <w:w w:val="101"/>
        </w:rPr>
        <w:t>行</w:t>
      </w:r>
      <w:r>
        <w:rPr>
          <w:spacing w:val="-5"/>
          <w:w w:val="101"/>
        </w:rPr>
        <w:t>股</w:t>
      </w:r>
      <w:r>
        <w:rPr>
          <w:w w:val="101"/>
        </w:rPr>
        <w:t>票</w:t>
      </w:r>
      <w:r>
        <w:rPr>
          <w:spacing w:val="-5"/>
          <w:w w:val="101"/>
        </w:rPr>
        <w:t>实</w:t>
      </w:r>
      <w:r>
        <w:rPr>
          <w:w w:val="101"/>
        </w:rPr>
        <w:t>施</w:t>
      </w:r>
      <w:r>
        <w:rPr>
          <w:spacing w:val="-5"/>
          <w:w w:val="101"/>
        </w:rPr>
        <w:t>的</w:t>
      </w:r>
      <w:r>
        <w:rPr>
          <w:w w:val="101"/>
        </w:rPr>
        <w:t>银</w:t>
      </w:r>
      <w:r>
        <w:rPr>
          <w:spacing w:val="-5"/>
          <w:w w:val="101"/>
        </w:rPr>
        <w:t>行</w:t>
      </w:r>
      <w:r>
        <w:rPr>
          <w:w w:val="101"/>
        </w:rPr>
        <w:t>数</w:t>
      </w:r>
      <w:r>
        <w:rPr>
          <w:spacing w:val="-5"/>
          <w:w w:val="101"/>
        </w:rPr>
        <w:t>据</w:t>
      </w:r>
      <w:r>
        <w:rPr>
          <w:w w:val="101"/>
        </w:rPr>
        <w:t>分</w:t>
      </w:r>
      <w:r>
        <w:rPr>
          <w:spacing w:val="-5"/>
          <w:w w:val="101"/>
        </w:rPr>
        <w:t>析</w:t>
      </w:r>
      <w:r>
        <w:rPr>
          <w:w w:val="101"/>
        </w:rPr>
        <w:t>应</w:t>
      </w:r>
      <w:r>
        <w:rPr>
          <w:spacing w:val="-5"/>
          <w:w w:val="101"/>
        </w:rPr>
        <w:t>用</w:t>
      </w:r>
      <w:r>
        <w:rPr>
          <w:w w:val="101"/>
        </w:rPr>
        <w:t>系</w:t>
      </w:r>
      <w:r>
        <w:rPr>
          <w:spacing w:val="-5"/>
          <w:w w:val="101"/>
        </w:rPr>
        <w:t>统</w:t>
      </w:r>
      <w:r>
        <w:rPr>
          <w:w w:val="101"/>
        </w:rPr>
        <w:t>建</w:t>
      </w:r>
      <w:r>
        <w:rPr>
          <w:spacing w:val="-5"/>
          <w:w w:val="101"/>
        </w:rPr>
        <w:t>设</w:t>
      </w:r>
      <w:r>
        <w:rPr>
          <w:w w:val="101"/>
        </w:rPr>
        <w:t>项</w:t>
      </w:r>
      <w:r>
        <w:rPr>
          <w:spacing w:val="-5"/>
          <w:w w:val="101"/>
        </w:rPr>
        <w:t>目</w:t>
      </w:r>
      <w:r>
        <w:rPr>
          <w:spacing w:val="-25"/>
          <w:w w:val="101"/>
        </w:rPr>
        <w:t>，</w:t>
      </w:r>
      <w:r>
        <w:rPr>
          <w:spacing w:val="-5"/>
          <w:w w:val="101"/>
        </w:rPr>
        <w:t>并</w:t>
      </w:r>
      <w:r>
        <w:rPr>
          <w:w w:val="101"/>
        </w:rPr>
        <w:t>将</w:t>
      </w:r>
      <w:r>
        <w:rPr/>
      </w:r>
    </w:p>
    <w:p>
      <w:pPr>
        <w:spacing w:line="240" w:lineRule="auto" w:before="7"/>
        <w:rPr>
          <w:rFonts w:ascii="宋体" w:hAnsi="宋体" w:cs="宋体" w:eastAsia="宋体" w:hint="default"/>
          <w:sz w:val="16"/>
          <w:szCs w:val="16"/>
        </w:rPr>
      </w:pPr>
    </w:p>
    <w:p>
      <w:pPr>
        <w:pStyle w:val="BodyText"/>
        <w:spacing w:line="240" w:lineRule="auto"/>
        <w:ind w:right="0"/>
        <w:jc w:val="left"/>
      </w:pPr>
      <w:r>
        <w:rPr/>
        <w:t>尚未使用的剩余募集资金 </w:t>
      </w:r>
      <w:r>
        <w:rPr>
          <w:rFonts w:ascii="Times New Roman" w:hAnsi="Times New Roman" w:cs="Times New Roman" w:eastAsia="Times New Roman" w:hint="default"/>
        </w:rPr>
        <w:t>27,019.48 </w:t>
      </w:r>
      <w:r>
        <w:rPr>
          <w:rFonts w:ascii="Times New Roman" w:hAnsi="Times New Roman" w:cs="Times New Roman" w:eastAsia="Times New Roman" w:hint="default"/>
          <w:spacing w:val="10"/>
        </w:rPr>
        <w:t> </w:t>
      </w:r>
      <w:r>
        <w:rPr>
          <w:spacing w:val="-3"/>
        </w:rPr>
        <w:t>万元投向银行数字化转型解决方案项目、银行智能设备产业化项目和研发中心项目。</w:t>
      </w:r>
    </w:p>
    <w:p>
      <w:pPr>
        <w:spacing w:line="240" w:lineRule="auto" w:before="12"/>
        <w:rPr>
          <w:rFonts w:ascii="宋体" w:hAnsi="宋体" w:cs="宋体" w:eastAsia="宋体" w:hint="default"/>
          <w:sz w:val="16"/>
          <w:szCs w:val="16"/>
        </w:rPr>
      </w:pPr>
    </w:p>
    <w:p>
      <w:pPr>
        <w:pStyle w:val="BodyText"/>
        <w:spacing w:line="240" w:lineRule="auto"/>
        <w:ind w:left="513" w:right="0"/>
        <w:jc w:val="left"/>
      </w:pPr>
      <w:r>
        <w:rPr>
          <w:rFonts w:ascii="Times New Roman" w:hAnsi="Times New Roman" w:cs="Times New Roman" w:eastAsia="Times New Roman" w:hint="default"/>
        </w:rPr>
        <w:t>4.</w:t>
      </w:r>
      <w:r>
        <w:rPr/>
        <w:t>银行担保</w:t>
      </w:r>
    </w:p>
    <w:p>
      <w:pPr>
        <w:spacing w:line="240" w:lineRule="auto" w:before="7"/>
        <w:rPr>
          <w:rFonts w:ascii="宋体" w:hAnsi="宋体" w:cs="宋体" w:eastAsia="宋体" w:hint="default"/>
          <w:sz w:val="16"/>
          <w:szCs w:val="16"/>
        </w:rPr>
      </w:pPr>
    </w:p>
    <w:p>
      <w:pPr>
        <w:pStyle w:val="BodyText"/>
        <w:spacing w:line="240" w:lineRule="auto"/>
        <w:ind w:left="0" w:right="1039"/>
        <w:jc w:val="right"/>
      </w:pPr>
      <w:r>
        <w:rPr>
          <w:rFonts w:ascii="Times New Roman" w:hAnsi="Times New Roman" w:cs="Times New Roman" w:eastAsia="Times New Roman" w:hint="default"/>
          <w:w w:val="101"/>
        </w:rPr>
        <w:t>2020</w:t>
      </w:r>
      <w:r>
        <w:rPr>
          <w:rFonts w:ascii="Times New Roman" w:hAnsi="Times New Roman" w:cs="Times New Roman" w:eastAsia="Times New Roman" w:hint="default"/>
          <w:spacing w:val="-11"/>
        </w:rPr>
        <w:t> </w:t>
      </w:r>
      <w:r>
        <w:rPr>
          <w:w w:val="101"/>
        </w:rPr>
        <w:t>年</w:t>
      </w:r>
      <w:r>
        <w:rPr>
          <w:spacing w:val="-47"/>
        </w:rPr>
        <w:t> </w:t>
      </w:r>
      <w:r>
        <w:rPr>
          <w:rFonts w:ascii="Times New Roman" w:hAnsi="Times New Roman" w:cs="Times New Roman" w:eastAsia="Times New Roman" w:hint="default"/>
          <w:w w:val="101"/>
        </w:rPr>
        <w:t>4</w:t>
      </w:r>
      <w:r>
        <w:rPr>
          <w:rFonts w:ascii="Times New Roman" w:hAnsi="Times New Roman" w:cs="Times New Roman" w:eastAsia="Times New Roman" w:hint="default"/>
          <w:spacing w:val="-7"/>
        </w:rPr>
        <w:t> </w:t>
      </w:r>
      <w:r>
        <w:rPr>
          <w:w w:val="101"/>
        </w:rPr>
        <w:t>月</w:t>
      </w:r>
      <w:r>
        <w:rPr>
          <w:spacing w:val="-52"/>
        </w:rPr>
        <w:t> </w:t>
      </w:r>
      <w:r>
        <w:rPr>
          <w:rFonts w:ascii="Times New Roman" w:hAnsi="Times New Roman" w:cs="Times New Roman" w:eastAsia="Times New Roman" w:hint="default"/>
          <w:w w:val="101"/>
        </w:rPr>
        <w:t>8</w:t>
      </w:r>
      <w:r>
        <w:rPr>
          <w:rFonts w:ascii="Times New Roman" w:hAnsi="Times New Roman" w:cs="Times New Roman" w:eastAsia="Times New Roman" w:hint="default"/>
          <w:spacing w:val="-12"/>
        </w:rPr>
        <w:t> </w:t>
      </w:r>
      <w:r>
        <w:rPr>
          <w:w w:val="101"/>
        </w:rPr>
        <w:t>日</w:t>
      </w:r>
      <w:r>
        <w:rPr>
          <w:spacing w:val="-5"/>
          <w:w w:val="101"/>
        </w:rPr>
        <w:t>，</w:t>
      </w:r>
      <w:r>
        <w:rPr>
          <w:w w:val="101"/>
        </w:rPr>
        <w:t>公</w:t>
      </w:r>
      <w:r>
        <w:rPr>
          <w:spacing w:val="-5"/>
          <w:w w:val="101"/>
        </w:rPr>
        <w:t>司</w:t>
      </w:r>
      <w:r>
        <w:rPr>
          <w:w w:val="101"/>
        </w:rPr>
        <w:t>第</w:t>
      </w:r>
      <w:r>
        <w:rPr>
          <w:spacing w:val="-5"/>
          <w:w w:val="101"/>
        </w:rPr>
        <w:t>四</w:t>
      </w:r>
      <w:r>
        <w:rPr>
          <w:w w:val="101"/>
        </w:rPr>
        <w:t>届</w:t>
      </w:r>
      <w:r>
        <w:rPr>
          <w:spacing w:val="-5"/>
          <w:w w:val="101"/>
        </w:rPr>
        <w:t>董</w:t>
      </w:r>
      <w:r>
        <w:rPr>
          <w:w w:val="101"/>
        </w:rPr>
        <w:t>事</w:t>
      </w:r>
      <w:r>
        <w:rPr>
          <w:spacing w:val="-5"/>
          <w:w w:val="101"/>
        </w:rPr>
        <w:t>会</w:t>
      </w:r>
      <w:r>
        <w:rPr>
          <w:w w:val="101"/>
        </w:rPr>
        <w:t>第</w:t>
      </w:r>
      <w:r>
        <w:rPr>
          <w:spacing w:val="-5"/>
          <w:w w:val="101"/>
        </w:rPr>
        <w:t>二</w:t>
      </w:r>
      <w:r>
        <w:rPr>
          <w:w w:val="101"/>
        </w:rPr>
        <w:t>十</w:t>
      </w:r>
      <w:r>
        <w:rPr>
          <w:spacing w:val="-5"/>
          <w:w w:val="101"/>
        </w:rPr>
        <w:t>一</w:t>
      </w:r>
      <w:r>
        <w:rPr>
          <w:w w:val="101"/>
        </w:rPr>
        <w:t>次</w:t>
      </w:r>
      <w:r>
        <w:rPr>
          <w:spacing w:val="-5"/>
          <w:w w:val="101"/>
        </w:rPr>
        <w:t>会</w:t>
      </w:r>
      <w:r>
        <w:rPr>
          <w:w w:val="101"/>
        </w:rPr>
        <w:t>议</w:t>
      </w:r>
      <w:r>
        <w:rPr>
          <w:spacing w:val="-5"/>
          <w:w w:val="101"/>
        </w:rPr>
        <w:t>于</w:t>
      </w:r>
      <w:r>
        <w:rPr>
          <w:w w:val="101"/>
        </w:rPr>
        <w:t>审</w:t>
      </w:r>
      <w:r>
        <w:rPr>
          <w:spacing w:val="-5"/>
          <w:w w:val="101"/>
        </w:rPr>
        <w:t>议通</w:t>
      </w:r>
      <w:r>
        <w:rPr>
          <w:w w:val="101"/>
        </w:rPr>
        <w:t>过</w:t>
      </w:r>
      <w:r>
        <w:rPr>
          <w:spacing w:val="-5"/>
          <w:w w:val="101"/>
        </w:rPr>
        <w:t>了</w:t>
      </w:r>
      <w:r>
        <w:rPr>
          <w:w w:val="101"/>
        </w:rPr>
        <w:t>《</w:t>
      </w:r>
      <w:r>
        <w:rPr>
          <w:spacing w:val="-5"/>
          <w:w w:val="101"/>
        </w:rPr>
        <w:t>关</w:t>
      </w:r>
      <w:r>
        <w:rPr>
          <w:w w:val="101"/>
        </w:rPr>
        <w:t>于</w:t>
      </w:r>
      <w:r>
        <w:rPr>
          <w:spacing w:val="-5"/>
          <w:w w:val="101"/>
        </w:rPr>
        <w:t>为</w:t>
      </w:r>
      <w:r>
        <w:rPr>
          <w:w w:val="101"/>
        </w:rPr>
        <w:t>全</w:t>
      </w:r>
      <w:r>
        <w:rPr>
          <w:spacing w:val="-5"/>
          <w:w w:val="101"/>
        </w:rPr>
        <w:t>资</w:t>
      </w:r>
      <w:r>
        <w:rPr>
          <w:spacing w:val="4"/>
          <w:w w:val="101"/>
        </w:rPr>
        <w:t>子</w:t>
      </w:r>
      <w:r>
        <w:rPr>
          <w:w w:val="101"/>
        </w:rPr>
        <w:t>公</w:t>
      </w:r>
      <w:r>
        <w:rPr>
          <w:spacing w:val="4"/>
          <w:w w:val="101"/>
        </w:rPr>
        <w:t>司</w:t>
      </w:r>
      <w:r>
        <w:rPr>
          <w:w w:val="101"/>
        </w:rPr>
        <w:t>银</w:t>
      </w:r>
      <w:r>
        <w:rPr>
          <w:spacing w:val="4"/>
          <w:w w:val="101"/>
        </w:rPr>
        <w:t>行</w:t>
      </w:r>
      <w:r>
        <w:rPr>
          <w:w w:val="101"/>
        </w:rPr>
        <w:t>贷</w:t>
      </w:r>
      <w:r>
        <w:rPr>
          <w:spacing w:val="4"/>
          <w:w w:val="101"/>
        </w:rPr>
        <w:t>款</w:t>
      </w:r>
      <w:r>
        <w:rPr>
          <w:w w:val="101"/>
        </w:rPr>
        <w:t>提</w:t>
      </w:r>
      <w:r>
        <w:rPr>
          <w:spacing w:val="4"/>
          <w:w w:val="101"/>
        </w:rPr>
        <w:t>供</w:t>
      </w:r>
      <w:r>
        <w:rPr>
          <w:w w:val="101"/>
        </w:rPr>
        <w:t>反</w:t>
      </w:r>
      <w:r>
        <w:rPr>
          <w:spacing w:val="4"/>
          <w:w w:val="101"/>
        </w:rPr>
        <w:t>担</w:t>
      </w:r>
      <w:r>
        <w:rPr>
          <w:w w:val="101"/>
        </w:rPr>
        <w:t>保</w:t>
      </w:r>
      <w:r>
        <w:rPr>
          <w:spacing w:val="4"/>
          <w:w w:val="101"/>
        </w:rPr>
        <w:t>的</w:t>
      </w:r>
      <w:r>
        <w:rPr>
          <w:w w:val="101"/>
        </w:rPr>
        <w:t>议</w:t>
      </w:r>
      <w:r>
        <w:rPr>
          <w:spacing w:val="4"/>
          <w:w w:val="101"/>
        </w:rPr>
        <w:t>案</w:t>
      </w:r>
      <w:r>
        <w:rPr>
          <w:spacing w:val="-87"/>
          <w:w w:val="101"/>
        </w:rPr>
        <w:t>》</w:t>
      </w:r>
      <w:r>
        <w:rPr>
          <w:w w:val="101"/>
        </w:rPr>
        <w:t>，</w:t>
      </w:r>
      <w:r>
        <w:rPr/>
      </w:r>
    </w:p>
    <w:p>
      <w:pPr>
        <w:spacing w:line="240" w:lineRule="auto" w:before="12"/>
        <w:rPr>
          <w:rFonts w:ascii="宋体" w:hAnsi="宋体" w:cs="宋体" w:eastAsia="宋体" w:hint="default"/>
          <w:sz w:val="16"/>
          <w:szCs w:val="16"/>
        </w:rPr>
      </w:pPr>
    </w:p>
    <w:p>
      <w:pPr>
        <w:pStyle w:val="BodyText"/>
        <w:spacing w:line="240" w:lineRule="auto"/>
        <w:ind w:right="0"/>
        <w:jc w:val="left"/>
      </w:pPr>
      <w:r>
        <w:rPr>
          <w:spacing w:val="-3"/>
        </w:rPr>
        <w:t>本公司全资子公司深圳银之杰智慧科技有限公司向银行申请总计不超过 </w:t>
      </w:r>
      <w:r>
        <w:rPr>
          <w:rFonts w:ascii="Times New Roman" w:hAnsi="Times New Roman" w:cs="Times New Roman" w:eastAsia="Times New Roman" w:hint="default"/>
        </w:rPr>
        <w:t>2,000 </w:t>
      </w:r>
      <w:r>
        <w:rPr>
          <w:rFonts w:ascii="Times New Roman" w:hAnsi="Times New Roman" w:cs="Times New Roman" w:eastAsia="Times New Roman" w:hint="default"/>
          <w:spacing w:val="42"/>
        </w:rPr>
        <w:t> </w:t>
      </w:r>
      <w:r>
        <w:rPr>
          <w:spacing w:val="-4"/>
        </w:rPr>
        <w:t>万元，期限为一年的综合授信额度（包括但不</w:t>
      </w:r>
    </w:p>
    <w:p>
      <w:pPr>
        <w:spacing w:line="240" w:lineRule="auto" w:before="7"/>
        <w:rPr>
          <w:rFonts w:ascii="宋体" w:hAnsi="宋体" w:cs="宋体" w:eastAsia="宋体" w:hint="default"/>
          <w:sz w:val="16"/>
          <w:szCs w:val="16"/>
        </w:rPr>
      </w:pPr>
    </w:p>
    <w:p>
      <w:pPr>
        <w:pStyle w:val="BodyText"/>
        <w:spacing w:line="240" w:lineRule="auto"/>
        <w:ind w:right="0"/>
        <w:jc w:val="left"/>
        <w:rPr>
          <w:rFonts w:ascii="Times New Roman" w:hAnsi="Times New Roman" w:cs="Times New Roman" w:eastAsia="Times New Roman" w:hint="default"/>
        </w:rPr>
      </w:pPr>
      <w:r>
        <w:rPr>
          <w:w w:val="101"/>
        </w:rPr>
        <w:t>限</w:t>
      </w:r>
      <w:r>
        <w:rPr>
          <w:spacing w:val="-5"/>
          <w:w w:val="101"/>
        </w:rPr>
        <w:t>于</w:t>
      </w:r>
      <w:r>
        <w:rPr>
          <w:w w:val="101"/>
        </w:rPr>
        <w:t>流</w:t>
      </w:r>
      <w:r>
        <w:rPr>
          <w:spacing w:val="-5"/>
          <w:w w:val="101"/>
        </w:rPr>
        <w:t>动</w:t>
      </w:r>
      <w:r>
        <w:rPr>
          <w:w w:val="101"/>
        </w:rPr>
        <w:t>资</w:t>
      </w:r>
      <w:r>
        <w:rPr>
          <w:spacing w:val="-5"/>
          <w:w w:val="101"/>
        </w:rPr>
        <w:t>金</w:t>
      </w:r>
      <w:r>
        <w:rPr>
          <w:w w:val="101"/>
        </w:rPr>
        <w:t>贷</w:t>
      </w:r>
      <w:r>
        <w:rPr>
          <w:spacing w:val="-5"/>
          <w:w w:val="101"/>
        </w:rPr>
        <w:t>款</w:t>
      </w:r>
      <w:r>
        <w:rPr>
          <w:spacing w:val="-87"/>
          <w:w w:val="101"/>
        </w:rPr>
        <w:t>、</w:t>
      </w:r>
      <w:r>
        <w:rPr>
          <w:spacing w:val="-5"/>
          <w:w w:val="101"/>
        </w:rPr>
        <w:t>银</w:t>
      </w:r>
      <w:r>
        <w:rPr>
          <w:w w:val="101"/>
        </w:rPr>
        <w:t>行</w:t>
      </w:r>
      <w:r>
        <w:rPr>
          <w:spacing w:val="-5"/>
          <w:w w:val="101"/>
        </w:rPr>
        <w:t>票</w:t>
      </w:r>
      <w:r>
        <w:rPr>
          <w:w w:val="101"/>
        </w:rPr>
        <w:t>据</w:t>
      </w:r>
      <w:r>
        <w:rPr>
          <w:spacing w:val="-5"/>
          <w:w w:val="101"/>
        </w:rPr>
        <w:t>业</w:t>
      </w:r>
      <w:r>
        <w:rPr>
          <w:w w:val="101"/>
        </w:rPr>
        <w:t>务</w:t>
      </w:r>
      <w:r>
        <w:rPr>
          <w:spacing w:val="-92"/>
          <w:w w:val="101"/>
        </w:rPr>
        <w:t>、</w:t>
      </w:r>
      <w:r>
        <w:rPr>
          <w:w w:val="101"/>
        </w:rPr>
        <w:t>信</w:t>
      </w:r>
      <w:r>
        <w:rPr>
          <w:spacing w:val="-5"/>
          <w:w w:val="101"/>
        </w:rPr>
        <w:t>用证</w:t>
      </w:r>
      <w:r>
        <w:rPr>
          <w:w w:val="101"/>
        </w:rPr>
        <w:t>等</w:t>
      </w:r>
      <w:r>
        <w:rPr>
          <w:spacing w:val="-5"/>
          <w:w w:val="101"/>
        </w:rPr>
        <w:t>信</w:t>
      </w:r>
      <w:r>
        <w:rPr>
          <w:w w:val="101"/>
        </w:rPr>
        <w:t>用</w:t>
      </w:r>
      <w:r>
        <w:rPr>
          <w:spacing w:val="-5"/>
          <w:w w:val="101"/>
        </w:rPr>
        <w:t>品</w:t>
      </w:r>
      <w:r>
        <w:rPr>
          <w:w w:val="101"/>
        </w:rPr>
        <w:t>种</w:t>
      </w:r>
      <w:r>
        <w:rPr>
          <w:spacing w:val="-92"/>
          <w:w w:val="101"/>
        </w:rPr>
        <w:t>），</w:t>
      </w:r>
      <w:r>
        <w:rPr>
          <w:w w:val="101"/>
        </w:rPr>
        <w:t>上</w:t>
      </w:r>
      <w:r>
        <w:rPr>
          <w:spacing w:val="-5"/>
          <w:w w:val="101"/>
        </w:rPr>
        <w:t>述事</w:t>
      </w:r>
      <w:r>
        <w:rPr>
          <w:w w:val="101"/>
        </w:rPr>
        <w:t>项</w:t>
      </w:r>
      <w:r>
        <w:rPr>
          <w:spacing w:val="-5"/>
          <w:w w:val="101"/>
        </w:rPr>
        <w:t>由</w:t>
      </w:r>
      <w:r>
        <w:rPr>
          <w:w w:val="101"/>
        </w:rPr>
        <w:t>深</w:t>
      </w:r>
      <w:r>
        <w:rPr>
          <w:spacing w:val="-5"/>
          <w:w w:val="101"/>
        </w:rPr>
        <w:t>圳</w:t>
      </w:r>
      <w:r>
        <w:rPr>
          <w:w w:val="101"/>
        </w:rPr>
        <w:t>市</w:t>
      </w:r>
      <w:r>
        <w:rPr>
          <w:spacing w:val="-5"/>
          <w:w w:val="101"/>
        </w:rPr>
        <w:t>中</w:t>
      </w:r>
      <w:r>
        <w:rPr>
          <w:w w:val="101"/>
        </w:rPr>
        <w:t>小</w:t>
      </w:r>
      <w:r>
        <w:rPr>
          <w:spacing w:val="-5"/>
          <w:w w:val="101"/>
        </w:rPr>
        <w:t>企</w:t>
      </w:r>
      <w:r>
        <w:rPr>
          <w:w w:val="101"/>
        </w:rPr>
        <w:t>业</w:t>
      </w:r>
      <w:r>
        <w:rPr>
          <w:spacing w:val="-5"/>
          <w:w w:val="101"/>
        </w:rPr>
        <w:t>融</w:t>
      </w:r>
      <w:r>
        <w:rPr>
          <w:w w:val="101"/>
        </w:rPr>
        <w:t>资</w:t>
      </w:r>
      <w:r>
        <w:rPr>
          <w:spacing w:val="-5"/>
          <w:w w:val="101"/>
        </w:rPr>
        <w:t>担</w:t>
      </w:r>
      <w:r>
        <w:rPr>
          <w:w w:val="101"/>
        </w:rPr>
        <w:t>保</w:t>
      </w:r>
      <w:r>
        <w:rPr>
          <w:spacing w:val="-5"/>
          <w:w w:val="101"/>
        </w:rPr>
        <w:t>有</w:t>
      </w:r>
      <w:r>
        <w:rPr>
          <w:w w:val="101"/>
        </w:rPr>
        <w:t>限</w:t>
      </w:r>
      <w:r>
        <w:rPr>
          <w:spacing w:val="-5"/>
          <w:w w:val="101"/>
        </w:rPr>
        <w:t>公</w:t>
      </w:r>
      <w:r>
        <w:rPr>
          <w:w w:val="101"/>
        </w:rPr>
        <w:t>司</w:t>
      </w:r>
      <w:r>
        <w:rPr>
          <w:spacing w:val="-5"/>
          <w:w w:val="101"/>
        </w:rPr>
        <w:t>提</w:t>
      </w:r>
      <w:r>
        <w:rPr>
          <w:w w:val="101"/>
        </w:rPr>
        <w:t>供</w:t>
      </w:r>
      <w:r>
        <w:rPr>
          <w:spacing w:val="-5"/>
          <w:w w:val="101"/>
        </w:rPr>
        <w:t>最</w:t>
      </w:r>
      <w:r>
        <w:rPr>
          <w:w w:val="101"/>
        </w:rPr>
        <w:t>高</w:t>
      </w:r>
      <w:r>
        <w:rPr>
          <w:spacing w:val="-5"/>
          <w:w w:val="101"/>
        </w:rPr>
        <w:t>不</w:t>
      </w:r>
      <w:r>
        <w:rPr>
          <w:w w:val="101"/>
        </w:rPr>
        <w:t>超过</w:t>
      </w:r>
      <w:r>
        <w:rPr>
          <w:spacing w:val="-45"/>
        </w:rPr>
        <w:t> </w:t>
      </w:r>
      <w:r>
        <w:rPr>
          <w:rFonts w:ascii="Times New Roman" w:hAnsi="Times New Roman" w:cs="Times New Roman" w:eastAsia="Times New Roman" w:hint="default"/>
          <w:spacing w:val="-5"/>
          <w:w w:val="101"/>
        </w:rPr>
        <w:t>2</w:t>
      </w:r>
      <w:r>
        <w:rPr>
          <w:rFonts w:ascii="Times New Roman" w:hAnsi="Times New Roman" w:cs="Times New Roman" w:eastAsia="Times New Roman" w:hint="default"/>
          <w:spacing w:val="2"/>
          <w:w w:val="101"/>
        </w:rPr>
        <w:t>,</w:t>
      </w:r>
      <w:r>
        <w:rPr>
          <w:rFonts w:ascii="Times New Roman" w:hAnsi="Times New Roman" w:cs="Times New Roman" w:eastAsia="Times New Roman" w:hint="default"/>
          <w:w w:val="101"/>
        </w:rPr>
        <w:t>000</w:t>
      </w:r>
      <w:r>
        <w:rPr>
          <w:rFonts w:ascii="Times New Roman" w:hAnsi="Times New Roman" w:cs="Times New Roman" w:eastAsia="Times New Roman" w:hint="default"/>
        </w:rPr>
      </w:r>
    </w:p>
    <w:p>
      <w:pPr>
        <w:spacing w:line="240" w:lineRule="auto" w:before="3"/>
        <w:rPr>
          <w:rFonts w:ascii="Times New Roman" w:hAnsi="Times New Roman" w:cs="Times New Roman" w:eastAsia="Times New Roman" w:hint="default"/>
          <w:sz w:val="19"/>
          <w:szCs w:val="19"/>
        </w:rPr>
      </w:pPr>
    </w:p>
    <w:p>
      <w:pPr>
        <w:pStyle w:val="BodyText"/>
        <w:spacing w:line="240" w:lineRule="auto"/>
        <w:ind w:right="0"/>
        <w:jc w:val="left"/>
      </w:pPr>
      <w:r>
        <w:rPr>
          <w:spacing w:val="-3"/>
        </w:rPr>
        <w:t>万元的保证担保，同时本公司向担保公司提供反担保，承担反担保责任。</w:t>
      </w:r>
    </w:p>
    <w:p>
      <w:pPr>
        <w:spacing w:line="240" w:lineRule="auto" w:before="0"/>
        <w:rPr>
          <w:rFonts w:ascii="宋体" w:hAnsi="宋体" w:cs="宋体" w:eastAsia="宋体" w:hint="default"/>
          <w:sz w:val="18"/>
          <w:szCs w:val="18"/>
        </w:rPr>
      </w:pPr>
    </w:p>
    <w:p>
      <w:pPr>
        <w:pStyle w:val="Heading2"/>
        <w:spacing w:line="240" w:lineRule="auto" w:before="159"/>
        <w:ind w:right="0"/>
        <w:jc w:val="left"/>
        <w:rPr>
          <w:b w:val="0"/>
          <w:bCs w:val="0"/>
        </w:rPr>
      </w:pPr>
      <w:bookmarkStart w:name="十六、母公司财务报表主要项目注释" w:id="401"/>
      <w:bookmarkEnd w:id="401"/>
      <w:r>
        <w:rPr>
          <w:b w:val="0"/>
          <w:bCs w:val="0"/>
        </w:rPr>
      </w:r>
      <w:r>
        <w:rPr/>
        <w:t>十六、母公司财务报表主要项目注释</w:t>
      </w:r>
      <w:r>
        <w:rPr>
          <w:b w:val="0"/>
          <w:bCs w:val="0"/>
        </w:rPr>
      </w:r>
    </w:p>
    <w:p>
      <w:pPr>
        <w:spacing w:line="240" w:lineRule="auto" w:before="3"/>
        <w:rPr>
          <w:rFonts w:ascii="宋体" w:hAnsi="宋体" w:cs="宋体" w:eastAsia="宋体" w:hint="default"/>
          <w:b/>
          <w:bCs/>
          <w:sz w:val="25"/>
          <w:szCs w:val="25"/>
        </w:rPr>
      </w:pPr>
    </w:p>
    <w:p>
      <w:pPr>
        <w:pStyle w:val="Heading3"/>
        <w:spacing w:line="240" w:lineRule="auto"/>
        <w:ind w:right="0"/>
        <w:jc w:val="left"/>
        <w:rPr>
          <w:b w:val="0"/>
          <w:bCs w:val="0"/>
        </w:rPr>
      </w:pPr>
      <w:bookmarkStart w:name="1、应收账款" w:id="402"/>
      <w:bookmarkEnd w:id="402"/>
      <w:r>
        <w:rPr>
          <w:b w:val="0"/>
          <w:bCs w:val="0"/>
        </w:rPr>
      </w:r>
      <w:r>
        <w:rPr>
          <w:rFonts w:ascii="Times New Roman" w:hAnsi="Times New Roman" w:cs="Times New Roman" w:eastAsia="Times New Roman" w:hint="default"/>
        </w:rPr>
        <w:t>1</w:t>
      </w:r>
      <w:r>
        <w:rPr/>
        <w:t>、应收账款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应收账款分类披露" w:id="403"/>
      <w:bookmarkEnd w:id="403"/>
      <w:r>
        <w:rPr>
          <w:b w:val="0"/>
          <w:bCs w:val="0"/>
        </w:rPr>
      </w:r>
      <w:r>
        <w:rPr/>
        <w:t>（</w:t>
      </w:r>
      <w:r>
        <w:rPr>
          <w:rFonts w:ascii="Times New Roman" w:hAnsi="Times New Roman" w:cs="Times New Roman" w:eastAsia="Times New Roman" w:hint="default"/>
        </w:rPr>
        <w:t>1</w:t>
      </w:r>
      <w:r>
        <w:rPr/>
        <w:t>）应收账款分类披露</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0" w:right="1122"/>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613"/>
        <w:gridCol w:w="776"/>
        <w:gridCol w:w="758"/>
        <w:gridCol w:w="764"/>
        <w:gridCol w:w="764"/>
        <w:gridCol w:w="787"/>
        <w:gridCol w:w="778"/>
        <w:gridCol w:w="797"/>
        <w:gridCol w:w="797"/>
        <w:gridCol w:w="792"/>
        <w:gridCol w:w="931"/>
      </w:tblGrid>
      <w:tr>
        <w:trPr>
          <w:trHeight w:val="394" w:hRule="exact"/>
        </w:trPr>
        <w:tc>
          <w:tcPr>
            <w:tcW w:w="1613" w:type="dxa"/>
            <w:vMerge w:val="restart"/>
            <w:tcBorders>
              <w:top w:val="single" w:sz="4" w:space="0" w:color="000000"/>
              <w:left w:val="single" w:sz="4" w:space="0" w:color="000000"/>
              <w:right w:val="single" w:sz="4" w:space="0" w:color="000000"/>
            </w:tcBorders>
            <w:shd w:val="clear" w:color="auto" w:fill="D2D2D2"/>
          </w:tcPr>
          <w:p>
            <w:pPr/>
          </w:p>
        </w:tc>
        <w:tc>
          <w:tcPr>
            <w:tcW w:w="384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6"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8" w:hRule="exact"/>
        </w:trPr>
        <w:tc>
          <w:tcPr>
            <w:tcW w:w="1613" w:type="dxa"/>
            <w:vMerge/>
            <w:tcBorders>
              <w:left w:val="single" w:sz="4" w:space="0" w:color="000000"/>
              <w:bottom w:val="nil" w:sz="6" w:space="0" w:color="auto"/>
              <w:right w:val="single" w:sz="4" w:space="0" w:color="000000"/>
            </w:tcBorders>
            <w:shd w:val="clear" w:color="auto" w:fill="D2D2D2"/>
          </w:tcPr>
          <w:p>
            <w:pPr/>
          </w:p>
        </w:tc>
        <w:tc>
          <w:tcPr>
            <w:tcW w:w="153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41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7" w:type="dxa"/>
            <w:vMerge w:val="restart"/>
            <w:tcBorders>
              <w:top w:val="single" w:sz="4" w:space="0" w:color="000000"/>
              <w:left w:val="single" w:sz="4" w:space="0" w:color="000000"/>
              <w:right w:val="single" w:sz="4" w:space="0" w:color="000000"/>
            </w:tcBorders>
            <w:shd w:val="clear" w:color="auto" w:fill="D2D2D2"/>
          </w:tcPr>
          <w:p>
            <w:pPr/>
          </w:p>
        </w:tc>
        <w:tc>
          <w:tcPr>
            <w:tcW w:w="157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42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42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vMerge w:val="restart"/>
            <w:tcBorders>
              <w:top w:val="single" w:sz="4" w:space="0" w:color="000000"/>
              <w:left w:val="single" w:sz="4" w:space="0" w:color="000000"/>
              <w:right w:val="single" w:sz="4" w:space="0" w:color="000000"/>
            </w:tcBorders>
            <w:shd w:val="clear" w:color="auto" w:fill="D2D2D2"/>
          </w:tcPr>
          <w:p>
            <w:pPr/>
          </w:p>
        </w:tc>
      </w:tr>
      <w:tr>
        <w:trPr>
          <w:trHeight w:val="240" w:hRule="exact"/>
        </w:trPr>
        <w:tc>
          <w:tcPr>
            <w:tcW w:w="16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534" w:type="dxa"/>
            <w:gridSpan w:val="2"/>
            <w:vMerge/>
            <w:tcBorders>
              <w:left w:val="single" w:sz="4" w:space="0" w:color="000000"/>
              <w:bottom w:val="single" w:sz="4" w:space="0" w:color="000000"/>
              <w:right w:val="single" w:sz="4" w:space="0" w:color="000000"/>
            </w:tcBorders>
            <w:shd w:val="clear" w:color="auto" w:fill="D2D2D2"/>
          </w:tcPr>
          <w:p>
            <w:pPr/>
          </w:p>
        </w:tc>
        <w:tc>
          <w:tcPr>
            <w:tcW w:w="1527" w:type="dxa"/>
            <w:gridSpan w:val="2"/>
            <w:vMerge/>
            <w:tcBorders>
              <w:left w:val="single" w:sz="4" w:space="0" w:color="000000"/>
              <w:bottom w:val="single" w:sz="4" w:space="0" w:color="000000"/>
              <w:right w:val="single" w:sz="4" w:space="0" w:color="000000"/>
            </w:tcBorders>
            <w:shd w:val="clear" w:color="auto" w:fill="D2D2D2"/>
          </w:tcPr>
          <w:p>
            <w:pPr/>
          </w:p>
        </w:tc>
        <w:tc>
          <w:tcPr>
            <w:tcW w:w="787" w:type="dxa"/>
            <w:vMerge/>
            <w:tcBorders>
              <w:left w:val="single" w:sz="4" w:space="0" w:color="000000"/>
              <w:bottom w:val="nil" w:sz="6" w:space="0" w:color="auto"/>
              <w:right w:val="single" w:sz="4" w:space="0" w:color="000000"/>
            </w:tcBorders>
            <w:shd w:val="clear" w:color="auto" w:fill="D2D2D2"/>
          </w:tcPr>
          <w:p>
            <w:pPr/>
          </w:p>
        </w:tc>
        <w:tc>
          <w:tcPr>
            <w:tcW w:w="1575" w:type="dxa"/>
            <w:gridSpan w:val="2"/>
            <w:vMerge/>
            <w:tcBorders>
              <w:left w:val="single" w:sz="4" w:space="0" w:color="000000"/>
              <w:bottom w:val="single" w:sz="4" w:space="0" w:color="000000"/>
              <w:right w:val="single" w:sz="4" w:space="0" w:color="000000"/>
            </w:tcBorders>
            <w:shd w:val="clear" w:color="auto" w:fill="D2D2D2"/>
          </w:tcPr>
          <w:p>
            <w:pPr/>
          </w:p>
        </w:tc>
        <w:tc>
          <w:tcPr>
            <w:tcW w:w="1590" w:type="dxa"/>
            <w:gridSpan w:val="2"/>
            <w:vMerge/>
            <w:tcBorders>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1613" w:type="dxa"/>
            <w:vMerge/>
            <w:tcBorders>
              <w:left w:val="single" w:sz="4" w:space="0" w:color="000000"/>
              <w:bottom w:val="single" w:sz="4" w:space="0" w:color="FFFFFF"/>
              <w:right w:val="single" w:sz="4" w:space="0" w:color="000000"/>
            </w:tcBorders>
            <w:shd w:val="clear" w:color="auto" w:fill="D2D2D2"/>
          </w:tcPr>
          <w:p>
            <w:pPr/>
          </w:p>
        </w:tc>
        <w:tc>
          <w:tcPr>
            <w:tcW w:w="776"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58"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4"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4" w:type="dxa"/>
            <w:vMerge w:val="restart"/>
            <w:tcBorders>
              <w:top w:val="single" w:sz="4" w:space="0" w:color="000000"/>
              <w:left w:val="single" w:sz="4" w:space="0" w:color="000000"/>
              <w:right w:val="single" w:sz="4" w:space="0" w:color="000000"/>
            </w:tcBorders>
            <w:shd w:val="clear" w:color="auto" w:fill="D2D2D2"/>
          </w:tcPr>
          <w:p>
            <w:pPr>
              <w:pStyle w:val="TableParagraph"/>
              <w:spacing w:line="321" w:lineRule="auto" w:before="53"/>
              <w:ind w:left="287" w:right="103" w:hanging="183"/>
              <w:jc w:val="left"/>
              <w:rPr>
                <w:rFonts w:ascii="宋体" w:hAnsi="宋体" w:cs="宋体" w:eastAsia="宋体" w:hint="default"/>
                <w:sz w:val="18"/>
                <w:szCs w:val="18"/>
              </w:rPr>
            </w:pPr>
            <w:r>
              <w:rPr>
                <w:rFonts w:ascii="宋体" w:hAnsi="宋体" w:cs="宋体" w:eastAsia="宋体" w:hint="default"/>
                <w:sz w:val="18"/>
                <w:szCs w:val="18"/>
              </w:rPr>
              <w:t>计提比</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例</w:t>
            </w:r>
          </w:p>
        </w:tc>
        <w:tc>
          <w:tcPr>
            <w:tcW w:w="78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5"/>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778"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5"/>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4" w:hRule="exact"/>
        </w:trPr>
        <w:tc>
          <w:tcPr>
            <w:tcW w:w="1613" w:type="dxa"/>
            <w:vMerge w:val="restart"/>
            <w:tcBorders>
              <w:top w:val="single" w:sz="4" w:space="0" w:color="FFFFFF"/>
              <w:left w:val="single" w:sz="4" w:space="0" w:color="000000"/>
              <w:right w:val="single" w:sz="4" w:space="0" w:color="000000"/>
            </w:tcBorders>
            <w:shd w:val="clear" w:color="auto" w:fill="D2D2D2"/>
          </w:tcPr>
          <w:p>
            <w:pPr/>
          </w:p>
        </w:tc>
        <w:tc>
          <w:tcPr>
            <w:tcW w:w="776"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51"/>
              <w:ind w:left="208"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58"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51"/>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4"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51"/>
              <w:ind w:left="19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4" w:type="dxa"/>
            <w:vMerge/>
            <w:tcBorders>
              <w:left w:val="single" w:sz="4" w:space="0" w:color="000000"/>
              <w:right w:val="single" w:sz="4" w:space="0" w:color="000000"/>
            </w:tcBorders>
            <w:shd w:val="clear" w:color="auto" w:fill="D2D2D2"/>
          </w:tcPr>
          <w:p>
            <w:pPr/>
          </w:p>
        </w:tc>
        <w:tc>
          <w:tcPr>
            <w:tcW w:w="787" w:type="dxa"/>
            <w:vMerge/>
            <w:tcBorders>
              <w:left w:val="single" w:sz="4" w:space="0" w:color="000000"/>
              <w:bottom w:val="nil" w:sz="6" w:space="0" w:color="auto"/>
              <w:right w:val="single" w:sz="4" w:space="0" w:color="000000"/>
            </w:tcBorders>
            <w:shd w:val="clear" w:color="auto" w:fill="D2D2D2"/>
          </w:tcPr>
          <w:p>
            <w:pPr/>
          </w:p>
        </w:tc>
        <w:tc>
          <w:tcPr>
            <w:tcW w:w="77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6"/>
              <w:ind w:left="20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6"/>
              <w:ind w:left="211"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6"/>
              <w:ind w:left="21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6"/>
              <w:ind w:left="28"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197" w:hRule="exact"/>
        </w:trPr>
        <w:tc>
          <w:tcPr>
            <w:tcW w:w="1613" w:type="dxa"/>
            <w:vMerge/>
            <w:tcBorders>
              <w:left w:val="single" w:sz="4" w:space="0" w:color="000000"/>
              <w:right w:val="single" w:sz="4" w:space="0" w:color="000000"/>
            </w:tcBorders>
            <w:shd w:val="clear" w:color="auto" w:fill="D2D2D2"/>
          </w:tcPr>
          <w:p>
            <w:pPr/>
          </w:p>
        </w:tc>
        <w:tc>
          <w:tcPr>
            <w:tcW w:w="776" w:type="dxa"/>
            <w:vMerge/>
            <w:tcBorders>
              <w:left w:val="single" w:sz="4" w:space="0" w:color="000000"/>
              <w:bottom w:val="nil" w:sz="6" w:space="0" w:color="auto"/>
              <w:right w:val="single" w:sz="4" w:space="0" w:color="000000"/>
            </w:tcBorders>
            <w:shd w:val="clear" w:color="auto" w:fill="D2D2D2"/>
          </w:tcPr>
          <w:p>
            <w:pPr/>
          </w:p>
        </w:tc>
        <w:tc>
          <w:tcPr>
            <w:tcW w:w="758" w:type="dxa"/>
            <w:vMerge/>
            <w:tcBorders>
              <w:left w:val="single" w:sz="4" w:space="0" w:color="000000"/>
              <w:bottom w:val="nil" w:sz="6" w:space="0" w:color="auto"/>
              <w:right w:val="single" w:sz="4" w:space="0" w:color="000000"/>
            </w:tcBorders>
            <w:shd w:val="clear" w:color="auto" w:fill="D2D2D2"/>
          </w:tcPr>
          <w:p>
            <w:pPr/>
          </w:p>
        </w:tc>
        <w:tc>
          <w:tcPr>
            <w:tcW w:w="764" w:type="dxa"/>
            <w:vMerge/>
            <w:tcBorders>
              <w:left w:val="single" w:sz="4" w:space="0" w:color="000000"/>
              <w:bottom w:val="nil" w:sz="6" w:space="0" w:color="auto"/>
              <w:right w:val="single" w:sz="4" w:space="0" w:color="000000"/>
            </w:tcBorders>
            <w:shd w:val="clear" w:color="auto" w:fill="D2D2D2"/>
          </w:tcPr>
          <w:p>
            <w:pPr/>
          </w:p>
        </w:tc>
        <w:tc>
          <w:tcPr>
            <w:tcW w:w="764" w:type="dxa"/>
            <w:vMerge/>
            <w:tcBorders>
              <w:left w:val="single" w:sz="4" w:space="0" w:color="000000"/>
              <w:right w:val="single" w:sz="4" w:space="0" w:color="000000"/>
            </w:tcBorders>
            <w:shd w:val="clear" w:color="auto" w:fill="D2D2D2"/>
          </w:tcPr>
          <w:p>
            <w:pPr/>
          </w:p>
        </w:tc>
        <w:tc>
          <w:tcPr>
            <w:tcW w:w="787" w:type="dxa"/>
            <w:vMerge w:val="restart"/>
            <w:tcBorders>
              <w:top w:val="nil" w:sz="6" w:space="0" w:color="auto"/>
              <w:left w:val="single" w:sz="4" w:space="0" w:color="000000"/>
              <w:right w:val="single" w:sz="4" w:space="0" w:color="000000"/>
            </w:tcBorders>
            <w:shd w:val="clear" w:color="auto" w:fill="D2D2D2"/>
          </w:tcPr>
          <w:p>
            <w:pPr/>
          </w:p>
        </w:tc>
        <w:tc>
          <w:tcPr>
            <w:tcW w:w="778"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792" w:type="dxa"/>
            <w:vMerge/>
            <w:tcBorders>
              <w:left w:val="single" w:sz="4" w:space="0" w:color="000000"/>
              <w:bottom w:val="nil" w:sz="6" w:space="0" w:color="auto"/>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
        </w:tc>
      </w:tr>
      <w:tr>
        <w:trPr>
          <w:trHeight w:val="163" w:hRule="exact"/>
        </w:trPr>
        <w:tc>
          <w:tcPr>
            <w:tcW w:w="1613" w:type="dxa"/>
            <w:vMerge/>
            <w:tcBorders>
              <w:left w:val="single" w:sz="4" w:space="0" w:color="000000"/>
              <w:bottom w:val="single" w:sz="4" w:space="0" w:color="000000"/>
              <w:right w:val="single" w:sz="4" w:space="0" w:color="000000"/>
            </w:tcBorders>
            <w:shd w:val="clear" w:color="auto" w:fill="D2D2D2"/>
          </w:tcPr>
          <w:p>
            <w:pPr/>
          </w:p>
        </w:tc>
        <w:tc>
          <w:tcPr>
            <w:tcW w:w="776" w:type="dxa"/>
            <w:tcBorders>
              <w:top w:val="nil" w:sz="6" w:space="0" w:color="auto"/>
              <w:left w:val="single" w:sz="4" w:space="0" w:color="000000"/>
              <w:bottom w:val="single" w:sz="4" w:space="0" w:color="000000"/>
              <w:right w:val="single" w:sz="4" w:space="0" w:color="000000"/>
            </w:tcBorders>
            <w:shd w:val="clear" w:color="auto" w:fill="D2D2D2"/>
          </w:tcPr>
          <w:p>
            <w:pPr/>
          </w:p>
        </w:tc>
        <w:tc>
          <w:tcPr>
            <w:tcW w:w="758" w:type="dxa"/>
            <w:tcBorders>
              <w:top w:val="nil" w:sz="6" w:space="0" w:color="auto"/>
              <w:left w:val="single" w:sz="4" w:space="0" w:color="000000"/>
              <w:bottom w:val="single" w:sz="4" w:space="0" w:color="000000"/>
              <w:right w:val="single" w:sz="4" w:space="0" w:color="000000"/>
            </w:tcBorders>
            <w:shd w:val="clear" w:color="auto" w:fill="D2D2D2"/>
          </w:tcPr>
          <w:p>
            <w:pPr/>
          </w:p>
        </w:tc>
        <w:tc>
          <w:tcPr>
            <w:tcW w:w="76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4" w:type="dxa"/>
            <w:vMerge/>
            <w:tcBorders>
              <w:left w:val="single" w:sz="4" w:space="0" w:color="000000"/>
              <w:bottom w:val="single" w:sz="4" w:space="0" w:color="000000"/>
              <w:right w:val="single" w:sz="4" w:space="0" w:color="000000"/>
            </w:tcBorders>
            <w:shd w:val="clear" w:color="auto" w:fill="D2D2D2"/>
          </w:tcPr>
          <w:p>
            <w:pPr/>
          </w:p>
        </w:tc>
        <w:tc>
          <w:tcPr>
            <w:tcW w:w="787" w:type="dxa"/>
            <w:vMerge/>
            <w:tcBorders>
              <w:left w:val="single" w:sz="4" w:space="0" w:color="000000"/>
              <w:bottom w:val="single" w:sz="4" w:space="0" w:color="000000"/>
              <w:right w:val="single" w:sz="4" w:space="0" w:color="000000"/>
            </w:tcBorders>
            <w:shd w:val="clear" w:color="auto" w:fill="D2D2D2"/>
          </w:tcPr>
          <w:p>
            <w:pPr/>
          </w:p>
        </w:tc>
        <w:tc>
          <w:tcPr>
            <w:tcW w:w="778"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single" w:sz="4" w:space="0" w:color="000000"/>
              <w:right w:val="single" w:sz="4" w:space="0" w:color="000000"/>
            </w:tcBorders>
            <w:shd w:val="clear" w:color="auto" w:fill="D2D2D2"/>
          </w:tcPr>
          <w:p>
            <w:pPr/>
          </w:p>
        </w:tc>
      </w:tr>
      <w:tr>
        <w:trPr>
          <w:trHeight w:val="716" w:hRule="exact"/>
        </w:trPr>
        <w:tc>
          <w:tcPr>
            <w:tcW w:w="16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11" w:right="144"/>
              <w:jc w:val="left"/>
              <w:rPr>
                <w:rFonts w:ascii="宋体" w:hAnsi="宋体" w:cs="宋体" w:eastAsia="宋体" w:hint="default"/>
                <w:sz w:val="18"/>
                <w:szCs w:val="18"/>
              </w:rPr>
            </w:pPr>
            <w:r>
              <w:rPr>
                <w:rFonts w:ascii="宋体" w:hAnsi="宋体" w:cs="宋体" w:eastAsia="宋体" w:hint="default"/>
                <w:spacing w:val="-2"/>
                <w:sz w:val="18"/>
                <w:szCs w:val="18"/>
              </w:rPr>
              <w:t>按单项计提坏账准</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备的应收账款</w:t>
            </w:r>
          </w:p>
        </w:tc>
        <w:tc>
          <w:tcPr>
            <w:tcW w:w="77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13" w:right="0"/>
              <w:jc w:val="left"/>
              <w:rPr>
                <w:rFonts w:ascii="Times New Roman" w:hAnsi="Times New Roman" w:cs="Times New Roman" w:eastAsia="Times New Roman" w:hint="default"/>
                <w:sz w:val="18"/>
                <w:szCs w:val="18"/>
              </w:rPr>
            </w:pPr>
            <w:r>
              <w:rPr>
                <w:rFonts w:ascii="Times New Roman"/>
                <w:sz w:val="18"/>
              </w:rPr>
              <w:t>0.00</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0.00%</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13" w:right="0"/>
              <w:jc w:val="left"/>
              <w:rPr>
                <w:rFonts w:ascii="Times New Roman" w:hAnsi="Times New Roman" w:cs="Times New Roman" w:eastAsia="Times New Roman" w:hint="default"/>
                <w:sz w:val="18"/>
                <w:szCs w:val="18"/>
              </w:rPr>
            </w:pPr>
            <w:r>
              <w:rPr>
                <w:rFonts w:ascii="Times New Roman"/>
                <w:sz w:val="18"/>
              </w:rPr>
              <w:t>0.00</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41" w:right="0"/>
              <w:jc w:val="left"/>
              <w:rPr>
                <w:rFonts w:ascii="Times New Roman" w:hAnsi="Times New Roman" w:cs="Times New Roman" w:eastAsia="Times New Roman" w:hint="default"/>
                <w:sz w:val="18"/>
                <w:szCs w:val="18"/>
              </w:rPr>
            </w:pPr>
            <w:r>
              <w:rPr>
                <w:rFonts w:ascii="Times New Roman"/>
                <w:sz w:val="18"/>
              </w:rPr>
              <w:t>0.00</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27"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51" w:right="0"/>
              <w:jc w:val="left"/>
              <w:rPr>
                <w:rFonts w:ascii="Times New Roman" w:hAnsi="Times New Roman" w:cs="Times New Roman" w:eastAsia="Times New Roman" w:hint="default"/>
                <w:sz w:val="18"/>
                <w:szCs w:val="18"/>
              </w:rPr>
            </w:pPr>
            <w:r>
              <w:rPr>
                <w:rFonts w:ascii="Times New Roman"/>
                <w:sz w:val="18"/>
              </w:rPr>
              <w:t>0.00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585" w:right="0"/>
              <w:jc w:val="left"/>
              <w:rPr>
                <w:rFonts w:ascii="Times New Roman" w:hAnsi="Times New Roman" w:cs="Times New Roman" w:eastAsia="Times New Roman" w:hint="default"/>
                <w:sz w:val="18"/>
                <w:szCs w:val="18"/>
              </w:rPr>
            </w:pPr>
            <w:r>
              <w:rPr>
                <w:rFonts w:ascii="Times New Roman"/>
                <w:sz w:val="18"/>
              </w:rPr>
              <w:t>0.00</w:t>
            </w:r>
          </w:p>
        </w:tc>
      </w:tr>
      <w:tr>
        <w:trPr>
          <w:trHeight w:val="710" w:hRule="exact"/>
        </w:trPr>
        <w:tc>
          <w:tcPr>
            <w:tcW w:w="16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 w:right="144"/>
              <w:jc w:val="left"/>
              <w:rPr>
                <w:rFonts w:ascii="宋体" w:hAnsi="宋体" w:cs="宋体" w:eastAsia="宋体" w:hint="default"/>
                <w:sz w:val="18"/>
                <w:szCs w:val="18"/>
              </w:rPr>
            </w:pPr>
            <w:r>
              <w:rPr>
                <w:rFonts w:ascii="宋体" w:hAnsi="宋体" w:cs="宋体" w:eastAsia="宋体" w:hint="default"/>
                <w:spacing w:val="-2"/>
                <w:sz w:val="18"/>
                <w:szCs w:val="18"/>
              </w:rPr>
              <w:t>按组合计提坏账准</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备的应收账款</w:t>
            </w:r>
          </w:p>
        </w:tc>
        <w:tc>
          <w:tcPr>
            <w:tcW w:w="77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left="78" w:right="0"/>
              <w:jc w:val="center"/>
              <w:rPr>
                <w:rFonts w:ascii="Times New Roman" w:hAnsi="Times New Roman" w:cs="Times New Roman" w:eastAsia="Times New Roman" w:hint="default"/>
                <w:sz w:val="18"/>
                <w:szCs w:val="18"/>
              </w:rPr>
            </w:pPr>
            <w:r>
              <w:rPr>
                <w:rFonts w:ascii="Times New Roman"/>
                <w:sz w:val="18"/>
              </w:rPr>
              <w:t>205,752,</w:t>
            </w:r>
          </w:p>
          <w:p>
            <w:pPr>
              <w:pStyle w:val="TableParagraph"/>
              <w:spacing w:line="240" w:lineRule="auto" w:before="105"/>
              <w:ind w:left="215" w:right="0"/>
              <w:jc w:val="center"/>
              <w:rPr>
                <w:rFonts w:ascii="Times New Roman" w:hAnsi="Times New Roman" w:cs="Times New Roman" w:eastAsia="Times New Roman" w:hint="default"/>
                <w:sz w:val="18"/>
                <w:szCs w:val="18"/>
              </w:rPr>
            </w:pPr>
            <w:r>
              <w:rPr>
                <w:rFonts w:ascii="Times New Roman"/>
                <w:sz w:val="18"/>
              </w:rPr>
              <w:t>930.63</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2"/>
                <w:sz w:val="18"/>
              </w:rPr>
              <w:t>100.00%</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0" w:right="0"/>
              <w:jc w:val="left"/>
              <w:rPr>
                <w:rFonts w:ascii="Times New Roman" w:hAnsi="Times New Roman" w:cs="Times New Roman" w:eastAsia="Times New Roman" w:hint="default"/>
                <w:sz w:val="18"/>
                <w:szCs w:val="18"/>
              </w:rPr>
            </w:pPr>
            <w:r>
              <w:rPr>
                <w:rFonts w:ascii="Times New Roman"/>
                <w:sz w:val="18"/>
              </w:rPr>
              <w:t>28,461,1</w:t>
            </w:r>
          </w:p>
          <w:p>
            <w:pPr>
              <w:pStyle w:val="TableParagraph"/>
              <w:spacing w:line="240" w:lineRule="auto" w:before="105"/>
              <w:ind w:left="326" w:right="0"/>
              <w:jc w:val="left"/>
              <w:rPr>
                <w:rFonts w:ascii="Times New Roman" w:hAnsi="Times New Roman" w:cs="Times New Roman" w:eastAsia="Times New Roman" w:hint="default"/>
                <w:sz w:val="18"/>
                <w:szCs w:val="18"/>
              </w:rPr>
            </w:pPr>
            <w:r>
              <w:rPr>
                <w:rFonts w:ascii="Times New Roman"/>
                <w:sz w:val="18"/>
              </w:rPr>
              <w:t>60.27</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13.83%</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8" w:right="0"/>
              <w:jc w:val="left"/>
              <w:rPr>
                <w:rFonts w:ascii="Times New Roman" w:hAnsi="Times New Roman" w:cs="Times New Roman" w:eastAsia="Times New Roman" w:hint="default"/>
                <w:sz w:val="18"/>
                <w:szCs w:val="18"/>
              </w:rPr>
            </w:pPr>
            <w:r>
              <w:rPr>
                <w:rFonts w:ascii="Times New Roman"/>
                <w:sz w:val="18"/>
              </w:rPr>
              <w:t>177,291,7</w:t>
            </w:r>
          </w:p>
          <w:p>
            <w:pPr>
              <w:pStyle w:val="TableParagraph"/>
              <w:spacing w:line="240" w:lineRule="auto" w:before="105"/>
              <w:ind w:left="355" w:right="0"/>
              <w:jc w:val="left"/>
              <w:rPr>
                <w:rFonts w:ascii="Times New Roman" w:hAnsi="Times New Roman" w:cs="Times New Roman" w:eastAsia="Times New Roman" w:hint="default"/>
                <w:sz w:val="18"/>
                <w:szCs w:val="18"/>
              </w:rPr>
            </w:pPr>
            <w:r>
              <w:rPr>
                <w:rFonts w:ascii="Times New Roman"/>
                <w:sz w:val="18"/>
              </w:rPr>
              <w:t>70.36</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182,902,6</w:t>
            </w:r>
          </w:p>
          <w:p>
            <w:pPr>
              <w:pStyle w:val="TableParagraph"/>
              <w:spacing w:line="240" w:lineRule="auto" w:before="105"/>
              <w:ind w:left="341" w:right="0"/>
              <w:jc w:val="left"/>
              <w:rPr>
                <w:rFonts w:ascii="Times New Roman" w:hAnsi="Times New Roman" w:cs="Times New Roman" w:eastAsia="Times New Roman" w:hint="default"/>
                <w:sz w:val="18"/>
                <w:szCs w:val="18"/>
              </w:rPr>
            </w:pPr>
            <w:r>
              <w:rPr>
                <w:rFonts w:ascii="Times New Roman"/>
                <w:sz w:val="18"/>
              </w:rPr>
              <w:t>18.92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2"/>
                <w:sz w:val="18"/>
              </w:rPr>
              <w:t>100.00%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8" w:right="0"/>
              <w:jc w:val="left"/>
              <w:rPr>
                <w:rFonts w:ascii="Times New Roman" w:hAnsi="Times New Roman" w:cs="Times New Roman" w:eastAsia="Times New Roman" w:hint="default"/>
                <w:sz w:val="18"/>
                <w:szCs w:val="18"/>
              </w:rPr>
            </w:pPr>
            <w:r>
              <w:rPr>
                <w:rFonts w:ascii="Times New Roman"/>
                <w:sz w:val="18"/>
              </w:rPr>
              <w:t>25,691,48</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8.91</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14.05%</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0" w:right="0"/>
              <w:jc w:val="left"/>
              <w:rPr>
                <w:rFonts w:ascii="Times New Roman" w:hAnsi="Times New Roman" w:cs="Times New Roman" w:eastAsia="Times New Roman" w:hint="default"/>
                <w:sz w:val="18"/>
                <w:szCs w:val="18"/>
              </w:rPr>
            </w:pPr>
            <w:r>
              <w:rPr>
                <w:rFonts w:ascii="Times New Roman"/>
                <w:sz w:val="18"/>
              </w:rPr>
              <w:t>157,211,13</w:t>
            </w:r>
          </w:p>
          <w:p>
            <w:pPr>
              <w:pStyle w:val="TableParagraph"/>
              <w:spacing w:line="240" w:lineRule="auto" w:before="105"/>
              <w:ind w:left="585" w:right="0"/>
              <w:jc w:val="left"/>
              <w:rPr>
                <w:rFonts w:ascii="Times New Roman" w:hAnsi="Times New Roman" w:cs="Times New Roman" w:eastAsia="Times New Roman" w:hint="default"/>
                <w:sz w:val="18"/>
                <w:szCs w:val="18"/>
              </w:rPr>
            </w:pPr>
            <w:r>
              <w:rPr>
                <w:rFonts w:ascii="Times New Roman"/>
                <w:sz w:val="18"/>
              </w:rPr>
              <w:t>0.01</w:t>
            </w:r>
          </w:p>
        </w:tc>
      </w:tr>
      <w:tr>
        <w:trPr>
          <w:trHeight w:val="163" w:hRule="exact"/>
        </w:trPr>
        <w:tc>
          <w:tcPr>
            <w:tcW w:w="1613" w:type="dxa"/>
            <w:tcBorders>
              <w:top w:val="single" w:sz="4" w:space="0" w:color="000000"/>
              <w:left w:val="single" w:sz="4" w:space="0" w:color="000000"/>
              <w:bottom w:val="nil" w:sz="6" w:space="0" w:color="auto"/>
              <w:right w:val="single" w:sz="4" w:space="0" w:color="000000"/>
            </w:tcBorders>
            <w:shd w:val="clear" w:color="auto" w:fill="D2D2D2"/>
          </w:tcPr>
          <w:p>
            <w:pPr/>
          </w:p>
        </w:tc>
        <w:tc>
          <w:tcPr>
            <w:tcW w:w="776" w:type="dxa"/>
            <w:vMerge w:val="restart"/>
            <w:tcBorders>
              <w:top w:val="single" w:sz="4" w:space="0" w:color="000000"/>
              <w:left w:val="single" w:sz="10" w:space="0" w:color="D2D2D2"/>
              <w:right w:val="single" w:sz="4" w:space="0" w:color="000000"/>
            </w:tcBorders>
          </w:tcPr>
          <w:p>
            <w:pPr>
              <w:pStyle w:val="TableParagraph"/>
              <w:spacing w:line="240" w:lineRule="auto" w:before="96"/>
              <w:ind w:left="83" w:right="0"/>
              <w:jc w:val="center"/>
              <w:rPr>
                <w:rFonts w:ascii="Times New Roman" w:hAnsi="Times New Roman" w:cs="Times New Roman" w:eastAsia="Times New Roman" w:hint="default"/>
                <w:sz w:val="18"/>
                <w:szCs w:val="18"/>
              </w:rPr>
            </w:pPr>
            <w:r>
              <w:rPr>
                <w:rFonts w:ascii="Times New Roman"/>
                <w:sz w:val="18"/>
              </w:rPr>
              <w:t>205,752,</w:t>
            </w:r>
          </w:p>
          <w:p>
            <w:pPr>
              <w:pStyle w:val="TableParagraph"/>
              <w:spacing w:line="240" w:lineRule="auto" w:before="110"/>
              <w:ind w:left="220" w:right="0"/>
              <w:jc w:val="center"/>
              <w:rPr>
                <w:rFonts w:ascii="Times New Roman" w:hAnsi="Times New Roman" w:cs="Times New Roman" w:eastAsia="Times New Roman" w:hint="default"/>
                <w:sz w:val="18"/>
                <w:szCs w:val="18"/>
              </w:rPr>
            </w:pPr>
            <w:r>
              <w:rPr>
                <w:rFonts w:ascii="Times New Roman"/>
                <w:sz w:val="18"/>
              </w:rPr>
              <w:t>930.63</w:t>
            </w:r>
          </w:p>
        </w:tc>
        <w:tc>
          <w:tcPr>
            <w:tcW w:w="758"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100.00%</w:t>
            </w:r>
          </w:p>
        </w:tc>
        <w:tc>
          <w:tcPr>
            <w:tcW w:w="764" w:type="dxa"/>
            <w:vMerge w:val="restart"/>
            <w:tcBorders>
              <w:top w:val="single" w:sz="4" w:space="0" w:color="000000"/>
              <w:left w:val="single" w:sz="4" w:space="0" w:color="000000"/>
              <w:right w:val="single" w:sz="4" w:space="0" w:color="000000"/>
            </w:tcBorders>
          </w:tcPr>
          <w:p>
            <w:pPr>
              <w:pStyle w:val="TableParagraph"/>
              <w:spacing w:line="240" w:lineRule="auto" w:before="96"/>
              <w:ind w:left="100" w:right="0"/>
              <w:jc w:val="left"/>
              <w:rPr>
                <w:rFonts w:ascii="Times New Roman" w:hAnsi="Times New Roman" w:cs="Times New Roman" w:eastAsia="Times New Roman" w:hint="default"/>
                <w:sz w:val="18"/>
                <w:szCs w:val="18"/>
              </w:rPr>
            </w:pPr>
            <w:r>
              <w:rPr>
                <w:rFonts w:ascii="Times New Roman"/>
                <w:sz w:val="18"/>
              </w:rPr>
              <w:t>28,461,1</w:t>
            </w:r>
          </w:p>
          <w:p>
            <w:pPr>
              <w:pStyle w:val="TableParagraph"/>
              <w:spacing w:line="240" w:lineRule="auto" w:before="110"/>
              <w:ind w:left="326" w:right="0"/>
              <w:jc w:val="left"/>
              <w:rPr>
                <w:rFonts w:ascii="Times New Roman" w:hAnsi="Times New Roman" w:cs="Times New Roman" w:eastAsia="Times New Roman" w:hint="default"/>
                <w:sz w:val="18"/>
                <w:szCs w:val="18"/>
              </w:rPr>
            </w:pPr>
            <w:r>
              <w:rPr>
                <w:rFonts w:ascii="Times New Roman"/>
                <w:sz w:val="18"/>
              </w:rPr>
              <w:t>60.27</w:t>
            </w:r>
          </w:p>
        </w:tc>
        <w:tc>
          <w:tcPr>
            <w:tcW w:w="764"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172" w:right="0"/>
              <w:jc w:val="left"/>
              <w:rPr>
                <w:rFonts w:ascii="Times New Roman" w:hAnsi="Times New Roman" w:cs="Times New Roman" w:eastAsia="Times New Roman" w:hint="default"/>
                <w:sz w:val="18"/>
                <w:szCs w:val="18"/>
              </w:rPr>
            </w:pPr>
            <w:r>
              <w:rPr>
                <w:rFonts w:ascii="Times New Roman"/>
                <w:sz w:val="18"/>
              </w:rPr>
              <w:t>13.83%</w:t>
            </w:r>
          </w:p>
        </w:tc>
        <w:tc>
          <w:tcPr>
            <w:tcW w:w="787" w:type="dxa"/>
            <w:vMerge w:val="restart"/>
            <w:tcBorders>
              <w:top w:val="single" w:sz="4" w:space="0" w:color="000000"/>
              <w:left w:val="single" w:sz="4" w:space="0" w:color="000000"/>
              <w:right w:val="single" w:sz="4" w:space="0" w:color="000000"/>
            </w:tcBorders>
          </w:tcPr>
          <w:p>
            <w:pPr>
              <w:pStyle w:val="TableParagraph"/>
              <w:spacing w:line="240" w:lineRule="auto" w:before="96"/>
              <w:ind w:left="38" w:right="0"/>
              <w:jc w:val="left"/>
              <w:rPr>
                <w:rFonts w:ascii="Times New Roman" w:hAnsi="Times New Roman" w:cs="Times New Roman" w:eastAsia="Times New Roman" w:hint="default"/>
                <w:sz w:val="18"/>
                <w:szCs w:val="18"/>
              </w:rPr>
            </w:pPr>
            <w:r>
              <w:rPr>
                <w:rFonts w:ascii="Times New Roman"/>
                <w:sz w:val="18"/>
              </w:rPr>
              <w:t>177,291,7</w:t>
            </w:r>
          </w:p>
          <w:p>
            <w:pPr>
              <w:pStyle w:val="TableParagraph"/>
              <w:spacing w:line="240" w:lineRule="auto" w:before="110"/>
              <w:ind w:left="355" w:right="0"/>
              <w:jc w:val="left"/>
              <w:rPr>
                <w:rFonts w:ascii="Times New Roman" w:hAnsi="Times New Roman" w:cs="Times New Roman" w:eastAsia="Times New Roman" w:hint="default"/>
                <w:sz w:val="18"/>
                <w:szCs w:val="18"/>
              </w:rPr>
            </w:pPr>
            <w:r>
              <w:rPr>
                <w:rFonts w:ascii="Times New Roman"/>
                <w:sz w:val="18"/>
              </w:rPr>
              <w:t>70.36</w:t>
            </w:r>
          </w:p>
        </w:tc>
        <w:tc>
          <w:tcPr>
            <w:tcW w:w="778" w:type="dxa"/>
            <w:vMerge w:val="restart"/>
            <w:tcBorders>
              <w:top w:val="single" w:sz="4" w:space="0" w:color="000000"/>
              <w:left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182,902,6</w:t>
            </w:r>
          </w:p>
          <w:p>
            <w:pPr>
              <w:pStyle w:val="TableParagraph"/>
              <w:spacing w:line="240" w:lineRule="auto" w:before="110"/>
              <w:ind w:left="341" w:right="0"/>
              <w:jc w:val="left"/>
              <w:rPr>
                <w:rFonts w:ascii="Times New Roman" w:hAnsi="Times New Roman" w:cs="Times New Roman" w:eastAsia="Times New Roman" w:hint="default"/>
                <w:sz w:val="18"/>
                <w:szCs w:val="18"/>
              </w:rPr>
            </w:pPr>
            <w:r>
              <w:rPr>
                <w:rFonts w:ascii="Times New Roman"/>
                <w:sz w:val="18"/>
              </w:rPr>
              <w:t>18.92</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120" w:right="0"/>
              <w:jc w:val="left"/>
              <w:rPr>
                <w:rFonts w:ascii="Times New Roman" w:hAnsi="Times New Roman" w:cs="Times New Roman" w:eastAsia="Times New Roman" w:hint="default"/>
                <w:sz w:val="18"/>
                <w:szCs w:val="18"/>
              </w:rPr>
            </w:pPr>
            <w:r>
              <w:rPr>
                <w:rFonts w:ascii="Times New Roman"/>
                <w:sz w:val="18"/>
              </w:rPr>
              <w:t>100.00%</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6"/>
              <w:ind w:left="48" w:right="0"/>
              <w:jc w:val="left"/>
              <w:rPr>
                <w:rFonts w:ascii="Times New Roman" w:hAnsi="Times New Roman" w:cs="Times New Roman" w:eastAsia="Times New Roman" w:hint="default"/>
                <w:sz w:val="18"/>
                <w:szCs w:val="18"/>
              </w:rPr>
            </w:pPr>
            <w:r>
              <w:rPr>
                <w:rFonts w:ascii="Times New Roman"/>
                <w:sz w:val="18"/>
              </w:rPr>
              <w:t>25,691,48</w:t>
            </w:r>
          </w:p>
          <w:p>
            <w:pPr>
              <w:pStyle w:val="TableParagraph"/>
              <w:spacing w:line="240" w:lineRule="auto" w:before="110"/>
              <w:ind w:left="451" w:right="0"/>
              <w:jc w:val="left"/>
              <w:rPr>
                <w:rFonts w:ascii="Times New Roman" w:hAnsi="Times New Roman" w:cs="Times New Roman" w:eastAsia="Times New Roman" w:hint="default"/>
                <w:sz w:val="18"/>
                <w:szCs w:val="18"/>
              </w:rPr>
            </w:pPr>
            <w:r>
              <w:rPr>
                <w:rFonts w:ascii="Times New Roman"/>
                <w:sz w:val="18"/>
              </w:rPr>
              <w:t>8.91</w:t>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201" w:right="0"/>
              <w:jc w:val="left"/>
              <w:rPr>
                <w:rFonts w:ascii="Times New Roman" w:hAnsi="Times New Roman" w:cs="Times New Roman" w:eastAsia="Times New Roman" w:hint="default"/>
                <w:sz w:val="18"/>
                <w:szCs w:val="18"/>
              </w:rPr>
            </w:pPr>
            <w:r>
              <w:rPr>
                <w:rFonts w:ascii="Times New Roman"/>
                <w:sz w:val="18"/>
              </w:rPr>
              <w:t>14.05%</w:t>
            </w:r>
          </w:p>
        </w:tc>
        <w:tc>
          <w:tcPr>
            <w:tcW w:w="931" w:type="dxa"/>
            <w:vMerge w:val="restart"/>
            <w:tcBorders>
              <w:top w:val="single" w:sz="4" w:space="0" w:color="000000"/>
              <w:left w:val="single" w:sz="4" w:space="0" w:color="000000"/>
              <w:right w:val="single" w:sz="4" w:space="0" w:color="000000"/>
            </w:tcBorders>
          </w:tcPr>
          <w:p>
            <w:pPr>
              <w:pStyle w:val="TableParagraph"/>
              <w:spacing w:line="240" w:lineRule="auto" w:before="96"/>
              <w:ind w:left="100" w:right="0"/>
              <w:jc w:val="left"/>
              <w:rPr>
                <w:rFonts w:ascii="Times New Roman" w:hAnsi="Times New Roman" w:cs="Times New Roman" w:eastAsia="Times New Roman" w:hint="default"/>
                <w:sz w:val="18"/>
                <w:szCs w:val="18"/>
              </w:rPr>
            </w:pPr>
            <w:r>
              <w:rPr>
                <w:rFonts w:ascii="Times New Roman"/>
                <w:sz w:val="18"/>
              </w:rPr>
              <w:t>157,211,13</w:t>
            </w:r>
          </w:p>
          <w:p>
            <w:pPr>
              <w:pStyle w:val="TableParagraph"/>
              <w:spacing w:line="240" w:lineRule="auto" w:before="110"/>
              <w:ind w:left="585" w:right="0"/>
              <w:jc w:val="left"/>
              <w:rPr>
                <w:rFonts w:ascii="Times New Roman" w:hAnsi="Times New Roman" w:cs="Times New Roman" w:eastAsia="Times New Roman" w:hint="default"/>
                <w:sz w:val="18"/>
                <w:szCs w:val="18"/>
              </w:rPr>
            </w:pPr>
            <w:r>
              <w:rPr>
                <w:rFonts w:ascii="Times New Roman"/>
                <w:sz w:val="18"/>
              </w:rPr>
              <w:t>0.01</w:t>
            </w:r>
          </w:p>
        </w:tc>
      </w:tr>
      <w:tr>
        <w:trPr>
          <w:trHeight w:val="394" w:hRule="exact"/>
        </w:trPr>
        <w:tc>
          <w:tcPr>
            <w:tcW w:w="161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6" w:type="dxa"/>
            <w:vMerge/>
            <w:tcBorders>
              <w:left w:val="single" w:sz="10" w:space="0" w:color="D2D2D2"/>
              <w:right w:val="single" w:sz="4" w:space="0" w:color="000000"/>
            </w:tcBorders>
          </w:tcPr>
          <w:p>
            <w:pPr/>
          </w:p>
        </w:tc>
        <w:tc>
          <w:tcPr>
            <w:tcW w:w="758" w:type="dxa"/>
            <w:vMerge/>
            <w:tcBorders>
              <w:left w:val="single" w:sz="4" w:space="0" w:color="000000"/>
              <w:right w:val="single" w:sz="4" w:space="0" w:color="000000"/>
            </w:tcBorders>
          </w:tcPr>
          <w:p>
            <w:pPr/>
          </w:p>
        </w:tc>
        <w:tc>
          <w:tcPr>
            <w:tcW w:w="764" w:type="dxa"/>
            <w:vMerge/>
            <w:tcBorders>
              <w:left w:val="single" w:sz="4" w:space="0" w:color="000000"/>
              <w:right w:val="single" w:sz="4" w:space="0" w:color="000000"/>
            </w:tcBorders>
          </w:tcPr>
          <w:p>
            <w:pPr/>
          </w:p>
        </w:tc>
        <w:tc>
          <w:tcPr>
            <w:tcW w:w="764" w:type="dxa"/>
            <w:vMerge/>
            <w:tcBorders>
              <w:left w:val="single" w:sz="4" w:space="0" w:color="000000"/>
              <w:right w:val="single" w:sz="4" w:space="0" w:color="000000"/>
            </w:tcBorders>
          </w:tcPr>
          <w:p>
            <w:pPr/>
          </w:p>
        </w:tc>
        <w:tc>
          <w:tcPr>
            <w:tcW w:w="787"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c>
          <w:tcPr>
            <w:tcW w:w="931" w:type="dxa"/>
            <w:vMerge/>
            <w:tcBorders>
              <w:left w:val="single" w:sz="4" w:space="0" w:color="000000"/>
              <w:right w:val="single" w:sz="4" w:space="0" w:color="000000"/>
            </w:tcBorders>
          </w:tcPr>
          <w:p>
            <w:pPr/>
          </w:p>
        </w:tc>
      </w:tr>
      <w:tr>
        <w:trPr>
          <w:trHeight w:val="158" w:hRule="exact"/>
        </w:trPr>
        <w:tc>
          <w:tcPr>
            <w:tcW w:w="1613" w:type="dxa"/>
            <w:tcBorders>
              <w:top w:val="nil" w:sz="6" w:space="0" w:color="auto"/>
              <w:left w:val="single" w:sz="4" w:space="0" w:color="000000"/>
              <w:bottom w:val="single" w:sz="4" w:space="0" w:color="000000"/>
              <w:right w:val="single" w:sz="4" w:space="0" w:color="000000"/>
            </w:tcBorders>
            <w:shd w:val="clear" w:color="auto" w:fill="D2D2D2"/>
          </w:tcPr>
          <w:p>
            <w:pPr/>
          </w:p>
        </w:tc>
        <w:tc>
          <w:tcPr>
            <w:tcW w:w="776" w:type="dxa"/>
            <w:vMerge/>
            <w:tcBorders>
              <w:left w:val="single" w:sz="10" w:space="0" w:color="D2D2D2"/>
              <w:bottom w:val="single" w:sz="4" w:space="0" w:color="000000"/>
              <w:right w:val="single" w:sz="4" w:space="0" w:color="000000"/>
            </w:tcBorders>
          </w:tcPr>
          <w:p>
            <w:pPr/>
          </w:p>
        </w:tc>
        <w:tc>
          <w:tcPr>
            <w:tcW w:w="758" w:type="dxa"/>
            <w:vMerge/>
            <w:tcBorders>
              <w:left w:val="single" w:sz="4" w:space="0" w:color="000000"/>
              <w:bottom w:val="single" w:sz="4" w:space="0" w:color="000000"/>
              <w:right w:val="single" w:sz="4" w:space="0" w:color="000000"/>
            </w:tcBorders>
          </w:tcPr>
          <w:p>
            <w:pPr/>
          </w:p>
        </w:tc>
        <w:tc>
          <w:tcPr>
            <w:tcW w:w="764" w:type="dxa"/>
            <w:vMerge/>
            <w:tcBorders>
              <w:left w:val="single" w:sz="4" w:space="0" w:color="000000"/>
              <w:bottom w:val="single" w:sz="4" w:space="0" w:color="000000"/>
              <w:right w:val="single" w:sz="4" w:space="0" w:color="000000"/>
            </w:tcBorders>
          </w:tcPr>
          <w:p>
            <w:pPr/>
          </w:p>
        </w:tc>
        <w:tc>
          <w:tcPr>
            <w:tcW w:w="764" w:type="dxa"/>
            <w:vMerge/>
            <w:tcBorders>
              <w:left w:val="single" w:sz="4" w:space="0" w:color="000000"/>
              <w:bottom w:val="single" w:sz="4" w:space="0" w:color="000000"/>
              <w:right w:val="single" w:sz="4" w:space="0" w:color="000000"/>
            </w:tcBorders>
          </w:tcPr>
          <w:p>
            <w:pPr/>
          </w:p>
        </w:tc>
        <w:tc>
          <w:tcPr>
            <w:tcW w:w="787" w:type="dxa"/>
            <w:vMerge/>
            <w:tcBorders>
              <w:left w:val="single" w:sz="4" w:space="0" w:color="000000"/>
              <w:bottom w:val="single" w:sz="4" w:space="0" w:color="000000"/>
              <w:right w:val="single" w:sz="4" w:space="0" w:color="000000"/>
            </w:tcBorders>
          </w:tcPr>
          <w:p>
            <w:pPr/>
          </w:p>
        </w:tc>
        <w:tc>
          <w:tcPr>
            <w:tcW w:w="77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c>
          <w:tcPr>
            <w:tcW w:w="931" w:type="dxa"/>
            <w:vMerge/>
            <w:tcBorders>
              <w:left w:val="single" w:sz="4" w:space="0" w:color="000000"/>
              <w:bottom w:val="single" w:sz="4" w:space="0" w:color="000000"/>
              <w:right w:val="single" w:sz="4" w:space="0" w:color="000000"/>
            </w:tcBorders>
          </w:tcPr>
          <w:p>
            <w:pPr/>
          </w:p>
        </w:tc>
      </w:tr>
    </w:tbl>
    <w:p>
      <w:pPr>
        <w:spacing w:after="0"/>
        <w:sectPr>
          <w:pgSz w:w="11910" w:h="16840"/>
          <w:pgMar w:header="871" w:footer="1186" w:top="1100" w:bottom="1380" w:left="980" w:right="0"/>
        </w:sectPr>
      </w:pPr>
    </w:p>
    <w:p>
      <w:pPr>
        <w:pStyle w:val="BodyText"/>
        <w:spacing w:line="343" w:lineRule="auto" w:before="54"/>
        <w:ind w:right="0"/>
        <w:jc w:val="left"/>
        <w:rPr>
          <w:rFonts w:ascii="Times New Roman" w:hAnsi="Times New Roman" w:cs="Times New Roman" w:eastAsia="Times New Roman" w:hint="default"/>
        </w:rPr>
      </w:pPr>
      <w:r>
        <w:rPr/>
        <w:t>按单项计提坏账准备：</w:t>
      </w:r>
      <w:r>
        <w:rPr>
          <w:rFonts w:ascii="Times New Roman" w:hAnsi="Times New Roman" w:cs="Times New Roman" w:eastAsia="Times New Roman" w:hint="default"/>
        </w:rPr>
        <w:t>0</w:t>
      </w:r>
      <w:r>
        <w:rPr>
          <w:rFonts w:ascii="Times New Roman" w:hAnsi="Times New Roman" w:cs="Times New Roman" w:eastAsia="Times New Roman" w:hint="default"/>
          <w:spacing w:val="-40"/>
        </w:rPr>
        <w:t> </w:t>
      </w:r>
      <w:r>
        <w:rPr>
          <w:spacing w:val="-2"/>
        </w:rPr>
        <w:t>按组合计提坏账准备：</w:t>
      </w:r>
      <w:r>
        <w:rPr>
          <w:rFonts w:ascii="Times New Roman" w:hAnsi="Times New Roman" w:cs="Times New Roman" w:eastAsia="Times New Roman" w:hint="default"/>
          <w:spacing w:val="-2"/>
        </w:rPr>
        <w:t>28,461,160.27</w:t>
      </w:r>
    </w:p>
    <w:p>
      <w:pPr>
        <w:spacing w:line="240" w:lineRule="auto" w:before="0"/>
        <w:rPr>
          <w:rFonts w:ascii="Times New Roman" w:hAnsi="Times New Roman" w:cs="Times New Roman" w:eastAsia="Times New Roman" w:hint="default"/>
          <w:sz w:val="18"/>
          <w:szCs w:val="18"/>
        </w:rPr>
      </w:pPr>
      <w:r>
        <w:rPr/>
        <w:br w:type="column"/>
      </w:r>
      <w:r>
        <w:rPr>
          <w:rFonts w:ascii="Times New Roman"/>
          <w:sz w:val="18"/>
        </w:rPr>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pStyle w:val="BodyText"/>
        <w:spacing w:line="240" w:lineRule="auto" w:before="139"/>
        <w:ind w:right="0"/>
        <w:jc w:val="left"/>
      </w:pPr>
      <w:r>
        <w:rPr/>
        <w:t>单位：</w:t>
      </w:r>
      <w:r>
        <w:rPr>
          <w:spacing w:val="5"/>
        </w:rPr>
        <w:t> </w:t>
      </w:r>
      <w:r>
        <w:rPr/>
        <w:t>元</w:t>
      </w:r>
    </w:p>
    <w:p>
      <w:pPr>
        <w:spacing w:after="0" w:line="240" w:lineRule="auto"/>
        <w:jc w:val="left"/>
        <w:sectPr>
          <w:type w:val="continuous"/>
          <w:pgSz w:w="11910" w:h="16840"/>
          <w:pgMar w:top="1580" w:bottom="700" w:left="980" w:right="0"/>
          <w:cols w:num="2" w:equalWidth="0">
            <w:col w:w="2995" w:space="5835"/>
            <w:col w:w="2100"/>
          </w:cols>
        </w:sectPr>
      </w:pP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391"/>
        <w:gridCol w:w="2396"/>
        <w:gridCol w:w="2391"/>
        <w:gridCol w:w="2391"/>
      </w:tblGrid>
      <w:tr>
        <w:trPr>
          <w:trHeight w:val="398" w:hRule="exact"/>
        </w:trPr>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717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4" w:hRule="exact"/>
        </w:trPr>
        <w:tc>
          <w:tcPr>
            <w:tcW w:w="2391" w:type="dxa"/>
            <w:vMerge/>
            <w:tcBorders>
              <w:left w:val="single" w:sz="4" w:space="0" w:color="000000"/>
              <w:bottom w:val="single" w:sz="4" w:space="0" w:color="000000"/>
              <w:right w:val="single" w:sz="4" w:space="0" w:color="000000"/>
            </w:tcBorders>
            <w:shd w:val="clear" w:color="auto" w:fill="D2D2D2"/>
          </w:tcPr>
          <w:p>
            <w:pP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715"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3"/>
              <w:ind w:left="24" w:right="56"/>
              <w:jc w:val="left"/>
              <w:rPr>
                <w:rFonts w:ascii="宋体" w:hAnsi="宋体" w:cs="宋体" w:eastAsia="宋体" w:hint="default"/>
                <w:sz w:val="18"/>
                <w:szCs w:val="18"/>
              </w:rPr>
            </w:pPr>
            <w:r>
              <w:rPr>
                <w:rFonts w:ascii="宋体" w:hAnsi="宋体" w:cs="宋体" w:eastAsia="宋体" w:hint="default"/>
                <w:sz w:val="18"/>
                <w:szCs w:val="18"/>
              </w:rPr>
              <w:t>组合</w:t>
            </w:r>
            <w:r>
              <w:rPr>
                <w:rFonts w:ascii="宋体" w:hAnsi="宋体" w:cs="宋体" w:eastAsia="宋体" w:hint="default"/>
                <w:spacing w:val="-18"/>
                <w:sz w:val="18"/>
                <w:szCs w:val="18"/>
              </w:rPr>
              <w:t> </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：金融信息化业务质保</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金</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34,594,290.20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1,729,714.51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5.00%</w:t>
            </w:r>
          </w:p>
        </w:tc>
      </w:tr>
      <w:tr>
        <w:trPr>
          <w:trHeight w:val="715"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3"/>
              <w:ind w:left="24" w:right="56"/>
              <w:jc w:val="left"/>
              <w:rPr>
                <w:rFonts w:ascii="宋体" w:hAnsi="宋体" w:cs="宋体" w:eastAsia="宋体" w:hint="default"/>
                <w:sz w:val="18"/>
                <w:szCs w:val="18"/>
              </w:rPr>
            </w:pPr>
            <w:r>
              <w:rPr>
                <w:rFonts w:ascii="宋体" w:hAnsi="宋体" w:cs="宋体" w:eastAsia="宋体" w:hint="default"/>
                <w:sz w:val="18"/>
                <w:szCs w:val="18"/>
              </w:rPr>
              <w:t>组合</w:t>
            </w:r>
            <w:r>
              <w:rPr>
                <w:rFonts w:ascii="宋体" w:hAnsi="宋体" w:cs="宋体" w:eastAsia="宋体" w:hint="default"/>
                <w:spacing w:val="-18"/>
                <w:sz w:val="18"/>
                <w:szCs w:val="18"/>
              </w:rPr>
              <w:t> </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：金融信息化业务应收</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款</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171,158,640.43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26,731,445.76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15.62%</w:t>
            </w:r>
          </w:p>
        </w:tc>
      </w:tr>
      <w:tr>
        <w:trPr>
          <w:trHeight w:val="399"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205,752,930.63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28,461,160.27</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bl>
    <w:p>
      <w:pPr>
        <w:pStyle w:val="BodyText"/>
        <w:spacing w:line="362" w:lineRule="auto" w:before="53"/>
        <w:ind w:right="0"/>
        <w:jc w:val="left"/>
      </w:pPr>
      <w:r>
        <w:rPr>
          <w:spacing w:val="-3"/>
        </w:rPr>
        <w:t>确定该组合依据的说明：</w:t>
      </w:r>
      <w:r>
        <w:rPr>
          <w:spacing w:val="-56"/>
        </w:rPr>
        <w:t> </w:t>
      </w:r>
      <w:r>
        <w:rPr>
          <w:spacing w:val="-56"/>
        </w:rPr>
      </w:r>
      <w:r>
        <w:rPr>
          <w:spacing w:val="-3"/>
        </w:rPr>
        <w:t>如是按照预期信用损失一般模型计提应收账款坏账准备，请参照其他应收款的披露方式披露坏账准备的相关信息：</w:t>
      </w:r>
    </w:p>
    <w:p>
      <w:pPr>
        <w:spacing w:after="0" w:line="362" w:lineRule="auto"/>
        <w:jc w:val="left"/>
        <w:sectPr>
          <w:type w:val="continuous"/>
          <w:pgSz w:w="11910" w:h="16840"/>
          <w:pgMar w:top="1580" w:bottom="700" w:left="980" w:right="0"/>
        </w:sectPr>
      </w:pPr>
    </w:p>
    <w:p>
      <w:pPr>
        <w:spacing w:line="240" w:lineRule="auto" w:before="3"/>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71" w:footer="1186" w:top="1100" w:bottom="1380" w:left="980" w:right="0"/>
        </w:sectPr>
      </w:pPr>
    </w:p>
    <w:p>
      <w:pPr>
        <w:pStyle w:val="BodyText"/>
        <w:spacing w:line="338" w:lineRule="auto" w:before="46"/>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2"/>
        </w:rPr>
        <w:t> </w:t>
      </w:r>
      <w:r>
        <w:rPr/>
        <w:t>不适用</w:t>
      </w:r>
      <w:r>
        <w:rPr>
          <w:w w:val="101"/>
        </w:rPr>
        <w:t> </w:t>
      </w:r>
      <w:r>
        <w:rPr/>
        <w:t>按账龄披露</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pStyle w:val="BodyText"/>
        <w:spacing w:line="240" w:lineRule="auto"/>
        <w:ind w:right="0"/>
        <w:jc w:val="left"/>
      </w:pPr>
      <w:r>
        <w:rPr/>
        <w:t>单位：</w:t>
      </w:r>
      <w:r>
        <w:rPr>
          <w:spacing w:val="5"/>
        </w:rPr>
        <w:t> </w:t>
      </w:r>
      <w:r>
        <w:rPr/>
        <w:t>元</w:t>
      </w:r>
    </w:p>
    <w:p>
      <w:pPr>
        <w:spacing w:after="0" w:line="240" w:lineRule="auto"/>
        <w:jc w:val="left"/>
        <w:sectPr>
          <w:type w:val="continuous"/>
          <w:pgSz w:w="11910" w:h="16840"/>
          <w:pgMar w:top="1580" w:bottom="700" w:left="980" w:right="0"/>
          <w:cols w:num="2" w:equalWidth="0">
            <w:col w:w="1537" w:space="7294"/>
            <w:col w:w="2099"/>
          </w:cols>
        </w:sectPr>
      </w:pP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4764"/>
        <w:gridCol w:w="4794"/>
      </w:tblGrid>
      <w:tr>
        <w:trPr>
          <w:trHeight w:val="404"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7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6" w:right="0"/>
              <w:jc w:val="center"/>
              <w:rPr>
                <w:rFonts w:ascii="宋体" w:hAnsi="宋体" w:cs="宋体" w:eastAsia="宋体" w:hint="default"/>
                <w:sz w:val="18"/>
                <w:szCs w:val="18"/>
              </w:rPr>
            </w:pPr>
            <w:r>
              <w:rPr>
                <w:rFonts w:ascii="宋体" w:hAnsi="宋体" w:cs="宋体" w:eastAsia="宋体" w:hint="default"/>
                <w:sz w:val="18"/>
                <w:szCs w:val="18"/>
              </w:rPr>
              <w:t>账面余额</w:t>
            </w:r>
          </w:p>
        </w:tc>
      </w:tr>
      <w:tr>
        <w:trPr>
          <w:trHeight w:val="401"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年以内（含</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pacing w:val="-5"/>
                <w:sz w:val="18"/>
                <w:szCs w:val="18"/>
              </w:rPr>
              <w:t>年）</w:t>
            </w:r>
            <w:r>
              <w:rPr>
                <w:rFonts w:ascii="宋体" w:hAnsi="宋体" w:cs="宋体" w:eastAsia="宋体" w:hint="default"/>
                <w:sz w:val="18"/>
                <w:szCs w:val="18"/>
              </w:rPr>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2"/>
                <w:sz w:val="18"/>
              </w:rPr>
              <w:t>119,393,278.44</w:t>
            </w:r>
          </w:p>
        </w:tc>
      </w:tr>
      <w:tr>
        <w:trPr>
          <w:trHeight w:val="401"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年</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8"/>
              <w:ind w:right="12"/>
              <w:jc w:val="right"/>
              <w:rPr>
                <w:rFonts w:ascii="Times New Roman" w:hAnsi="Times New Roman" w:cs="Times New Roman" w:eastAsia="Times New Roman" w:hint="default"/>
                <w:sz w:val="18"/>
                <w:szCs w:val="18"/>
              </w:rPr>
            </w:pPr>
            <w:r>
              <w:rPr>
                <w:rFonts w:ascii="Times New Roman"/>
                <w:spacing w:val="-1"/>
                <w:sz w:val="18"/>
              </w:rPr>
              <w:t>45,596,159.96</w:t>
            </w:r>
          </w:p>
        </w:tc>
      </w:tr>
      <w:tr>
        <w:trPr>
          <w:trHeight w:val="403"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年</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10,502,736.31</w:t>
            </w:r>
          </w:p>
        </w:tc>
      </w:tr>
      <w:tr>
        <w:trPr>
          <w:trHeight w:val="404"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年以上</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30,260,755.92</w:t>
            </w:r>
          </w:p>
        </w:tc>
      </w:tr>
      <w:tr>
        <w:trPr>
          <w:trHeight w:val="401"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9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年</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17,812,936.53</w:t>
            </w:r>
          </w:p>
        </w:tc>
      </w:tr>
      <w:tr>
        <w:trPr>
          <w:trHeight w:val="401"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9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年</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8"/>
              <w:ind w:right="12"/>
              <w:jc w:val="right"/>
              <w:rPr>
                <w:rFonts w:ascii="Times New Roman" w:hAnsi="Times New Roman" w:cs="Times New Roman" w:eastAsia="Times New Roman" w:hint="default"/>
                <w:sz w:val="18"/>
                <w:szCs w:val="18"/>
              </w:rPr>
            </w:pPr>
            <w:r>
              <w:rPr>
                <w:rFonts w:ascii="Times New Roman"/>
                <w:spacing w:val="-1"/>
                <w:sz w:val="18"/>
              </w:rPr>
              <w:t>6,575,486.30</w:t>
            </w:r>
          </w:p>
        </w:tc>
      </w:tr>
      <w:tr>
        <w:trPr>
          <w:trHeight w:val="403"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9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5,872,333.09</w:t>
            </w:r>
          </w:p>
        </w:tc>
      </w:tr>
      <w:tr>
        <w:trPr>
          <w:trHeight w:val="404"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205,752,930.63</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2）本期计提、收回或转回的坏账准备情况" w:id="404"/>
      <w:bookmarkEnd w:id="404"/>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right="0"/>
        <w:jc w:val="left"/>
      </w:pPr>
      <w:r>
        <w:rPr>
          <w:spacing w:val="-3"/>
        </w:rPr>
        <w:t>本期计提坏账准备情况：</w:t>
      </w:r>
    </w:p>
    <w:p>
      <w:pPr>
        <w:pStyle w:val="BodyText"/>
        <w:spacing w:line="240" w:lineRule="auto" w:before="115"/>
        <w:ind w:left="0" w:right="1122"/>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369"/>
        <w:gridCol w:w="1368"/>
        <w:gridCol w:w="1369"/>
        <w:gridCol w:w="1368"/>
        <w:gridCol w:w="1364"/>
        <w:gridCol w:w="1369"/>
        <w:gridCol w:w="1369"/>
      </w:tblGrid>
      <w:tr>
        <w:trPr>
          <w:trHeight w:val="403" w:hRule="exact"/>
        </w:trPr>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316"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46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本期变动金额</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98" w:hRule="exact"/>
        </w:trPr>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30"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1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核销</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9" w:type="dxa"/>
            <w:vMerge/>
            <w:tcBorders>
              <w:left w:val="single" w:sz="4" w:space="0" w:color="000000"/>
              <w:bottom w:val="single" w:sz="4" w:space="0" w:color="000000"/>
              <w:right w:val="single" w:sz="4" w:space="0" w:color="000000"/>
            </w:tcBorders>
            <w:shd w:val="clear" w:color="auto" w:fill="D2D2D2"/>
          </w:tcPr>
          <w:p>
            <w:pPr/>
          </w:p>
        </w:tc>
      </w:tr>
      <w:tr>
        <w:trPr>
          <w:trHeight w:val="716"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4" w:right="70"/>
              <w:jc w:val="left"/>
              <w:rPr>
                <w:rFonts w:ascii="宋体" w:hAnsi="宋体" w:cs="宋体" w:eastAsia="宋体" w:hint="default"/>
                <w:sz w:val="18"/>
                <w:szCs w:val="18"/>
              </w:rPr>
            </w:pPr>
            <w:r>
              <w:rPr>
                <w:rFonts w:ascii="宋体" w:hAnsi="宋体" w:cs="宋体" w:eastAsia="宋体" w:hint="default"/>
                <w:spacing w:val="-3"/>
                <w:sz w:val="18"/>
                <w:szCs w:val="18"/>
              </w:rPr>
              <w:t>按单项计提坏账</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准备</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70"/>
              <w:jc w:val="left"/>
              <w:rPr>
                <w:rFonts w:ascii="宋体" w:hAnsi="宋体" w:cs="宋体" w:eastAsia="宋体" w:hint="default"/>
                <w:sz w:val="18"/>
                <w:szCs w:val="18"/>
              </w:rPr>
            </w:pPr>
            <w:r>
              <w:rPr>
                <w:rFonts w:ascii="宋体" w:hAnsi="宋体" w:cs="宋体" w:eastAsia="宋体" w:hint="default"/>
                <w:spacing w:val="-3"/>
                <w:sz w:val="18"/>
                <w:szCs w:val="18"/>
              </w:rPr>
              <w:t>按组合计提坏账</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准备</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25,691,488.91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2,769,671.36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28,461,160.27</w:t>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25,691,488.91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2,769,671.36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28,461,160.27</w:t>
            </w:r>
          </w:p>
        </w:tc>
      </w:tr>
    </w:tbl>
    <w:p>
      <w:pPr>
        <w:pStyle w:val="BodyText"/>
        <w:spacing w:line="436" w:lineRule="auto" w:before="53"/>
        <w:ind w:left="513" w:right="7068" w:hanging="360"/>
        <w:jc w:val="left"/>
      </w:pPr>
      <w:r>
        <w:rPr>
          <w:spacing w:val="-3"/>
        </w:rPr>
        <w:t>其中本期坏账准备收回或转回金额重要的：</w:t>
      </w:r>
      <w:r>
        <w:rPr>
          <w:spacing w:val="-33"/>
        </w:rPr>
        <w:t> </w:t>
      </w:r>
      <w:r>
        <w:rPr>
          <w:spacing w:val="-33"/>
        </w:rPr>
      </w:r>
      <w:r>
        <w:rPr/>
        <w:t>无。</w:t>
      </w:r>
    </w:p>
    <w:p>
      <w:pPr>
        <w:spacing w:line="240" w:lineRule="auto" w:before="8"/>
        <w:rPr>
          <w:rFonts w:ascii="宋体" w:hAnsi="宋体" w:cs="宋体" w:eastAsia="宋体" w:hint="default"/>
          <w:sz w:val="21"/>
          <w:szCs w:val="21"/>
        </w:rPr>
      </w:pPr>
    </w:p>
    <w:p>
      <w:pPr>
        <w:pStyle w:val="Heading3"/>
        <w:spacing w:line="240" w:lineRule="auto"/>
        <w:ind w:right="0"/>
        <w:jc w:val="left"/>
        <w:rPr>
          <w:b w:val="0"/>
          <w:bCs w:val="0"/>
        </w:rPr>
      </w:pPr>
      <w:bookmarkStart w:name="（3）本期实际核销的应收账款情况" w:id="405"/>
      <w:bookmarkEnd w:id="405"/>
      <w:r>
        <w:rPr>
          <w:b w:val="0"/>
          <w:bCs w:val="0"/>
        </w:rPr>
      </w: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7"/>
        <w:rPr>
          <w:rFonts w:ascii="宋体" w:hAnsi="宋体" w:cs="宋体" w:eastAsia="宋体" w:hint="default"/>
          <w:b/>
          <w:bCs/>
          <w:sz w:val="32"/>
          <w:szCs w:val="32"/>
        </w:rPr>
      </w:pPr>
    </w:p>
    <w:p>
      <w:pPr>
        <w:pStyle w:val="BodyText"/>
        <w:spacing w:line="240" w:lineRule="auto"/>
        <w:ind w:left="513" w:right="0"/>
        <w:jc w:val="left"/>
      </w:pPr>
      <w:r>
        <w:rPr/>
        <w:t>无。</w:t>
      </w: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14"/>
          <w:szCs w:val="14"/>
        </w:rPr>
      </w:pPr>
    </w:p>
    <w:p>
      <w:pPr>
        <w:pStyle w:val="Heading3"/>
        <w:spacing w:line="240" w:lineRule="auto"/>
        <w:ind w:right="0"/>
        <w:jc w:val="left"/>
        <w:rPr>
          <w:b w:val="0"/>
          <w:bCs w:val="0"/>
        </w:rPr>
      </w:pPr>
      <w:bookmarkStart w:name="（4）按欠款方归集的期末余额前五名的应收账款情况" w:id="406"/>
      <w:bookmarkEnd w:id="406"/>
      <w:r>
        <w:rPr>
          <w:b w:val="0"/>
          <w:bCs w:val="0"/>
        </w:rPr>
      </w: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391"/>
        <w:gridCol w:w="2396"/>
        <w:gridCol w:w="2391"/>
        <w:gridCol w:w="2391"/>
      </w:tblGrid>
      <w:tr>
        <w:trPr>
          <w:trHeight w:val="716"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470" w:right="0"/>
              <w:jc w:val="left"/>
              <w:rPr>
                <w:rFonts w:ascii="宋体" w:hAnsi="宋体" w:cs="宋体" w:eastAsia="宋体" w:hint="default"/>
                <w:sz w:val="18"/>
                <w:szCs w:val="18"/>
              </w:rPr>
            </w:pPr>
            <w:r>
              <w:rPr>
                <w:rFonts w:ascii="宋体" w:hAnsi="宋体" w:cs="宋体" w:eastAsia="宋体" w:hint="default"/>
                <w:sz w:val="18"/>
                <w:szCs w:val="18"/>
              </w:rPr>
              <w:t>应收账款期末余额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4" w:lineRule="auto" w:before="53"/>
              <w:ind w:left="921" w:right="104" w:hanging="812"/>
              <w:jc w:val="left"/>
              <w:rPr>
                <w:rFonts w:ascii="宋体" w:hAnsi="宋体" w:cs="宋体" w:eastAsia="宋体" w:hint="default"/>
                <w:sz w:val="18"/>
                <w:szCs w:val="18"/>
              </w:rPr>
            </w:pPr>
            <w:r>
              <w:rPr>
                <w:rFonts w:ascii="宋体" w:hAnsi="宋体" w:cs="宋体" w:eastAsia="宋体" w:hint="default"/>
                <w:spacing w:val="-3"/>
                <w:sz w:val="18"/>
                <w:szCs w:val="18"/>
              </w:rPr>
              <w:t>占应收账款期末余额合计数</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的比例</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470"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416" w:right="0"/>
              <w:jc w:val="left"/>
              <w:rPr>
                <w:rFonts w:ascii="Times New Roman" w:hAnsi="Times New Roman" w:cs="Times New Roman" w:eastAsia="Times New Roman" w:hint="default"/>
                <w:sz w:val="18"/>
                <w:szCs w:val="18"/>
              </w:rPr>
            </w:pPr>
            <w:r>
              <w:rPr>
                <w:rFonts w:ascii="Times New Roman"/>
                <w:sz w:val="18"/>
              </w:rPr>
              <w:t>9,442,091.76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4.59%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550" w:right="0"/>
              <w:jc w:val="left"/>
              <w:rPr>
                <w:rFonts w:ascii="Times New Roman" w:hAnsi="Times New Roman" w:cs="Times New Roman" w:eastAsia="Times New Roman" w:hint="default"/>
                <w:sz w:val="18"/>
                <w:szCs w:val="18"/>
              </w:rPr>
            </w:pPr>
            <w:r>
              <w:rPr>
                <w:rFonts w:ascii="Times New Roman"/>
                <w:sz w:val="18"/>
              </w:rPr>
              <w:t>560,046.75</w:t>
            </w:r>
          </w:p>
        </w:tc>
      </w:tr>
    </w:tbl>
    <w:p>
      <w:pPr>
        <w:spacing w:after="0" w:line="240" w:lineRule="auto"/>
        <w:jc w:val="left"/>
        <w:rPr>
          <w:rFonts w:ascii="Times New Roman" w:hAnsi="Times New Roman" w:cs="Times New Roman" w:eastAsia="Times New Roman" w:hint="default"/>
          <w:sz w:val="18"/>
          <w:szCs w:val="18"/>
        </w:rPr>
        <w:sectPr>
          <w:type w:val="continuous"/>
          <w:pgSz w:w="11910" w:h="16840"/>
          <w:pgMar w:top="1580" w:bottom="700" w:left="980" w:right="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2391"/>
        <w:gridCol w:w="2396"/>
        <w:gridCol w:w="2391"/>
        <w:gridCol w:w="2391"/>
      </w:tblGrid>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6,956,483.17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3.38%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347,824.16</w:t>
            </w:r>
          </w:p>
        </w:tc>
      </w:tr>
      <w:tr>
        <w:trPr>
          <w:trHeight w:val="398"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6,398,830.16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3"/>
                <w:sz w:val="18"/>
              </w:rPr>
              <w:t>3.11%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319,941.51</w:t>
            </w:r>
          </w:p>
        </w:tc>
      </w:tr>
      <w:tr>
        <w:trPr>
          <w:trHeight w:val="404"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5,672,971.43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4"/>
              <w:jc w:val="right"/>
              <w:rPr>
                <w:rFonts w:ascii="Times New Roman" w:hAnsi="Times New Roman" w:cs="Times New Roman" w:eastAsia="Times New Roman" w:hint="default"/>
                <w:sz w:val="18"/>
                <w:szCs w:val="18"/>
              </w:rPr>
            </w:pPr>
            <w:r>
              <w:rPr>
                <w:rFonts w:ascii="Times New Roman"/>
                <w:spacing w:val="-1"/>
                <w:sz w:val="18"/>
              </w:rPr>
              <w:t>2.76%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778,826.00</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5,340,460.21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2.60%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267,023.01</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33,810,836.73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16.44%</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5）因金融资产转移而终止确认的应收账款" w:id="407"/>
      <w:bookmarkEnd w:id="407"/>
      <w:r>
        <w:rPr>
          <w:b w:val="0"/>
          <w:bCs w:val="0"/>
        </w:rPr>
      </w:r>
      <w:r>
        <w:rPr/>
        <w:t>（</w:t>
      </w:r>
      <w:r>
        <w:rPr>
          <w:rFonts w:ascii="Times New Roman" w:hAnsi="Times New Roman" w:cs="Times New Roman" w:eastAsia="Times New Roman" w:hint="default"/>
        </w:rPr>
        <w:t>5</w:t>
      </w:r>
      <w:r>
        <w:rPr/>
        <w:t>）因金融资产转移而终止确认的应收账款</w:t>
      </w:r>
      <w:r>
        <w:rPr>
          <w:b w:val="0"/>
          <w:bCs w:val="0"/>
        </w:rPr>
      </w:r>
    </w:p>
    <w:p>
      <w:pPr>
        <w:spacing w:line="240" w:lineRule="auto" w:before="8"/>
        <w:rPr>
          <w:rFonts w:ascii="宋体" w:hAnsi="宋体" w:cs="宋体" w:eastAsia="宋体" w:hint="default"/>
          <w:b/>
          <w:bCs/>
          <w:sz w:val="32"/>
          <w:szCs w:val="32"/>
        </w:rPr>
      </w:pPr>
    </w:p>
    <w:p>
      <w:pPr>
        <w:pStyle w:val="BodyText"/>
        <w:spacing w:line="240" w:lineRule="auto"/>
        <w:ind w:left="513" w:right="0"/>
        <w:jc w:val="left"/>
      </w:pPr>
      <w:r>
        <w:rPr/>
        <w:t>无。</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4"/>
          <w:szCs w:val="14"/>
        </w:rPr>
      </w:pPr>
    </w:p>
    <w:p>
      <w:pPr>
        <w:pStyle w:val="Heading3"/>
        <w:spacing w:line="240" w:lineRule="auto"/>
        <w:ind w:right="0"/>
        <w:jc w:val="left"/>
        <w:rPr>
          <w:b w:val="0"/>
          <w:bCs w:val="0"/>
        </w:rPr>
      </w:pPr>
      <w:bookmarkStart w:name="（6）转移应收账款且继续涉入形成的资产、负债金额" w:id="408"/>
      <w:bookmarkEnd w:id="408"/>
      <w:r>
        <w:rPr>
          <w:b w:val="0"/>
          <w:bCs w:val="0"/>
        </w:rPr>
      </w:r>
      <w:r>
        <w:rPr/>
        <w:t>（</w:t>
      </w:r>
      <w:r>
        <w:rPr>
          <w:rFonts w:ascii="Times New Roman" w:hAnsi="Times New Roman" w:cs="Times New Roman" w:eastAsia="Times New Roman" w:hint="default"/>
        </w:rPr>
        <w:t>6</w:t>
      </w:r>
      <w:r>
        <w:rPr/>
        <w:t>）转移应收账款且继续涉入形成的资产、负债金额</w:t>
      </w:r>
      <w:r>
        <w:rPr>
          <w:b w:val="0"/>
          <w:bCs w:val="0"/>
        </w:rPr>
      </w:r>
    </w:p>
    <w:p>
      <w:pPr>
        <w:spacing w:line="240" w:lineRule="auto" w:before="8"/>
        <w:rPr>
          <w:rFonts w:ascii="宋体" w:hAnsi="宋体" w:cs="宋体" w:eastAsia="宋体" w:hint="default"/>
          <w:b/>
          <w:bCs/>
          <w:sz w:val="32"/>
          <w:szCs w:val="32"/>
        </w:rPr>
      </w:pPr>
    </w:p>
    <w:p>
      <w:pPr>
        <w:pStyle w:val="BodyText"/>
        <w:spacing w:line="240" w:lineRule="auto"/>
        <w:ind w:left="513" w:right="0"/>
        <w:jc w:val="left"/>
      </w:pPr>
      <w:r>
        <w:rPr/>
        <w:t>无。</w:t>
      </w: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14"/>
          <w:szCs w:val="14"/>
        </w:rPr>
      </w:pPr>
    </w:p>
    <w:p>
      <w:pPr>
        <w:pStyle w:val="Heading3"/>
        <w:spacing w:line="240" w:lineRule="auto"/>
        <w:ind w:right="0"/>
        <w:jc w:val="left"/>
        <w:rPr>
          <w:b w:val="0"/>
          <w:bCs w:val="0"/>
        </w:rPr>
      </w:pPr>
      <w:bookmarkStart w:name="2、其他应收款" w:id="409"/>
      <w:bookmarkEnd w:id="409"/>
      <w:r>
        <w:rPr>
          <w:b w:val="0"/>
          <w:bCs w:val="0"/>
        </w:rPr>
      </w:r>
      <w:r>
        <w:rPr>
          <w:rFonts w:ascii="Times New Roman" w:hAnsi="Times New Roman" w:cs="Times New Roman" w:eastAsia="Times New Roman" w:hint="default"/>
        </w:rPr>
        <w:t>2</w:t>
      </w:r>
      <w:r>
        <w:rPr/>
        <w:t>、其他应收款</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3"/>
        <w:gridCol w:w="3193"/>
      </w:tblGrid>
      <w:tr>
        <w:trPr>
          <w:trHeight w:val="404"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7"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98"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2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50,000,000.00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20,000,000.00</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2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72,231,918.77</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84,864,763.62</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122,231,918.77</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104,864,763.62</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1）应收股利" w:id="410"/>
      <w:bookmarkEnd w:id="410"/>
      <w:r>
        <w:rPr>
          <w:b w:val="0"/>
          <w:bCs w:val="0"/>
        </w:rPr>
      </w:r>
      <w:r>
        <w:rPr/>
        <w:t>（</w:t>
      </w:r>
      <w:r>
        <w:rPr>
          <w:rFonts w:ascii="Times New Roman" w:hAnsi="Times New Roman" w:cs="Times New Roman" w:eastAsia="Times New Roman" w:hint="default"/>
        </w:rPr>
        <w:t>1</w:t>
      </w:r>
      <w:r>
        <w:rPr/>
        <w:t>）应收股利</w:t>
      </w:r>
      <w:r>
        <w:rPr>
          <w:b w:val="0"/>
          <w:bCs w:val="0"/>
        </w:rPr>
      </w:r>
    </w:p>
    <w:p>
      <w:pPr>
        <w:spacing w:line="240" w:lineRule="auto" w:before="5"/>
        <w:rPr>
          <w:rFonts w:ascii="宋体" w:hAnsi="宋体" w:cs="宋体" w:eastAsia="宋体" w:hint="default"/>
          <w:b/>
          <w:bCs/>
          <w:sz w:val="24"/>
          <w:szCs w:val="24"/>
        </w:rPr>
      </w:pPr>
    </w:p>
    <w:p>
      <w:pPr>
        <w:pStyle w:val="Heading3"/>
        <w:spacing w:line="240" w:lineRule="auto"/>
        <w:ind w:right="0"/>
        <w:jc w:val="left"/>
        <w:rPr>
          <w:b w:val="0"/>
          <w:bCs w:val="0"/>
        </w:rPr>
      </w:pPr>
      <w:bookmarkStart w:name="1）应收股利分类" w:id="411"/>
      <w:bookmarkEnd w:id="411"/>
      <w:r>
        <w:rPr>
          <w:b w:val="0"/>
          <w:bCs w:val="0"/>
        </w:rPr>
      </w:r>
      <w:r>
        <w:rPr>
          <w:rFonts w:ascii="Times New Roman" w:hAnsi="Times New Roman" w:cs="Times New Roman" w:eastAsia="Times New Roman" w:hint="default"/>
        </w:rPr>
        <w:t>1</w:t>
      </w:r>
      <w:r>
        <w:rPr/>
        <w:t>）应收股利分类</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11"/>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93"/>
        <w:gridCol w:w="3189"/>
        <w:gridCol w:w="3193"/>
      </w:tblGrid>
      <w:tr>
        <w:trPr>
          <w:trHeight w:val="401" w:hRule="exact"/>
        </w:trPr>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81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4"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北京亿美软通科技有限公司</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50,000,000.00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20,000,000.00</w:t>
            </w:r>
          </w:p>
        </w:tc>
      </w:tr>
      <w:tr>
        <w:trPr>
          <w:trHeight w:val="403" w:hRule="exact"/>
        </w:trPr>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50,000,000.00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20,000,000.00</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2）重要的账龄超过1年的应收股利" w:id="412"/>
      <w:bookmarkEnd w:id="412"/>
      <w:r>
        <w:rPr>
          <w:b w:val="0"/>
          <w:bCs w:val="0"/>
        </w:rPr>
      </w:r>
      <w:r>
        <w:rPr>
          <w:rFonts w:ascii="Times New Roman" w:hAnsi="Times New Roman" w:cs="Times New Roman" w:eastAsia="Times New Roman" w:hint="default"/>
        </w:rPr>
        <w:t>2</w:t>
      </w:r>
      <w:r>
        <w:rPr/>
        <w:t>）重要的账龄超过</w:t>
      </w:r>
      <w:r>
        <w:rPr>
          <w:spacing w:val="-50"/>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年的应收股利</w:t>
      </w:r>
      <w:r>
        <w:rPr>
          <w:b w:val="0"/>
          <w:bCs w:val="0"/>
        </w:rPr>
      </w:r>
    </w:p>
    <w:p>
      <w:pPr>
        <w:spacing w:line="240" w:lineRule="auto" w:before="7"/>
        <w:rPr>
          <w:rFonts w:ascii="宋体" w:hAnsi="宋体" w:cs="宋体" w:eastAsia="宋体" w:hint="default"/>
          <w:b/>
          <w:bCs/>
          <w:sz w:val="32"/>
          <w:szCs w:val="32"/>
        </w:rPr>
      </w:pPr>
    </w:p>
    <w:p>
      <w:pPr>
        <w:pStyle w:val="BodyText"/>
        <w:spacing w:line="240" w:lineRule="auto"/>
        <w:ind w:left="513" w:right="0"/>
        <w:jc w:val="left"/>
      </w:pPr>
      <w:r>
        <w:rPr/>
        <w:t>无。</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4"/>
          <w:szCs w:val="14"/>
        </w:rPr>
      </w:pPr>
    </w:p>
    <w:p>
      <w:pPr>
        <w:pStyle w:val="Heading3"/>
        <w:spacing w:line="240" w:lineRule="auto"/>
        <w:ind w:right="0"/>
        <w:jc w:val="left"/>
        <w:rPr>
          <w:b w:val="0"/>
          <w:bCs w:val="0"/>
        </w:rPr>
      </w:pPr>
      <w:bookmarkStart w:name="3）坏账准备计提情况" w:id="413"/>
      <w:bookmarkEnd w:id="413"/>
      <w:r>
        <w:rPr>
          <w:b w:val="0"/>
          <w:bCs w:val="0"/>
        </w:rPr>
      </w:r>
      <w:r>
        <w:rPr>
          <w:rFonts w:ascii="Times New Roman" w:hAnsi="Times New Roman" w:cs="Times New Roman" w:eastAsia="Times New Roman" w:hint="default"/>
        </w:rPr>
        <w:t>3</w:t>
      </w:r>
      <w:r>
        <w:rPr/>
        <w:t>）坏账准备计提情况</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pStyle w:val="BodyText"/>
        <w:spacing w:line="240" w:lineRule="auto" w:before="101"/>
        <w:ind w:left="0" w:right="1122"/>
        <w:jc w:val="right"/>
      </w:pPr>
      <w:r>
        <w:rPr/>
        <w:t>单位：</w:t>
      </w:r>
      <w:r>
        <w:rPr>
          <w:spacing w:val="5"/>
        </w:rPr>
        <w:t> </w:t>
      </w:r>
      <w:r>
        <w:rPr/>
        <w:t>元</w:t>
      </w:r>
    </w:p>
    <w:p>
      <w:pPr>
        <w:spacing w:after="0" w:line="240" w:lineRule="auto"/>
        <w:jc w:val="right"/>
        <w:sectPr>
          <w:pgSz w:w="11910" w:h="16840"/>
          <w:pgMar w:header="871" w:footer="1186" w:top="1100" w:bottom="1380" w:left="980" w:right="0"/>
        </w:sectPr>
      </w:pPr>
    </w:p>
    <w:p>
      <w:pPr>
        <w:spacing w:line="240" w:lineRule="auto" w:before="8"/>
        <w:rPr>
          <w:rFonts w:ascii="宋体" w:hAnsi="宋体" w:cs="宋体" w:eastAsia="宋体" w:hint="default"/>
          <w:sz w:val="24"/>
          <w:szCs w:val="24"/>
        </w:rPr>
      </w:pPr>
    </w:p>
    <w:tbl>
      <w:tblPr>
        <w:tblW w:w="0" w:type="auto"/>
        <w:jc w:val="left"/>
        <w:tblInd w:w="160" w:type="dxa"/>
        <w:tblLayout w:type="fixed"/>
        <w:tblCellMar>
          <w:top w:w="0" w:type="dxa"/>
          <w:left w:w="0" w:type="dxa"/>
          <w:bottom w:w="0" w:type="dxa"/>
          <w:right w:w="0" w:type="dxa"/>
        </w:tblCellMar>
        <w:tblLook w:val="01E0"/>
      </w:tblPr>
      <w:tblGrid>
        <w:gridCol w:w="1894"/>
        <w:gridCol w:w="1662"/>
        <w:gridCol w:w="2098"/>
        <w:gridCol w:w="2103"/>
        <w:gridCol w:w="1800"/>
      </w:tblGrid>
      <w:tr>
        <w:trPr>
          <w:trHeight w:val="403" w:hRule="exact"/>
        </w:trPr>
        <w:tc>
          <w:tcPr>
            <w:tcW w:w="18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70" w:right="0"/>
              <w:jc w:val="left"/>
              <w:rPr>
                <w:rFonts w:ascii="宋体" w:hAnsi="宋体" w:cs="宋体" w:eastAsia="宋体" w:hint="default"/>
                <w:sz w:val="18"/>
                <w:szCs w:val="18"/>
              </w:rPr>
            </w:pPr>
            <w:r>
              <w:rPr>
                <w:rFonts w:ascii="宋体" w:hAnsi="宋体" w:cs="宋体" w:eastAsia="宋体" w:hint="default"/>
                <w:sz w:val="18"/>
                <w:szCs w:val="18"/>
              </w:rPr>
              <w:t>第一阶段</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第二阶段</w:t>
            </w:r>
          </w:p>
        </w:tc>
        <w:tc>
          <w:tcPr>
            <w:tcW w:w="2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第三阶段</w:t>
            </w:r>
          </w:p>
        </w:tc>
        <w:tc>
          <w:tcPr>
            <w:tcW w:w="1800"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50" w:hRule="exact"/>
        </w:trPr>
        <w:tc>
          <w:tcPr>
            <w:tcW w:w="18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left="583"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662" w:type="dxa"/>
            <w:vMerge w:val="restart"/>
            <w:tcBorders>
              <w:top w:val="single" w:sz="4" w:space="0" w:color="000000"/>
              <w:left w:val="single" w:sz="4" w:space="0" w:color="000000"/>
              <w:right w:val="single" w:sz="4" w:space="0" w:color="000000"/>
            </w:tcBorders>
            <w:shd w:val="clear" w:color="auto" w:fill="D2D2D2"/>
          </w:tcPr>
          <w:p>
            <w:pPr>
              <w:pStyle w:val="TableParagraph"/>
              <w:spacing w:line="300" w:lineRule="auto" w:before="53"/>
              <w:ind w:left="561" w:right="51" w:hanging="500"/>
              <w:jc w:val="left"/>
              <w:rPr>
                <w:rFonts w:ascii="宋体" w:hAnsi="宋体" w:cs="宋体" w:eastAsia="宋体" w:hint="default"/>
                <w:sz w:val="18"/>
                <w:szCs w:val="18"/>
              </w:rPr>
            </w:pPr>
            <w:r>
              <w:rPr>
                <w:rFonts w:ascii="宋体" w:hAnsi="宋体" w:cs="宋体" w:eastAsia="宋体" w:hint="default"/>
                <w:sz w:val="18"/>
                <w:szCs w:val="18"/>
              </w:rPr>
              <w:t>未来</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个月预期信</w:t>
            </w:r>
            <w:r>
              <w:rPr>
                <w:rFonts w:ascii="宋体" w:hAnsi="宋体" w:cs="宋体" w:eastAsia="宋体" w:hint="default"/>
                <w:w w:val="101"/>
                <w:sz w:val="18"/>
                <w:szCs w:val="18"/>
              </w:rPr>
              <w:t> </w:t>
            </w:r>
            <w:r>
              <w:rPr>
                <w:rFonts w:ascii="宋体" w:hAnsi="宋体" w:cs="宋体" w:eastAsia="宋体" w:hint="default"/>
                <w:sz w:val="18"/>
                <w:szCs w:val="18"/>
              </w:rPr>
              <w:t>用损失</w:t>
            </w:r>
          </w:p>
        </w:tc>
        <w:tc>
          <w:tcPr>
            <w:tcW w:w="20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pacing w:val="-3"/>
                <w:sz w:val="18"/>
                <w:szCs w:val="18"/>
              </w:rPr>
              <w:t>整个存续期预期信用损失</w:t>
            </w:r>
          </w:p>
          <w:p>
            <w:pPr>
              <w:pStyle w:val="TableParagraph"/>
              <w:spacing w:line="240" w:lineRule="auto" w:before="76"/>
              <w:ind w:left="3"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未发生信用减值</w:t>
            </w:r>
            <w:r>
              <w:rPr>
                <w:rFonts w:ascii="Times New Roman" w:hAnsi="Times New Roman" w:cs="Times New Roman" w:eastAsia="Times New Roman" w:hint="default"/>
                <w:spacing w:val="-3"/>
                <w:sz w:val="18"/>
                <w:szCs w:val="18"/>
              </w:rPr>
              <w:t>)</w:t>
            </w:r>
          </w:p>
        </w:tc>
        <w:tc>
          <w:tcPr>
            <w:tcW w:w="210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pacing w:val="-3"/>
                <w:sz w:val="18"/>
                <w:szCs w:val="18"/>
              </w:rPr>
              <w:t>整个存续期预期信用损失</w:t>
            </w:r>
          </w:p>
          <w:p>
            <w:pPr>
              <w:pStyle w:val="TableParagraph"/>
              <w:spacing w:line="240" w:lineRule="auto" w:before="76"/>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已发生信用减值</w:t>
            </w:r>
            <w:r>
              <w:rPr>
                <w:rFonts w:ascii="Times New Roman" w:hAnsi="Times New Roman" w:cs="Times New Roman" w:eastAsia="Times New Roman" w:hint="default"/>
                <w:spacing w:val="-3"/>
                <w:sz w:val="18"/>
                <w:szCs w:val="18"/>
              </w:rPr>
              <w:t>)</w:t>
            </w:r>
          </w:p>
        </w:tc>
        <w:tc>
          <w:tcPr>
            <w:tcW w:w="180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left="715" w:right="0"/>
              <w:jc w:val="left"/>
              <w:rPr>
                <w:rFonts w:ascii="宋体" w:hAnsi="宋体" w:cs="宋体" w:eastAsia="宋体" w:hint="default"/>
                <w:sz w:val="18"/>
                <w:szCs w:val="18"/>
              </w:rPr>
            </w:pPr>
            <w:r>
              <w:rPr>
                <w:rFonts w:ascii="宋体" w:hAnsi="宋体" w:cs="宋体" w:eastAsia="宋体" w:hint="default"/>
                <w:sz w:val="18"/>
                <w:szCs w:val="18"/>
              </w:rPr>
              <w:t>合计</w:t>
            </w:r>
          </w:p>
        </w:tc>
      </w:tr>
      <w:tr>
        <w:trPr>
          <w:trHeight w:val="361" w:hRule="exact"/>
        </w:trPr>
        <w:tc>
          <w:tcPr>
            <w:tcW w:w="18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662" w:type="dxa"/>
            <w:vMerge/>
            <w:tcBorders>
              <w:left w:val="single" w:sz="4" w:space="0" w:color="000000"/>
              <w:bottom w:val="single" w:sz="4" w:space="0" w:color="000000"/>
              <w:right w:val="single" w:sz="4" w:space="0" w:color="000000"/>
            </w:tcBorders>
            <w:shd w:val="clear" w:color="auto" w:fill="D2D2D2"/>
          </w:tcPr>
          <w:p>
            <w:pPr/>
          </w:p>
        </w:tc>
        <w:tc>
          <w:tcPr>
            <w:tcW w:w="2098" w:type="dxa"/>
            <w:vMerge/>
            <w:tcBorders>
              <w:left w:val="single" w:sz="4" w:space="0" w:color="000000"/>
              <w:bottom w:val="single" w:sz="4" w:space="0" w:color="000000"/>
              <w:right w:val="single" w:sz="4" w:space="0" w:color="000000"/>
            </w:tcBorders>
            <w:shd w:val="clear" w:color="auto" w:fill="D2D2D2"/>
          </w:tcPr>
          <w:p>
            <w:pPr/>
          </w:p>
        </w:tc>
        <w:tc>
          <w:tcPr>
            <w:tcW w:w="2103" w:type="dxa"/>
            <w:vMerge/>
            <w:tcBorders>
              <w:left w:val="single" w:sz="4" w:space="0" w:color="000000"/>
              <w:bottom w:val="single" w:sz="4" w:space="0" w:color="000000"/>
              <w:right w:val="single" w:sz="4" w:space="0" w:color="000000"/>
            </w:tcBorders>
            <w:shd w:val="clear" w:color="auto" w:fill="D2D2D2"/>
          </w:tcPr>
          <w:p>
            <w:pPr/>
          </w:p>
        </w:tc>
        <w:tc>
          <w:tcPr>
            <w:tcW w:w="1800"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18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日余额</w:t>
            </w:r>
          </w:p>
        </w:tc>
        <w:tc>
          <w:tcPr>
            <w:tcW w:w="1662"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782,992.02</w:t>
            </w:r>
          </w:p>
        </w:tc>
        <w:tc>
          <w:tcPr>
            <w:tcW w:w="2098" w:type="dxa"/>
            <w:tcBorders>
              <w:top w:val="single" w:sz="4" w:space="0" w:color="000000"/>
              <w:left w:val="single" w:sz="4" w:space="0" w:color="000000"/>
              <w:bottom w:val="single" w:sz="4" w:space="0" w:color="000000"/>
              <w:right w:val="single" w:sz="4" w:space="0" w:color="000000"/>
            </w:tcBorders>
          </w:tcPr>
          <w:p>
            <w:pPr/>
          </w:p>
        </w:tc>
        <w:tc>
          <w:tcPr>
            <w:tcW w:w="2103"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782,992.02</w:t>
            </w:r>
          </w:p>
        </w:tc>
      </w:tr>
      <w:tr>
        <w:trPr>
          <w:trHeight w:val="163" w:hRule="exact"/>
        </w:trPr>
        <w:tc>
          <w:tcPr>
            <w:tcW w:w="1894" w:type="dxa"/>
            <w:vMerge w:val="restart"/>
            <w:tcBorders>
              <w:top w:val="single" w:sz="4" w:space="0" w:color="000000"/>
              <w:left w:val="single" w:sz="4" w:space="0" w:color="000000"/>
              <w:right w:val="single" w:sz="4" w:space="0" w:color="000000"/>
            </w:tcBorders>
            <w:shd w:val="clear" w:color="auto" w:fill="D2D2D2"/>
          </w:tcPr>
          <w:p>
            <w:pPr>
              <w:pStyle w:val="TableParagraph"/>
              <w:spacing w:line="304" w:lineRule="auto" w:before="53"/>
              <w:ind w:left="11" w:right="21"/>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日余额在</w:t>
            </w:r>
            <w:r>
              <w:rPr>
                <w:rFonts w:ascii="宋体" w:hAnsi="宋体" w:cs="宋体" w:eastAsia="宋体" w:hint="default"/>
                <w:w w:val="101"/>
                <w:sz w:val="18"/>
                <w:szCs w:val="18"/>
              </w:rPr>
              <w:t> </w:t>
            </w:r>
            <w:r>
              <w:rPr>
                <w:rFonts w:ascii="宋体" w:hAnsi="宋体" w:cs="宋体" w:eastAsia="宋体" w:hint="default"/>
                <w:sz w:val="18"/>
                <w:szCs w:val="18"/>
              </w:rPr>
              <w:t>本期</w:t>
            </w:r>
          </w:p>
        </w:tc>
        <w:tc>
          <w:tcPr>
            <w:tcW w:w="1662" w:type="dxa"/>
            <w:tcBorders>
              <w:top w:val="single" w:sz="4" w:space="0" w:color="000000"/>
              <w:left w:val="single" w:sz="4" w:space="0" w:color="000000"/>
              <w:bottom w:val="nil" w:sz="6" w:space="0" w:color="auto"/>
              <w:right w:val="single" w:sz="4" w:space="0" w:color="000000"/>
            </w:tcBorders>
            <w:shd w:val="clear" w:color="auto" w:fill="D2D2D2"/>
          </w:tcPr>
          <w:p>
            <w:pPr/>
          </w:p>
        </w:tc>
        <w:tc>
          <w:tcPr>
            <w:tcW w:w="2098" w:type="dxa"/>
            <w:tcBorders>
              <w:top w:val="single" w:sz="4" w:space="0" w:color="000000"/>
              <w:left w:val="single" w:sz="4" w:space="0" w:color="000000"/>
              <w:bottom w:val="nil" w:sz="6" w:space="0" w:color="auto"/>
              <w:right w:val="single" w:sz="4" w:space="0" w:color="000000"/>
            </w:tcBorders>
            <w:shd w:val="clear" w:color="auto" w:fill="D2D2D2"/>
          </w:tcPr>
          <w:p>
            <w:pPr/>
          </w:p>
        </w:tc>
        <w:tc>
          <w:tcPr>
            <w:tcW w:w="2103" w:type="dxa"/>
            <w:tcBorders>
              <w:top w:val="single" w:sz="4" w:space="0" w:color="000000"/>
              <w:left w:val="single" w:sz="4" w:space="0" w:color="000000"/>
              <w:bottom w:val="nil" w:sz="6" w:space="0" w:color="auto"/>
              <w:right w:val="single" w:sz="4" w:space="0" w:color="000000"/>
            </w:tcBorders>
            <w:shd w:val="clear" w:color="auto" w:fill="D2D2D2"/>
          </w:tcPr>
          <w:p>
            <w:pPr/>
          </w:p>
        </w:tc>
        <w:tc>
          <w:tcPr>
            <w:tcW w:w="1800"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89" w:hRule="exact"/>
        </w:trPr>
        <w:tc>
          <w:tcPr>
            <w:tcW w:w="1894" w:type="dxa"/>
            <w:vMerge/>
            <w:tcBorders>
              <w:left w:val="single" w:sz="4" w:space="0" w:color="000000"/>
              <w:right w:val="single" w:sz="4" w:space="0" w:color="000000"/>
            </w:tcBorders>
            <w:shd w:val="clear" w:color="auto" w:fill="D2D2D2"/>
          </w:tcPr>
          <w:p>
            <w:pPr/>
          </w:p>
        </w:tc>
        <w:tc>
          <w:tcPr>
            <w:tcW w:w="166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6"/>
              <w:ind w:left="9"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0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6"/>
              <w:ind w:left="4"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10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80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6"/>
              <w:ind w:left="7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163" w:hRule="exact"/>
        </w:trPr>
        <w:tc>
          <w:tcPr>
            <w:tcW w:w="1894" w:type="dxa"/>
            <w:vMerge/>
            <w:tcBorders>
              <w:left w:val="single" w:sz="4" w:space="0" w:color="000000"/>
              <w:bottom w:val="single" w:sz="4" w:space="0" w:color="000000"/>
              <w:right w:val="single" w:sz="4" w:space="0" w:color="000000"/>
            </w:tcBorders>
            <w:shd w:val="clear" w:color="auto" w:fill="D2D2D2"/>
          </w:tcPr>
          <w:p>
            <w:pPr/>
          </w:p>
        </w:tc>
        <w:tc>
          <w:tcPr>
            <w:tcW w:w="1662" w:type="dxa"/>
            <w:tcBorders>
              <w:top w:val="nil" w:sz="6" w:space="0" w:color="auto"/>
              <w:left w:val="single" w:sz="4" w:space="0" w:color="000000"/>
              <w:bottom w:val="single" w:sz="4" w:space="0" w:color="000000"/>
              <w:right w:val="single" w:sz="4" w:space="0" w:color="000000"/>
            </w:tcBorders>
            <w:shd w:val="clear" w:color="auto" w:fill="D2D2D2"/>
          </w:tcPr>
          <w:p>
            <w:pPr/>
          </w:p>
        </w:tc>
        <w:tc>
          <w:tcPr>
            <w:tcW w:w="2098" w:type="dxa"/>
            <w:tcBorders>
              <w:top w:val="nil" w:sz="6" w:space="0" w:color="auto"/>
              <w:left w:val="single" w:sz="4" w:space="0" w:color="000000"/>
              <w:bottom w:val="single" w:sz="4" w:space="0" w:color="000000"/>
              <w:right w:val="single" w:sz="4" w:space="0" w:color="000000"/>
            </w:tcBorders>
            <w:shd w:val="clear" w:color="auto" w:fill="D2D2D2"/>
          </w:tcPr>
          <w:p>
            <w:pPr/>
          </w:p>
        </w:tc>
        <w:tc>
          <w:tcPr>
            <w:tcW w:w="2103" w:type="dxa"/>
            <w:tcBorders>
              <w:top w:val="nil" w:sz="6" w:space="0" w:color="auto"/>
              <w:left w:val="single" w:sz="4" w:space="0" w:color="000000"/>
              <w:bottom w:val="single" w:sz="4" w:space="0" w:color="000000"/>
              <w:right w:val="single" w:sz="4" w:space="0" w:color="000000"/>
            </w:tcBorders>
            <w:shd w:val="clear" w:color="auto" w:fill="D2D2D2"/>
          </w:tcPr>
          <w:p>
            <w:pPr/>
          </w:p>
        </w:tc>
        <w:tc>
          <w:tcPr>
            <w:tcW w:w="1800"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18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本期计提</w:t>
            </w:r>
          </w:p>
        </w:tc>
        <w:tc>
          <w:tcPr>
            <w:tcW w:w="1662"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-20,476.95</w:t>
            </w:r>
          </w:p>
        </w:tc>
        <w:tc>
          <w:tcPr>
            <w:tcW w:w="2098" w:type="dxa"/>
            <w:tcBorders>
              <w:top w:val="single" w:sz="4" w:space="0" w:color="000000"/>
              <w:left w:val="single" w:sz="4" w:space="0" w:color="000000"/>
              <w:bottom w:val="single" w:sz="4" w:space="0" w:color="000000"/>
              <w:right w:val="single" w:sz="4" w:space="0" w:color="000000"/>
            </w:tcBorders>
          </w:tcPr>
          <w:p>
            <w:pPr/>
          </w:p>
        </w:tc>
        <w:tc>
          <w:tcPr>
            <w:tcW w:w="2103"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-20,476.95</w:t>
            </w:r>
          </w:p>
        </w:tc>
      </w:tr>
      <w:tr>
        <w:trPr>
          <w:trHeight w:val="404" w:hRule="exact"/>
        </w:trPr>
        <w:tc>
          <w:tcPr>
            <w:tcW w:w="18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日余额</w:t>
            </w:r>
          </w:p>
        </w:tc>
        <w:tc>
          <w:tcPr>
            <w:tcW w:w="1662"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762,515.07</w:t>
            </w:r>
          </w:p>
        </w:tc>
        <w:tc>
          <w:tcPr>
            <w:tcW w:w="2098" w:type="dxa"/>
            <w:tcBorders>
              <w:top w:val="single" w:sz="4" w:space="0" w:color="000000"/>
              <w:left w:val="single" w:sz="4" w:space="0" w:color="000000"/>
              <w:bottom w:val="single" w:sz="4" w:space="0" w:color="000000"/>
              <w:right w:val="single" w:sz="4" w:space="0" w:color="000000"/>
            </w:tcBorders>
          </w:tcPr>
          <w:p>
            <w:pPr/>
          </w:p>
        </w:tc>
        <w:tc>
          <w:tcPr>
            <w:tcW w:w="2103"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762,515.07</w:t>
            </w:r>
          </w:p>
        </w:tc>
      </w:tr>
    </w:tbl>
    <w:p>
      <w:pPr>
        <w:pStyle w:val="BodyText"/>
        <w:spacing w:line="240" w:lineRule="auto" w:before="53"/>
        <w:ind w:right="0"/>
        <w:jc w:val="left"/>
      </w:pPr>
      <w:r>
        <w:rPr>
          <w:spacing w:val="-3"/>
        </w:rPr>
        <w:t>损失准备本期变动金额重大的账面余额变动情况</w:t>
      </w:r>
    </w:p>
    <w:p>
      <w:pPr>
        <w:pStyle w:val="BodyText"/>
        <w:spacing w:line="240" w:lineRule="auto" w:before="115"/>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8"/>
        <w:rPr>
          <w:rFonts w:ascii="宋体" w:hAnsi="宋体" w:cs="宋体" w:eastAsia="宋体" w:hint="default"/>
          <w:sz w:val="25"/>
          <w:szCs w:val="25"/>
        </w:rPr>
      </w:pPr>
    </w:p>
    <w:p>
      <w:pPr>
        <w:pStyle w:val="Heading3"/>
        <w:spacing w:line="240" w:lineRule="auto"/>
        <w:ind w:right="0"/>
        <w:jc w:val="left"/>
        <w:rPr>
          <w:b w:val="0"/>
          <w:bCs w:val="0"/>
        </w:rPr>
      </w:pPr>
      <w:bookmarkStart w:name="（2）其他应收款" w:id="414"/>
      <w:bookmarkEnd w:id="414"/>
      <w:r>
        <w:rPr>
          <w:b w:val="0"/>
          <w:bCs w:val="0"/>
        </w:rPr>
      </w:r>
      <w:r>
        <w:rPr/>
        <w:t>（</w:t>
      </w:r>
      <w:r>
        <w:rPr>
          <w:rFonts w:ascii="Times New Roman" w:hAnsi="Times New Roman" w:cs="Times New Roman" w:eastAsia="Times New Roman" w:hint="default"/>
        </w:rPr>
        <w:t>2</w:t>
      </w:r>
      <w:r>
        <w:rPr/>
        <w:t>）其他应收款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其他应收款按款项性质分类情况" w:id="415"/>
      <w:bookmarkEnd w:id="415"/>
      <w:r>
        <w:rPr>
          <w:b w:val="0"/>
          <w:bCs w:val="0"/>
        </w:rPr>
      </w:r>
      <w:r>
        <w:rPr>
          <w:rFonts w:ascii="Times New Roman" w:hAnsi="Times New Roman" w:cs="Times New Roman" w:eastAsia="Times New Roman" w:hint="default"/>
        </w:rPr>
        <w:t>1</w:t>
      </w:r>
      <w:r>
        <w:rPr/>
        <w:t>）其他应收款按款项性质分类情况</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398"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1"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1"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子公司借款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3,000,000.00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59,500,000.00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子公司及外部往来款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64,402,424.51</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19,477,898.54</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1,619,551.85</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2,314,200.70</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3,779,386.93</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4,000,275.19</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退税款</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135,560.70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193,070.55</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219,820.51</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72,994,433.84</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85,647,755.64</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2）坏账准备计提情况" w:id="416"/>
      <w:bookmarkEnd w:id="416"/>
      <w:r>
        <w:rPr>
          <w:b w:val="0"/>
          <w:bCs w:val="0"/>
        </w:rPr>
      </w:r>
      <w:r>
        <w:rPr>
          <w:rFonts w:ascii="Times New Roman" w:hAnsi="Times New Roman" w:cs="Times New Roman" w:eastAsia="Times New Roman" w:hint="default"/>
        </w:rPr>
        <w:t>2</w:t>
      </w:r>
      <w:r>
        <w:rPr/>
        <w:t>）坏账准备计提情况</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906"/>
        <w:gridCol w:w="1650"/>
        <w:gridCol w:w="2098"/>
        <w:gridCol w:w="2103"/>
        <w:gridCol w:w="1800"/>
      </w:tblGrid>
      <w:tr>
        <w:trPr>
          <w:trHeight w:val="403" w:hRule="exact"/>
        </w:trPr>
        <w:tc>
          <w:tcPr>
            <w:tcW w:w="1906" w:type="dxa"/>
            <w:tcBorders>
              <w:top w:val="single" w:sz="4" w:space="0" w:color="000000"/>
              <w:left w:val="single" w:sz="4" w:space="0" w:color="000000"/>
              <w:bottom w:val="nil" w:sz="6" w:space="0" w:color="auto"/>
              <w:right w:val="single" w:sz="4" w:space="0" w:color="000000"/>
            </w:tcBorders>
            <w:shd w:val="clear" w:color="auto" w:fill="D2D2D2"/>
          </w:tcPr>
          <w:p>
            <w:pPr/>
          </w:p>
        </w:tc>
        <w:tc>
          <w:tcPr>
            <w:tcW w:w="1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58" w:right="0"/>
              <w:jc w:val="left"/>
              <w:rPr>
                <w:rFonts w:ascii="宋体" w:hAnsi="宋体" w:cs="宋体" w:eastAsia="宋体" w:hint="default"/>
                <w:sz w:val="18"/>
                <w:szCs w:val="18"/>
              </w:rPr>
            </w:pPr>
            <w:r>
              <w:rPr>
                <w:rFonts w:ascii="宋体" w:hAnsi="宋体" w:cs="宋体" w:eastAsia="宋体" w:hint="default"/>
                <w:sz w:val="18"/>
                <w:szCs w:val="18"/>
              </w:rPr>
              <w:t>第一阶段</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第二阶段</w:t>
            </w:r>
          </w:p>
        </w:tc>
        <w:tc>
          <w:tcPr>
            <w:tcW w:w="2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第三阶段</w:t>
            </w:r>
          </w:p>
        </w:tc>
        <w:tc>
          <w:tcPr>
            <w:tcW w:w="1800"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50" w:hRule="exact"/>
        </w:trPr>
        <w:tc>
          <w:tcPr>
            <w:tcW w:w="190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5"/>
              <w:ind w:left="583"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650" w:type="dxa"/>
            <w:vMerge w:val="restart"/>
            <w:tcBorders>
              <w:top w:val="single" w:sz="4" w:space="0" w:color="000000"/>
              <w:left w:val="single" w:sz="4" w:space="0" w:color="000000"/>
              <w:right w:val="single" w:sz="4" w:space="0" w:color="000000"/>
            </w:tcBorders>
            <w:shd w:val="clear" w:color="auto" w:fill="D2D2D2"/>
          </w:tcPr>
          <w:p>
            <w:pPr>
              <w:pStyle w:val="TableParagraph"/>
              <w:spacing w:line="300" w:lineRule="auto" w:before="53"/>
              <w:ind w:left="550" w:right="51" w:hanging="500"/>
              <w:jc w:val="left"/>
              <w:rPr>
                <w:rFonts w:ascii="宋体" w:hAnsi="宋体" w:cs="宋体" w:eastAsia="宋体" w:hint="default"/>
                <w:sz w:val="18"/>
                <w:szCs w:val="18"/>
              </w:rPr>
            </w:pPr>
            <w:r>
              <w:rPr>
                <w:rFonts w:ascii="宋体" w:hAnsi="宋体" w:cs="宋体" w:eastAsia="宋体" w:hint="default"/>
                <w:sz w:val="18"/>
                <w:szCs w:val="18"/>
              </w:rPr>
              <w:t>未来</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个月预期信</w:t>
            </w:r>
            <w:r>
              <w:rPr>
                <w:rFonts w:ascii="宋体" w:hAnsi="宋体" w:cs="宋体" w:eastAsia="宋体" w:hint="default"/>
                <w:w w:val="101"/>
                <w:sz w:val="18"/>
                <w:szCs w:val="18"/>
              </w:rPr>
              <w:t> </w:t>
            </w:r>
            <w:r>
              <w:rPr>
                <w:rFonts w:ascii="宋体" w:hAnsi="宋体" w:cs="宋体" w:eastAsia="宋体" w:hint="default"/>
                <w:sz w:val="18"/>
                <w:szCs w:val="18"/>
              </w:rPr>
              <w:t>用损失</w:t>
            </w:r>
          </w:p>
        </w:tc>
        <w:tc>
          <w:tcPr>
            <w:tcW w:w="20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pacing w:val="-3"/>
                <w:sz w:val="18"/>
                <w:szCs w:val="18"/>
              </w:rPr>
              <w:t>整个存续期预期信用损失</w:t>
            </w:r>
          </w:p>
          <w:p>
            <w:pPr>
              <w:pStyle w:val="TableParagraph"/>
              <w:spacing w:line="240" w:lineRule="auto" w:before="76"/>
              <w:ind w:left="3"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未发生信用减值</w:t>
            </w:r>
            <w:r>
              <w:rPr>
                <w:rFonts w:ascii="Times New Roman" w:hAnsi="Times New Roman" w:cs="Times New Roman" w:eastAsia="Times New Roman" w:hint="default"/>
                <w:spacing w:val="-3"/>
                <w:sz w:val="18"/>
                <w:szCs w:val="18"/>
              </w:rPr>
              <w:t>)</w:t>
            </w:r>
          </w:p>
        </w:tc>
        <w:tc>
          <w:tcPr>
            <w:tcW w:w="210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pacing w:val="-3"/>
                <w:sz w:val="18"/>
                <w:szCs w:val="18"/>
              </w:rPr>
              <w:t>整个存续期预期信用损失</w:t>
            </w:r>
          </w:p>
          <w:p>
            <w:pPr>
              <w:pStyle w:val="TableParagraph"/>
              <w:spacing w:line="240" w:lineRule="auto" w:before="76"/>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已发生信用减值</w:t>
            </w:r>
            <w:r>
              <w:rPr>
                <w:rFonts w:ascii="Times New Roman" w:hAnsi="Times New Roman" w:cs="Times New Roman" w:eastAsia="Times New Roman" w:hint="default"/>
                <w:spacing w:val="-3"/>
                <w:sz w:val="18"/>
                <w:szCs w:val="18"/>
              </w:rPr>
              <w:t>)</w:t>
            </w:r>
          </w:p>
        </w:tc>
        <w:tc>
          <w:tcPr>
            <w:tcW w:w="180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5"/>
              <w:ind w:left="715" w:right="0"/>
              <w:jc w:val="left"/>
              <w:rPr>
                <w:rFonts w:ascii="宋体" w:hAnsi="宋体" w:cs="宋体" w:eastAsia="宋体" w:hint="default"/>
                <w:sz w:val="18"/>
                <w:szCs w:val="18"/>
              </w:rPr>
            </w:pPr>
            <w:r>
              <w:rPr>
                <w:rFonts w:ascii="宋体" w:hAnsi="宋体" w:cs="宋体" w:eastAsia="宋体" w:hint="default"/>
                <w:sz w:val="18"/>
                <w:szCs w:val="18"/>
              </w:rPr>
              <w:t>合计</w:t>
            </w:r>
          </w:p>
        </w:tc>
      </w:tr>
      <w:tr>
        <w:trPr>
          <w:trHeight w:val="365" w:hRule="exact"/>
        </w:trPr>
        <w:tc>
          <w:tcPr>
            <w:tcW w:w="1906" w:type="dxa"/>
            <w:tcBorders>
              <w:top w:val="nil" w:sz="6" w:space="0" w:color="auto"/>
              <w:left w:val="single" w:sz="4" w:space="0" w:color="000000"/>
              <w:bottom w:val="single" w:sz="4" w:space="0" w:color="000000"/>
              <w:right w:val="single" w:sz="4" w:space="0" w:color="000000"/>
            </w:tcBorders>
            <w:shd w:val="clear" w:color="auto" w:fill="D2D2D2"/>
          </w:tcPr>
          <w:p>
            <w:pPr/>
          </w:p>
        </w:tc>
        <w:tc>
          <w:tcPr>
            <w:tcW w:w="1650" w:type="dxa"/>
            <w:vMerge/>
            <w:tcBorders>
              <w:left w:val="single" w:sz="4" w:space="0" w:color="000000"/>
              <w:bottom w:val="single" w:sz="4" w:space="0" w:color="000000"/>
              <w:right w:val="single" w:sz="4" w:space="0" w:color="000000"/>
            </w:tcBorders>
            <w:shd w:val="clear" w:color="auto" w:fill="D2D2D2"/>
          </w:tcPr>
          <w:p>
            <w:pPr/>
          </w:p>
        </w:tc>
        <w:tc>
          <w:tcPr>
            <w:tcW w:w="2098" w:type="dxa"/>
            <w:vMerge/>
            <w:tcBorders>
              <w:left w:val="single" w:sz="4" w:space="0" w:color="000000"/>
              <w:bottom w:val="single" w:sz="4" w:space="0" w:color="000000"/>
              <w:right w:val="single" w:sz="4" w:space="0" w:color="000000"/>
            </w:tcBorders>
            <w:shd w:val="clear" w:color="auto" w:fill="D2D2D2"/>
          </w:tcPr>
          <w:p>
            <w:pPr/>
          </w:p>
        </w:tc>
        <w:tc>
          <w:tcPr>
            <w:tcW w:w="2103" w:type="dxa"/>
            <w:vMerge/>
            <w:tcBorders>
              <w:left w:val="single" w:sz="4" w:space="0" w:color="000000"/>
              <w:bottom w:val="single" w:sz="4" w:space="0" w:color="000000"/>
              <w:right w:val="single" w:sz="4" w:space="0" w:color="000000"/>
            </w:tcBorders>
            <w:shd w:val="clear" w:color="auto" w:fill="D2D2D2"/>
          </w:tcPr>
          <w:p>
            <w:pPr/>
          </w:p>
        </w:tc>
        <w:tc>
          <w:tcPr>
            <w:tcW w:w="1800"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19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日余额</w:t>
            </w:r>
          </w:p>
        </w:tc>
        <w:tc>
          <w:tcPr>
            <w:tcW w:w="1650"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782,992.02</w:t>
            </w:r>
          </w:p>
        </w:tc>
        <w:tc>
          <w:tcPr>
            <w:tcW w:w="2098" w:type="dxa"/>
            <w:tcBorders>
              <w:top w:val="single" w:sz="4" w:space="0" w:color="000000"/>
              <w:left w:val="single" w:sz="4" w:space="0" w:color="000000"/>
              <w:bottom w:val="single" w:sz="4" w:space="0" w:color="000000"/>
              <w:right w:val="single" w:sz="4" w:space="0" w:color="000000"/>
            </w:tcBorders>
          </w:tcPr>
          <w:p>
            <w:pPr/>
          </w:p>
        </w:tc>
        <w:tc>
          <w:tcPr>
            <w:tcW w:w="2103"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782,992.02</w:t>
            </w:r>
          </w:p>
        </w:tc>
      </w:tr>
      <w:tr>
        <w:trPr>
          <w:trHeight w:val="158" w:hRule="exact"/>
        </w:trPr>
        <w:tc>
          <w:tcPr>
            <w:tcW w:w="1906" w:type="dxa"/>
            <w:vMerge w:val="restart"/>
            <w:tcBorders>
              <w:top w:val="single" w:sz="4" w:space="0" w:color="000000"/>
              <w:left w:val="single" w:sz="4" w:space="0" w:color="000000"/>
              <w:right w:val="single" w:sz="4" w:space="0" w:color="000000"/>
            </w:tcBorders>
            <w:shd w:val="clear" w:color="auto" w:fill="D2D2D2"/>
          </w:tcPr>
          <w:p>
            <w:pPr>
              <w:pStyle w:val="TableParagraph"/>
              <w:spacing w:line="300" w:lineRule="auto" w:before="53"/>
              <w:ind w:left="12" w:right="33"/>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日余额在</w:t>
            </w:r>
            <w:r>
              <w:rPr>
                <w:rFonts w:ascii="宋体" w:hAnsi="宋体" w:cs="宋体" w:eastAsia="宋体" w:hint="default"/>
                <w:w w:val="101"/>
                <w:sz w:val="18"/>
                <w:szCs w:val="18"/>
              </w:rPr>
              <w:t> </w:t>
            </w:r>
            <w:r>
              <w:rPr>
                <w:rFonts w:ascii="宋体" w:hAnsi="宋体" w:cs="宋体" w:eastAsia="宋体" w:hint="default"/>
                <w:sz w:val="18"/>
                <w:szCs w:val="18"/>
              </w:rPr>
              <w:t>本期</w:t>
            </w:r>
          </w:p>
        </w:tc>
        <w:tc>
          <w:tcPr>
            <w:tcW w:w="1650" w:type="dxa"/>
            <w:tcBorders>
              <w:top w:val="single" w:sz="4" w:space="0" w:color="000000"/>
              <w:left w:val="single" w:sz="4" w:space="0" w:color="000000"/>
              <w:bottom w:val="nil" w:sz="6" w:space="0" w:color="auto"/>
              <w:right w:val="single" w:sz="4" w:space="0" w:color="000000"/>
            </w:tcBorders>
            <w:shd w:val="clear" w:color="auto" w:fill="D2D2D2"/>
          </w:tcPr>
          <w:p>
            <w:pPr/>
          </w:p>
        </w:tc>
        <w:tc>
          <w:tcPr>
            <w:tcW w:w="2098" w:type="dxa"/>
            <w:tcBorders>
              <w:top w:val="single" w:sz="4" w:space="0" w:color="000000"/>
              <w:left w:val="single" w:sz="4" w:space="0" w:color="000000"/>
              <w:bottom w:val="nil" w:sz="6" w:space="0" w:color="auto"/>
              <w:right w:val="single" w:sz="4" w:space="0" w:color="000000"/>
            </w:tcBorders>
            <w:shd w:val="clear" w:color="auto" w:fill="D2D2D2"/>
          </w:tcPr>
          <w:p>
            <w:pPr/>
          </w:p>
        </w:tc>
        <w:tc>
          <w:tcPr>
            <w:tcW w:w="2103" w:type="dxa"/>
            <w:tcBorders>
              <w:top w:val="single" w:sz="4" w:space="0" w:color="000000"/>
              <w:left w:val="single" w:sz="4" w:space="0" w:color="000000"/>
              <w:bottom w:val="nil" w:sz="6" w:space="0" w:color="auto"/>
              <w:right w:val="single" w:sz="4" w:space="0" w:color="000000"/>
            </w:tcBorders>
            <w:shd w:val="clear" w:color="auto" w:fill="D2D2D2"/>
          </w:tcPr>
          <w:p>
            <w:pPr/>
          </w:p>
        </w:tc>
        <w:tc>
          <w:tcPr>
            <w:tcW w:w="1800"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4" w:hRule="exact"/>
        </w:trPr>
        <w:tc>
          <w:tcPr>
            <w:tcW w:w="1906" w:type="dxa"/>
            <w:vMerge/>
            <w:tcBorders>
              <w:left w:val="single" w:sz="4" w:space="0" w:color="000000"/>
              <w:right w:val="single" w:sz="4" w:space="0" w:color="000000"/>
            </w:tcBorders>
            <w:shd w:val="clear" w:color="auto" w:fill="D2D2D2"/>
          </w:tcPr>
          <w:p>
            <w:pPr/>
          </w:p>
        </w:tc>
        <w:tc>
          <w:tcPr>
            <w:tcW w:w="165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0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6"/>
              <w:ind w:left="4"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10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80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6"/>
              <w:ind w:left="7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158" w:hRule="exact"/>
        </w:trPr>
        <w:tc>
          <w:tcPr>
            <w:tcW w:w="1906" w:type="dxa"/>
            <w:vMerge/>
            <w:tcBorders>
              <w:left w:val="single" w:sz="4" w:space="0" w:color="000000"/>
              <w:bottom w:val="single" w:sz="4" w:space="0" w:color="000000"/>
              <w:right w:val="single" w:sz="4" w:space="0" w:color="000000"/>
            </w:tcBorders>
            <w:shd w:val="clear" w:color="auto" w:fill="D2D2D2"/>
          </w:tcPr>
          <w:p>
            <w:pPr/>
          </w:p>
        </w:tc>
        <w:tc>
          <w:tcPr>
            <w:tcW w:w="1650" w:type="dxa"/>
            <w:tcBorders>
              <w:top w:val="nil" w:sz="6" w:space="0" w:color="auto"/>
              <w:left w:val="single" w:sz="4" w:space="0" w:color="000000"/>
              <w:bottom w:val="single" w:sz="4" w:space="0" w:color="000000"/>
              <w:right w:val="single" w:sz="4" w:space="0" w:color="000000"/>
            </w:tcBorders>
            <w:shd w:val="clear" w:color="auto" w:fill="D2D2D2"/>
          </w:tcPr>
          <w:p>
            <w:pPr/>
          </w:p>
        </w:tc>
        <w:tc>
          <w:tcPr>
            <w:tcW w:w="2098" w:type="dxa"/>
            <w:tcBorders>
              <w:top w:val="nil" w:sz="6" w:space="0" w:color="auto"/>
              <w:left w:val="single" w:sz="4" w:space="0" w:color="000000"/>
              <w:bottom w:val="single" w:sz="4" w:space="0" w:color="000000"/>
              <w:right w:val="single" w:sz="4" w:space="0" w:color="000000"/>
            </w:tcBorders>
            <w:shd w:val="clear" w:color="auto" w:fill="D2D2D2"/>
          </w:tcPr>
          <w:p>
            <w:pPr/>
          </w:p>
        </w:tc>
        <w:tc>
          <w:tcPr>
            <w:tcW w:w="2103" w:type="dxa"/>
            <w:tcBorders>
              <w:top w:val="nil" w:sz="6" w:space="0" w:color="auto"/>
              <w:left w:val="single" w:sz="4" w:space="0" w:color="000000"/>
              <w:bottom w:val="single" w:sz="4" w:space="0" w:color="000000"/>
              <w:right w:val="single" w:sz="4" w:space="0" w:color="000000"/>
            </w:tcBorders>
            <w:shd w:val="clear" w:color="auto" w:fill="D2D2D2"/>
          </w:tcPr>
          <w:p>
            <w:pPr/>
          </w:p>
        </w:tc>
        <w:tc>
          <w:tcPr>
            <w:tcW w:w="1800"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19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2" w:right="0"/>
              <w:jc w:val="left"/>
              <w:rPr>
                <w:rFonts w:ascii="宋体" w:hAnsi="宋体" w:cs="宋体" w:eastAsia="宋体" w:hint="default"/>
                <w:sz w:val="18"/>
                <w:szCs w:val="18"/>
              </w:rPr>
            </w:pPr>
            <w:r>
              <w:rPr>
                <w:rFonts w:ascii="宋体" w:hAnsi="宋体" w:cs="宋体" w:eastAsia="宋体" w:hint="default"/>
                <w:sz w:val="18"/>
                <w:szCs w:val="18"/>
              </w:rPr>
              <w:t>本期计提</w:t>
            </w:r>
          </w:p>
        </w:tc>
        <w:tc>
          <w:tcPr>
            <w:tcW w:w="1650"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-20,476.95</w:t>
            </w:r>
          </w:p>
        </w:tc>
        <w:tc>
          <w:tcPr>
            <w:tcW w:w="2098" w:type="dxa"/>
            <w:tcBorders>
              <w:top w:val="single" w:sz="4" w:space="0" w:color="000000"/>
              <w:left w:val="single" w:sz="4" w:space="0" w:color="000000"/>
              <w:bottom w:val="single" w:sz="4" w:space="0" w:color="000000"/>
              <w:right w:val="single" w:sz="4" w:space="0" w:color="000000"/>
            </w:tcBorders>
          </w:tcPr>
          <w:p>
            <w:pPr/>
          </w:p>
        </w:tc>
        <w:tc>
          <w:tcPr>
            <w:tcW w:w="2103"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-20,476.95</w:t>
            </w:r>
          </w:p>
        </w:tc>
      </w:tr>
      <w:tr>
        <w:trPr>
          <w:trHeight w:val="404" w:hRule="exact"/>
        </w:trPr>
        <w:tc>
          <w:tcPr>
            <w:tcW w:w="19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日余额</w:t>
            </w:r>
          </w:p>
        </w:tc>
        <w:tc>
          <w:tcPr>
            <w:tcW w:w="1650"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762,515.07</w:t>
            </w:r>
          </w:p>
        </w:tc>
        <w:tc>
          <w:tcPr>
            <w:tcW w:w="2098" w:type="dxa"/>
            <w:tcBorders>
              <w:top w:val="single" w:sz="4" w:space="0" w:color="000000"/>
              <w:left w:val="single" w:sz="4" w:space="0" w:color="000000"/>
              <w:bottom w:val="single" w:sz="4" w:space="0" w:color="000000"/>
              <w:right w:val="single" w:sz="4" w:space="0" w:color="000000"/>
            </w:tcBorders>
          </w:tcPr>
          <w:p>
            <w:pPr/>
          </w:p>
        </w:tc>
        <w:tc>
          <w:tcPr>
            <w:tcW w:w="2103"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762,515.07</w:t>
            </w:r>
          </w:p>
        </w:tc>
      </w:tr>
    </w:tbl>
    <w:p>
      <w:pPr>
        <w:pStyle w:val="BodyText"/>
        <w:spacing w:line="240" w:lineRule="auto" w:before="53"/>
        <w:ind w:right="0"/>
        <w:jc w:val="left"/>
      </w:pPr>
      <w:r>
        <w:rPr>
          <w:spacing w:val="-3"/>
        </w:rPr>
        <w:t>损失准备本期变动金额重大的账面余额变动情况</w:t>
      </w:r>
    </w:p>
    <w:p>
      <w:pPr>
        <w:pStyle w:val="BodyText"/>
        <w:spacing w:line="240" w:lineRule="auto" w:before="119"/>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after="0" w:line="240" w:lineRule="auto"/>
        <w:jc w:val="left"/>
        <w:sectPr>
          <w:pgSz w:w="11910" w:h="16840"/>
          <w:pgMar w:header="871" w:footer="1186" w:top="1100" w:bottom="1380" w:left="980" w:right="0"/>
        </w:sectPr>
      </w:pPr>
    </w:p>
    <w:p>
      <w:pPr>
        <w:spacing w:line="240" w:lineRule="auto" w:before="3"/>
        <w:rPr>
          <w:rFonts w:ascii="宋体" w:hAnsi="宋体" w:cs="宋体" w:eastAsia="宋体" w:hint="default"/>
          <w:sz w:val="22"/>
          <w:szCs w:val="22"/>
        </w:rPr>
      </w:pPr>
    </w:p>
    <w:p>
      <w:pPr>
        <w:pStyle w:val="BodyText"/>
        <w:spacing w:line="240" w:lineRule="auto" w:before="46"/>
        <w:ind w:right="0"/>
        <w:jc w:val="left"/>
      </w:pPr>
      <w:r>
        <w:rPr/>
        <w:t>按账龄披露</w:t>
      </w:r>
    </w:p>
    <w:p>
      <w:pPr>
        <w:pStyle w:val="BodyText"/>
        <w:spacing w:line="240" w:lineRule="auto" w:before="115"/>
        <w:ind w:left="0" w:right="1122"/>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4764"/>
        <w:gridCol w:w="4794"/>
      </w:tblGrid>
      <w:tr>
        <w:trPr>
          <w:trHeight w:val="399"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7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6" w:right="0"/>
              <w:jc w:val="center"/>
              <w:rPr>
                <w:rFonts w:ascii="宋体" w:hAnsi="宋体" w:cs="宋体" w:eastAsia="宋体" w:hint="default"/>
                <w:sz w:val="18"/>
                <w:szCs w:val="18"/>
              </w:rPr>
            </w:pPr>
            <w:r>
              <w:rPr>
                <w:rFonts w:ascii="宋体" w:hAnsi="宋体" w:cs="宋体" w:eastAsia="宋体" w:hint="default"/>
                <w:sz w:val="18"/>
                <w:szCs w:val="18"/>
              </w:rPr>
              <w:t>账面余额</w:t>
            </w:r>
          </w:p>
        </w:tc>
      </w:tr>
      <w:tr>
        <w:trPr>
          <w:trHeight w:val="403"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年以内（含</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pacing w:val="-5"/>
                <w:sz w:val="18"/>
                <w:szCs w:val="18"/>
              </w:rPr>
              <w:t>年）</w:t>
            </w:r>
            <w:r>
              <w:rPr>
                <w:rFonts w:ascii="宋体" w:hAnsi="宋体" w:cs="宋体" w:eastAsia="宋体" w:hint="default"/>
                <w:sz w:val="18"/>
                <w:szCs w:val="18"/>
              </w:rPr>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65,222,945.08</w:t>
            </w:r>
          </w:p>
        </w:tc>
      </w:tr>
      <w:tr>
        <w:trPr>
          <w:trHeight w:val="403"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年</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5,964,721.45</w:t>
            </w:r>
          </w:p>
        </w:tc>
      </w:tr>
      <w:tr>
        <w:trPr>
          <w:trHeight w:val="403"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年</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506,425.24</w:t>
            </w:r>
          </w:p>
        </w:tc>
      </w:tr>
      <w:tr>
        <w:trPr>
          <w:trHeight w:val="398"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年以上</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1,300,342.07</w:t>
            </w:r>
          </w:p>
        </w:tc>
      </w:tr>
      <w:tr>
        <w:trPr>
          <w:trHeight w:val="404"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9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年</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815,801.20</w:t>
            </w:r>
          </w:p>
        </w:tc>
      </w:tr>
      <w:tr>
        <w:trPr>
          <w:trHeight w:val="403"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9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年</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2"/>
                <w:sz w:val="18"/>
              </w:rPr>
              <w:t>283,564.11</w:t>
            </w:r>
          </w:p>
        </w:tc>
      </w:tr>
      <w:tr>
        <w:trPr>
          <w:trHeight w:val="403"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9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200,976.76</w:t>
            </w:r>
          </w:p>
        </w:tc>
      </w:tr>
      <w:tr>
        <w:trPr>
          <w:trHeight w:val="398"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72,994,433.84</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3）本期计提、收回或转回的坏账准备情况" w:id="417"/>
      <w:bookmarkEnd w:id="417"/>
      <w:r>
        <w:rPr>
          <w:b w:val="0"/>
          <w:bCs w:val="0"/>
        </w:rPr>
      </w:r>
      <w:r>
        <w:rPr>
          <w:rFonts w:ascii="Times New Roman" w:hAnsi="Times New Roman" w:cs="Times New Roman" w:eastAsia="Times New Roman" w:hint="default"/>
        </w:rPr>
        <w:t>3</w:t>
      </w:r>
      <w:r>
        <w:rPr/>
        <w:t>）本期计提、收回或转回的坏账准备情况</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6"/>
        <w:ind w:right="0"/>
        <w:jc w:val="left"/>
      </w:pPr>
      <w:r>
        <w:rPr>
          <w:spacing w:val="-3"/>
        </w:rPr>
        <w:t>本期计提坏账准备情况：</w:t>
      </w:r>
    </w:p>
    <w:p>
      <w:pPr>
        <w:pStyle w:val="BodyText"/>
        <w:spacing w:line="240" w:lineRule="auto" w:before="115"/>
        <w:ind w:left="0" w:right="1122"/>
        <w:jc w:val="right"/>
      </w:pPr>
      <w:r>
        <w:rPr/>
        <w:t>单位：</w:t>
      </w:r>
      <w:r>
        <w:rPr>
          <w:spacing w:val="5"/>
        </w:rPr>
        <w:t> </w:t>
      </w:r>
      <w:r>
        <w:rPr/>
        <w:t>元</w:t>
      </w:r>
    </w:p>
    <w:p>
      <w:pPr>
        <w:spacing w:line="240" w:lineRule="auto" w:before="10"/>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580"/>
        <w:gridCol w:w="1090"/>
        <w:gridCol w:w="1330"/>
        <w:gridCol w:w="1455"/>
        <w:gridCol w:w="1196"/>
        <w:gridCol w:w="1345"/>
        <w:gridCol w:w="1580"/>
      </w:tblGrid>
      <w:tr>
        <w:trPr>
          <w:trHeight w:val="401" w:hRule="exact"/>
        </w:trPr>
        <w:tc>
          <w:tcPr>
            <w:tcW w:w="158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0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17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325"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4" w:right="0"/>
              <w:jc w:val="center"/>
              <w:rPr>
                <w:rFonts w:ascii="宋体" w:hAnsi="宋体" w:cs="宋体" w:eastAsia="宋体" w:hint="default"/>
                <w:sz w:val="18"/>
                <w:szCs w:val="18"/>
              </w:rPr>
            </w:pPr>
            <w:r>
              <w:rPr>
                <w:rFonts w:ascii="宋体" w:hAnsi="宋体" w:cs="宋体" w:eastAsia="宋体" w:hint="default"/>
                <w:sz w:val="18"/>
                <w:szCs w:val="18"/>
              </w:rPr>
              <w:t>本期变动金额</w:t>
            </w:r>
          </w:p>
        </w:tc>
        <w:tc>
          <w:tcPr>
            <w:tcW w:w="158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42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580" w:type="dxa"/>
            <w:vMerge/>
            <w:tcBorders>
              <w:left w:val="single" w:sz="4" w:space="0" w:color="000000"/>
              <w:bottom w:val="single" w:sz="4" w:space="0" w:color="000000"/>
              <w:right w:val="single" w:sz="4" w:space="0" w:color="000000"/>
            </w:tcBorders>
            <w:shd w:val="clear" w:color="auto" w:fill="D2D2D2"/>
          </w:tcPr>
          <w:p>
            <w:pPr/>
          </w:p>
        </w:tc>
        <w:tc>
          <w:tcPr>
            <w:tcW w:w="1090" w:type="dxa"/>
            <w:vMerge/>
            <w:tcBorders>
              <w:left w:val="single" w:sz="4" w:space="0" w:color="000000"/>
              <w:bottom w:val="single" w:sz="4" w:space="0" w:color="000000"/>
              <w:right w:val="single" w:sz="4" w:space="0" w:color="000000"/>
            </w:tcBorders>
            <w:shd w:val="clear" w:color="auto" w:fill="D2D2D2"/>
          </w:tcPr>
          <w:p>
            <w:pP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80" w:right="0"/>
              <w:jc w:val="left"/>
              <w:rPr>
                <w:rFonts w:ascii="宋体" w:hAnsi="宋体" w:cs="宋体" w:eastAsia="宋体" w:hint="default"/>
                <w:sz w:val="18"/>
                <w:szCs w:val="18"/>
              </w:rPr>
            </w:pPr>
            <w:r>
              <w:rPr>
                <w:rFonts w:ascii="宋体" w:hAnsi="宋体" w:cs="宋体" w:eastAsia="宋体" w:hint="default"/>
                <w:sz w:val="18"/>
                <w:szCs w:val="18"/>
              </w:rPr>
              <w:t>计提</w:t>
            </w:r>
          </w:p>
        </w:tc>
        <w:tc>
          <w:tcPr>
            <w:tcW w:w="1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73"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核销</w:t>
            </w:r>
          </w:p>
        </w:tc>
        <w:tc>
          <w:tcPr>
            <w:tcW w:w="13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580" w:type="dxa"/>
            <w:vMerge/>
            <w:tcBorders>
              <w:left w:val="single" w:sz="4" w:space="0" w:color="000000"/>
              <w:bottom w:val="single" w:sz="4" w:space="0" w:color="000000"/>
              <w:right w:val="single" w:sz="4" w:space="0" w:color="000000"/>
            </w:tcBorders>
            <w:shd w:val="clear" w:color="auto" w:fill="D2D2D2"/>
          </w:tcPr>
          <w:p>
            <w:pPr/>
          </w:p>
        </w:tc>
      </w:tr>
      <w:tr>
        <w:trPr>
          <w:trHeight w:val="715" w:hRule="exact"/>
        </w:trPr>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99"/>
              <w:jc w:val="left"/>
              <w:rPr>
                <w:rFonts w:ascii="宋体" w:hAnsi="宋体" w:cs="宋体" w:eastAsia="宋体" w:hint="default"/>
                <w:sz w:val="18"/>
                <w:szCs w:val="18"/>
              </w:rPr>
            </w:pPr>
            <w:r>
              <w:rPr>
                <w:rFonts w:ascii="宋体" w:hAnsi="宋体" w:cs="宋体" w:eastAsia="宋体" w:hint="default"/>
                <w:spacing w:val="-2"/>
                <w:sz w:val="18"/>
                <w:szCs w:val="18"/>
              </w:rPr>
              <w:t>按单项计提坏账准</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备</w:t>
            </w:r>
          </w:p>
        </w:tc>
        <w:tc>
          <w:tcPr>
            <w:tcW w:w="1090"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145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r>
      <w:tr>
        <w:trPr>
          <w:trHeight w:val="711" w:hRule="exact"/>
        </w:trPr>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99"/>
              <w:jc w:val="left"/>
              <w:rPr>
                <w:rFonts w:ascii="宋体" w:hAnsi="宋体" w:cs="宋体" w:eastAsia="宋体" w:hint="default"/>
                <w:sz w:val="18"/>
                <w:szCs w:val="18"/>
              </w:rPr>
            </w:pPr>
            <w:r>
              <w:rPr>
                <w:rFonts w:ascii="宋体" w:hAnsi="宋体" w:cs="宋体" w:eastAsia="宋体" w:hint="default"/>
                <w:spacing w:val="-2"/>
                <w:sz w:val="18"/>
                <w:szCs w:val="18"/>
              </w:rPr>
              <w:t>按组合计提坏账准</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备</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782,992.02</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523" w:right="0"/>
              <w:jc w:val="left"/>
              <w:rPr>
                <w:rFonts w:ascii="Times New Roman" w:hAnsi="Times New Roman" w:cs="Times New Roman" w:eastAsia="Times New Roman" w:hint="default"/>
                <w:sz w:val="18"/>
                <w:szCs w:val="18"/>
              </w:rPr>
            </w:pPr>
            <w:r>
              <w:rPr>
                <w:rFonts w:ascii="Times New Roman"/>
                <w:sz w:val="18"/>
              </w:rPr>
              <w:t>-20,476.95</w:t>
            </w:r>
          </w:p>
        </w:tc>
        <w:tc>
          <w:tcPr>
            <w:tcW w:w="145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762,515.07</w:t>
            </w:r>
          </w:p>
        </w:tc>
      </w:tr>
      <w:tr>
        <w:trPr>
          <w:trHeight w:val="403" w:hRule="exact"/>
        </w:trPr>
        <w:tc>
          <w:tcPr>
            <w:tcW w:w="1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090"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782,992.02</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523" w:right="0"/>
              <w:jc w:val="left"/>
              <w:rPr>
                <w:rFonts w:ascii="Times New Roman" w:hAnsi="Times New Roman" w:cs="Times New Roman" w:eastAsia="Times New Roman" w:hint="default"/>
                <w:sz w:val="18"/>
                <w:szCs w:val="18"/>
              </w:rPr>
            </w:pPr>
            <w:r>
              <w:rPr>
                <w:rFonts w:ascii="Times New Roman"/>
                <w:sz w:val="18"/>
              </w:rPr>
              <w:t>-20,476.95</w:t>
            </w:r>
          </w:p>
        </w:tc>
        <w:tc>
          <w:tcPr>
            <w:tcW w:w="145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2"/>
              <w:jc w:val="right"/>
              <w:rPr>
                <w:rFonts w:ascii="Times New Roman" w:hAnsi="Times New Roman" w:cs="Times New Roman" w:eastAsia="Times New Roman" w:hint="default"/>
                <w:sz w:val="18"/>
                <w:szCs w:val="18"/>
              </w:rPr>
            </w:pPr>
            <w:r>
              <w:rPr>
                <w:rFonts w:ascii="Times New Roman"/>
                <w:spacing w:val="-1"/>
                <w:sz w:val="18"/>
              </w:rPr>
              <w:t>762,515.07</w:t>
            </w:r>
          </w:p>
        </w:tc>
      </w:tr>
    </w:tbl>
    <w:p>
      <w:pPr>
        <w:pStyle w:val="BodyText"/>
        <w:spacing w:line="439" w:lineRule="auto" w:before="53"/>
        <w:ind w:left="513" w:right="7068" w:hanging="360"/>
        <w:jc w:val="left"/>
      </w:pPr>
      <w:r>
        <w:rPr>
          <w:spacing w:val="-3"/>
        </w:rPr>
        <w:t>其中本期坏账准备转回或收回金额重要的：</w:t>
      </w:r>
      <w:r>
        <w:rPr>
          <w:spacing w:val="-33"/>
        </w:rPr>
        <w:t> </w:t>
      </w:r>
      <w:r>
        <w:rPr>
          <w:spacing w:val="-33"/>
        </w:rPr>
      </w:r>
      <w:r>
        <w:rPr/>
        <w:t>无。</w:t>
      </w:r>
    </w:p>
    <w:p>
      <w:pPr>
        <w:spacing w:line="240" w:lineRule="auto" w:before="2"/>
        <w:rPr>
          <w:rFonts w:ascii="宋体" w:hAnsi="宋体" w:cs="宋体" w:eastAsia="宋体" w:hint="default"/>
          <w:sz w:val="21"/>
          <w:szCs w:val="21"/>
        </w:rPr>
      </w:pPr>
    </w:p>
    <w:p>
      <w:pPr>
        <w:pStyle w:val="Heading3"/>
        <w:spacing w:line="240" w:lineRule="auto"/>
        <w:ind w:right="0"/>
        <w:jc w:val="left"/>
        <w:rPr>
          <w:b w:val="0"/>
          <w:bCs w:val="0"/>
        </w:rPr>
      </w:pPr>
      <w:bookmarkStart w:name="4）本期实际核销的其他应收款情况" w:id="418"/>
      <w:bookmarkEnd w:id="418"/>
      <w:r>
        <w:rPr>
          <w:b w:val="0"/>
          <w:bCs w:val="0"/>
        </w:rPr>
      </w:r>
      <w:r>
        <w:rPr>
          <w:rFonts w:ascii="Times New Roman" w:hAnsi="Times New Roman" w:cs="Times New Roman" w:eastAsia="Times New Roman" w:hint="default"/>
        </w:rPr>
        <w:t>4</w:t>
      </w:r>
      <w:r>
        <w:rPr/>
        <w:t>）本期实际核销的其他应收款情况</w:t>
      </w:r>
      <w:r>
        <w:rPr>
          <w:b w:val="0"/>
          <w:bCs w:val="0"/>
        </w:rPr>
      </w:r>
    </w:p>
    <w:p>
      <w:pPr>
        <w:spacing w:line="240" w:lineRule="auto" w:before="12"/>
        <w:rPr>
          <w:rFonts w:ascii="宋体" w:hAnsi="宋体" w:cs="宋体" w:eastAsia="宋体" w:hint="default"/>
          <w:b/>
          <w:bCs/>
          <w:sz w:val="32"/>
          <w:szCs w:val="32"/>
        </w:rPr>
      </w:pPr>
    </w:p>
    <w:p>
      <w:pPr>
        <w:pStyle w:val="BodyText"/>
        <w:spacing w:line="240" w:lineRule="auto"/>
        <w:ind w:left="513" w:right="0"/>
        <w:jc w:val="left"/>
      </w:pPr>
      <w:r>
        <w:rPr/>
        <w:t>无。</w:t>
      </w: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14"/>
          <w:szCs w:val="14"/>
        </w:rPr>
      </w:pPr>
    </w:p>
    <w:p>
      <w:pPr>
        <w:pStyle w:val="Heading3"/>
        <w:spacing w:line="240" w:lineRule="auto"/>
        <w:ind w:right="0"/>
        <w:jc w:val="left"/>
        <w:rPr>
          <w:b w:val="0"/>
          <w:bCs w:val="0"/>
        </w:rPr>
      </w:pPr>
      <w:bookmarkStart w:name="5）按欠款方归集的期末余额前五名的其他应收款情况" w:id="419"/>
      <w:bookmarkEnd w:id="419"/>
      <w:r>
        <w:rPr>
          <w:b w:val="0"/>
          <w:bCs w:val="0"/>
        </w:rPr>
      </w: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685"/>
        <w:gridCol w:w="1551"/>
        <w:gridCol w:w="1551"/>
        <w:gridCol w:w="1556"/>
        <w:gridCol w:w="1613"/>
        <w:gridCol w:w="1618"/>
      </w:tblGrid>
      <w:tr>
        <w:trPr>
          <w:trHeight w:val="715" w:hRule="exact"/>
        </w:trPr>
        <w:tc>
          <w:tcPr>
            <w:tcW w:w="1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5"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6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81" w:right="75"/>
              <w:jc w:val="left"/>
              <w:rPr>
                <w:rFonts w:ascii="宋体" w:hAnsi="宋体" w:cs="宋体" w:eastAsia="宋体" w:hint="default"/>
                <w:sz w:val="18"/>
                <w:szCs w:val="18"/>
              </w:rPr>
            </w:pPr>
            <w:r>
              <w:rPr>
                <w:rFonts w:ascii="宋体" w:hAnsi="宋体" w:cs="宋体" w:eastAsia="宋体" w:hint="default"/>
                <w:spacing w:val="-2"/>
                <w:sz w:val="18"/>
                <w:szCs w:val="18"/>
              </w:rPr>
              <w:t>占其他应收款期末</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2"/>
                <w:sz w:val="18"/>
                <w:szCs w:val="18"/>
              </w:rPr>
              <w:t>余额合计数的比例</w:t>
            </w:r>
          </w:p>
        </w:tc>
        <w:tc>
          <w:tcPr>
            <w:tcW w:w="16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81"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399"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借款</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9,369,369.86</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一年以内</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18.59%</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468,468.49</w:t>
            </w:r>
          </w:p>
        </w:tc>
      </w:tr>
      <w:tr>
        <w:trPr>
          <w:trHeight w:val="403"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投标押金</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599,000.00</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三年以上</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1.19%</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29,950.00</w:t>
            </w:r>
          </w:p>
        </w:tc>
      </w:tr>
    </w:tbl>
    <w:p>
      <w:pPr>
        <w:spacing w:after="0" w:line="240" w:lineRule="auto"/>
        <w:jc w:val="right"/>
        <w:rPr>
          <w:rFonts w:ascii="Times New Roman" w:hAnsi="Times New Roman" w:cs="Times New Roman" w:eastAsia="Times New Roman" w:hint="default"/>
          <w:sz w:val="18"/>
          <w:szCs w:val="18"/>
        </w:rPr>
        <w:sectPr>
          <w:pgSz w:w="11910" w:h="16840"/>
          <w:pgMar w:header="871" w:footer="1186" w:top="1100" w:bottom="1380" w:left="980" w:right="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1685"/>
        <w:gridCol w:w="1551"/>
        <w:gridCol w:w="1551"/>
        <w:gridCol w:w="1556"/>
        <w:gridCol w:w="1613"/>
        <w:gridCol w:w="1618"/>
      </w:tblGrid>
      <w:tr>
        <w:trPr>
          <w:trHeight w:val="403"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402,595.19</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一年以内</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2"/>
                <w:sz w:val="18"/>
              </w:rPr>
              <w:t>0.80%</w:t>
            </w:r>
            <w:r>
              <w:rPr>
                <w:rFonts w:ascii="Times New Roman"/>
                <w:sz w:val="18"/>
              </w:rPr>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20,129.76</w:t>
            </w:r>
          </w:p>
        </w:tc>
      </w:tr>
      <w:tr>
        <w:trPr>
          <w:trHeight w:val="398"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房租押金</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339,494.40</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一年以内</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0.67%</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16,974.72</w:t>
            </w:r>
          </w:p>
        </w:tc>
      </w:tr>
      <w:tr>
        <w:trPr>
          <w:trHeight w:val="404"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216,359.17</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一年以内</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4"/>
              <w:jc w:val="right"/>
              <w:rPr>
                <w:rFonts w:ascii="Times New Roman" w:hAnsi="Times New Roman" w:cs="Times New Roman" w:eastAsia="Times New Roman" w:hint="default"/>
                <w:sz w:val="18"/>
                <w:szCs w:val="18"/>
              </w:rPr>
            </w:pPr>
            <w:r>
              <w:rPr>
                <w:rFonts w:ascii="Times New Roman"/>
                <w:spacing w:val="-1"/>
                <w:sz w:val="18"/>
              </w:rPr>
              <w:t>0.43%</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10,817.96</w:t>
            </w:r>
          </w:p>
        </w:tc>
      </w:tr>
      <w:tr>
        <w:trPr>
          <w:trHeight w:val="403" w:hRule="exact"/>
        </w:trPr>
        <w:tc>
          <w:tcPr>
            <w:tcW w:w="1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10,926,818.62</w:t>
            </w:r>
          </w:p>
        </w:tc>
        <w:tc>
          <w:tcPr>
            <w:tcW w:w="15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8"/>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21.68%</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546,340.93</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6）涉及政府补助的应收款项" w:id="420"/>
      <w:bookmarkEnd w:id="420"/>
      <w:r>
        <w:rPr>
          <w:b w:val="0"/>
          <w:bCs w:val="0"/>
        </w:rPr>
      </w:r>
      <w:r>
        <w:rPr>
          <w:rFonts w:ascii="Times New Roman" w:hAnsi="Times New Roman" w:cs="Times New Roman" w:eastAsia="Times New Roman" w:hint="default"/>
        </w:rPr>
        <w:t>6</w:t>
      </w:r>
      <w:r>
        <w:rPr/>
        <w:t>）涉及政府补助的应收款项</w:t>
      </w:r>
      <w:r>
        <w:rPr>
          <w:b w:val="0"/>
          <w:bCs w:val="0"/>
        </w:rPr>
      </w:r>
    </w:p>
    <w:p>
      <w:pPr>
        <w:spacing w:line="240" w:lineRule="auto" w:before="8"/>
        <w:rPr>
          <w:rFonts w:ascii="宋体" w:hAnsi="宋体" w:cs="宋体" w:eastAsia="宋体" w:hint="default"/>
          <w:b/>
          <w:bCs/>
          <w:sz w:val="32"/>
          <w:szCs w:val="32"/>
        </w:rPr>
      </w:pPr>
    </w:p>
    <w:p>
      <w:pPr>
        <w:pStyle w:val="BodyText"/>
        <w:spacing w:line="240" w:lineRule="auto"/>
        <w:ind w:left="513" w:right="0"/>
        <w:jc w:val="left"/>
      </w:pPr>
      <w:r>
        <w:rPr/>
        <w:t>无。</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4"/>
          <w:szCs w:val="14"/>
        </w:rPr>
      </w:pPr>
    </w:p>
    <w:p>
      <w:pPr>
        <w:pStyle w:val="Heading3"/>
        <w:spacing w:line="240" w:lineRule="auto"/>
        <w:ind w:right="0"/>
        <w:jc w:val="left"/>
        <w:rPr>
          <w:b w:val="0"/>
          <w:bCs w:val="0"/>
        </w:rPr>
      </w:pPr>
      <w:bookmarkStart w:name="7）因金融资产转移而终止确认的其他应收款" w:id="421"/>
      <w:bookmarkEnd w:id="421"/>
      <w:r>
        <w:rPr>
          <w:b w:val="0"/>
          <w:bCs w:val="0"/>
        </w:rPr>
      </w:r>
      <w:r>
        <w:rPr>
          <w:rFonts w:ascii="Times New Roman" w:hAnsi="Times New Roman" w:cs="Times New Roman" w:eastAsia="Times New Roman" w:hint="default"/>
        </w:rPr>
        <w:t>7</w:t>
      </w:r>
      <w:r>
        <w:rPr/>
        <w:t>）因金融资产转移而终止确认的其他应收款</w:t>
      </w:r>
      <w:r>
        <w:rPr>
          <w:b w:val="0"/>
          <w:bCs w:val="0"/>
        </w:rPr>
      </w:r>
    </w:p>
    <w:p>
      <w:pPr>
        <w:spacing w:line="240" w:lineRule="auto" w:before="7"/>
        <w:rPr>
          <w:rFonts w:ascii="宋体" w:hAnsi="宋体" w:cs="宋体" w:eastAsia="宋体" w:hint="default"/>
          <w:b/>
          <w:bCs/>
          <w:sz w:val="32"/>
          <w:szCs w:val="32"/>
        </w:rPr>
      </w:pPr>
    </w:p>
    <w:p>
      <w:pPr>
        <w:pStyle w:val="BodyText"/>
        <w:spacing w:line="240" w:lineRule="auto"/>
        <w:ind w:left="513" w:right="0"/>
        <w:jc w:val="left"/>
      </w:pPr>
      <w:r>
        <w:rPr/>
        <w:t>无。</w:t>
      </w: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14"/>
          <w:szCs w:val="14"/>
        </w:rPr>
      </w:pPr>
    </w:p>
    <w:p>
      <w:pPr>
        <w:pStyle w:val="Heading3"/>
        <w:spacing w:line="240" w:lineRule="auto"/>
        <w:ind w:right="0"/>
        <w:jc w:val="left"/>
        <w:rPr>
          <w:b w:val="0"/>
          <w:bCs w:val="0"/>
        </w:rPr>
      </w:pPr>
      <w:bookmarkStart w:name="8）转移其他应收款且继续涉入形成的资产、负债金额" w:id="422"/>
      <w:bookmarkEnd w:id="422"/>
      <w:r>
        <w:rPr>
          <w:b w:val="0"/>
          <w:bCs w:val="0"/>
        </w:rPr>
      </w:r>
      <w:r>
        <w:rPr>
          <w:rFonts w:ascii="Times New Roman" w:hAnsi="Times New Roman" w:cs="Times New Roman" w:eastAsia="Times New Roman" w:hint="default"/>
        </w:rPr>
        <w:t>8</w:t>
      </w:r>
      <w:r>
        <w:rPr/>
        <w:t>）转移其他应收款且继续涉入形成的资产、负债金额</w:t>
      </w:r>
      <w:r>
        <w:rPr>
          <w:b w:val="0"/>
          <w:bCs w:val="0"/>
        </w:rPr>
      </w:r>
    </w:p>
    <w:p>
      <w:pPr>
        <w:spacing w:line="240" w:lineRule="auto" w:before="7"/>
        <w:rPr>
          <w:rFonts w:ascii="宋体" w:hAnsi="宋体" w:cs="宋体" w:eastAsia="宋体" w:hint="default"/>
          <w:b/>
          <w:bCs/>
          <w:sz w:val="32"/>
          <w:szCs w:val="32"/>
        </w:rPr>
      </w:pPr>
    </w:p>
    <w:p>
      <w:pPr>
        <w:pStyle w:val="BodyText"/>
        <w:spacing w:line="240" w:lineRule="auto"/>
        <w:ind w:left="513" w:right="0"/>
        <w:jc w:val="left"/>
      </w:pPr>
      <w:r>
        <w:rPr/>
        <w:t>无。</w:t>
      </w: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14"/>
          <w:szCs w:val="14"/>
        </w:rPr>
      </w:pPr>
    </w:p>
    <w:p>
      <w:pPr>
        <w:pStyle w:val="Heading3"/>
        <w:spacing w:line="240" w:lineRule="auto"/>
        <w:ind w:right="0"/>
        <w:jc w:val="left"/>
        <w:rPr>
          <w:b w:val="0"/>
          <w:bCs w:val="0"/>
        </w:rPr>
      </w:pPr>
      <w:bookmarkStart w:name="3、长期股权投资" w:id="423"/>
      <w:bookmarkEnd w:id="423"/>
      <w:r>
        <w:rPr>
          <w:b w:val="0"/>
          <w:bCs w:val="0"/>
        </w:rPr>
      </w:r>
      <w:r>
        <w:rPr>
          <w:rFonts w:ascii="Times New Roman" w:hAnsi="Times New Roman" w:cs="Times New Roman" w:eastAsia="Times New Roman" w:hint="default"/>
        </w:rPr>
        <w:t>3</w:t>
      </w:r>
      <w:r>
        <w:rPr/>
        <w:t>、长期股权投资</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345"/>
        <w:gridCol w:w="1380"/>
        <w:gridCol w:w="1369"/>
        <w:gridCol w:w="1368"/>
        <w:gridCol w:w="1364"/>
        <w:gridCol w:w="1369"/>
        <w:gridCol w:w="1369"/>
      </w:tblGrid>
      <w:tr>
        <w:trPr>
          <w:trHeight w:val="206" w:hRule="exact"/>
        </w:trPr>
        <w:tc>
          <w:tcPr>
            <w:tcW w:w="1345" w:type="dxa"/>
            <w:tcBorders>
              <w:top w:val="single" w:sz="4" w:space="0" w:color="000000"/>
              <w:left w:val="single" w:sz="4" w:space="0" w:color="000000"/>
              <w:bottom w:val="nil" w:sz="6" w:space="0" w:color="auto"/>
              <w:right w:val="single" w:sz="4" w:space="0" w:color="000000"/>
            </w:tcBorders>
            <w:shd w:val="clear" w:color="auto" w:fill="D2D2D2"/>
          </w:tcPr>
          <w:p>
            <w:pPr/>
          </w:p>
        </w:tc>
        <w:tc>
          <w:tcPr>
            <w:tcW w:w="4117"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1"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2" w:hRule="exact"/>
        </w:trPr>
        <w:tc>
          <w:tcPr>
            <w:tcW w:w="134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17" w:type="dxa"/>
            <w:gridSpan w:val="3"/>
            <w:vMerge/>
            <w:tcBorders>
              <w:left w:val="single" w:sz="4" w:space="0" w:color="000000"/>
              <w:bottom w:val="single" w:sz="4" w:space="0" w:color="000000"/>
              <w:right w:val="single" w:sz="4" w:space="0" w:color="000000"/>
            </w:tcBorders>
            <w:shd w:val="clear" w:color="auto" w:fill="D2D2D2"/>
          </w:tcPr>
          <w:p>
            <w:pPr/>
          </w:p>
        </w:tc>
        <w:tc>
          <w:tcPr>
            <w:tcW w:w="4101" w:type="dxa"/>
            <w:gridSpan w:val="3"/>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345" w:type="dxa"/>
            <w:vMerge/>
            <w:tcBorders>
              <w:left w:val="single" w:sz="4" w:space="0" w:color="000000"/>
              <w:bottom w:val="nil" w:sz="6" w:space="0" w:color="auto"/>
              <w:right w:val="single" w:sz="4" w:space="0" w:color="000000"/>
            </w:tcBorders>
            <w:shd w:val="clear" w:color="auto" w:fill="D2D2D2"/>
          </w:tcPr>
          <w:p>
            <w:pPr/>
          </w:p>
        </w:tc>
        <w:tc>
          <w:tcPr>
            <w:tcW w:w="138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32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316"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316"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31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317"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2" w:hRule="exact"/>
        </w:trPr>
        <w:tc>
          <w:tcPr>
            <w:tcW w:w="1345" w:type="dxa"/>
            <w:tcBorders>
              <w:top w:val="nil" w:sz="6" w:space="0" w:color="auto"/>
              <w:left w:val="single" w:sz="4" w:space="0" w:color="000000"/>
              <w:bottom w:val="single" w:sz="4" w:space="0" w:color="000000"/>
              <w:right w:val="single" w:sz="4" w:space="0" w:color="000000"/>
            </w:tcBorders>
            <w:shd w:val="clear" w:color="auto" w:fill="D2D2D2"/>
          </w:tcPr>
          <w:p>
            <w:pPr/>
          </w:p>
        </w:tc>
        <w:tc>
          <w:tcPr>
            <w:tcW w:w="1380"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4"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3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1"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3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387,314,393.37</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387,314,393.37</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384,564,393.37</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384,564,393.37</w:t>
            </w:r>
          </w:p>
        </w:tc>
      </w:tr>
      <w:tr>
        <w:trPr>
          <w:trHeight w:val="715" w:hRule="exact"/>
        </w:trPr>
        <w:tc>
          <w:tcPr>
            <w:tcW w:w="13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11" w:right="58"/>
              <w:jc w:val="left"/>
              <w:rPr>
                <w:rFonts w:ascii="宋体" w:hAnsi="宋体" w:cs="宋体" w:eastAsia="宋体" w:hint="default"/>
                <w:sz w:val="18"/>
                <w:szCs w:val="18"/>
              </w:rPr>
            </w:pPr>
            <w:r>
              <w:rPr>
                <w:rFonts w:ascii="宋体" w:hAnsi="宋体" w:cs="宋体" w:eastAsia="宋体" w:hint="default"/>
                <w:spacing w:val="-3"/>
                <w:sz w:val="18"/>
                <w:szCs w:val="18"/>
              </w:rPr>
              <w:t>对联营、合营企</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业投资</w:t>
            </w:r>
          </w:p>
        </w:tc>
        <w:tc>
          <w:tcPr>
            <w:tcW w:w="13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459,099,639.04</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459,099,639.04</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478,677,871.61</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478,677,871.61</w:t>
            </w:r>
          </w:p>
        </w:tc>
      </w:tr>
      <w:tr>
        <w:trPr>
          <w:trHeight w:val="403" w:hRule="exact"/>
        </w:trPr>
        <w:tc>
          <w:tcPr>
            <w:tcW w:w="13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846,414,032.41</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846,414,032.41</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863,242,264.98</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863,242,264.98</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1）对子公司投资" w:id="424"/>
      <w:bookmarkEnd w:id="424"/>
      <w:r>
        <w:rPr>
          <w:b w:val="0"/>
          <w:bCs w:val="0"/>
        </w:rPr>
      </w:r>
      <w:r>
        <w:rPr/>
        <w:t>（</w:t>
      </w:r>
      <w:r>
        <w:rPr>
          <w:rFonts w:ascii="Times New Roman" w:hAnsi="Times New Roman" w:cs="Times New Roman" w:eastAsia="Times New Roman" w:hint="default"/>
        </w:rPr>
        <w:t>1</w:t>
      </w:r>
      <w:r>
        <w:rPr/>
        <w:t>）对子公司投资</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10"/>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268"/>
        <w:gridCol w:w="1167"/>
        <w:gridCol w:w="1167"/>
        <w:gridCol w:w="1167"/>
        <w:gridCol w:w="1167"/>
        <w:gridCol w:w="1210"/>
        <w:gridCol w:w="1215"/>
        <w:gridCol w:w="1215"/>
      </w:tblGrid>
      <w:tr>
        <w:trPr>
          <w:trHeight w:val="401" w:hRule="exact"/>
        </w:trPr>
        <w:tc>
          <w:tcPr>
            <w:tcW w:w="12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77"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167" w:type="dxa"/>
            <w:vMerge w:val="restart"/>
            <w:tcBorders>
              <w:top w:val="single" w:sz="4" w:space="0" w:color="000000"/>
              <w:left w:val="single" w:sz="4" w:space="0" w:color="000000"/>
              <w:right w:val="single" w:sz="4" w:space="0" w:color="000000"/>
            </w:tcBorders>
            <w:shd w:val="clear" w:color="auto" w:fill="D2D2D2"/>
          </w:tcPr>
          <w:p>
            <w:pPr>
              <w:pStyle w:val="TableParagraph"/>
              <w:spacing w:line="300" w:lineRule="auto" w:before="99"/>
              <w:ind w:left="278" w:right="95" w:hanging="183"/>
              <w:jc w:val="left"/>
              <w:rPr>
                <w:rFonts w:ascii="Times New Roman" w:hAnsi="Times New Roman" w:cs="Times New Roman" w:eastAsia="Times New Roman" w:hint="default"/>
                <w:sz w:val="18"/>
                <w:szCs w:val="18"/>
              </w:rPr>
            </w:pPr>
            <w:r>
              <w:rPr>
                <w:rFonts w:ascii="宋体" w:hAnsi="宋体" w:cs="宋体" w:eastAsia="宋体" w:hint="default"/>
                <w:spacing w:val="-2"/>
                <w:sz w:val="18"/>
                <w:szCs w:val="18"/>
              </w:rPr>
              <w:t>期初余额</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账</w:t>
            </w:r>
            <w:r>
              <w:rPr>
                <w:rFonts w:ascii="宋体" w:hAnsi="宋体" w:cs="宋体" w:eastAsia="宋体" w:hint="default"/>
                <w:spacing w:val="-75"/>
                <w:sz w:val="18"/>
                <w:szCs w:val="18"/>
              </w:rPr>
              <w:t> </w:t>
            </w:r>
            <w:r>
              <w:rPr>
                <w:rFonts w:ascii="宋体" w:hAnsi="宋体" w:cs="宋体" w:eastAsia="宋体" w:hint="default"/>
                <w:sz w:val="18"/>
                <w:szCs w:val="18"/>
              </w:rPr>
              <w:t>面价值</w:t>
            </w:r>
            <w:r>
              <w:rPr>
                <w:rFonts w:ascii="Times New Roman" w:hAnsi="Times New Roman" w:cs="Times New Roman" w:eastAsia="Times New Roman" w:hint="default"/>
                <w:sz w:val="18"/>
                <w:szCs w:val="18"/>
              </w:rPr>
              <w:t>)</w:t>
            </w:r>
          </w:p>
        </w:tc>
        <w:tc>
          <w:tcPr>
            <w:tcW w:w="471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4"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1215" w:type="dxa"/>
            <w:vMerge w:val="restart"/>
            <w:tcBorders>
              <w:top w:val="single" w:sz="4" w:space="0" w:color="000000"/>
              <w:left w:val="single" w:sz="4" w:space="0" w:color="000000"/>
              <w:right w:val="single" w:sz="4" w:space="0" w:color="000000"/>
            </w:tcBorders>
            <w:shd w:val="clear" w:color="auto" w:fill="D2D2D2"/>
          </w:tcPr>
          <w:p>
            <w:pPr>
              <w:pStyle w:val="TableParagraph"/>
              <w:spacing w:line="300" w:lineRule="auto" w:before="99"/>
              <w:ind w:left="393" w:right="33" w:hanging="36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期末余额</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账面</w:t>
            </w:r>
            <w:r>
              <w:rPr>
                <w:rFonts w:ascii="宋体" w:hAnsi="宋体" w:cs="宋体" w:eastAsia="宋体" w:hint="default"/>
                <w:spacing w:val="-73"/>
                <w:sz w:val="18"/>
                <w:szCs w:val="18"/>
              </w:rPr>
              <w:t> </w:t>
            </w:r>
            <w:r>
              <w:rPr>
                <w:rFonts w:ascii="宋体" w:hAnsi="宋体" w:cs="宋体" w:eastAsia="宋体" w:hint="default"/>
                <w:sz w:val="18"/>
                <w:szCs w:val="18"/>
              </w:rPr>
              <w:t>价值</w:t>
            </w:r>
            <w:r>
              <w:rPr>
                <w:rFonts w:ascii="Times New Roman" w:hAnsi="Times New Roman" w:cs="Times New Roman" w:eastAsia="Times New Roman" w:hint="default"/>
                <w:sz w:val="18"/>
                <w:szCs w:val="18"/>
              </w:rPr>
              <w:t>)</w:t>
            </w:r>
          </w:p>
        </w:tc>
        <w:tc>
          <w:tcPr>
            <w:tcW w:w="1215"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99"/>
              <w:ind w:left="422" w:right="55" w:hanging="360"/>
              <w:jc w:val="left"/>
              <w:rPr>
                <w:rFonts w:ascii="宋体" w:hAnsi="宋体" w:cs="宋体" w:eastAsia="宋体" w:hint="default"/>
                <w:sz w:val="18"/>
                <w:szCs w:val="18"/>
              </w:rPr>
            </w:pPr>
            <w:r>
              <w:rPr>
                <w:rFonts w:ascii="宋体" w:hAnsi="宋体" w:cs="宋体" w:eastAsia="宋体" w:hint="default"/>
                <w:spacing w:val="-2"/>
                <w:sz w:val="18"/>
                <w:szCs w:val="18"/>
              </w:rPr>
              <w:t>减值准备期末</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余额</w:t>
            </w:r>
          </w:p>
        </w:tc>
      </w:tr>
      <w:tr>
        <w:trPr>
          <w:trHeight w:val="404" w:hRule="exact"/>
        </w:trPr>
        <w:tc>
          <w:tcPr>
            <w:tcW w:w="1268" w:type="dxa"/>
            <w:vMerge/>
            <w:tcBorders>
              <w:left w:val="single" w:sz="4" w:space="0" w:color="000000"/>
              <w:bottom w:val="single" w:sz="4" w:space="0" w:color="000000"/>
              <w:right w:val="single" w:sz="4" w:space="0" w:color="000000"/>
            </w:tcBorders>
            <w:shd w:val="clear" w:color="auto" w:fill="D2D2D2"/>
          </w:tcPr>
          <w:p>
            <w:pPr/>
          </w:p>
        </w:tc>
        <w:tc>
          <w:tcPr>
            <w:tcW w:w="1167" w:type="dxa"/>
            <w:vMerge/>
            <w:tcBorders>
              <w:left w:val="single" w:sz="4" w:space="0" w:color="000000"/>
              <w:bottom w:val="single" w:sz="4" w:space="0" w:color="000000"/>
              <w:right w:val="single" w:sz="4" w:space="0" w:color="000000"/>
            </w:tcBorders>
            <w:shd w:val="clear" w:color="auto" w:fill="D2D2D2"/>
          </w:tcPr>
          <w:p>
            <w:pP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16"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15"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8" w:right="0"/>
              <w:jc w:val="left"/>
              <w:rPr>
                <w:rFonts w:ascii="宋体" w:hAnsi="宋体" w:cs="宋体" w:eastAsia="宋体" w:hint="default"/>
                <w:sz w:val="18"/>
                <w:szCs w:val="18"/>
              </w:rPr>
            </w:pPr>
            <w:r>
              <w:rPr>
                <w:rFonts w:ascii="宋体" w:hAnsi="宋体" w:cs="宋体" w:eastAsia="宋体" w:hint="default"/>
                <w:sz w:val="18"/>
                <w:szCs w:val="18"/>
              </w:rPr>
              <w:t>计提减值准备</w:t>
            </w:r>
          </w:p>
        </w:tc>
        <w:tc>
          <w:tcPr>
            <w:tcW w:w="12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8"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215" w:type="dxa"/>
            <w:vMerge/>
            <w:tcBorders>
              <w:left w:val="single" w:sz="4" w:space="0" w:color="000000"/>
              <w:bottom w:val="single" w:sz="4" w:space="0" w:color="000000"/>
              <w:right w:val="single" w:sz="4" w:space="0" w:color="000000"/>
            </w:tcBorders>
            <w:shd w:val="clear" w:color="auto" w:fill="D2D2D2"/>
          </w:tcPr>
          <w:p>
            <w:pPr/>
          </w:p>
        </w:tc>
        <w:tc>
          <w:tcPr>
            <w:tcW w:w="1215" w:type="dxa"/>
            <w:vMerge/>
            <w:tcBorders>
              <w:left w:val="single" w:sz="4" w:space="0" w:color="000000"/>
              <w:bottom w:val="single" w:sz="4" w:space="0" w:color="000000"/>
              <w:right w:val="single" w:sz="4" w:space="0" w:color="000000"/>
            </w:tcBorders>
            <w:shd w:val="clear" w:color="auto" w:fill="D2D2D2"/>
          </w:tcPr>
          <w:p>
            <w:pPr/>
          </w:p>
        </w:tc>
      </w:tr>
      <w:tr>
        <w:trPr>
          <w:trHeight w:val="1027"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147"/>
              <w:jc w:val="both"/>
              <w:rPr>
                <w:rFonts w:ascii="宋体" w:hAnsi="宋体" w:cs="宋体" w:eastAsia="宋体" w:hint="default"/>
                <w:sz w:val="18"/>
                <w:szCs w:val="18"/>
              </w:rPr>
            </w:pPr>
            <w:r>
              <w:rPr>
                <w:rFonts w:ascii="宋体" w:hAnsi="宋体" w:cs="宋体" w:eastAsia="宋体" w:hint="default"/>
                <w:spacing w:val="-2"/>
                <w:sz w:val="18"/>
                <w:szCs w:val="18"/>
              </w:rPr>
              <w:t>深圳银之杰拓</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扑技术有限公</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司</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
        </w:tc>
        <w:tc>
          <w:tcPr>
            <w:tcW w:w="1215" w:type="dxa"/>
            <w:tcBorders>
              <w:top w:val="single" w:sz="4" w:space="0" w:color="000000"/>
              <w:left w:val="single" w:sz="4" w:space="0" w:color="000000"/>
              <w:bottom w:val="single" w:sz="4" w:space="0" w:color="000000"/>
              <w:right w:val="single" w:sz="4" w:space="0" w:color="000000"/>
            </w:tcBorders>
          </w:tcPr>
          <w:p>
            <w:pPr/>
          </w:p>
        </w:tc>
        <w:tc>
          <w:tcPr>
            <w:tcW w:w="1215" w:type="dxa"/>
            <w:tcBorders>
              <w:top w:val="single" w:sz="4" w:space="0" w:color="000000"/>
              <w:left w:val="single" w:sz="4" w:space="0" w:color="000000"/>
              <w:bottom w:val="single" w:sz="4" w:space="0" w:color="000000"/>
              <w:right w:val="single" w:sz="4" w:space="0" w:color="000000"/>
            </w:tcBorders>
          </w:tcPr>
          <w:p>
            <w:pPr/>
          </w:p>
        </w:tc>
      </w:tr>
      <w:tr>
        <w:trPr>
          <w:trHeight w:val="1023"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147"/>
              <w:jc w:val="both"/>
              <w:rPr>
                <w:rFonts w:ascii="宋体" w:hAnsi="宋体" w:cs="宋体" w:eastAsia="宋体" w:hint="default"/>
                <w:sz w:val="18"/>
                <w:szCs w:val="18"/>
              </w:rPr>
            </w:pPr>
            <w:r>
              <w:rPr>
                <w:rFonts w:ascii="宋体" w:hAnsi="宋体" w:cs="宋体" w:eastAsia="宋体" w:hint="default"/>
                <w:spacing w:val="-2"/>
                <w:sz w:val="18"/>
                <w:szCs w:val="18"/>
              </w:rPr>
              <w:t>深圳银之杰智</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慧科技有限公</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司</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167" w:right="0"/>
              <w:jc w:val="center"/>
              <w:rPr>
                <w:rFonts w:ascii="Times New Roman" w:hAnsi="Times New Roman" w:cs="Times New Roman" w:eastAsia="Times New Roman" w:hint="default"/>
                <w:sz w:val="18"/>
                <w:szCs w:val="18"/>
              </w:rPr>
            </w:pPr>
            <w:r>
              <w:rPr>
                <w:rFonts w:ascii="Times New Roman"/>
                <w:sz w:val="18"/>
              </w:rPr>
              <w:t>3,000,000.00</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3,000,000.00</w:t>
            </w:r>
          </w:p>
        </w:tc>
        <w:tc>
          <w:tcPr>
            <w:tcW w:w="121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4" w:right="0"/>
              <w:jc w:val="left"/>
              <w:rPr>
                <w:rFonts w:ascii="宋体" w:hAnsi="宋体" w:cs="宋体" w:eastAsia="宋体" w:hint="default"/>
                <w:sz w:val="18"/>
                <w:szCs w:val="18"/>
              </w:rPr>
            </w:pPr>
            <w:r>
              <w:rPr>
                <w:rFonts w:ascii="宋体" w:hAnsi="宋体" w:cs="宋体" w:eastAsia="宋体" w:hint="default"/>
                <w:sz w:val="18"/>
                <w:szCs w:val="18"/>
              </w:rPr>
              <w:t>北京亿美软通</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76" w:right="0"/>
              <w:jc w:val="center"/>
              <w:rPr>
                <w:rFonts w:ascii="Times New Roman" w:hAnsi="Times New Roman" w:cs="Times New Roman" w:eastAsia="Times New Roman" w:hint="default"/>
                <w:sz w:val="18"/>
                <w:szCs w:val="18"/>
              </w:rPr>
            </w:pPr>
            <w:r>
              <w:rPr>
                <w:rFonts w:ascii="Times New Roman"/>
                <w:sz w:val="18"/>
              </w:rPr>
              <w:t>359,999,976.3</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359,999,976.37</w:t>
            </w:r>
          </w:p>
        </w:tc>
        <w:tc>
          <w:tcPr>
            <w:tcW w:w="1215"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1" w:footer="1186" w:top="1100" w:bottom="1380" w:left="980" w:right="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1268"/>
        <w:gridCol w:w="1167"/>
        <w:gridCol w:w="1167"/>
        <w:gridCol w:w="1167"/>
        <w:gridCol w:w="1167"/>
        <w:gridCol w:w="1210"/>
        <w:gridCol w:w="1215"/>
        <w:gridCol w:w="1215"/>
      </w:tblGrid>
      <w:tr>
        <w:trPr>
          <w:trHeight w:val="360"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24" w:right="0"/>
              <w:jc w:val="left"/>
              <w:rPr>
                <w:rFonts w:ascii="宋体" w:hAnsi="宋体" w:cs="宋体" w:eastAsia="宋体" w:hint="default"/>
                <w:sz w:val="18"/>
                <w:szCs w:val="18"/>
              </w:rPr>
            </w:pPr>
            <w:r>
              <w:rPr>
                <w:rFonts w:ascii="宋体" w:hAnsi="宋体" w:cs="宋体" w:eastAsia="宋体" w:hint="default"/>
                <w:sz w:val="18"/>
                <w:szCs w:val="18"/>
              </w:rPr>
              <w:t>科技有限公司</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23"/>
              <w:jc w:val="right"/>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tc>
        <w:tc>
          <w:tcPr>
            <w:tcW w:w="1167"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
        </w:tc>
        <w:tc>
          <w:tcPr>
            <w:tcW w:w="1215" w:type="dxa"/>
            <w:tcBorders>
              <w:top w:val="single" w:sz="4" w:space="0" w:color="000000"/>
              <w:left w:val="single" w:sz="4" w:space="0" w:color="000000"/>
              <w:bottom w:val="single" w:sz="4" w:space="0" w:color="000000"/>
              <w:right w:val="single" w:sz="4" w:space="0" w:color="000000"/>
            </w:tcBorders>
          </w:tcPr>
          <w:p>
            <w:pPr/>
          </w:p>
        </w:tc>
        <w:tc>
          <w:tcPr>
            <w:tcW w:w="1215"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4" w:right="147"/>
              <w:jc w:val="left"/>
              <w:rPr>
                <w:rFonts w:ascii="宋体" w:hAnsi="宋体" w:cs="宋体" w:eastAsia="宋体" w:hint="default"/>
                <w:sz w:val="18"/>
                <w:szCs w:val="18"/>
              </w:rPr>
            </w:pPr>
            <w:r>
              <w:rPr>
                <w:rFonts w:ascii="宋体" w:hAnsi="宋体" w:cs="宋体" w:eastAsia="宋体" w:hint="default"/>
                <w:spacing w:val="-2"/>
                <w:sz w:val="18"/>
                <w:szCs w:val="18"/>
              </w:rPr>
              <w:t>安科创新（深</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圳）有限公司</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2"/>
                <w:sz w:val="18"/>
              </w:rPr>
              <w:t>11,564,417.00</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2"/>
                <w:sz w:val="18"/>
              </w:rPr>
              <w:t>11,564,417.00</w:t>
            </w:r>
          </w:p>
        </w:tc>
        <w:tc>
          <w:tcPr>
            <w:tcW w:w="1215"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147"/>
              <w:jc w:val="both"/>
              <w:rPr>
                <w:rFonts w:ascii="宋体" w:hAnsi="宋体" w:cs="宋体" w:eastAsia="宋体" w:hint="default"/>
                <w:sz w:val="18"/>
                <w:szCs w:val="18"/>
              </w:rPr>
            </w:pPr>
            <w:r>
              <w:rPr>
                <w:rFonts w:ascii="宋体" w:hAnsi="宋体" w:cs="宋体" w:eastAsia="宋体" w:hint="default"/>
                <w:spacing w:val="-2"/>
                <w:sz w:val="18"/>
                <w:szCs w:val="18"/>
              </w:rPr>
              <w:t>深圳银之杰资</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产管理有限公</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司</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10,000,000.00</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10,000,000.00</w:t>
            </w:r>
          </w:p>
        </w:tc>
        <w:tc>
          <w:tcPr>
            <w:tcW w:w="1215"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147"/>
              <w:jc w:val="left"/>
              <w:rPr>
                <w:rFonts w:ascii="宋体" w:hAnsi="宋体" w:cs="宋体" w:eastAsia="宋体" w:hint="default"/>
                <w:sz w:val="18"/>
                <w:szCs w:val="18"/>
              </w:rPr>
            </w:pPr>
            <w:r>
              <w:rPr>
                <w:rFonts w:ascii="宋体" w:hAnsi="宋体" w:cs="宋体" w:eastAsia="宋体" w:hint="default"/>
                <w:spacing w:val="-2"/>
                <w:sz w:val="18"/>
                <w:szCs w:val="18"/>
              </w:rPr>
              <w:t>北京杰智融软</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件有限公司</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2,750,000.00</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2,750,000.00</w:t>
            </w:r>
          </w:p>
        </w:tc>
        <w:tc>
          <w:tcPr>
            <w:tcW w:w="1215"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384,564,393.3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2,750,000.00</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387,314,393.37</w:t>
            </w:r>
          </w:p>
        </w:tc>
        <w:tc>
          <w:tcPr>
            <w:tcW w:w="121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2）对联营、合营企业投资" w:id="425"/>
      <w:bookmarkEnd w:id="425"/>
      <w:r>
        <w:rPr>
          <w:b w:val="0"/>
          <w:bCs w:val="0"/>
        </w:rPr>
      </w:r>
      <w:r>
        <w:rPr/>
        <w:t>（</w:t>
      </w:r>
      <w:r>
        <w:rPr>
          <w:rFonts w:ascii="Times New Roman" w:hAnsi="Times New Roman" w:cs="Times New Roman" w:eastAsia="Times New Roman" w:hint="default"/>
        </w:rPr>
        <w:t>2</w:t>
      </w:r>
      <w:r>
        <w:rPr/>
        <w:t>）对联营、合营企业投资</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797"/>
        <w:gridCol w:w="797"/>
        <w:gridCol w:w="797"/>
        <w:gridCol w:w="797"/>
        <w:gridCol w:w="797"/>
        <w:gridCol w:w="802"/>
        <w:gridCol w:w="797"/>
        <w:gridCol w:w="797"/>
        <w:gridCol w:w="797"/>
        <w:gridCol w:w="802"/>
        <w:gridCol w:w="797"/>
        <w:gridCol w:w="797"/>
      </w:tblGrid>
      <w:tr>
        <w:trPr>
          <w:trHeight w:val="403" w:hRule="exact"/>
        </w:trPr>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投资单位</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309" w:lineRule="auto"/>
              <w:ind w:left="33" w:right="26"/>
              <w:jc w:val="center"/>
              <w:rPr>
                <w:rFonts w:ascii="Times New Roman" w:hAnsi="Times New Roman" w:cs="Times New Roman" w:eastAsia="Times New Roman" w:hint="default"/>
                <w:sz w:val="18"/>
                <w:szCs w:val="18"/>
              </w:rPr>
            </w:pPr>
            <w:r>
              <w:rPr>
                <w:rFonts w:ascii="宋体" w:hAnsi="宋体" w:cs="宋体" w:eastAsia="宋体" w:hint="default"/>
                <w:spacing w:val="-2"/>
                <w:sz w:val="18"/>
                <w:szCs w:val="18"/>
              </w:rPr>
              <w:t>期初余额</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Times New Roman" w:hAnsi="Times New Roman" w:cs="Times New Roman" w:eastAsia="Times New Roman" w:hint="default"/>
                <w:sz w:val="18"/>
                <w:szCs w:val="18"/>
              </w:rPr>
              <w:t>(</w:t>
            </w:r>
            <w:r>
              <w:rPr>
                <w:rFonts w:ascii="宋体" w:hAnsi="宋体" w:cs="宋体" w:eastAsia="宋体" w:hint="default"/>
                <w:sz w:val="18"/>
                <w:szCs w:val="18"/>
              </w:rPr>
              <w:t>账面价</w:t>
            </w:r>
            <w:r>
              <w:rPr>
                <w:rFonts w:ascii="宋体" w:hAnsi="宋体" w:cs="宋体" w:eastAsia="宋体" w:hint="default"/>
                <w:w w:val="101"/>
                <w:sz w:val="18"/>
                <w:szCs w:val="18"/>
              </w:rPr>
              <w:t> </w:t>
            </w:r>
            <w:r>
              <w:rPr>
                <w:rFonts w:ascii="宋体" w:hAnsi="宋体" w:cs="宋体" w:eastAsia="宋体" w:hint="default"/>
                <w:sz w:val="18"/>
                <w:szCs w:val="18"/>
              </w:rPr>
              <w:t>值</w:t>
            </w:r>
            <w:r>
              <w:rPr>
                <w:rFonts w:ascii="Times New Roman" w:hAnsi="Times New Roman" w:cs="Times New Roman" w:eastAsia="Times New Roman" w:hint="default"/>
                <w:sz w:val="18"/>
                <w:szCs w:val="18"/>
              </w:rPr>
              <w:t>)</w:t>
            </w:r>
          </w:p>
        </w:tc>
        <w:tc>
          <w:tcPr>
            <w:tcW w:w="6386"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309" w:lineRule="auto"/>
              <w:ind w:left="33" w:right="27"/>
              <w:jc w:val="center"/>
              <w:rPr>
                <w:rFonts w:ascii="Times New Roman" w:hAnsi="Times New Roman" w:cs="Times New Roman" w:eastAsia="Times New Roman" w:hint="default"/>
                <w:sz w:val="18"/>
                <w:szCs w:val="18"/>
              </w:rPr>
            </w:pPr>
            <w:r>
              <w:rPr>
                <w:rFonts w:ascii="宋体" w:hAnsi="宋体" w:cs="宋体" w:eastAsia="宋体" w:hint="default"/>
                <w:spacing w:val="-2"/>
                <w:sz w:val="18"/>
                <w:szCs w:val="18"/>
              </w:rPr>
              <w:t>期末余额</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Times New Roman" w:hAnsi="Times New Roman" w:cs="Times New Roman" w:eastAsia="Times New Roman" w:hint="default"/>
                <w:sz w:val="18"/>
                <w:szCs w:val="18"/>
              </w:rPr>
              <w:t>(</w:t>
            </w:r>
            <w:r>
              <w:rPr>
                <w:rFonts w:ascii="宋体" w:hAnsi="宋体" w:cs="宋体" w:eastAsia="宋体" w:hint="default"/>
                <w:sz w:val="18"/>
                <w:szCs w:val="18"/>
              </w:rPr>
              <w:t>账面价</w:t>
            </w:r>
            <w:r>
              <w:rPr>
                <w:rFonts w:ascii="宋体" w:hAnsi="宋体" w:cs="宋体" w:eastAsia="宋体" w:hint="default"/>
                <w:w w:val="101"/>
                <w:sz w:val="18"/>
                <w:szCs w:val="18"/>
              </w:rPr>
              <w:t> </w:t>
            </w:r>
            <w:r>
              <w:rPr>
                <w:rFonts w:ascii="宋体" w:hAnsi="宋体" w:cs="宋体" w:eastAsia="宋体" w:hint="default"/>
                <w:sz w:val="18"/>
                <w:szCs w:val="18"/>
              </w:rPr>
              <w:t>值</w:t>
            </w:r>
            <w:r>
              <w:rPr>
                <w:rFonts w:ascii="Times New Roman" w:hAnsi="Times New Roman" w:cs="Times New Roman" w:eastAsia="Times New Roman" w:hint="default"/>
                <w:sz w:val="18"/>
                <w:szCs w:val="18"/>
              </w:rPr>
              <w:t>)</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316" w:lineRule="auto"/>
              <w:ind w:left="33" w:right="26"/>
              <w:jc w:val="left"/>
              <w:rPr>
                <w:rFonts w:ascii="宋体" w:hAnsi="宋体" w:cs="宋体" w:eastAsia="宋体" w:hint="default"/>
                <w:sz w:val="18"/>
                <w:szCs w:val="18"/>
              </w:rPr>
            </w:pPr>
            <w:r>
              <w:rPr>
                <w:rFonts w:ascii="宋体" w:hAnsi="宋体" w:cs="宋体" w:eastAsia="宋体" w:hint="default"/>
                <w:sz w:val="18"/>
                <w:szCs w:val="18"/>
              </w:rPr>
              <w:t>减值准备</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期末余额</w:t>
            </w:r>
          </w:p>
        </w:tc>
      </w:tr>
      <w:tr>
        <w:trPr>
          <w:trHeight w:val="1028" w:hRule="exact"/>
        </w:trPr>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33" w:right="27"/>
              <w:jc w:val="both"/>
              <w:rPr>
                <w:rFonts w:ascii="宋体" w:hAnsi="宋体" w:cs="宋体" w:eastAsia="宋体" w:hint="default"/>
                <w:sz w:val="18"/>
                <w:szCs w:val="18"/>
              </w:rPr>
            </w:pPr>
            <w:r>
              <w:rPr>
                <w:rFonts w:ascii="宋体" w:hAnsi="宋体" w:cs="宋体" w:eastAsia="宋体" w:hint="default"/>
                <w:sz w:val="18"/>
                <w:szCs w:val="18"/>
              </w:rPr>
              <w:t>权益法下</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确认的投</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资损益</w:t>
            </w:r>
          </w:p>
        </w:tc>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21" w:lineRule="auto"/>
              <w:ind w:left="33" w:right="31"/>
              <w:jc w:val="left"/>
              <w:rPr>
                <w:rFonts w:ascii="宋体" w:hAnsi="宋体" w:cs="宋体" w:eastAsia="宋体" w:hint="default"/>
                <w:sz w:val="18"/>
                <w:szCs w:val="18"/>
              </w:rPr>
            </w:pPr>
            <w:r>
              <w:rPr>
                <w:rFonts w:ascii="宋体" w:hAnsi="宋体" w:cs="宋体" w:eastAsia="宋体" w:hint="default"/>
                <w:sz w:val="18"/>
                <w:szCs w:val="18"/>
              </w:rPr>
              <w:t>其他综合</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收益调整</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21" w:lineRule="auto"/>
              <w:ind w:left="215" w:right="26" w:hanging="183"/>
              <w:jc w:val="left"/>
              <w:rPr>
                <w:rFonts w:ascii="宋体" w:hAnsi="宋体" w:cs="宋体" w:eastAsia="宋体" w:hint="default"/>
                <w:sz w:val="18"/>
                <w:szCs w:val="18"/>
              </w:rPr>
            </w:pPr>
            <w:r>
              <w:rPr>
                <w:rFonts w:ascii="宋体" w:hAnsi="宋体" w:cs="宋体" w:eastAsia="宋体" w:hint="default"/>
                <w:sz w:val="18"/>
                <w:szCs w:val="18"/>
              </w:rPr>
              <w:t>其他权益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变动</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33" w:right="27"/>
              <w:jc w:val="both"/>
              <w:rPr>
                <w:rFonts w:ascii="宋体" w:hAnsi="宋体" w:cs="宋体" w:eastAsia="宋体" w:hint="default"/>
                <w:sz w:val="18"/>
                <w:szCs w:val="18"/>
              </w:rPr>
            </w:pPr>
            <w:r>
              <w:rPr>
                <w:rFonts w:ascii="宋体" w:hAnsi="宋体" w:cs="宋体" w:eastAsia="宋体" w:hint="default"/>
                <w:sz w:val="18"/>
                <w:szCs w:val="18"/>
              </w:rPr>
              <w:t>宣告发放</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现金股利</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或利润</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21" w:lineRule="auto"/>
              <w:ind w:left="215" w:right="27" w:hanging="183"/>
              <w:jc w:val="left"/>
              <w:rPr>
                <w:rFonts w:ascii="宋体" w:hAnsi="宋体" w:cs="宋体" w:eastAsia="宋体" w:hint="default"/>
                <w:sz w:val="18"/>
                <w:szCs w:val="18"/>
              </w:rPr>
            </w:pPr>
            <w:r>
              <w:rPr>
                <w:rFonts w:ascii="宋体" w:hAnsi="宋体" w:cs="宋体" w:eastAsia="宋体" w:hint="default"/>
                <w:sz w:val="18"/>
                <w:szCs w:val="18"/>
              </w:rPr>
              <w:t>计提减值</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准备</w:t>
            </w:r>
          </w:p>
        </w:tc>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1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r>
      <w:tr>
        <w:trPr>
          <w:trHeight w:val="398" w:hRule="exact"/>
        </w:trPr>
        <w:tc>
          <w:tcPr>
            <w:tcW w:w="9575"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3" w:hRule="exact"/>
        </w:trPr>
        <w:tc>
          <w:tcPr>
            <w:tcW w:w="9575"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028"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4" w:right="36"/>
              <w:jc w:val="both"/>
              <w:rPr>
                <w:rFonts w:ascii="宋体" w:hAnsi="宋体" w:cs="宋体" w:eastAsia="宋体" w:hint="default"/>
                <w:sz w:val="18"/>
                <w:szCs w:val="18"/>
              </w:rPr>
            </w:pPr>
            <w:r>
              <w:rPr>
                <w:rFonts w:ascii="宋体" w:hAnsi="宋体" w:cs="宋体" w:eastAsia="宋体" w:hint="default"/>
                <w:sz w:val="18"/>
                <w:szCs w:val="18"/>
              </w:rPr>
              <w:t>深圳票联</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金融服务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有限公司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6,325,484</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.67</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-1,646,24</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5.74</w:t>
            </w: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-1,927,79</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0.84</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-2,751,44</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8.09</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36"/>
              <w:jc w:val="both"/>
              <w:rPr>
                <w:rFonts w:ascii="宋体" w:hAnsi="宋体" w:cs="宋体" w:eastAsia="宋体" w:hint="default"/>
                <w:sz w:val="18"/>
                <w:szCs w:val="18"/>
              </w:rPr>
            </w:pPr>
            <w:r>
              <w:rPr>
                <w:rFonts w:ascii="宋体" w:hAnsi="宋体" w:cs="宋体" w:eastAsia="宋体" w:hint="default"/>
                <w:sz w:val="18"/>
                <w:szCs w:val="18"/>
              </w:rPr>
              <w:t>北京华道</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征信有限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-1,627,42</w:t>
            </w:r>
          </w:p>
          <w:p>
            <w:pPr>
              <w:pStyle w:val="TableParagraph"/>
              <w:spacing w:line="240" w:lineRule="auto" w:before="110"/>
              <w:ind w:left="446" w:right="0"/>
              <w:jc w:val="left"/>
              <w:rPr>
                <w:rFonts w:ascii="Times New Roman" w:hAnsi="Times New Roman" w:cs="Times New Roman" w:eastAsia="Times New Roman" w:hint="default"/>
                <w:sz w:val="18"/>
                <w:szCs w:val="18"/>
              </w:rPr>
            </w:pPr>
            <w:r>
              <w:rPr>
                <w:rFonts w:ascii="Times New Roman"/>
                <w:sz w:val="18"/>
              </w:rPr>
              <w:t>8.88</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-11,919,9</w:t>
            </w:r>
          </w:p>
          <w:p>
            <w:pPr>
              <w:pStyle w:val="TableParagraph"/>
              <w:spacing w:line="240" w:lineRule="auto" w:before="110"/>
              <w:ind w:left="365" w:right="0"/>
              <w:jc w:val="left"/>
              <w:rPr>
                <w:rFonts w:ascii="Times New Roman" w:hAnsi="Times New Roman" w:cs="Times New Roman" w:eastAsia="Times New Roman" w:hint="default"/>
                <w:sz w:val="18"/>
                <w:szCs w:val="18"/>
              </w:rPr>
            </w:pPr>
            <w:r>
              <w:rPr>
                <w:rFonts w:ascii="Times New Roman"/>
                <w:sz w:val="18"/>
              </w:rPr>
              <w:t>61.37</w:t>
            </w: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15,314,52</w:t>
            </w:r>
          </w:p>
          <w:p>
            <w:pPr>
              <w:pStyle w:val="TableParagraph"/>
              <w:spacing w:line="240" w:lineRule="auto" w:before="110"/>
              <w:ind w:left="451" w:right="0"/>
              <w:jc w:val="left"/>
              <w:rPr>
                <w:rFonts w:ascii="Times New Roman" w:hAnsi="Times New Roman" w:cs="Times New Roman" w:eastAsia="Times New Roman" w:hint="default"/>
                <w:sz w:val="18"/>
                <w:szCs w:val="18"/>
              </w:rPr>
            </w:pPr>
            <w:r>
              <w:rPr>
                <w:rFonts w:ascii="Times New Roman"/>
                <w:sz w:val="18"/>
              </w:rPr>
              <w:t>1.73</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1,767,131</w:t>
            </w:r>
          </w:p>
          <w:p>
            <w:pPr>
              <w:pStyle w:val="TableParagraph"/>
              <w:spacing w:line="240" w:lineRule="auto" w:before="110"/>
              <w:ind w:right="12"/>
              <w:jc w:val="right"/>
              <w:rPr>
                <w:rFonts w:ascii="Times New Roman" w:hAnsi="Times New Roman" w:cs="Times New Roman" w:eastAsia="Times New Roman" w:hint="default"/>
                <w:sz w:val="18"/>
                <w:szCs w:val="18"/>
              </w:rPr>
            </w:pPr>
            <w:r>
              <w:rPr>
                <w:rFonts w:ascii="Times New Roman"/>
                <w:sz w:val="18"/>
              </w:rPr>
              <w:t>.48</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3"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36"/>
              <w:jc w:val="both"/>
              <w:rPr>
                <w:rFonts w:ascii="宋体" w:hAnsi="宋体" w:cs="宋体" w:eastAsia="宋体" w:hint="default"/>
                <w:sz w:val="18"/>
                <w:szCs w:val="18"/>
              </w:rPr>
            </w:pPr>
            <w:r>
              <w:rPr>
                <w:rFonts w:ascii="宋体" w:hAnsi="宋体" w:cs="宋体" w:eastAsia="宋体" w:hint="default"/>
                <w:sz w:val="18"/>
                <w:szCs w:val="18"/>
              </w:rPr>
              <w:t>易安财产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保险股份</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有限公司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108,492,4</w:t>
            </w:r>
          </w:p>
          <w:p>
            <w:pPr>
              <w:pStyle w:val="TableParagraph"/>
              <w:spacing w:line="240" w:lineRule="auto" w:before="110"/>
              <w:ind w:left="360" w:right="0"/>
              <w:jc w:val="left"/>
              <w:rPr>
                <w:rFonts w:ascii="Times New Roman" w:hAnsi="Times New Roman" w:cs="Times New Roman" w:eastAsia="Times New Roman" w:hint="default"/>
                <w:sz w:val="18"/>
                <w:szCs w:val="18"/>
              </w:rPr>
            </w:pPr>
            <w:r>
              <w:rPr>
                <w:rFonts w:ascii="Times New Roman"/>
                <w:sz w:val="18"/>
              </w:rPr>
              <w:t>70.76</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-17,218,9</w:t>
            </w:r>
          </w:p>
          <w:p>
            <w:pPr>
              <w:pStyle w:val="TableParagraph"/>
              <w:spacing w:line="240" w:lineRule="auto" w:before="110"/>
              <w:ind w:left="365" w:right="0"/>
              <w:jc w:val="left"/>
              <w:rPr>
                <w:rFonts w:ascii="Times New Roman" w:hAnsi="Times New Roman" w:cs="Times New Roman" w:eastAsia="Times New Roman" w:hint="default"/>
                <w:sz w:val="18"/>
                <w:szCs w:val="18"/>
              </w:rPr>
            </w:pPr>
            <w:r>
              <w:rPr>
                <w:rFonts w:ascii="Times New Roman"/>
                <w:sz w:val="18"/>
              </w:rPr>
              <w:t>18.64</w:t>
            </w: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91,273,55</w:t>
            </w:r>
          </w:p>
          <w:p>
            <w:pPr>
              <w:pStyle w:val="TableParagraph"/>
              <w:spacing w:line="240" w:lineRule="auto" w:before="110"/>
              <w:ind w:left="451" w:right="0"/>
              <w:jc w:val="left"/>
              <w:rPr>
                <w:rFonts w:ascii="Times New Roman" w:hAnsi="Times New Roman" w:cs="Times New Roman" w:eastAsia="Times New Roman" w:hint="default"/>
                <w:sz w:val="18"/>
                <w:szCs w:val="18"/>
              </w:rPr>
            </w:pPr>
            <w:r>
              <w:rPr>
                <w:rFonts w:ascii="Times New Roman"/>
                <w:sz w:val="18"/>
              </w:rPr>
              <w:t>2.12</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36"/>
              <w:jc w:val="both"/>
              <w:rPr>
                <w:rFonts w:ascii="宋体" w:hAnsi="宋体" w:cs="宋体" w:eastAsia="宋体" w:hint="default"/>
                <w:sz w:val="18"/>
                <w:szCs w:val="18"/>
              </w:rPr>
            </w:pPr>
            <w:r>
              <w:rPr>
                <w:rFonts w:ascii="宋体" w:hAnsi="宋体" w:cs="宋体" w:eastAsia="宋体" w:hint="default"/>
                <w:sz w:val="18"/>
                <w:szCs w:val="18"/>
              </w:rPr>
              <w:t>东亚前海</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证券有限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责任公司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365,487,3</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45.06</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674,059.7</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-102,449.</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33</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366,058,9</w:t>
            </w:r>
          </w:p>
          <w:p>
            <w:pPr>
              <w:pStyle w:val="TableParagraph"/>
              <w:spacing w:line="240" w:lineRule="auto" w:before="105"/>
              <w:ind w:left="365" w:right="0"/>
              <w:jc w:val="left"/>
              <w:rPr>
                <w:rFonts w:ascii="Times New Roman" w:hAnsi="Times New Roman" w:cs="Times New Roman" w:eastAsia="Times New Roman" w:hint="default"/>
                <w:sz w:val="18"/>
                <w:szCs w:val="18"/>
              </w:rPr>
            </w:pPr>
            <w:r>
              <w:rPr>
                <w:rFonts w:ascii="Times New Roman"/>
                <w:sz w:val="18"/>
              </w:rPr>
              <w:t>55.44</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3" w:right="0"/>
              <w:jc w:val="left"/>
              <w:rPr>
                <w:rFonts w:ascii="Times New Roman" w:hAnsi="Times New Roman" w:cs="Times New Roman" w:eastAsia="Times New Roman" w:hint="default"/>
                <w:sz w:val="18"/>
                <w:szCs w:val="18"/>
              </w:rPr>
            </w:pPr>
            <w:r>
              <w:rPr>
                <w:rFonts w:ascii="Times New Roman"/>
                <w:sz w:val="18"/>
              </w:rPr>
              <w:t>478,677,8</w:t>
            </w:r>
          </w:p>
          <w:p>
            <w:pPr>
              <w:pStyle w:val="TableParagraph"/>
              <w:spacing w:line="240" w:lineRule="auto" w:before="110"/>
              <w:ind w:left="360" w:right="0"/>
              <w:jc w:val="left"/>
              <w:rPr>
                <w:rFonts w:ascii="Times New Roman" w:hAnsi="Times New Roman" w:cs="Times New Roman" w:eastAsia="Times New Roman" w:hint="default"/>
                <w:sz w:val="18"/>
                <w:szCs w:val="18"/>
              </w:rPr>
            </w:pPr>
            <w:r>
              <w:rPr>
                <w:rFonts w:ascii="Times New Roman"/>
                <w:sz w:val="18"/>
              </w:rPr>
              <w:t>71.61</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91" w:right="0"/>
              <w:jc w:val="left"/>
              <w:rPr>
                <w:rFonts w:ascii="Times New Roman" w:hAnsi="Times New Roman" w:cs="Times New Roman" w:eastAsia="Times New Roman" w:hint="default"/>
                <w:sz w:val="18"/>
                <w:szCs w:val="18"/>
              </w:rPr>
            </w:pPr>
            <w:r>
              <w:rPr>
                <w:rFonts w:ascii="Times New Roman"/>
                <w:spacing w:val="-3"/>
                <w:sz w:val="18"/>
              </w:rPr>
              <w:t>-30,111,0</w:t>
            </w:r>
          </w:p>
          <w:p>
            <w:pPr>
              <w:pStyle w:val="TableParagraph"/>
              <w:spacing w:line="240" w:lineRule="auto" w:before="110"/>
              <w:ind w:left="365" w:right="0"/>
              <w:jc w:val="left"/>
              <w:rPr>
                <w:rFonts w:ascii="Times New Roman" w:hAnsi="Times New Roman" w:cs="Times New Roman" w:eastAsia="Times New Roman" w:hint="default"/>
                <w:sz w:val="18"/>
                <w:szCs w:val="18"/>
              </w:rPr>
            </w:pPr>
            <w:r>
              <w:rPr>
                <w:rFonts w:ascii="Times New Roman"/>
                <w:sz w:val="18"/>
              </w:rPr>
              <w:t>66.04</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-102,449.</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sz w:val="18"/>
              </w:rPr>
              <w:t>33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7" w:right="0"/>
              <w:jc w:val="left"/>
              <w:rPr>
                <w:rFonts w:ascii="Times New Roman" w:hAnsi="Times New Roman" w:cs="Times New Roman" w:eastAsia="Times New Roman" w:hint="default"/>
                <w:sz w:val="18"/>
                <w:szCs w:val="18"/>
              </w:rPr>
            </w:pPr>
            <w:r>
              <w:rPr>
                <w:rFonts w:ascii="Times New Roman"/>
                <w:sz w:val="18"/>
              </w:rPr>
              <w:t>13,386,73</w:t>
            </w:r>
          </w:p>
          <w:p>
            <w:pPr>
              <w:pStyle w:val="TableParagraph"/>
              <w:spacing w:line="240" w:lineRule="auto" w:before="110"/>
              <w:ind w:left="451" w:right="0"/>
              <w:jc w:val="left"/>
              <w:rPr>
                <w:rFonts w:ascii="Times New Roman" w:hAnsi="Times New Roman" w:cs="Times New Roman" w:eastAsia="Times New Roman" w:hint="default"/>
                <w:sz w:val="18"/>
                <w:szCs w:val="18"/>
              </w:rPr>
            </w:pPr>
            <w:r>
              <w:rPr>
                <w:rFonts w:ascii="Times New Roman"/>
                <w:sz w:val="18"/>
              </w:rPr>
              <w:t>0.89</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6" w:right="0"/>
              <w:jc w:val="left"/>
              <w:rPr>
                <w:rFonts w:ascii="Times New Roman" w:hAnsi="Times New Roman" w:cs="Times New Roman" w:eastAsia="Times New Roman" w:hint="default"/>
                <w:sz w:val="18"/>
                <w:szCs w:val="18"/>
              </w:rPr>
            </w:pPr>
            <w:r>
              <w:rPr>
                <w:rFonts w:ascii="Times New Roman"/>
                <w:sz w:val="18"/>
              </w:rPr>
              <w:t>-2,751,44</w:t>
            </w:r>
          </w:p>
          <w:p>
            <w:pPr>
              <w:pStyle w:val="TableParagraph"/>
              <w:spacing w:line="240" w:lineRule="auto" w:before="110"/>
              <w:ind w:left="451" w:right="0"/>
              <w:jc w:val="left"/>
              <w:rPr>
                <w:rFonts w:ascii="Times New Roman" w:hAnsi="Times New Roman" w:cs="Times New Roman" w:eastAsia="Times New Roman" w:hint="default"/>
                <w:sz w:val="18"/>
                <w:szCs w:val="18"/>
              </w:rPr>
            </w:pPr>
            <w:r>
              <w:rPr>
                <w:rFonts w:ascii="Times New Roman"/>
                <w:sz w:val="18"/>
              </w:rPr>
              <w:t>8.09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7" w:right="0"/>
              <w:jc w:val="left"/>
              <w:rPr>
                <w:rFonts w:ascii="Times New Roman" w:hAnsi="Times New Roman" w:cs="Times New Roman" w:eastAsia="Times New Roman" w:hint="default"/>
                <w:sz w:val="18"/>
                <w:szCs w:val="18"/>
              </w:rPr>
            </w:pPr>
            <w:r>
              <w:rPr>
                <w:rFonts w:ascii="Times New Roman"/>
                <w:sz w:val="18"/>
              </w:rPr>
              <w:t>459,099,6</w:t>
            </w:r>
          </w:p>
          <w:p>
            <w:pPr>
              <w:pStyle w:val="TableParagraph"/>
              <w:spacing w:line="240" w:lineRule="auto" w:before="110"/>
              <w:ind w:left="365" w:right="0"/>
              <w:jc w:val="left"/>
              <w:rPr>
                <w:rFonts w:ascii="Times New Roman" w:hAnsi="Times New Roman" w:cs="Times New Roman" w:eastAsia="Times New Roman" w:hint="default"/>
                <w:sz w:val="18"/>
                <w:szCs w:val="18"/>
              </w:rPr>
            </w:pPr>
            <w:r>
              <w:rPr>
                <w:rFonts w:ascii="Times New Roman"/>
                <w:sz w:val="18"/>
              </w:rPr>
              <w:t>39.04</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3" w:right="0"/>
              <w:jc w:val="left"/>
              <w:rPr>
                <w:rFonts w:ascii="Times New Roman" w:hAnsi="Times New Roman" w:cs="Times New Roman" w:eastAsia="Times New Roman" w:hint="default"/>
                <w:sz w:val="18"/>
                <w:szCs w:val="18"/>
              </w:rPr>
            </w:pPr>
            <w:r>
              <w:rPr>
                <w:rFonts w:ascii="Times New Roman"/>
                <w:sz w:val="18"/>
              </w:rPr>
              <w:t>478,677,8</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71.61</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91" w:right="0"/>
              <w:jc w:val="left"/>
              <w:rPr>
                <w:rFonts w:ascii="Times New Roman" w:hAnsi="Times New Roman" w:cs="Times New Roman" w:eastAsia="Times New Roman" w:hint="default"/>
                <w:sz w:val="18"/>
                <w:szCs w:val="18"/>
              </w:rPr>
            </w:pPr>
            <w:r>
              <w:rPr>
                <w:rFonts w:ascii="Times New Roman"/>
                <w:spacing w:val="-3"/>
                <w:sz w:val="18"/>
              </w:rPr>
              <w:t>-30,111,0</w:t>
            </w:r>
          </w:p>
          <w:p>
            <w:pPr>
              <w:pStyle w:val="TableParagraph"/>
              <w:spacing w:line="240" w:lineRule="auto" w:before="105"/>
              <w:ind w:left="365" w:right="0"/>
              <w:jc w:val="left"/>
              <w:rPr>
                <w:rFonts w:ascii="Times New Roman" w:hAnsi="Times New Roman" w:cs="Times New Roman" w:eastAsia="Times New Roman" w:hint="default"/>
                <w:sz w:val="18"/>
                <w:szCs w:val="18"/>
              </w:rPr>
            </w:pPr>
            <w:r>
              <w:rPr>
                <w:rFonts w:ascii="Times New Roman"/>
                <w:sz w:val="18"/>
              </w:rPr>
              <w:t>66.04</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-102,449.</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33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7" w:right="0"/>
              <w:jc w:val="left"/>
              <w:rPr>
                <w:rFonts w:ascii="Times New Roman" w:hAnsi="Times New Roman" w:cs="Times New Roman" w:eastAsia="Times New Roman" w:hint="default"/>
                <w:sz w:val="18"/>
                <w:szCs w:val="18"/>
              </w:rPr>
            </w:pPr>
            <w:r>
              <w:rPr>
                <w:rFonts w:ascii="Times New Roman"/>
                <w:sz w:val="18"/>
              </w:rPr>
              <w:t>13,386,73</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0.89</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6" w:right="0"/>
              <w:jc w:val="left"/>
              <w:rPr>
                <w:rFonts w:ascii="Times New Roman" w:hAnsi="Times New Roman" w:cs="Times New Roman" w:eastAsia="Times New Roman" w:hint="default"/>
                <w:sz w:val="18"/>
                <w:szCs w:val="18"/>
              </w:rPr>
            </w:pPr>
            <w:r>
              <w:rPr>
                <w:rFonts w:ascii="Times New Roman"/>
                <w:sz w:val="18"/>
              </w:rPr>
              <w:t>-2,751,44</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8.09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7" w:right="0"/>
              <w:jc w:val="left"/>
              <w:rPr>
                <w:rFonts w:ascii="Times New Roman" w:hAnsi="Times New Roman" w:cs="Times New Roman" w:eastAsia="Times New Roman" w:hint="default"/>
                <w:sz w:val="18"/>
                <w:szCs w:val="18"/>
              </w:rPr>
            </w:pPr>
            <w:r>
              <w:rPr>
                <w:rFonts w:ascii="Times New Roman"/>
                <w:sz w:val="18"/>
              </w:rPr>
              <w:t>459,099,6</w:t>
            </w:r>
          </w:p>
          <w:p>
            <w:pPr>
              <w:pStyle w:val="TableParagraph"/>
              <w:spacing w:line="240" w:lineRule="auto" w:before="105"/>
              <w:ind w:left="365" w:right="0"/>
              <w:jc w:val="left"/>
              <w:rPr>
                <w:rFonts w:ascii="Times New Roman" w:hAnsi="Times New Roman" w:cs="Times New Roman" w:eastAsia="Times New Roman" w:hint="default"/>
                <w:sz w:val="18"/>
                <w:szCs w:val="18"/>
              </w:rPr>
            </w:pPr>
            <w:r>
              <w:rPr>
                <w:rFonts w:ascii="Times New Roman"/>
                <w:sz w:val="18"/>
              </w:rPr>
              <w:t>39.04</w:t>
            </w:r>
          </w:p>
        </w:tc>
        <w:tc>
          <w:tcPr>
            <w:tcW w:w="79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4、营业收入和营业成本" w:id="426"/>
      <w:bookmarkEnd w:id="426"/>
      <w:r>
        <w:rPr>
          <w:b w:val="0"/>
          <w:bCs w:val="0"/>
        </w:rPr>
      </w:r>
      <w:r>
        <w:rPr>
          <w:rFonts w:ascii="Times New Roman" w:hAnsi="Times New Roman" w:cs="Times New Roman" w:eastAsia="Times New Roman" w:hint="default"/>
        </w:rPr>
        <w:t>4</w:t>
      </w:r>
      <w:r>
        <w:rPr/>
        <w:t>、营业收入和营业成本</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after="0" w:line="240" w:lineRule="auto"/>
        <w:jc w:val="right"/>
        <w:sectPr>
          <w:pgSz w:w="11910" w:h="16840"/>
          <w:pgMar w:header="871" w:footer="1186" w:top="1100" w:bottom="1380" w:left="980" w:right="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1995"/>
        <w:gridCol w:w="1837"/>
        <w:gridCol w:w="1916"/>
        <w:gridCol w:w="1911"/>
        <w:gridCol w:w="1916"/>
      </w:tblGrid>
      <w:tr>
        <w:trPr>
          <w:trHeight w:val="206" w:hRule="exact"/>
        </w:trPr>
        <w:tc>
          <w:tcPr>
            <w:tcW w:w="1995" w:type="dxa"/>
            <w:tcBorders>
              <w:top w:val="single" w:sz="4" w:space="0" w:color="000000"/>
              <w:left w:val="single" w:sz="4" w:space="0" w:color="000000"/>
              <w:bottom w:val="nil" w:sz="6" w:space="0" w:color="auto"/>
              <w:right w:val="single" w:sz="4" w:space="0" w:color="000000"/>
            </w:tcBorders>
            <w:shd w:val="clear" w:color="auto" w:fill="D2D2D2"/>
          </w:tcPr>
          <w:p>
            <w:pPr/>
          </w:p>
        </w:tc>
        <w:tc>
          <w:tcPr>
            <w:tcW w:w="375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2" w:hRule="exact"/>
        </w:trPr>
        <w:tc>
          <w:tcPr>
            <w:tcW w:w="199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752" w:type="dxa"/>
            <w:gridSpan w:val="2"/>
            <w:vMerge/>
            <w:tcBorders>
              <w:left w:val="single" w:sz="4" w:space="0" w:color="000000"/>
              <w:bottom w:val="single" w:sz="4" w:space="0" w:color="000000"/>
              <w:right w:val="single" w:sz="4" w:space="0" w:color="000000"/>
            </w:tcBorders>
            <w:shd w:val="clear" w:color="auto" w:fill="D2D2D2"/>
          </w:tcPr>
          <w:p>
            <w:pPr/>
          </w:p>
        </w:tc>
        <w:tc>
          <w:tcPr>
            <w:tcW w:w="3827"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995" w:type="dxa"/>
            <w:vMerge/>
            <w:tcBorders>
              <w:left w:val="single" w:sz="4" w:space="0" w:color="000000"/>
              <w:bottom w:val="nil" w:sz="6" w:space="0" w:color="auto"/>
              <w:right w:val="single" w:sz="4" w:space="0" w:color="000000"/>
            </w:tcBorders>
            <w:shd w:val="clear" w:color="auto" w:fill="D2D2D2"/>
          </w:tcPr>
          <w:p>
            <w:pPr/>
          </w:p>
        </w:tc>
        <w:tc>
          <w:tcPr>
            <w:tcW w:w="183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1"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5"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9"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5"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2" w:hRule="exact"/>
        </w:trPr>
        <w:tc>
          <w:tcPr>
            <w:tcW w:w="1995" w:type="dxa"/>
            <w:tcBorders>
              <w:top w:val="nil" w:sz="6" w:space="0" w:color="auto"/>
              <w:left w:val="single" w:sz="4" w:space="0" w:color="000000"/>
              <w:bottom w:val="single" w:sz="4" w:space="0" w:color="000000"/>
              <w:right w:val="single" w:sz="4" w:space="0" w:color="000000"/>
            </w:tcBorders>
            <w:shd w:val="clear" w:color="auto" w:fill="D2D2D2"/>
          </w:tcPr>
          <w:p>
            <w:pPr/>
          </w:p>
        </w:tc>
        <w:tc>
          <w:tcPr>
            <w:tcW w:w="1837"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1"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r>
      <w:tr>
        <w:trPr>
          <w:trHeight w:val="404"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3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170,450,465.69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2"/>
                <w:sz w:val="18"/>
              </w:rPr>
              <w:t>116,986,961.33</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305,832,416.45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199,885,781.73</w:t>
            </w:r>
          </w:p>
        </w:tc>
      </w:tr>
      <w:tr>
        <w:trPr>
          <w:trHeight w:val="403"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837" w:type="dxa"/>
            <w:tcBorders>
              <w:top w:val="single" w:sz="4" w:space="0" w:color="000000"/>
              <w:left w:val="single" w:sz="10"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4,343,563.44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964,870.40</w:t>
            </w:r>
          </w:p>
        </w:tc>
      </w:tr>
      <w:tr>
        <w:trPr>
          <w:trHeight w:val="403"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170,450,465.69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116,986,961.33</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310,175,979.89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200,850,652.13</w:t>
            </w:r>
          </w:p>
        </w:tc>
      </w:tr>
    </w:tbl>
    <w:p>
      <w:pPr>
        <w:pStyle w:val="BodyText"/>
        <w:spacing w:line="240" w:lineRule="auto" w:before="53"/>
        <w:ind w:right="0"/>
        <w:jc w:val="left"/>
      </w:pPr>
      <w:r>
        <w:rPr/>
        <w:t>是否已执行新收入准则</w:t>
      </w:r>
    </w:p>
    <w:p>
      <w:pPr>
        <w:pStyle w:val="BodyText"/>
        <w:spacing w:line="240" w:lineRule="auto" w:before="115"/>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8"/>
        <w:rPr>
          <w:rFonts w:ascii="宋体" w:hAnsi="宋体" w:cs="宋体" w:eastAsia="宋体" w:hint="default"/>
          <w:sz w:val="25"/>
          <w:szCs w:val="25"/>
        </w:rPr>
      </w:pPr>
    </w:p>
    <w:p>
      <w:pPr>
        <w:pStyle w:val="Heading3"/>
        <w:spacing w:line="240" w:lineRule="auto"/>
        <w:ind w:right="0"/>
        <w:jc w:val="left"/>
        <w:rPr>
          <w:b w:val="0"/>
          <w:bCs w:val="0"/>
        </w:rPr>
      </w:pPr>
      <w:bookmarkStart w:name="5、投资收益" w:id="427"/>
      <w:bookmarkEnd w:id="427"/>
      <w:r>
        <w:rPr>
          <w:b w:val="0"/>
          <w:bCs w:val="0"/>
        </w:rPr>
      </w:r>
      <w:r>
        <w:rPr>
          <w:rFonts w:ascii="Times New Roman" w:hAnsi="Times New Roman" w:cs="Times New Roman" w:eastAsia="Times New Roman" w:hint="default"/>
        </w:rPr>
        <w:t>5</w:t>
      </w:r>
      <w:r>
        <w:rPr/>
        <w:t>、投资收益</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304"/>
        <w:gridCol w:w="3070"/>
        <w:gridCol w:w="3188"/>
      </w:tblGrid>
      <w:tr>
        <w:trPr>
          <w:trHeight w:val="403"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6"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4"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pacing w:val="-3"/>
                <w:sz w:val="18"/>
                <w:szCs w:val="18"/>
              </w:rPr>
              <w:t>成本法核算的长期股权投资收益</w:t>
            </w:r>
          </w:p>
        </w:tc>
        <w:tc>
          <w:tcPr>
            <w:tcW w:w="307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50,000,000.00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20,000,000.00</w:t>
            </w:r>
          </w:p>
        </w:tc>
      </w:tr>
      <w:tr>
        <w:trPr>
          <w:trHeight w:val="398"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权益法核算的长期股权投资收益</w:t>
            </w:r>
          </w:p>
        </w:tc>
        <w:tc>
          <w:tcPr>
            <w:tcW w:w="307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3"/>
                <w:sz w:val="18"/>
              </w:rPr>
              <w:t>-30,111,066.04</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-54,545,591.34</w:t>
            </w:r>
          </w:p>
        </w:tc>
      </w:tr>
      <w:tr>
        <w:trPr>
          <w:trHeight w:val="403"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处置长期股权投资产生的投资收益</w:t>
            </w:r>
          </w:p>
        </w:tc>
        <w:tc>
          <w:tcPr>
            <w:tcW w:w="307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9,498,551.91</w:t>
            </w:r>
          </w:p>
        </w:tc>
        <w:tc>
          <w:tcPr>
            <w:tcW w:w="318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交易性金融资产在持有期间的投资收益</w:t>
            </w:r>
          </w:p>
        </w:tc>
        <w:tc>
          <w:tcPr>
            <w:tcW w:w="307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1,229,995.89</w:t>
            </w:r>
          </w:p>
        </w:tc>
        <w:tc>
          <w:tcPr>
            <w:tcW w:w="3188"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7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30,617,481.76</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-34,545,591.34</w:t>
            </w:r>
          </w:p>
        </w:tc>
      </w:tr>
    </w:tbl>
    <w:p>
      <w:pPr>
        <w:spacing w:line="240" w:lineRule="auto" w:before="9"/>
        <w:rPr>
          <w:rFonts w:ascii="宋体" w:hAnsi="宋体" w:cs="宋体" w:eastAsia="宋体" w:hint="default"/>
          <w:sz w:val="17"/>
          <w:szCs w:val="17"/>
        </w:rPr>
      </w:pPr>
    </w:p>
    <w:p>
      <w:pPr>
        <w:pStyle w:val="Heading2"/>
        <w:spacing w:line="240" w:lineRule="auto" w:before="26"/>
        <w:ind w:right="0"/>
        <w:jc w:val="left"/>
        <w:rPr>
          <w:b w:val="0"/>
          <w:bCs w:val="0"/>
        </w:rPr>
      </w:pPr>
      <w:bookmarkStart w:name="十七、补充资料" w:id="428"/>
      <w:bookmarkEnd w:id="428"/>
      <w:r>
        <w:rPr>
          <w:b w:val="0"/>
          <w:bCs w:val="0"/>
        </w:rPr>
      </w:r>
      <w:r>
        <w:rPr/>
        <w:t>十七、补充资料</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left"/>
        <w:rPr>
          <w:b w:val="0"/>
          <w:bCs w:val="0"/>
        </w:rPr>
      </w:pPr>
      <w:bookmarkStart w:name="1、当期非经常性损益明细表" w:id="429"/>
      <w:bookmarkEnd w:id="429"/>
      <w:r>
        <w:rPr>
          <w:b w:val="0"/>
          <w:bCs w:val="0"/>
        </w:rPr>
      </w:r>
      <w:r>
        <w:rPr>
          <w:rFonts w:ascii="Times New Roman" w:hAnsi="Times New Roman" w:cs="Times New Roman" w:eastAsia="Times New Roman" w:hint="default"/>
        </w:rPr>
        <w:t>1</w:t>
      </w:r>
      <w:r>
        <w:rPr/>
        <w:t>、当期非经常性损益明细表</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6"/>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pStyle w:val="BodyText"/>
        <w:spacing w:line="240" w:lineRule="auto" w:before="101"/>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304"/>
        <w:gridCol w:w="3070"/>
        <w:gridCol w:w="3188"/>
      </w:tblGrid>
      <w:tr>
        <w:trPr>
          <w:trHeight w:val="403"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6"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3"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非流动资产处置损益</w:t>
            </w:r>
          </w:p>
        </w:tc>
        <w:tc>
          <w:tcPr>
            <w:tcW w:w="307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55,599.25</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r>
      <w:tr>
        <w:trPr>
          <w:trHeight w:val="716"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4"/>
              <w:ind w:left="11" w:right="36"/>
              <w:jc w:val="left"/>
              <w:rPr>
                <w:rFonts w:ascii="宋体" w:hAnsi="宋体" w:cs="宋体" w:eastAsia="宋体" w:hint="default"/>
                <w:sz w:val="18"/>
                <w:szCs w:val="18"/>
              </w:rPr>
            </w:pPr>
            <w:r>
              <w:rPr>
                <w:rFonts w:ascii="宋体" w:hAnsi="宋体" w:cs="宋体" w:eastAsia="宋体" w:hint="default"/>
                <w:spacing w:val="-3"/>
                <w:sz w:val="18"/>
                <w:szCs w:val="18"/>
              </w:rPr>
              <w:t>越权审批或无正式批准文件的税收返还、</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z w:val="18"/>
                <w:szCs w:val="18"/>
              </w:rPr>
              <w:t>减免</w:t>
            </w:r>
          </w:p>
        </w:tc>
        <w:tc>
          <w:tcPr>
            <w:tcW w:w="3070" w:type="dxa"/>
            <w:tcBorders>
              <w:top w:val="single" w:sz="4" w:space="0" w:color="000000"/>
              <w:left w:val="single" w:sz="13" w:space="0" w:color="D2D2D2"/>
              <w:bottom w:val="single" w:sz="4" w:space="0" w:color="000000"/>
              <w:right w:val="single" w:sz="4" w:space="0" w:color="000000"/>
            </w:tcBorders>
          </w:tcPr>
          <w:p>
            <w:pP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r>
      <w:tr>
        <w:trPr>
          <w:trHeight w:val="1023"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 w:right="36"/>
              <w:jc w:val="both"/>
              <w:rPr>
                <w:rFonts w:ascii="宋体" w:hAnsi="宋体" w:cs="宋体" w:eastAsia="宋体" w:hint="default"/>
                <w:sz w:val="18"/>
                <w:szCs w:val="18"/>
              </w:rPr>
            </w:pPr>
            <w:r>
              <w:rPr>
                <w:rFonts w:ascii="宋体" w:hAnsi="宋体" w:cs="宋体" w:eastAsia="宋体" w:hint="default"/>
                <w:spacing w:val="-3"/>
                <w:sz w:val="18"/>
                <w:szCs w:val="18"/>
              </w:rPr>
              <w:t>计入当期损益的政府补助（与企业业务密</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pacing w:val="-3"/>
                <w:sz w:val="18"/>
                <w:szCs w:val="18"/>
              </w:rPr>
              <w:t>切相关，按照国家统一标准定额或定量享</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pacing w:val="-3"/>
                <w:sz w:val="18"/>
                <w:szCs w:val="18"/>
              </w:rPr>
              <w:t>受的政府补助除外）</w:t>
            </w:r>
          </w:p>
        </w:tc>
        <w:tc>
          <w:tcPr>
            <w:tcW w:w="307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4,221,123.28</w:t>
            </w:r>
          </w:p>
        </w:tc>
        <w:tc>
          <w:tcPr>
            <w:tcW w:w="3188"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11" w:right="36"/>
              <w:jc w:val="both"/>
              <w:rPr>
                <w:rFonts w:ascii="宋体" w:hAnsi="宋体" w:cs="宋体" w:eastAsia="宋体" w:hint="default"/>
                <w:sz w:val="18"/>
                <w:szCs w:val="18"/>
              </w:rPr>
            </w:pPr>
            <w:r>
              <w:rPr>
                <w:rFonts w:ascii="宋体" w:hAnsi="宋体" w:cs="宋体" w:eastAsia="宋体" w:hint="default"/>
                <w:spacing w:val="-3"/>
                <w:sz w:val="18"/>
                <w:szCs w:val="18"/>
              </w:rPr>
              <w:t>企业取得子公司、联营企业及合营企业的</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pacing w:val="-3"/>
                <w:sz w:val="18"/>
                <w:szCs w:val="18"/>
              </w:rPr>
              <w:t>投资成本小于取得投资时应享有被投资单</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pacing w:val="-3"/>
                <w:sz w:val="18"/>
                <w:szCs w:val="18"/>
              </w:rPr>
              <w:t>位可辨认净资产公允价值产生的收益</w:t>
            </w:r>
          </w:p>
        </w:tc>
        <w:tc>
          <w:tcPr>
            <w:tcW w:w="307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17,463,315.54</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r>
      <w:tr>
        <w:trPr>
          <w:trHeight w:val="1613"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11" w:right="36"/>
              <w:jc w:val="both"/>
              <w:rPr>
                <w:rFonts w:ascii="宋体" w:hAnsi="宋体" w:cs="宋体" w:eastAsia="宋体" w:hint="default"/>
                <w:sz w:val="18"/>
                <w:szCs w:val="18"/>
              </w:rPr>
            </w:pPr>
            <w:r>
              <w:rPr>
                <w:rFonts w:ascii="宋体" w:hAnsi="宋体" w:cs="宋体" w:eastAsia="宋体" w:hint="default"/>
                <w:spacing w:val="-3"/>
                <w:sz w:val="18"/>
                <w:szCs w:val="18"/>
              </w:rPr>
              <w:t>除同公司正常经营业务相关的有效套期保</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pacing w:val="-3"/>
                <w:sz w:val="18"/>
                <w:szCs w:val="18"/>
              </w:rPr>
              <w:t>值业务外，持有交易性金融资产、衍生金</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pacing w:val="-3"/>
                <w:sz w:val="18"/>
                <w:szCs w:val="18"/>
              </w:rPr>
              <w:t>融资产、交易性金融负债、衍生金融负债</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pacing w:val="-3"/>
                <w:sz w:val="18"/>
                <w:szCs w:val="18"/>
              </w:rPr>
              <w:t>产生的公允价值变动损益，以及处置交易</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pacing w:val="-3"/>
                <w:sz w:val="18"/>
                <w:szCs w:val="18"/>
              </w:rPr>
              <w:t>性金融资产、衍生金融资产、交易性金融</w:t>
            </w:r>
          </w:p>
        </w:tc>
        <w:tc>
          <w:tcPr>
            <w:tcW w:w="307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1,179,540.39</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r>
    </w:tbl>
    <w:p>
      <w:pPr>
        <w:spacing w:after="0" w:line="240" w:lineRule="auto"/>
        <w:jc w:val="left"/>
        <w:rPr>
          <w:rFonts w:ascii="Times New Roman" w:hAnsi="Times New Roman" w:cs="Times New Roman" w:eastAsia="Times New Roman" w:hint="default"/>
          <w:sz w:val="18"/>
          <w:szCs w:val="18"/>
        </w:rPr>
        <w:sectPr>
          <w:pgSz w:w="11910" w:h="16840"/>
          <w:pgMar w:header="871" w:footer="1186" w:top="1100" w:bottom="1380" w:left="980" w:right="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3316"/>
        <w:gridCol w:w="3070"/>
        <w:gridCol w:w="3188"/>
      </w:tblGrid>
      <w:tr>
        <w:trPr>
          <w:trHeight w:val="672" w:hRule="exact"/>
        </w:trPr>
        <w:tc>
          <w:tcPr>
            <w:tcW w:w="33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10"/>
              <w:ind w:left="24" w:right="36"/>
              <w:jc w:val="left"/>
              <w:rPr>
                <w:rFonts w:ascii="宋体" w:hAnsi="宋体" w:cs="宋体" w:eastAsia="宋体" w:hint="default"/>
                <w:sz w:val="18"/>
                <w:szCs w:val="18"/>
              </w:rPr>
            </w:pPr>
            <w:r>
              <w:rPr>
                <w:rFonts w:ascii="宋体" w:hAnsi="宋体" w:cs="宋体" w:eastAsia="宋体" w:hint="default"/>
                <w:spacing w:val="-3"/>
                <w:sz w:val="18"/>
                <w:szCs w:val="18"/>
              </w:rPr>
              <w:t>负债、衍生金融负债和其他债权投资取得</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z w:val="18"/>
                <w:szCs w:val="18"/>
              </w:rPr>
              <w:t>的投资收益</w:t>
            </w:r>
          </w:p>
        </w:tc>
        <w:tc>
          <w:tcPr>
            <w:tcW w:w="3070" w:type="dxa"/>
            <w:tcBorders>
              <w:top w:val="single" w:sz="4" w:space="0" w:color="000000"/>
              <w:left w:val="single" w:sz="13" w:space="0" w:color="D2D2D2"/>
              <w:bottom w:val="single" w:sz="4" w:space="0" w:color="000000"/>
              <w:right w:val="single" w:sz="4" w:space="0" w:color="000000"/>
            </w:tcBorders>
          </w:tcPr>
          <w:p>
            <w:pPr/>
          </w:p>
        </w:tc>
        <w:tc>
          <w:tcPr>
            <w:tcW w:w="3188"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3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除上述各项之外的其他营业外收入和支出</w:t>
            </w:r>
          </w:p>
        </w:tc>
        <w:tc>
          <w:tcPr>
            <w:tcW w:w="307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-358,175.28</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r>
      <w:tr>
        <w:trPr>
          <w:trHeight w:val="403" w:hRule="exact"/>
        </w:trPr>
        <w:tc>
          <w:tcPr>
            <w:tcW w:w="33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其他符合非经常性损益定义的损益项目</w:t>
            </w:r>
          </w:p>
        </w:tc>
        <w:tc>
          <w:tcPr>
            <w:tcW w:w="307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2,494,419.52</w:t>
            </w:r>
          </w:p>
        </w:tc>
        <w:tc>
          <w:tcPr>
            <w:tcW w:w="318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307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1,115,386.32</w:t>
            </w:r>
          </w:p>
        </w:tc>
        <w:tc>
          <w:tcPr>
            <w:tcW w:w="3188"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33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pacing w:val="-3"/>
                <w:sz w:val="18"/>
                <w:szCs w:val="18"/>
              </w:rPr>
              <w:t>少数股东权益影响额</w:t>
            </w:r>
          </w:p>
        </w:tc>
        <w:tc>
          <w:tcPr>
            <w:tcW w:w="307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837,244.90</w:t>
            </w:r>
          </w:p>
        </w:tc>
        <w:tc>
          <w:tcPr>
            <w:tcW w:w="318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7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23,103,191.48</w:t>
            </w:r>
          </w:p>
        </w:tc>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7"/>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bl>
    <w:p>
      <w:pPr>
        <w:pStyle w:val="BodyText"/>
        <w:spacing w:line="240" w:lineRule="auto" w:before="54"/>
        <w:ind w:right="0"/>
        <w:jc w:val="left"/>
      </w:pPr>
      <w:r>
        <w:rPr>
          <w:w w:val="101"/>
        </w:rPr>
        <w:t>对</w:t>
      </w:r>
      <w:r>
        <w:rPr>
          <w:spacing w:val="-5"/>
          <w:w w:val="101"/>
        </w:rPr>
        <w:t>公</w:t>
      </w:r>
      <w:r>
        <w:rPr>
          <w:w w:val="101"/>
        </w:rPr>
        <w:t>司</w:t>
      </w:r>
      <w:r>
        <w:rPr>
          <w:spacing w:val="-5"/>
          <w:w w:val="101"/>
        </w:rPr>
        <w:t>根</w:t>
      </w:r>
      <w:r>
        <w:rPr>
          <w:spacing w:val="-68"/>
          <w:w w:val="101"/>
        </w:rPr>
        <w:t>据</w:t>
      </w:r>
      <w:r>
        <w:rPr>
          <w:w w:val="101"/>
        </w:rPr>
        <w:t>《</w:t>
      </w:r>
      <w:r>
        <w:rPr>
          <w:spacing w:val="-5"/>
          <w:w w:val="101"/>
        </w:rPr>
        <w:t>公</w:t>
      </w:r>
      <w:r>
        <w:rPr>
          <w:w w:val="101"/>
        </w:rPr>
        <w:t>开</w:t>
      </w:r>
      <w:r>
        <w:rPr>
          <w:spacing w:val="-5"/>
          <w:w w:val="101"/>
        </w:rPr>
        <w:t>发</w:t>
      </w:r>
      <w:r>
        <w:rPr>
          <w:w w:val="101"/>
        </w:rPr>
        <w:t>行</w:t>
      </w:r>
      <w:r>
        <w:rPr>
          <w:spacing w:val="-5"/>
          <w:w w:val="101"/>
        </w:rPr>
        <w:t>证</w:t>
      </w:r>
      <w:r>
        <w:rPr>
          <w:w w:val="101"/>
        </w:rPr>
        <w:t>券</w:t>
      </w:r>
      <w:r>
        <w:rPr>
          <w:spacing w:val="-5"/>
          <w:w w:val="101"/>
        </w:rPr>
        <w:t>的</w:t>
      </w:r>
      <w:r>
        <w:rPr>
          <w:w w:val="101"/>
        </w:rPr>
        <w:t>公</w:t>
      </w:r>
      <w:r>
        <w:rPr>
          <w:spacing w:val="-5"/>
          <w:w w:val="101"/>
        </w:rPr>
        <w:t>司</w:t>
      </w:r>
      <w:r>
        <w:rPr>
          <w:w w:val="101"/>
        </w:rPr>
        <w:t>信</w:t>
      </w:r>
      <w:r>
        <w:rPr>
          <w:spacing w:val="-5"/>
          <w:w w:val="101"/>
        </w:rPr>
        <w:t>息</w:t>
      </w:r>
      <w:r>
        <w:rPr>
          <w:w w:val="101"/>
        </w:rPr>
        <w:t>披</w:t>
      </w:r>
      <w:r>
        <w:rPr>
          <w:spacing w:val="-5"/>
          <w:w w:val="101"/>
        </w:rPr>
        <w:t>露</w:t>
      </w:r>
      <w:r>
        <w:rPr>
          <w:w w:val="101"/>
        </w:rPr>
        <w:t>解</w:t>
      </w:r>
      <w:r>
        <w:rPr>
          <w:spacing w:val="-5"/>
          <w:w w:val="101"/>
        </w:rPr>
        <w:t>释</w:t>
      </w:r>
      <w:r>
        <w:rPr>
          <w:w w:val="101"/>
        </w:rPr>
        <w:t>性</w:t>
      </w:r>
      <w:r>
        <w:rPr>
          <w:spacing w:val="-5"/>
          <w:w w:val="101"/>
        </w:rPr>
        <w:t>公</w:t>
      </w:r>
      <w:r>
        <w:rPr>
          <w:w w:val="101"/>
        </w:rPr>
        <w:t>告第</w:t>
      </w:r>
      <w:r>
        <w:rPr>
          <w:spacing w:val="-46"/>
        </w:rPr>
        <w:t> </w:t>
      </w:r>
      <w:r>
        <w:rPr>
          <w:rFonts w:ascii="Times New Roman" w:hAnsi="Times New Roman" w:cs="Times New Roman" w:eastAsia="Times New Roman" w:hint="default"/>
          <w:w w:val="101"/>
        </w:rPr>
        <w:t>1</w:t>
      </w:r>
      <w:r>
        <w:rPr>
          <w:rFonts w:ascii="Times New Roman" w:hAnsi="Times New Roman" w:cs="Times New Roman" w:eastAsia="Times New Roman" w:hint="default"/>
          <w:spacing w:val="-2"/>
        </w:rPr>
        <w:t> </w:t>
      </w:r>
      <w:r>
        <w:rPr>
          <w:spacing w:val="-5"/>
          <w:w w:val="101"/>
        </w:rPr>
        <w:t>号</w:t>
      </w:r>
      <w:r>
        <w:rPr>
          <w:rFonts w:ascii="Times New Roman" w:hAnsi="Times New Roman" w:cs="Times New Roman" w:eastAsia="Times New Roman" w:hint="default"/>
          <w:w w:val="101"/>
        </w:rPr>
        <w:t>—</w:t>
      </w:r>
      <w:r>
        <w:rPr>
          <w:rFonts w:ascii="Times New Roman" w:hAnsi="Times New Roman" w:cs="Times New Roman" w:eastAsia="Times New Roman" w:hint="default"/>
          <w:spacing w:val="-5"/>
          <w:w w:val="101"/>
        </w:rPr>
        <w:t>—</w:t>
      </w:r>
      <w:r>
        <w:rPr>
          <w:w w:val="101"/>
        </w:rPr>
        <w:t>非</w:t>
      </w:r>
      <w:r>
        <w:rPr>
          <w:spacing w:val="-5"/>
          <w:w w:val="101"/>
        </w:rPr>
        <w:t>经</w:t>
      </w:r>
      <w:r>
        <w:rPr>
          <w:w w:val="101"/>
        </w:rPr>
        <w:t>常</w:t>
      </w:r>
      <w:r>
        <w:rPr>
          <w:spacing w:val="-5"/>
          <w:w w:val="101"/>
        </w:rPr>
        <w:t>性</w:t>
      </w:r>
      <w:r>
        <w:rPr>
          <w:w w:val="101"/>
        </w:rPr>
        <w:t>损益</w:t>
      </w:r>
      <w:r>
        <w:rPr>
          <w:spacing w:val="-73"/>
          <w:w w:val="101"/>
        </w:rPr>
        <w:t>》</w:t>
      </w:r>
      <w:r>
        <w:rPr>
          <w:w w:val="101"/>
        </w:rPr>
        <w:t>定</w:t>
      </w:r>
      <w:r>
        <w:rPr>
          <w:spacing w:val="-5"/>
          <w:w w:val="101"/>
        </w:rPr>
        <w:t>义</w:t>
      </w:r>
      <w:r>
        <w:rPr>
          <w:w w:val="101"/>
        </w:rPr>
        <w:t>界</w:t>
      </w:r>
      <w:r>
        <w:rPr>
          <w:spacing w:val="-5"/>
          <w:w w:val="101"/>
        </w:rPr>
        <w:t>定</w:t>
      </w:r>
      <w:r>
        <w:rPr>
          <w:w w:val="101"/>
        </w:rPr>
        <w:t>的</w:t>
      </w:r>
      <w:r>
        <w:rPr>
          <w:spacing w:val="-5"/>
          <w:w w:val="101"/>
        </w:rPr>
        <w:t>非</w:t>
      </w:r>
      <w:r>
        <w:rPr>
          <w:w w:val="101"/>
        </w:rPr>
        <w:t>经</w:t>
      </w:r>
      <w:r>
        <w:rPr>
          <w:spacing w:val="-5"/>
          <w:w w:val="101"/>
        </w:rPr>
        <w:t>常</w:t>
      </w:r>
      <w:r>
        <w:rPr>
          <w:w w:val="101"/>
        </w:rPr>
        <w:t>性</w:t>
      </w:r>
      <w:r>
        <w:rPr>
          <w:spacing w:val="-5"/>
          <w:w w:val="101"/>
        </w:rPr>
        <w:t>损</w:t>
      </w:r>
      <w:r>
        <w:rPr>
          <w:w w:val="101"/>
        </w:rPr>
        <w:t>益</w:t>
      </w:r>
      <w:r>
        <w:rPr>
          <w:spacing w:val="-5"/>
          <w:w w:val="101"/>
        </w:rPr>
        <w:t>项</w:t>
      </w:r>
      <w:r>
        <w:rPr>
          <w:w w:val="101"/>
        </w:rPr>
        <w:t>目</w:t>
      </w:r>
      <w:r>
        <w:rPr>
          <w:spacing w:val="-68"/>
          <w:w w:val="101"/>
        </w:rPr>
        <w:t>，</w:t>
      </w:r>
      <w:r>
        <w:rPr>
          <w:spacing w:val="-5"/>
          <w:w w:val="101"/>
        </w:rPr>
        <w:t>以</w:t>
      </w:r>
      <w:r>
        <w:rPr>
          <w:w w:val="101"/>
        </w:rPr>
        <w:t>及</w:t>
      </w:r>
      <w:r>
        <w:rPr>
          <w:spacing w:val="-73"/>
          <w:w w:val="101"/>
        </w:rPr>
        <w:t>把</w:t>
      </w:r>
      <w:r>
        <w:rPr>
          <w:w w:val="101"/>
        </w:rPr>
        <w:t>《公</w:t>
      </w:r>
      <w:r>
        <w:rPr/>
      </w:r>
    </w:p>
    <w:p>
      <w:pPr>
        <w:pStyle w:val="BodyText"/>
        <w:spacing w:line="304" w:lineRule="auto" w:before="63"/>
        <w:ind w:right="1029"/>
        <w:jc w:val="left"/>
      </w:pPr>
      <w:r>
        <w:rPr>
          <w:spacing w:val="-3"/>
        </w:rPr>
        <w:t>开发行证券的公司信息披露解释性公告第 </w:t>
      </w:r>
      <w:r>
        <w:rPr>
          <w:rFonts w:ascii="Times New Roman" w:hAnsi="Times New Roman" w:cs="Times New Roman" w:eastAsia="Times New Roman" w:hint="default"/>
        </w:rPr>
        <w:t>1 </w:t>
      </w:r>
      <w:r>
        <w:rPr>
          <w:spacing w:val="-5"/>
        </w:rPr>
        <w:t>号</w:t>
      </w:r>
      <w:r>
        <w:rPr>
          <w:rFonts w:ascii="Times New Roman" w:hAnsi="Times New Roman" w:cs="Times New Roman" w:eastAsia="Times New Roman" w:hint="default"/>
          <w:spacing w:val="-5"/>
        </w:rPr>
        <w:t>——</w:t>
      </w:r>
      <w:r>
        <w:rPr>
          <w:spacing w:val="-5"/>
        </w:rPr>
        <w:t>非经常性损益》中列举的非经常性损益项目界定为经常性损益的项目，应</w:t>
      </w:r>
      <w:r>
        <w:rPr>
          <w:spacing w:val="-35"/>
        </w:rPr>
        <w:t> </w:t>
      </w:r>
      <w:r>
        <w:rPr>
          <w:spacing w:val="-35"/>
        </w:rPr>
      </w:r>
      <w:r>
        <w:rPr/>
        <w:t>说明原因。</w:t>
      </w:r>
    </w:p>
    <w:p>
      <w:pPr>
        <w:pStyle w:val="BodyText"/>
        <w:spacing w:line="240" w:lineRule="auto" w:before="66"/>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4"/>
        <w:rPr>
          <w:rFonts w:ascii="宋体" w:hAnsi="宋体" w:cs="宋体" w:eastAsia="宋体" w:hint="default"/>
          <w:sz w:val="25"/>
          <w:szCs w:val="25"/>
        </w:rPr>
      </w:pPr>
    </w:p>
    <w:p>
      <w:pPr>
        <w:pStyle w:val="Heading3"/>
        <w:spacing w:line="240" w:lineRule="auto"/>
        <w:ind w:right="0"/>
        <w:jc w:val="left"/>
        <w:rPr>
          <w:b w:val="0"/>
          <w:bCs w:val="0"/>
        </w:rPr>
      </w:pPr>
      <w:bookmarkStart w:name="2、净资产收益率及每股收益" w:id="430"/>
      <w:bookmarkEnd w:id="430"/>
      <w:r>
        <w:rPr>
          <w:b w:val="0"/>
          <w:bCs w:val="0"/>
        </w:rPr>
      </w:r>
      <w:r>
        <w:rPr>
          <w:rFonts w:ascii="Times New Roman" w:hAnsi="Times New Roman" w:cs="Times New Roman" w:eastAsia="Times New Roman" w:hint="default"/>
        </w:rPr>
        <w:t>2</w:t>
      </w:r>
      <w:r>
        <w:rPr/>
        <w:t>、净资产收益率及每股收益</w:t>
      </w:r>
      <w:r>
        <w:rPr>
          <w:b w:val="0"/>
          <w:bCs w:val="0"/>
        </w:rPr>
      </w:r>
    </w:p>
    <w:p>
      <w:pPr>
        <w:spacing w:line="240" w:lineRule="auto" w:before="11"/>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2653"/>
        <w:gridCol w:w="3078"/>
        <w:gridCol w:w="1916"/>
        <w:gridCol w:w="1911"/>
      </w:tblGrid>
      <w:tr>
        <w:trPr>
          <w:trHeight w:val="206" w:hRule="exact"/>
        </w:trPr>
        <w:tc>
          <w:tcPr>
            <w:tcW w:w="2653" w:type="dxa"/>
            <w:tcBorders>
              <w:top w:val="single" w:sz="4" w:space="0" w:color="000000"/>
              <w:left w:val="single" w:sz="4" w:space="0" w:color="000000"/>
              <w:bottom w:val="nil" w:sz="6" w:space="0" w:color="auto"/>
              <w:right w:val="single" w:sz="4" w:space="0" w:color="000000"/>
            </w:tcBorders>
            <w:shd w:val="clear" w:color="auto" w:fill="D2D2D2"/>
          </w:tcPr>
          <w:p>
            <w:pPr/>
          </w:p>
        </w:tc>
        <w:tc>
          <w:tcPr>
            <w:tcW w:w="3078" w:type="dxa"/>
            <w:tcBorders>
              <w:top w:val="single" w:sz="4" w:space="0" w:color="000000"/>
              <w:left w:val="single" w:sz="4" w:space="0" w:color="000000"/>
              <w:bottom w:val="nil" w:sz="6" w:space="0" w:color="auto"/>
              <w:right w:val="single" w:sz="4" w:space="0" w:color="000000"/>
            </w:tcBorders>
            <w:shd w:val="clear" w:color="auto" w:fill="D2D2D2"/>
          </w:tcPr>
          <w:p>
            <w:pPr/>
          </w:p>
        </w:tc>
        <w:tc>
          <w:tcPr>
            <w:tcW w:w="382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192" w:hRule="exact"/>
        </w:trPr>
        <w:tc>
          <w:tcPr>
            <w:tcW w:w="265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866"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307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634"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827"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2653" w:type="dxa"/>
            <w:vMerge/>
            <w:tcBorders>
              <w:left w:val="single" w:sz="4" w:space="0" w:color="000000"/>
              <w:bottom w:val="nil" w:sz="6" w:space="0" w:color="auto"/>
              <w:right w:val="single" w:sz="4" w:space="0" w:color="000000"/>
            </w:tcBorders>
            <w:shd w:val="clear" w:color="auto" w:fill="D2D2D2"/>
          </w:tcPr>
          <w:p>
            <w:pPr/>
          </w:p>
        </w:tc>
        <w:tc>
          <w:tcPr>
            <w:tcW w:w="3078" w:type="dxa"/>
            <w:vMerge/>
            <w:tcBorders>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28" w:right="0"/>
              <w:jc w:val="left"/>
              <w:rPr>
                <w:rFonts w:ascii="宋体" w:hAnsi="宋体" w:cs="宋体" w:eastAsia="宋体" w:hint="default"/>
                <w:sz w:val="18"/>
                <w:szCs w:val="18"/>
              </w:rPr>
            </w:pPr>
            <w:r>
              <w:rPr>
                <w:rFonts w:ascii="宋体" w:hAnsi="宋体" w:cs="宋体" w:eastAsia="宋体" w:hint="default"/>
                <w:spacing w:val="-3"/>
                <w:sz w:val="18"/>
                <w:szCs w:val="18"/>
              </w:rPr>
              <w:t>基本每股收益（元</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股）</w:t>
            </w:r>
            <w:r>
              <w:rPr>
                <w:rFonts w:ascii="宋体" w:hAnsi="宋体" w:cs="宋体" w:eastAsia="宋体" w:hint="default"/>
                <w:sz w:val="18"/>
                <w:szCs w:val="18"/>
              </w:rPr>
            </w:r>
          </w:p>
        </w:tc>
        <w:tc>
          <w:tcPr>
            <w:tcW w:w="191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28" w:right="0"/>
              <w:jc w:val="left"/>
              <w:rPr>
                <w:rFonts w:ascii="宋体" w:hAnsi="宋体" w:cs="宋体" w:eastAsia="宋体" w:hint="default"/>
                <w:sz w:val="18"/>
                <w:szCs w:val="18"/>
              </w:rPr>
            </w:pPr>
            <w:r>
              <w:rPr>
                <w:rFonts w:ascii="宋体" w:hAnsi="宋体" w:cs="宋体" w:eastAsia="宋体" w:hint="default"/>
                <w:spacing w:val="-3"/>
                <w:sz w:val="18"/>
                <w:szCs w:val="18"/>
              </w:rPr>
              <w:t>稀释每股收益（元</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股）</w:t>
            </w:r>
            <w:r>
              <w:rPr>
                <w:rFonts w:ascii="宋体" w:hAnsi="宋体" w:cs="宋体" w:eastAsia="宋体" w:hint="default"/>
                <w:sz w:val="18"/>
                <w:szCs w:val="18"/>
              </w:rPr>
            </w:r>
          </w:p>
        </w:tc>
      </w:tr>
      <w:tr>
        <w:trPr>
          <w:trHeight w:val="206" w:hRule="exact"/>
        </w:trPr>
        <w:tc>
          <w:tcPr>
            <w:tcW w:w="2653" w:type="dxa"/>
            <w:tcBorders>
              <w:top w:val="nil" w:sz="6" w:space="0" w:color="auto"/>
              <w:left w:val="single" w:sz="4" w:space="0" w:color="000000"/>
              <w:bottom w:val="single" w:sz="4" w:space="0" w:color="000000"/>
              <w:right w:val="single" w:sz="4" w:space="0" w:color="000000"/>
            </w:tcBorders>
            <w:shd w:val="clear" w:color="auto" w:fill="D2D2D2"/>
          </w:tcPr>
          <w:p>
            <w:pPr/>
          </w:p>
        </w:tc>
        <w:tc>
          <w:tcPr>
            <w:tcW w:w="3078"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1" w:type="dxa"/>
            <w:vMerge/>
            <w:tcBorders>
              <w:left w:val="single" w:sz="4" w:space="0" w:color="000000"/>
              <w:bottom w:val="single" w:sz="4" w:space="0" w:color="000000"/>
              <w:right w:val="single" w:sz="4" w:space="0" w:color="000000"/>
            </w:tcBorders>
            <w:shd w:val="clear" w:color="auto" w:fill="D2D2D2"/>
          </w:tcPr>
          <w:p>
            <w:pPr/>
          </w:p>
        </w:tc>
      </w:tr>
      <w:tr>
        <w:trPr>
          <w:trHeight w:val="399" w:hRule="exact"/>
        </w:trPr>
        <w:tc>
          <w:tcPr>
            <w:tcW w:w="26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归属于公司普通股股东的净利润</w:t>
            </w:r>
          </w:p>
        </w:tc>
        <w:tc>
          <w:tcPr>
            <w:tcW w:w="30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0.26%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0.0070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0.0070</w:t>
            </w:r>
          </w:p>
        </w:tc>
      </w:tr>
      <w:tr>
        <w:trPr>
          <w:trHeight w:val="715" w:hRule="exact"/>
        </w:trPr>
        <w:tc>
          <w:tcPr>
            <w:tcW w:w="26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8"/>
              <w:ind w:left="11" w:right="104"/>
              <w:jc w:val="left"/>
              <w:rPr>
                <w:rFonts w:ascii="宋体" w:hAnsi="宋体" w:cs="宋体" w:eastAsia="宋体" w:hint="default"/>
                <w:sz w:val="18"/>
                <w:szCs w:val="18"/>
              </w:rPr>
            </w:pPr>
            <w:r>
              <w:rPr>
                <w:rFonts w:ascii="宋体" w:hAnsi="宋体" w:cs="宋体" w:eastAsia="宋体" w:hint="default"/>
                <w:spacing w:val="-3"/>
                <w:sz w:val="18"/>
                <w:szCs w:val="18"/>
              </w:rPr>
              <w:t>扣除非经常性损益后归属于公司</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pacing w:val="-3"/>
                <w:sz w:val="18"/>
                <w:szCs w:val="18"/>
              </w:rPr>
              <w:t>普通股股东的净利润</w:t>
            </w:r>
          </w:p>
        </w:tc>
        <w:tc>
          <w:tcPr>
            <w:tcW w:w="30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2"/>
                <w:sz w:val="18"/>
              </w:rPr>
              <w:t>-1.45%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-0.0257</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-0.0257</w:t>
            </w:r>
          </w:p>
        </w:tc>
      </w:tr>
    </w:tbl>
    <w:p>
      <w:pPr>
        <w:spacing w:line="240" w:lineRule="auto" w:before="3"/>
        <w:rPr>
          <w:rFonts w:ascii="宋体" w:hAnsi="宋体" w:cs="宋体" w:eastAsia="宋体" w:hint="default"/>
          <w:b/>
          <w:bCs/>
          <w:sz w:val="19"/>
          <w:szCs w:val="19"/>
        </w:rPr>
      </w:pPr>
    </w:p>
    <w:p>
      <w:pPr>
        <w:pStyle w:val="Heading3"/>
        <w:spacing w:line="240" w:lineRule="auto" w:before="36"/>
        <w:ind w:right="0"/>
        <w:jc w:val="left"/>
        <w:rPr>
          <w:b w:val="0"/>
          <w:bCs w:val="0"/>
        </w:rPr>
      </w:pPr>
      <w:bookmarkStart w:name="3、境内外会计准则下会计数据差异" w:id="431"/>
      <w:bookmarkEnd w:id="431"/>
      <w:r>
        <w:rPr>
          <w:b w:val="0"/>
          <w:bCs w:val="0"/>
        </w:rPr>
      </w:r>
      <w:r>
        <w:rPr>
          <w:rFonts w:ascii="Times New Roman" w:hAnsi="Times New Roman" w:cs="Times New Roman" w:eastAsia="Times New Roman" w:hint="default"/>
        </w:rPr>
        <w:t>3</w:t>
      </w:r>
      <w:r>
        <w:rPr/>
        <w:t>、境内外会计准则下会计数据差异</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同时按照国际会计准则与按中国会计准则披露的财务报告中净利润和净资产差异情况" w:id="432"/>
      <w:bookmarkEnd w:id="432"/>
      <w:r>
        <w:rPr>
          <w:b w:val="0"/>
          <w:bCs w:val="0"/>
        </w:rPr>
      </w:r>
      <w:r>
        <w:rPr/>
        <w:t>（</w:t>
      </w:r>
      <w:r>
        <w:rPr>
          <w:rFonts w:ascii="Times New Roman" w:hAnsi="Times New Roman" w:cs="Times New Roman" w:eastAsia="Times New Roman" w:hint="default"/>
        </w:rPr>
        <w:t>1</w:t>
      </w:r>
      <w:r>
        <w:rPr/>
        <w:t>）同时按照国际会计准则与按中国会计准则披露的财务报告中净利润和净资产差异情况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8"/>
        <w:rPr>
          <w:rFonts w:ascii="宋体" w:hAnsi="宋体" w:cs="宋体" w:eastAsia="宋体" w:hint="default"/>
          <w:sz w:val="25"/>
          <w:szCs w:val="25"/>
        </w:rPr>
      </w:pPr>
    </w:p>
    <w:p>
      <w:pPr>
        <w:pStyle w:val="Heading3"/>
        <w:spacing w:line="240" w:lineRule="auto"/>
        <w:ind w:right="0"/>
        <w:jc w:val="left"/>
        <w:rPr>
          <w:b w:val="0"/>
          <w:bCs w:val="0"/>
        </w:rPr>
      </w:pPr>
      <w:bookmarkStart w:name="（2）同时按照境外会计准则与按中国会计准则披露的财务报告中净利润和净资产差异情况" w:id="433"/>
      <w:bookmarkEnd w:id="433"/>
      <w:r>
        <w:rPr>
          <w:b w:val="0"/>
          <w:bCs w:val="0"/>
        </w:rPr>
      </w:r>
      <w:r>
        <w:rPr/>
        <w:t>（</w:t>
      </w:r>
      <w:r>
        <w:rPr>
          <w:rFonts w:ascii="Times New Roman" w:hAnsi="Times New Roman" w:cs="Times New Roman" w:eastAsia="Times New Roman" w:hint="default"/>
        </w:rPr>
        <w:t>2</w:t>
      </w:r>
      <w:r>
        <w:rPr/>
        <w:t>）同时按照境外会计准则与按中国会计准则披露的财务报告中净利润和净资产差异情况</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8"/>
        <w:rPr>
          <w:rFonts w:ascii="宋体" w:hAnsi="宋体" w:cs="宋体" w:eastAsia="宋体" w:hint="default"/>
          <w:sz w:val="25"/>
          <w:szCs w:val="25"/>
        </w:rPr>
      </w:pPr>
    </w:p>
    <w:p>
      <w:pPr>
        <w:pStyle w:val="Heading3"/>
        <w:spacing w:line="254" w:lineRule="auto"/>
        <w:ind w:right="0"/>
        <w:jc w:val="left"/>
        <w:rPr>
          <w:b w:val="0"/>
          <w:bCs w:val="0"/>
        </w:rPr>
      </w:pPr>
      <w:bookmarkStart w:name="（3）境内外会计准则下会计数据差异原因说明，对已经境外审计机构审计的数据进行差异" w:id="434"/>
      <w:bookmarkEnd w:id="434"/>
      <w:r>
        <w:rPr>
          <w:b w:val="0"/>
          <w:bCs w:val="0"/>
        </w:rPr>
      </w:r>
      <w:r>
        <w:rPr/>
        <w:t>（</w:t>
      </w:r>
      <w:r>
        <w:rPr>
          <w:rFonts w:ascii="Times New Roman" w:hAnsi="Times New Roman" w:cs="Times New Roman" w:eastAsia="Times New Roman" w:hint="default"/>
        </w:rPr>
        <w:t>3</w:t>
      </w:r>
      <w:r>
        <w:rPr/>
        <w:t>）境内外会计准则下会计数据差异原因说明，对已经境外审计机构审计的数据进行差异调节的，应注</w:t>
      </w:r>
      <w:r>
        <w:rPr>
          <w:spacing w:val="-66"/>
        </w:rPr>
        <w:t> </w:t>
      </w:r>
      <w:r>
        <w:rPr>
          <w:spacing w:val="-66"/>
        </w:rPr>
      </w:r>
      <w:r>
        <w:rPr/>
        <w:t>明该境外机构的名称</w:t>
      </w:r>
      <w:r>
        <w:rPr>
          <w:b w:val="0"/>
          <w:bCs w:val="0"/>
        </w:rPr>
      </w:r>
    </w:p>
    <w:p>
      <w:pPr>
        <w:spacing w:after="0" w:line="254" w:lineRule="auto"/>
        <w:jc w:val="left"/>
        <w:sectPr>
          <w:pgSz w:w="11910" w:h="16840"/>
          <w:pgMar w:header="871" w:footer="1186" w:top="1100" w:bottom="1380" w:left="980" w:right="0"/>
        </w:sectPr>
      </w:pP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6"/>
          <w:szCs w:val="16"/>
        </w:rPr>
      </w:pPr>
    </w:p>
    <w:p>
      <w:pPr>
        <w:pStyle w:val="Heading1"/>
        <w:spacing w:line="240" w:lineRule="auto"/>
        <w:ind w:left="3283" w:right="0"/>
        <w:jc w:val="left"/>
        <w:rPr>
          <w:b w:val="0"/>
          <w:bCs w:val="0"/>
        </w:rPr>
      </w:pPr>
      <w:bookmarkStart w:name="第十三节 备查文件目录" w:id="435"/>
      <w:bookmarkEnd w:id="435"/>
      <w:r>
        <w:rPr>
          <w:b w:val="0"/>
          <w:bCs w:val="0"/>
        </w:rPr>
      </w:r>
      <w:bookmarkStart w:name="_bookmark12" w:id="436"/>
      <w:bookmarkEnd w:id="436"/>
      <w:r>
        <w:rPr>
          <w:b w:val="0"/>
          <w:bCs w:val="0"/>
        </w:rPr>
      </w:r>
      <w:r>
        <w:rPr/>
        <w:t>第十三节</w:t>
      </w:r>
      <w:r>
        <w:rPr>
          <w:spacing w:val="1"/>
        </w:rPr>
        <w:t> </w:t>
      </w:r>
      <w:r>
        <w:rPr/>
        <w:t>备查文件目录</w:t>
      </w:r>
      <w:r>
        <w:rPr>
          <w:b w:val="0"/>
          <w:bCs w:val="0"/>
        </w:rPr>
      </w:r>
    </w:p>
    <w:p>
      <w:pPr>
        <w:spacing w:line="240" w:lineRule="auto" w:before="0"/>
        <w:rPr>
          <w:rFonts w:ascii="宋体" w:hAnsi="宋体" w:cs="宋体" w:eastAsia="宋体" w:hint="default"/>
          <w:b/>
          <w:bCs/>
          <w:sz w:val="32"/>
          <w:szCs w:val="32"/>
        </w:rPr>
      </w:pPr>
    </w:p>
    <w:p>
      <w:pPr>
        <w:pStyle w:val="BodyText"/>
        <w:spacing w:line="240" w:lineRule="auto" w:before="219"/>
        <w:ind w:left="513" w:right="0"/>
        <w:jc w:val="left"/>
      </w:pPr>
      <w:r>
        <w:rPr>
          <w:rFonts w:ascii="Times New Roman" w:hAnsi="Times New Roman" w:cs="Times New Roman" w:eastAsia="Times New Roman" w:hint="default"/>
          <w:spacing w:val="-3"/>
        </w:rPr>
        <w:t>1</w:t>
      </w:r>
      <w:r>
        <w:rPr>
          <w:spacing w:val="-3"/>
        </w:rPr>
        <w:t>．载有公司法定代表人陈向军、主管会计工作负责人刘奕、会计机构负责人张春雷签名并盖章的财务报表。</w:t>
      </w:r>
    </w:p>
    <w:p>
      <w:pPr>
        <w:spacing w:line="240" w:lineRule="auto" w:before="7"/>
        <w:rPr>
          <w:rFonts w:ascii="宋体" w:hAnsi="宋体" w:cs="宋体" w:eastAsia="宋体" w:hint="default"/>
          <w:sz w:val="16"/>
          <w:szCs w:val="16"/>
        </w:rPr>
      </w:pPr>
    </w:p>
    <w:p>
      <w:pPr>
        <w:pStyle w:val="BodyText"/>
        <w:spacing w:line="240" w:lineRule="auto"/>
        <w:ind w:left="513" w:right="0"/>
        <w:jc w:val="left"/>
      </w:pPr>
      <w:r>
        <w:rPr>
          <w:rFonts w:ascii="Times New Roman" w:hAnsi="Times New Roman" w:cs="Times New Roman" w:eastAsia="Times New Roman" w:hint="default"/>
          <w:spacing w:val="-3"/>
        </w:rPr>
        <w:t>2</w:t>
      </w:r>
      <w:r>
        <w:rPr>
          <w:spacing w:val="-3"/>
        </w:rPr>
        <w:t>．载有瑞华会计师事务所盖章、注册会计师章归鸿、王甫荣签名并盖章的审计报告原件。</w:t>
      </w:r>
    </w:p>
    <w:p>
      <w:pPr>
        <w:spacing w:line="240" w:lineRule="auto" w:before="12"/>
        <w:rPr>
          <w:rFonts w:ascii="宋体" w:hAnsi="宋体" w:cs="宋体" w:eastAsia="宋体" w:hint="default"/>
          <w:sz w:val="16"/>
          <w:szCs w:val="16"/>
        </w:rPr>
      </w:pPr>
    </w:p>
    <w:p>
      <w:pPr>
        <w:pStyle w:val="BodyText"/>
        <w:spacing w:line="240" w:lineRule="auto"/>
        <w:ind w:left="513" w:right="0"/>
        <w:jc w:val="left"/>
      </w:pPr>
      <w:r>
        <w:rPr>
          <w:rFonts w:ascii="Times New Roman" w:hAnsi="Times New Roman" w:cs="Times New Roman" w:eastAsia="Times New Roman" w:hint="default"/>
          <w:spacing w:val="-3"/>
        </w:rPr>
        <w:t>3</w:t>
      </w:r>
      <w:r>
        <w:rPr>
          <w:spacing w:val="-3"/>
        </w:rPr>
        <w:t>．载有公司董事长陈向军签名的公司 </w:t>
      </w:r>
      <w:r>
        <w:rPr>
          <w:rFonts w:ascii="Times New Roman" w:hAnsi="Times New Roman" w:cs="Times New Roman" w:eastAsia="Times New Roman" w:hint="default"/>
        </w:rPr>
        <w:t>2019</w:t>
      </w:r>
      <w:r>
        <w:rPr>
          <w:rFonts w:ascii="Times New Roman" w:hAnsi="Times New Roman" w:cs="Times New Roman" w:eastAsia="Times New Roman" w:hint="default"/>
          <w:spacing w:val="17"/>
        </w:rPr>
        <w:t> </w:t>
      </w:r>
      <w:r>
        <w:rPr>
          <w:spacing w:val="-3"/>
        </w:rPr>
        <w:t>年年度报告。</w:t>
      </w:r>
    </w:p>
    <w:p>
      <w:pPr>
        <w:spacing w:line="240" w:lineRule="auto" w:before="7"/>
        <w:rPr>
          <w:rFonts w:ascii="宋体" w:hAnsi="宋体" w:cs="宋体" w:eastAsia="宋体" w:hint="default"/>
          <w:sz w:val="16"/>
          <w:szCs w:val="16"/>
        </w:rPr>
      </w:pPr>
    </w:p>
    <w:p>
      <w:pPr>
        <w:pStyle w:val="BodyText"/>
        <w:spacing w:line="240" w:lineRule="auto"/>
        <w:ind w:left="513" w:right="0"/>
        <w:jc w:val="left"/>
      </w:pPr>
      <w:r>
        <w:rPr>
          <w:rFonts w:ascii="Times New Roman" w:hAnsi="Times New Roman" w:cs="Times New Roman" w:eastAsia="Times New Roman" w:hint="default"/>
          <w:spacing w:val="-3"/>
        </w:rPr>
        <w:t>4</w:t>
      </w:r>
      <w:r>
        <w:rPr>
          <w:spacing w:val="-3"/>
        </w:rPr>
        <w:t>．报告期内公司在中国证监会指定网站上公开披露过的所有文件的正本及公告的原件。</w:t>
      </w:r>
    </w:p>
    <w:p>
      <w:pPr>
        <w:spacing w:line="240" w:lineRule="auto" w:before="12"/>
        <w:rPr>
          <w:rFonts w:ascii="宋体" w:hAnsi="宋体" w:cs="宋体" w:eastAsia="宋体" w:hint="default"/>
          <w:sz w:val="16"/>
          <w:szCs w:val="16"/>
        </w:rPr>
      </w:pPr>
    </w:p>
    <w:p>
      <w:pPr>
        <w:pStyle w:val="BodyText"/>
        <w:spacing w:line="240" w:lineRule="auto"/>
        <w:ind w:left="513" w:right="0"/>
        <w:jc w:val="left"/>
      </w:pPr>
      <w:r>
        <w:rPr>
          <w:rFonts w:ascii="Times New Roman" w:hAnsi="Times New Roman" w:cs="Times New Roman" w:eastAsia="Times New Roman" w:hint="default"/>
        </w:rPr>
        <w:t>5</w:t>
      </w:r>
      <w:r>
        <w:rPr/>
        <w:t>．其他有关资料。</w:t>
      </w:r>
    </w:p>
    <w:p>
      <w:pPr>
        <w:spacing w:line="240" w:lineRule="auto" w:before="7"/>
        <w:rPr>
          <w:rFonts w:ascii="宋体" w:hAnsi="宋体" w:cs="宋体" w:eastAsia="宋体" w:hint="default"/>
          <w:sz w:val="16"/>
          <w:szCs w:val="16"/>
        </w:rPr>
      </w:pPr>
    </w:p>
    <w:p>
      <w:pPr>
        <w:pStyle w:val="BodyText"/>
        <w:spacing w:line="240" w:lineRule="auto"/>
        <w:ind w:left="513" w:right="0"/>
        <w:jc w:val="left"/>
      </w:pPr>
      <w:r>
        <w:rPr>
          <w:spacing w:val="-3"/>
        </w:rPr>
        <w:t>以上备查文件的备置地点：深圳市福田区天安数码城天祥大厦 </w:t>
      </w:r>
      <w:r>
        <w:rPr>
          <w:rFonts w:ascii="Times New Roman" w:hAnsi="Times New Roman" w:cs="Times New Roman" w:eastAsia="Times New Roman" w:hint="default"/>
          <w:spacing w:val="-4"/>
        </w:rPr>
        <w:t>AB  </w:t>
      </w:r>
      <w:r>
        <w:rPr/>
        <w:t>座</w:t>
      </w:r>
      <w:r>
        <w:rPr>
          <w:spacing w:val="-43"/>
        </w:rPr>
        <w:t> </w:t>
      </w:r>
      <w:r>
        <w:rPr>
          <w:rFonts w:ascii="Times New Roman" w:hAnsi="Times New Roman" w:cs="Times New Roman" w:eastAsia="Times New Roman" w:hint="default"/>
        </w:rPr>
        <w:t>10A</w:t>
      </w:r>
      <w:r>
        <w:rPr/>
        <w:t>，公司董事会办公室。</w:t>
      </w:r>
    </w:p>
    <w:sectPr>
      <w:pgSz w:w="11910" w:h="16840"/>
      <w:pgMar w:header="871" w:footer="1186" w:top="1100" w:bottom="1380" w:left="98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黑体">
    <w:altName w:val="黑体"/>
    <w:charset w:val="86"/>
    <w:family w:val="modern"/>
    <w:pitch w:val="fixed"/>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574707pt;margin-top:806.72052pt;width:59.493346pt;height:26.794713pt;mso-position-horizontal-relative:page;mso-position-vertical-relative:page;z-index:-1026592" type="#_x0000_t75" stroked="false">
          <v:imagedata r:id="rId1" o:titl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574707pt;margin-top:806.72052pt;width:59.493346pt;height:26.794713pt;mso-position-horizontal-relative:page;mso-position-vertical-relative:page;z-index:-1026136" type="#_x0000_t75" stroked="false">
          <v:imagedata r:id="rId1" o:title=""/>
        </v:shape>
      </w:pict>
    </w:r>
    <w:r>
      <w:rPr/>
      <w:pict>
        <v:shape style="position:absolute;margin-left:55.664001pt;margin-top:754.818481pt;width:484.25pt;height:27.95pt;mso-position-horizontal-relative:page;mso-position-vertical-relative:page;z-index:-1026112" type="#_x0000_t202" filled="false" stroked="false">
          <v:textbox inset="0,0,0,0">
            <w:txbxContent>
              <w:p>
                <w:pPr>
                  <w:pStyle w:val="BodyText"/>
                  <w:spacing w:line="202" w:lineRule="exact"/>
                  <w:ind w:left="0" w:right="0"/>
                  <w:jc w:val="center"/>
                </w:pPr>
                <w:r>
                  <w:rPr>
                    <w:spacing w:val="-4"/>
                  </w:rPr>
                  <w:t>币非货币性项目，采用公允价值确定日的即期汇率折算，折算后的记账本位币金额与原记账本位币金额的差额，计入当期损</w:t>
                </w:r>
              </w:p>
              <w:p>
                <w:pPr>
                  <w:pStyle w:val="BodyText"/>
                  <w:spacing w:line="240" w:lineRule="auto" w:before="133"/>
                  <w:ind w:left="-1" w:right="0"/>
                  <w:jc w:val="center"/>
                  <w:rPr>
                    <w:rFonts w:ascii="Times New Roman" w:hAnsi="Times New Roman" w:cs="Times New Roman" w:eastAsia="Times New Roman" w:hint="default"/>
                  </w:rPr>
                </w:pPr>
                <w:r>
                  <w:rPr>
                    <w:rFonts w:ascii="Times New Roman"/>
                    <w:w w:val="101"/>
                  </w:rPr>
                </w:r>
                <w:r>
                  <w:rPr/>
                  <w:fldChar w:fldCharType="begin"/>
                </w:r>
                <w:r>
                  <w:rPr>
                    <w:rFonts w:ascii="Times New Roman"/>
                  </w:rPr>
                  <w:instrText> PAGE </w:instrText>
                </w:r>
                <w:r>
                  <w:rPr/>
                  <w:fldChar w:fldCharType="separate"/>
                </w:r>
                <w:r>
                  <w:rPr/>
                  <w:t>111</w:t>
                </w:r>
                <w:r>
                  <w:rPr/>
                  <w:fldChar w:fldCharType="end"/>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574707pt;margin-top:806.72052pt;width:59.493346pt;height:26.794713pt;mso-position-horizontal-relative:page;mso-position-vertical-relative:page;z-index:-1026088" type="#_x0000_t75" stroked="false">
          <v:imagedata r:id="rId1" o:title=""/>
        </v:shape>
      </w:pict>
    </w:r>
    <w:r>
      <w:rPr/>
      <w:pict>
        <v:shape style="position:absolute;margin-left:55.664001pt;margin-top:756.018494pt;width:484.1pt;height:26.75pt;mso-position-horizontal-relative:page;mso-position-vertical-relative:page;z-index:-1026064" type="#_x0000_t202" filled="false" stroked="false">
          <v:textbox inset="0,0,0,0">
            <w:txbxContent>
              <w:p>
                <w:pPr>
                  <w:pStyle w:val="BodyText"/>
                  <w:spacing w:line="216" w:lineRule="exact"/>
                  <w:ind w:left="0" w:right="0"/>
                  <w:jc w:val="center"/>
                </w:pPr>
                <w:r>
                  <w:rPr>
                    <w:spacing w:val="-4"/>
                  </w:rPr>
                  <w:t>的金融资产，自初始确认起，按照该金融资产的摊余成本和经信用调整的实际利率计算确定其利息收入。</w:t>
                </w:r>
                <w:r>
                  <w:rPr>
                    <w:rFonts w:ascii="Times New Roman" w:hAnsi="Times New Roman" w:cs="Times New Roman" w:eastAsia="Times New Roman" w:hint="default"/>
                    <w:spacing w:val="-4"/>
                  </w:rPr>
                  <w:t>b    </w:t>
                </w:r>
                <w:r>
                  <w:rPr>
                    <w:rFonts w:ascii="Times New Roman" w:hAnsi="Times New Roman" w:cs="Times New Roman" w:eastAsia="Times New Roman" w:hint="default"/>
                    <w:spacing w:val="4"/>
                  </w:rPr>
                  <w:t> </w:t>
                </w:r>
                <w:r>
                  <w:rPr>
                    <w:spacing w:val="-3"/>
                  </w:rPr>
                  <w:t>对于购入或源生</w:t>
                </w:r>
              </w:p>
              <w:p>
                <w:pPr>
                  <w:pStyle w:val="BodyText"/>
                  <w:spacing w:line="240" w:lineRule="auto" w:before="95"/>
                  <w:ind w:left="0" w:right="0"/>
                  <w:jc w:val="center"/>
                  <w:rPr>
                    <w:rFonts w:ascii="Times New Roman" w:hAnsi="Times New Roman" w:cs="Times New Roman" w:eastAsia="Times New Roman" w:hint="default"/>
                  </w:rPr>
                </w:pPr>
                <w:r>
                  <w:rPr>
                    <w:rFonts w:ascii="Times New Roman"/>
                    <w:w w:val="101"/>
                  </w:rPr>
                </w:r>
                <w:r>
                  <w:rPr/>
                  <w:fldChar w:fldCharType="begin"/>
                </w:r>
                <w:r>
                  <w:rPr>
                    <w:rFonts w:ascii="Times New Roman"/>
                  </w:rPr>
                  <w:instrText> PAGE </w:instrText>
                </w:r>
                <w:r>
                  <w:rPr/>
                  <w:fldChar w:fldCharType="separate"/>
                </w:r>
                <w:r>
                  <w:rPr/>
                  <w:t>112</w:t>
                </w:r>
                <w:r>
                  <w:rPr/>
                  <w:fldChar w:fldCharType="end"/>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574707pt;margin-top:806.72052pt;width:59.493346pt;height:26.794713pt;mso-position-horizontal-relative:page;mso-position-vertical-relative:page;z-index:-1026040" type="#_x0000_t75" stroked="false">
          <v:imagedata r:id="rId1" o:title=""/>
        </v:shape>
      </w:pict>
    </w:r>
    <w:r>
      <w:rPr/>
      <w:pict>
        <v:shape style="position:absolute;margin-left:55.664001pt;margin-top:756.978455pt;width:29.15pt;height:11.15pt;mso-position-horizontal-relative:page;mso-position-vertical-relative:page;z-index:-1026016" type="#_x0000_t202" filled="false" stroked="false">
          <v:textbox inset="0,0,0,0">
            <w:txbxContent>
              <w:p>
                <w:pPr>
                  <w:pStyle w:val="BodyText"/>
                  <w:spacing w:line="202" w:lineRule="exact"/>
                  <w:ind w:left="20" w:right="0"/>
                  <w:jc w:val="left"/>
                </w:pPr>
                <w:r>
                  <w:rPr/>
                  <w:t>损益。</w:t>
                </w:r>
              </w:p>
            </w:txbxContent>
          </v:textbox>
          <w10:wrap type="none"/>
        </v:shape>
      </w:pict>
    </w:r>
    <w:r>
      <w:rPr/>
      <w:pict>
        <v:shape style="position:absolute;margin-left:289pt;margin-top:771.637329pt;width:17.45pt;height:11.15pt;mso-position-horizontal-relative:page;mso-position-vertical-relative:page;z-index:-1025992" type="#_x0000_t202" filled="false" stroked="false">
          <v:textbox inset="0,0,0,0">
            <w:txbxContent>
              <w:p>
                <w:pPr>
                  <w:pStyle w:val="BodyText"/>
                  <w:spacing w:line="206" w:lineRule="exact"/>
                  <w:ind w:left="40" w:right="0"/>
                  <w:jc w:val="left"/>
                  <w:rPr>
                    <w:rFonts w:ascii="Times New Roman" w:hAnsi="Times New Roman" w:cs="Times New Roman" w:eastAsia="Times New Roman" w:hint="default"/>
                  </w:rPr>
                </w:pPr>
                <w:r>
                  <w:rPr>
                    <w:rFonts w:ascii="Times New Roman"/>
                    <w:w w:val="101"/>
                  </w:rPr>
                </w:r>
                <w:r>
                  <w:rPr/>
                  <w:fldChar w:fldCharType="begin"/>
                </w:r>
                <w:r>
                  <w:rPr>
                    <w:rFonts w:ascii="Times New Roman"/>
                  </w:rPr>
                  <w:instrText> PAGE </w:instrText>
                </w:r>
                <w:r>
                  <w:rPr/>
                  <w:fldChar w:fldCharType="separate"/>
                </w:r>
                <w:r>
                  <w:rPr/>
                  <w:t>113</w:t>
                </w:r>
                <w:r>
                  <w:rPr/>
                  <w:fldChar w:fldCharType="end"/>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574707pt;margin-top:806.72052pt;width:59.493346pt;height:26.794713pt;mso-position-horizontal-relative:page;mso-position-vertical-relative:page;z-index:-1025968" type="#_x0000_t75" stroked="false">
          <v:imagedata r:id="rId1" o:title=""/>
        </v:shape>
      </w:pict>
    </w:r>
    <w:r>
      <w:rPr/>
      <w:pict>
        <v:shape style="position:absolute;margin-left:55.664001pt;margin-top:756.978455pt;width:488.8pt;height:25.8pt;mso-position-horizontal-relative:page;mso-position-vertical-relative:page;z-index:-1025944" type="#_x0000_t202" filled="false" stroked="false">
          <v:textbox inset="0,0,0,0">
            <w:txbxContent>
              <w:p>
                <w:pPr>
                  <w:pStyle w:val="BodyText"/>
                  <w:spacing w:line="202" w:lineRule="exact"/>
                  <w:ind w:left="0" w:right="0"/>
                  <w:jc w:val="center"/>
                </w:pPr>
                <w:r>
                  <w:rPr>
                    <w:w w:val="101"/>
                  </w:rPr>
                  <w:t>价值</w:t>
                </w:r>
                <w:r>
                  <w:rPr>
                    <w:spacing w:val="-92"/>
                    <w:w w:val="101"/>
                  </w:rPr>
                  <w:t>；</w:t>
                </w:r>
                <w:r>
                  <w:rPr>
                    <w:w w:val="101"/>
                  </w:rPr>
                  <w:t>②</w:t>
                </w:r>
                <w:r>
                  <w:rPr>
                    <w:spacing w:val="-5"/>
                    <w:w w:val="101"/>
                  </w:rPr>
                  <w:t>因</w:t>
                </w:r>
                <w:r>
                  <w:rPr>
                    <w:w w:val="101"/>
                  </w:rPr>
                  <w:t>转</w:t>
                </w:r>
                <w:r>
                  <w:rPr>
                    <w:spacing w:val="-5"/>
                    <w:w w:val="101"/>
                  </w:rPr>
                  <w:t>移</w:t>
                </w:r>
                <w:r>
                  <w:rPr>
                    <w:w w:val="101"/>
                  </w:rPr>
                  <w:t>金</w:t>
                </w:r>
                <w:r>
                  <w:rPr>
                    <w:spacing w:val="-5"/>
                    <w:w w:val="101"/>
                  </w:rPr>
                  <w:t>融</w:t>
                </w:r>
                <w:r>
                  <w:rPr>
                    <w:w w:val="101"/>
                  </w:rPr>
                  <w:t>资</w:t>
                </w:r>
                <w:r>
                  <w:rPr>
                    <w:spacing w:val="-5"/>
                    <w:w w:val="101"/>
                  </w:rPr>
                  <w:t>产</w:t>
                </w:r>
                <w:r>
                  <w:rPr>
                    <w:w w:val="101"/>
                  </w:rPr>
                  <w:t>而</w:t>
                </w:r>
                <w:r>
                  <w:rPr>
                    <w:spacing w:val="-5"/>
                    <w:w w:val="101"/>
                  </w:rPr>
                  <w:t>收到</w:t>
                </w:r>
                <w:r>
                  <w:rPr>
                    <w:w w:val="101"/>
                  </w:rPr>
                  <w:t>的</w:t>
                </w:r>
                <w:r>
                  <w:rPr>
                    <w:spacing w:val="-5"/>
                    <w:w w:val="101"/>
                  </w:rPr>
                  <w:t>对</w:t>
                </w:r>
                <w:r>
                  <w:rPr>
                    <w:w w:val="101"/>
                  </w:rPr>
                  <w:t>价</w:t>
                </w:r>
                <w:r>
                  <w:rPr>
                    <w:spacing w:val="-87"/>
                    <w:w w:val="101"/>
                  </w:rPr>
                  <w:t>，</w:t>
                </w:r>
                <w:r>
                  <w:rPr>
                    <w:spacing w:val="-5"/>
                    <w:w w:val="101"/>
                  </w:rPr>
                  <w:t>与</w:t>
                </w:r>
                <w:r>
                  <w:rPr>
                    <w:w w:val="101"/>
                  </w:rPr>
                  <w:t>原</w:t>
                </w:r>
                <w:r>
                  <w:rPr>
                    <w:spacing w:val="-5"/>
                    <w:w w:val="101"/>
                  </w:rPr>
                  <w:t>直</w:t>
                </w:r>
                <w:r>
                  <w:rPr>
                    <w:w w:val="101"/>
                  </w:rPr>
                  <w:t>接</w:t>
                </w:r>
                <w:r>
                  <w:rPr>
                    <w:spacing w:val="-5"/>
                    <w:w w:val="101"/>
                  </w:rPr>
                  <w:t>计</w:t>
                </w:r>
                <w:r>
                  <w:rPr>
                    <w:w w:val="101"/>
                  </w:rPr>
                  <w:t>入</w:t>
                </w:r>
                <w:r>
                  <w:rPr>
                    <w:spacing w:val="-5"/>
                    <w:w w:val="101"/>
                  </w:rPr>
                  <w:t>其</w:t>
                </w:r>
                <w:r>
                  <w:rPr>
                    <w:w w:val="101"/>
                  </w:rPr>
                  <w:t>他</w:t>
                </w:r>
                <w:r>
                  <w:rPr>
                    <w:spacing w:val="-5"/>
                    <w:w w:val="101"/>
                  </w:rPr>
                  <w:t>综合</w:t>
                </w:r>
                <w:r>
                  <w:rPr>
                    <w:w w:val="101"/>
                  </w:rPr>
                  <w:t>收</w:t>
                </w:r>
                <w:r>
                  <w:rPr>
                    <w:spacing w:val="-5"/>
                    <w:w w:val="101"/>
                  </w:rPr>
                  <w:t>益</w:t>
                </w:r>
                <w:r>
                  <w:rPr>
                    <w:w w:val="101"/>
                  </w:rPr>
                  <w:t>的</w:t>
                </w:r>
                <w:r>
                  <w:rPr>
                    <w:spacing w:val="-5"/>
                    <w:w w:val="101"/>
                  </w:rPr>
                  <w:t>公</w:t>
                </w:r>
                <w:r>
                  <w:rPr>
                    <w:w w:val="101"/>
                  </w:rPr>
                  <w:t>允</w:t>
                </w:r>
                <w:r>
                  <w:rPr>
                    <w:spacing w:val="-5"/>
                    <w:w w:val="101"/>
                  </w:rPr>
                  <w:t>价</w:t>
                </w:r>
                <w:r>
                  <w:rPr>
                    <w:w w:val="101"/>
                  </w:rPr>
                  <w:t>值</w:t>
                </w:r>
                <w:r>
                  <w:rPr>
                    <w:spacing w:val="-5"/>
                    <w:w w:val="101"/>
                  </w:rPr>
                  <w:t>变</w:t>
                </w:r>
                <w:r>
                  <w:rPr>
                    <w:w w:val="101"/>
                  </w:rPr>
                  <w:t>动</w:t>
                </w:r>
                <w:r>
                  <w:rPr>
                    <w:spacing w:val="-5"/>
                    <w:w w:val="101"/>
                  </w:rPr>
                  <w:t>累</w:t>
                </w:r>
                <w:r>
                  <w:rPr>
                    <w:w w:val="101"/>
                  </w:rPr>
                  <w:t>计</w:t>
                </w:r>
                <w:r>
                  <w:rPr>
                    <w:spacing w:val="-5"/>
                    <w:w w:val="101"/>
                  </w:rPr>
                  <w:t>额</w:t>
                </w:r>
                <w:r>
                  <w:rPr>
                    <w:w w:val="101"/>
                  </w:rPr>
                  <w:t>中</w:t>
                </w:r>
                <w:r>
                  <w:rPr>
                    <w:spacing w:val="-5"/>
                    <w:w w:val="101"/>
                  </w:rPr>
                  <w:t>对</w:t>
                </w:r>
                <w:r>
                  <w:rPr>
                    <w:w w:val="101"/>
                  </w:rPr>
                  <w:t>应</w:t>
                </w:r>
                <w:r>
                  <w:rPr>
                    <w:spacing w:val="-5"/>
                    <w:w w:val="101"/>
                  </w:rPr>
                  <w:t>终</w:t>
                </w:r>
                <w:r>
                  <w:rPr>
                    <w:w w:val="101"/>
                  </w:rPr>
                  <w:t>止</w:t>
                </w:r>
                <w:r>
                  <w:rPr>
                    <w:spacing w:val="-5"/>
                    <w:w w:val="101"/>
                  </w:rPr>
                  <w:t>确</w:t>
                </w:r>
                <w:r>
                  <w:rPr>
                    <w:w w:val="101"/>
                  </w:rPr>
                  <w:t>认</w:t>
                </w:r>
                <w:r>
                  <w:rPr>
                    <w:spacing w:val="-5"/>
                    <w:w w:val="101"/>
                  </w:rPr>
                  <w:t>部</w:t>
                </w:r>
                <w:r>
                  <w:rPr>
                    <w:w w:val="101"/>
                  </w:rPr>
                  <w:t>分</w:t>
                </w:r>
                <w:r>
                  <w:rPr>
                    <w:spacing w:val="-5"/>
                    <w:w w:val="101"/>
                  </w:rPr>
                  <w:t>的</w:t>
                </w:r>
                <w:r>
                  <w:rPr>
                    <w:w w:val="101"/>
                  </w:rPr>
                  <w:t>金</w:t>
                </w:r>
                <w:r>
                  <w:rPr>
                    <w:spacing w:val="-5"/>
                    <w:w w:val="101"/>
                  </w:rPr>
                  <w:t>额</w:t>
                </w:r>
                <w:r>
                  <w:rPr>
                    <w:w w:val="101"/>
                  </w:rPr>
                  <w:t>之和。</w:t>
                </w:r>
                <w:r>
                  <w:rPr/>
                </w:r>
              </w:p>
              <w:p>
                <w:pPr>
                  <w:pStyle w:val="BodyText"/>
                  <w:spacing w:line="240" w:lineRule="auto" w:before="90"/>
                  <w:ind w:left="-1" w:right="91"/>
                  <w:jc w:val="center"/>
                  <w:rPr>
                    <w:rFonts w:ascii="Times New Roman" w:hAnsi="Times New Roman" w:cs="Times New Roman" w:eastAsia="Times New Roman" w:hint="default"/>
                  </w:rPr>
                </w:pPr>
                <w:r>
                  <w:rPr>
                    <w:rFonts w:ascii="Times New Roman"/>
                    <w:w w:val="101"/>
                  </w:rPr>
                </w:r>
                <w:r>
                  <w:rPr/>
                  <w:fldChar w:fldCharType="begin"/>
                </w:r>
                <w:r>
                  <w:rPr>
                    <w:rFonts w:ascii="Times New Roman"/>
                  </w:rPr>
                  <w:instrText> PAGE </w:instrText>
                </w:r>
                <w:r>
                  <w:rPr/>
                  <w:fldChar w:fldCharType="separate"/>
                </w:r>
                <w:r>
                  <w:rPr/>
                  <w:t>114</w:t>
                </w:r>
                <w:r>
                  <w:rPr/>
                  <w:fldChar w:fldCharType="end"/>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574707pt;margin-top:806.72052pt;width:59.493346pt;height:26.794713pt;mso-position-horizontal-relative:page;mso-position-vertical-relative:page;z-index:-1025920" type="#_x0000_t75" stroked="false">
          <v:imagedata r:id="rId1" o:title=""/>
        </v:shape>
      </w:pict>
    </w:r>
    <w:r>
      <w:rPr/>
      <w:pict>
        <v:shape style="position:absolute;margin-left:55.664001pt;margin-top:756.978455pt;width:480.05pt;height:25.8pt;mso-position-horizontal-relative:page;mso-position-vertical-relative:page;z-index:-1025896" type="#_x0000_t202" filled="false" stroked="false">
          <v:textbox inset="0,0,0,0">
            <w:txbxContent>
              <w:p>
                <w:pPr>
                  <w:pStyle w:val="BodyText"/>
                  <w:spacing w:line="216" w:lineRule="exact"/>
                  <w:ind w:left="0" w:right="0"/>
                  <w:jc w:val="center"/>
                </w:pPr>
                <w:r>
                  <w:rPr>
                    <w:rFonts w:ascii="Times New Roman" w:hAnsi="Times New Roman" w:cs="Times New Roman" w:eastAsia="Times New Roman" w:hint="default"/>
                  </w:rPr>
                  <w:t>12 </w:t>
                </w:r>
                <w:r>
                  <w:rPr>
                    <w:spacing w:val="-3"/>
                  </w:rPr>
                  <w:t>个月内预期信用损失，是指因资产负债表日后 </w:t>
                </w:r>
                <w:r>
                  <w:rPr>
                    <w:rFonts w:ascii="Times New Roman" w:hAnsi="Times New Roman" w:cs="Times New Roman" w:eastAsia="Times New Roman" w:hint="default"/>
                    <w:spacing w:val="-3"/>
                  </w:rPr>
                  <w:t>12   </w:t>
                </w:r>
                <w:r>
                  <w:rPr>
                    <w:spacing w:val="-3"/>
                  </w:rPr>
                  <w:t>个月内</w:t>
                </w:r>
                <w:r>
                  <w:rPr>
                    <w:rFonts w:ascii="Times New Roman" w:hAnsi="Times New Roman" w:cs="Times New Roman" w:eastAsia="Times New Roman" w:hint="default"/>
                    <w:spacing w:val="-3"/>
                  </w:rPr>
                  <w:t>(</w:t>
                </w:r>
                <w:r>
                  <w:rPr>
                    <w:spacing w:val="-3"/>
                  </w:rPr>
                  <w:t>若金融工具的预计存续期少于 </w:t>
                </w:r>
                <w:r>
                  <w:rPr>
                    <w:rFonts w:ascii="Times New Roman" w:hAnsi="Times New Roman" w:cs="Times New Roman" w:eastAsia="Times New Roman" w:hint="default"/>
                    <w:spacing w:val="-3"/>
                  </w:rPr>
                  <w:t>12</w:t>
                </w:r>
                <w:r>
                  <w:rPr>
                    <w:rFonts w:ascii="Times New Roman" w:hAnsi="Times New Roman" w:cs="Times New Roman" w:eastAsia="Times New Roman" w:hint="default"/>
                    <w:spacing w:val="21"/>
                  </w:rPr>
                  <w:t> </w:t>
                </w:r>
                <w:r>
                  <w:rPr>
                    <w:spacing w:val="-3"/>
                  </w:rPr>
                  <w:t>个月，则为预计存续期</w:t>
                </w:r>
                <w:r>
                  <w:rPr>
                    <w:rFonts w:ascii="Times New Roman" w:hAnsi="Times New Roman" w:cs="Times New Roman" w:eastAsia="Times New Roman" w:hint="default"/>
                    <w:spacing w:val="-3"/>
                  </w:rPr>
                  <w:t>)</w:t>
                </w:r>
                <w:r>
                  <w:rPr>
                    <w:spacing w:val="-3"/>
                  </w:rPr>
                  <w:t>可能</w:t>
                </w:r>
                <w:r>
                  <w:rPr/>
                </w:r>
              </w:p>
              <w:p>
                <w:pPr>
                  <w:pStyle w:val="BodyText"/>
                  <w:spacing w:line="240" w:lineRule="auto" w:before="76"/>
                  <w:ind w:left="82" w:right="0"/>
                  <w:jc w:val="center"/>
                  <w:rPr>
                    <w:rFonts w:ascii="Times New Roman" w:hAnsi="Times New Roman" w:cs="Times New Roman" w:eastAsia="Times New Roman" w:hint="default"/>
                  </w:rPr>
                </w:pPr>
                <w:r>
                  <w:rPr>
                    <w:rFonts w:ascii="Times New Roman"/>
                    <w:w w:val="101"/>
                  </w:rPr>
                </w:r>
                <w:r>
                  <w:rPr/>
                  <w:fldChar w:fldCharType="begin"/>
                </w:r>
                <w:r>
                  <w:rPr>
                    <w:rFonts w:ascii="Times New Roman"/>
                  </w:rPr>
                  <w:instrText> PAGE </w:instrText>
                </w:r>
                <w:r>
                  <w:rPr/>
                  <w:fldChar w:fldCharType="separate"/>
                </w:r>
                <w:r>
                  <w:rPr/>
                  <w:t>115</w:t>
                </w:r>
                <w:r>
                  <w:rPr/>
                  <w:fldChar w:fldCharType="end"/>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574707pt;margin-top:806.72052pt;width:59.493346pt;height:26.794713pt;mso-position-horizontal-relative:page;mso-position-vertical-relative:page;z-index:-1025872" type="#_x0000_t75" stroked="false">
          <v:imagedata r:id="rId1" o:title=""/>
        </v:shape>
      </w:pict>
    </w:r>
    <w:r>
      <w:rPr/>
      <w:pict>
        <v:shape style="position:absolute;margin-left:289pt;margin-top:771.637329pt;width:17.7pt;height:11.15pt;mso-position-horizontal-relative:page;mso-position-vertical-relative:page;z-index:-1025848" type="#_x0000_t202" filled="false" stroked="false">
          <v:textbox inset="0,0,0,0">
            <w:txbxContent>
              <w:p>
                <w:pPr>
                  <w:pStyle w:val="BodyText"/>
                  <w:spacing w:line="206" w:lineRule="exact"/>
                  <w:ind w:left="40" w:right="0"/>
                  <w:jc w:val="left"/>
                  <w:rPr>
                    <w:rFonts w:ascii="Times New Roman" w:hAnsi="Times New Roman" w:cs="Times New Roman" w:eastAsia="Times New Roman" w:hint="default"/>
                  </w:rPr>
                </w:pPr>
                <w:r>
                  <w:rPr>
                    <w:rFonts w:ascii="Times New Roman"/>
                    <w:w w:val="101"/>
                  </w:rPr>
                </w:r>
                <w:r>
                  <w:rPr/>
                  <w:fldChar w:fldCharType="begin"/>
                </w:r>
                <w:r>
                  <w:rPr>
                    <w:rFonts w:ascii="Times New Roman"/>
                  </w:rPr>
                  <w:instrText> PAGE </w:instrText>
                </w:r>
                <w:r>
                  <w:rPr/>
                  <w:fldChar w:fldCharType="separate"/>
                </w:r>
                <w:r>
                  <w:rPr/>
                  <w:t>120</w:t>
                </w:r>
                <w:r>
                  <w:rPr/>
                  <w:fldChar w:fldCharType="end"/>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574707pt;margin-top:806.72052pt;width:59.493346pt;height:26.794713pt;mso-position-horizontal-relative:page;mso-position-vertical-relative:page;z-index:-1025824" type="#_x0000_t75" stroked="false">
          <v:imagedata r:id="rId1" o:title=""/>
        </v:shape>
      </w:pict>
    </w:r>
    <w:r>
      <w:rPr/>
      <w:pict>
        <v:shape style="position:absolute;margin-left:289pt;margin-top:771.637329pt;width:17.7pt;height:11.15pt;mso-position-horizontal-relative:page;mso-position-vertical-relative:page;z-index:-1025800" type="#_x0000_t202" filled="false" stroked="false">
          <v:textbox inset="0,0,0,0">
            <w:txbxContent>
              <w:p>
                <w:pPr>
                  <w:pStyle w:val="BodyText"/>
                  <w:spacing w:line="206" w:lineRule="exact"/>
                  <w:ind w:left="40" w:right="0"/>
                  <w:jc w:val="left"/>
                  <w:rPr>
                    <w:rFonts w:ascii="Times New Roman" w:hAnsi="Times New Roman" w:cs="Times New Roman" w:eastAsia="Times New Roman" w:hint="default"/>
                  </w:rPr>
                </w:pPr>
                <w:r>
                  <w:rPr>
                    <w:rFonts w:ascii="Times New Roman"/>
                    <w:w w:val="101"/>
                  </w:rPr>
                </w:r>
                <w:r>
                  <w:rPr/>
                  <w:fldChar w:fldCharType="begin"/>
                </w:r>
                <w:r>
                  <w:rPr>
                    <w:rFonts w:ascii="Times New Roman"/>
                  </w:rPr>
                  <w:instrText> PAGE </w:instrText>
                </w:r>
                <w:r>
                  <w:rPr/>
                  <w:fldChar w:fldCharType="separate"/>
                </w:r>
                <w:r>
                  <w:rPr/>
                  <w:t>123</w:t>
                </w:r>
                <w:r>
                  <w:rPr/>
                  <w:fldChar w:fldCharType="end"/>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574707pt;margin-top:806.72052pt;width:59.493346pt;height:26.794713pt;mso-position-horizontal-relative:page;mso-position-vertical-relative:page;z-index:-1025776" type="#_x0000_t75" stroked="false">
          <v:imagedata r:id="rId1" o:title=""/>
        </v:shape>
      </w:pict>
    </w:r>
    <w:r>
      <w:rPr/>
      <w:pict>
        <v:shape style="position:absolute;margin-left:55.664001pt;margin-top:754.818481pt;width:254.05pt;height:27.95pt;mso-position-horizontal-relative:page;mso-position-vertical-relative:page;z-index:-1025752" type="#_x0000_t202" filled="false" stroked="false">
          <v:textbox inset="0,0,0,0">
            <w:txbxContent>
              <w:p>
                <w:pPr>
                  <w:pStyle w:val="BodyText"/>
                  <w:spacing w:line="202" w:lineRule="exact"/>
                  <w:ind w:left="0" w:right="18"/>
                  <w:jc w:val="right"/>
                </w:pPr>
                <w:r>
                  <w:rPr>
                    <w:spacing w:val="-3"/>
                  </w:rPr>
                  <w:t>日的公允价值计量，计入相关成本或费用，相应增加股东权益。</w:t>
                </w:r>
              </w:p>
              <w:p>
                <w:pPr>
                  <w:pStyle w:val="BodyText"/>
                  <w:spacing w:line="240" w:lineRule="auto" w:before="133"/>
                  <w:ind w:left="0" w:right="98"/>
                  <w:jc w:val="right"/>
                  <w:rPr>
                    <w:rFonts w:ascii="Times New Roman" w:hAnsi="Times New Roman" w:cs="Times New Roman" w:eastAsia="Times New Roman" w:hint="default"/>
                  </w:rPr>
                </w:pPr>
                <w:r>
                  <w:rPr>
                    <w:rFonts w:ascii="Times New Roman"/>
                    <w:w w:val="101"/>
                  </w:rPr>
                </w:r>
                <w:r>
                  <w:rPr/>
                  <w:fldChar w:fldCharType="begin"/>
                </w:r>
                <w:r>
                  <w:rPr>
                    <w:rFonts w:ascii="Times New Roman"/>
                  </w:rPr>
                  <w:instrText> PAGE </w:instrText>
                </w:r>
                <w:r>
                  <w:rPr/>
                  <w:fldChar w:fldCharType="separate"/>
                </w:r>
                <w:r>
                  <w:rPr/>
                  <w:t>130</w:t>
                </w:r>
                <w:r>
                  <w:rPr/>
                  <w:fldChar w:fldCharType="end"/>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574707pt;margin-top:806.72052pt;width:59.493346pt;height:26.794713pt;mso-position-horizontal-relative:page;mso-position-vertical-relative:page;z-index:-1025728" type="#_x0000_t75" stroked="false">
          <v:imagedata r:id="rId1" o:title=""/>
        </v:shape>
      </w:pict>
    </w:r>
    <w:r>
      <w:rPr/>
      <w:pict>
        <v:shape style="position:absolute;margin-left:289pt;margin-top:771.637329pt;width:17.7pt;height:11.15pt;mso-position-horizontal-relative:page;mso-position-vertical-relative:page;z-index:-1025704" type="#_x0000_t202" filled="false" stroked="false">
          <v:textbox inset="0,0,0,0">
            <w:txbxContent>
              <w:p>
                <w:pPr>
                  <w:pStyle w:val="BodyText"/>
                  <w:spacing w:line="206" w:lineRule="exact"/>
                  <w:ind w:left="40" w:right="0"/>
                  <w:jc w:val="left"/>
                  <w:rPr>
                    <w:rFonts w:ascii="Times New Roman" w:hAnsi="Times New Roman" w:cs="Times New Roman" w:eastAsia="Times New Roman" w:hint="default"/>
                  </w:rPr>
                </w:pPr>
                <w:r>
                  <w:rPr>
                    <w:rFonts w:ascii="Times New Roman"/>
                    <w:w w:val="101"/>
                  </w:rPr>
                </w:r>
                <w:r>
                  <w:rPr/>
                  <w:fldChar w:fldCharType="begin"/>
                </w:r>
                <w:r>
                  <w:rPr>
                    <w:rFonts w:ascii="Times New Roman"/>
                  </w:rPr>
                  <w:instrText> PAGE </w:instrText>
                </w:r>
                <w:r>
                  <w:rPr/>
                  <w:fldChar w:fldCharType="separate"/>
                </w:r>
                <w:r>
                  <w:rPr/>
                  <w:t>131</w:t>
                </w:r>
                <w:r>
                  <w:rPr/>
                  <w:fldChar w:fldCharType="end"/>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574707pt;margin-top:806.72052pt;width:59.493346pt;height:26.794713pt;mso-position-horizontal-relative:page;mso-position-vertical-relative:page;z-index:-1025680" type="#_x0000_t75" stroked="false">
          <v:imagedata r:id="rId1" o:title=""/>
        </v:shape>
      </w:pict>
    </w:r>
    <w:r>
      <w:rPr/>
      <w:pict>
        <v:shape style="position:absolute;margin-left:55.664001pt;margin-top:756.018494pt;width:484.1pt;height:26.75pt;mso-position-horizontal-relative:page;mso-position-vertical-relative:page;z-index:-1025656" type="#_x0000_t202" filled="false" stroked="false">
          <v:textbox inset="0,0,0,0">
            <w:txbxContent>
              <w:p>
                <w:pPr>
                  <w:pStyle w:val="BodyText"/>
                  <w:spacing w:line="216" w:lineRule="exact"/>
                  <w:ind w:left="0" w:right="0"/>
                  <w:jc w:val="center"/>
                </w:pPr>
                <w:r>
                  <w:rPr>
                    <w:spacing w:val="-4"/>
                  </w:rPr>
                  <w:t>的相对比例进行划分，对该划分比例需在每个资产负债表日进行复核，必要时进行变更；</w:t>
                </w:r>
                <w:r>
                  <w:rPr>
                    <w:rFonts w:ascii="Times New Roman" w:hAnsi="Times New Roman" w:cs="Times New Roman" w:eastAsia="Times New Roman" w:hint="default"/>
                    <w:spacing w:val="-4"/>
                  </w:rPr>
                  <w:t>B   </w:t>
                </w:r>
                <w:r>
                  <w:rPr>
                    <w:rFonts w:ascii="Times New Roman" w:hAnsi="Times New Roman" w:cs="Times New Roman" w:eastAsia="Times New Roman" w:hint="default"/>
                    <w:spacing w:val="6"/>
                  </w:rPr>
                  <w:t> </w:t>
                </w:r>
                <w:r>
                  <w:rPr>
                    <w:spacing w:val="-3"/>
                  </w:rPr>
                  <w:t>政府文件中对用途仅作一般性表</w:t>
                </w:r>
              </w:p>
              <w:p>
                <w:pPr>
                  <w:pStyle w:val="BodyText"/>
                  <w:spacing w:line="240" w:lineRule="auto" w:before="95"/>
                  <w:ind w:left="5" w:right="0"/>
                  <w:jc w:val="center"/>
                  <w:rPr>
                    <w:rFonts w:ascii="Times New Roman" w:hAnsi="Times New Roman" w:cs="Times New Roman" w:eastAsia="Times New Roman" w:hint="default"/>
                  </w:rPr>
                </w:pPr>
                <w:r>
                  <w:rPr>
                    <w:rFonts w:ascii="Times New Roman"/>
                    <w:w w:val="101"/>
                  </w:rPr>
                </w:r>
                <w:r>
                  <w:rPr/>
                  <w:fldChar w:fldCharType="begin"/>
                </w:r>
                <w:r>
                  <w:rPr>
                    <w:rFonts w:ascii="Times New Roman"/>
                  </w:rPr>
                  <w:instrText> PAGE </w:instrText>
                </w:r>
                <w:r>
                  <w:rPr/>
                  <w:fldChar w:fldCharType="separate"/>
                </w:r>
                <w:r>
                  <w:rPr/>
                  <w:t>133</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574707pt;margin-top:806.72052pt;width:59.493346pt;height:26.794713pt;mso-position-horizontal-relative:page;mso-position-vertical-relative:page;z-index:-1026520" type="#_x0000_t75" stroked="false">
          <v:imagedata r:id="rId1" o:title=""/>
        </v:shape>
      </w:pict>
    </w:r>
    <w:r>
      <w:rPr/>
      <w:pict>
        <v:shape style="position:absolute;margin-left:291.160004pt;margin-top:771.637329pt;width:13.15pt;height:11.15pt;mso-position-horizontal-relative:page;mso-position-vertical-relative:page;z-index:-1026496" type="#_x0000_t202" filled="false" stroked="false">
          <v:textbox inset="0,0,0,0">
            <w:txbxContent>
              <w:p>
                <w:pPr>
                  <w:pStyle w:val="BodyText"/>
                  <w:spacing w:line="206" w:lineRule="exact"/>
                  <w:ind w:left="40" w:right="0"/>
                  <w:jc w:val="left"/>
                  <w:rPr>
                    <w:rFonts w:ascii="Times New Roman" w:hAnsi="Times New Roman" w:cs="Times New Roman" w:eastAsia="Times New Roman" w:hint="default"/>
                  </w:rPr>
                </w:pPr>
                <w:r>
                  <w:rPr>
                    <w:rFonts w:ascii="Times New Roman"/>
                    <w:w w:val="101"/>
                  </w:rPr>
                </w:r>
                <w:r>
                  <w:rPr/>
                  <w:fldChar w:fldCharType="begin"/>
                </w:r>
                <w:r>
                  <w:rPr>
                    <w:rFonts w:ascii="Times New Roman"/>
                  </w:rPr>
                  <w:instrText> PAGE </w:instrText>
                </w:r>
                <w:r>
                  <w:rPr/>
                  <w:fldChar w:fldCharType="separate"/>
                </w:r>
                <w:r>
                  <w:rPr/>
                  <w:t>10</w:t>
                </w:r>
                <w:r>
                  <w:rPr/>
                  <w:fldChar w:fldCharType="end"/>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574707pt;margin-top:806.72052pt;width:59.493346pt;height:26.794713pt;mso-position-horizontal-relative:page;mso-position-vertical-relative:page;z-index:-1025632" type="#_x0000_t75" stroked="false">
          <v:imagedata r:id="rId1" o:title=""/>
        </v:shape>
      </w:pict>
    </w:r>
    <w:r>
      <w:rPr/>
      <w:pict>
        <v:shape style="position:absolute;margin-left:289pt;margin-top:771.637329pt;width:17.7pt;height:11.15pt;mso-position-horizontal-relative:page;mso-position-vertical-relative:page;z-index:-1025608" type="#_x0000_t202" filled="false" stroked="false">
          <v:textbox inset="0,0,0,0">
            <w:txbxContent>
              <w:p>
                <w:pPr>
                  <w:pStyle w:val="BodyText"/>
                  <w:spacing w:line="206" w:lineRule="exact"/>
                  <w:ind w:left="40" w:right="0"/>
                  <w:jc w:val="left"/>
                  <w:rPr>
                    <w:rFonts w:ascii="Times New Roman" w:hAnsi="Times New Roman" w:cs="Times New Roman" w:eastAsia="Times New Roman" w:hint="default"/>
                  </w:rPr>
                </w:pPr>
                <w:r>
                  <w:rPr>
                    <w:rFonts w:ascii="Times New Roman"/>
                    <w:w w:val="101"/>
                  </w:rPr>
                </w:r>
                <w:r>
                  <w:rPr/>
                  <w:fldChar w:fldCharType="begin"/>
                </w:r>
                <w:r>
                  <w:rPr>
                    <w:rFonts w:ascii="Times New Roman"/>
                  </w:rPr>
                  <w:instrText> PAGE </w:instrText>
                </w:r>
                <w:r>
                  <w:rPr/>
                  <w:fldChar w:fldCharType="separate"/>
                </w:r>
                <w:r>
                  <w:rPr/>
                  <w:t>134</w:t>
                </w:r>
                <w:r>
                  <w:rPr/>
                  <w:fldChar w:fldCharType="end"/>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574707pt;margin-top:806.72052pt;width:59.493346pt;height:26.794713pt;mso-position-horizontal-relative:page;mso-position-vertical-relative:page;z-index:-1025584" type="#_x0000_t75" stroked="false">
          <v:imagedata r:id="rId1" o:title=""/>
        </v:shape>
      </w:pict>
    </w:r>
    <w:r>
      <w:rPr/>
      <w:pict>
        <v:shape style="position:absolute;margin-left:289pt;margin-top:771.637329pt;width:17.7pt;height:11.15pt;mso-position-horizontal-relative:page;mso-position-vertical-relative:page;z-index:-1025560" type="#_x0000_t202" filled="false" stroked="false">
          <v:textbox inset="0,0,0,0">
            <w:txbxContent>
              <w:p>
                <w:pPr>
                  <w:pStyle w:val="BodyText"/>
                  <w:spacing w:line="206" w:lineRule="exact"/>
                  <w:ind w:left="40" w:right="0"/>
                  <w:jc w:val="left"/>
                  <w:rPr>
                    <w:rFonts w:ascii="Times New Roman" w:hAnsi="Times New Roman" w:cs="Times New Roman" w:eastAsia="Times New Roman" w:hint="default"/>
                  </w:rPr>
                </w:pPr>
                <w:r>
                  <w:rPr>
                    <w:rFonts w:ascii="Times New Roman"/>
                    <w:w w:val="101"/>
                  </w:rPr>
                </w:r>
                <w:r>
                  <w:rPr/>
                  <w:fldChar w:fldCharType="begin"/>
                </w:r>
                <w:r>
                  <w:rPr>
                    <w:rFonts w:ascii="Times New Roman"/>
                  </w:rPr>
                  <w:instrText> PAGE </w:instrText>
                </w:r>
                <w:r>
                  <w:rPr/>
                  <w:fldChar w:fldCharType="separate"/>
                </w:r>
                <w:r>
                  <w:rPr/>
                  <w:t>137</w:t>
                </w:r>
                <w:r>
                  <w:rPr/>
                  <w:fldChar w:fldCharType="end"/>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574707pt;margin-top:806.72052pt;width:59.493346pt;height:26.794713pt;mso-position-horizontal-relative:page;mso-position-vertical-relative:page;z-index:-1025536" type="#_x0000_t75" stroked="false">
          <v:imagedata r:id="rId1" o:title=""/>
        </v:shape>
      </w:pict>
    </w:r>
    <w:r>
      <w:rPr/>
      <w:pict>
        <v:shape style="position:absolute;margin-left:497.190002pt;margin-top:750.738464pt;width:42.8pt;height:11.15pt;mso-position-horizontal-relative:page;mso-position-vertical-relative:page;z-index:-1025512" type="#_x0000_t202" filled="false" stroked="false">
          <v:textbox inset="0,0,0,0">
            <w:txbxContent>
              <w:p>
                <w:pPr>
                  <w:pStyle w:val="BodyText"/>
                  <w:spacing w:line="202" w:lineRule="exact"/>
                  <w:ind w:left="20" w:right="0"/>
                  <w:jc w:val="left"/>
                </w:pPr>
                <w:r>
                  <w:rPr/>
                  <w:t>单位：</w:t>
                </w:r>
                <w:r>
                  <w:rPr>
                    <w:spacing w:val="5"/>
                  </w:rPr>
                  <w:t> </w:t>
                </w:r>
                <w:r>
                  <w:rPr/>
                  <w:t>元</w:t>
                </w:r>
              </w:p>
            </w:txbxContent>
          </v:textbox>
          <w10:wrap type="none"/>
        </v:shape>
      </w:pict>
    </w:r>
    <w:r>
      <w:rPr/>
      <w:pict>
        <v:shape style="position:absolute;margin-left:289pt;margin-top:771.637329pt;width:17.7pt;height:11.15pt;mso-position-horizontal-relative:page;mso-position-vertical-relative:page;z-index:-1025488" type="#_x0000_t202" filled="false" stroked="false">
          <v:textbox inset="0,0,0,0">
            <w:txbxContent>
              <w:p>
                <w:pPr>
                  <w:pStyle w:val="BodyText"/>
                  <w:spacing w:line="206" w:lineRule="exact"/>
                  <w:ind w:left="40" w:right="0"/>
                  <w:jc w:val="left"/>
                  <w:rPr>
                    <w:rFonts w:ascii="Times New Roman" w:hAnsi="Times New Roman" w:cs="Times New Roman" w:eastAsia="Times New Roman" w:hint="default"/>
                  </w:rPr>
                </w:pPr>
                <w:r>
                  <w:rPr>
                    <w:rFonts w:ascii="Times New Roman"/>
                    <w:w w:val="101"/>
                  </w:rPr>
                </w:r>
                <w:r>
                  <w:rPr/>
                  <w:fldChar w:fldCharType="begin"/>
                </w:r>
                <w:r>
                  <w:rPr>
                    <w:rFonts w:ascii="Times New Roman"/>
                  </w:rPr>
                  <w:instrText> PAGE </w:instrText>
                </w:r>
                <w:r>
                  <w:rPr/>
                  <w:fldChar w:fldCharType="separate"/>
                </w:r>
                <w:r>
                  <w:rPr/>
                  <w:t>176</w:t>
                </w:r>
                <w:r>
                  <w:rPr/>
                  <w:fldChar w:fldCharType="end"/>
                </w:r>
              </w:p>
            </w:txbxContent>
          </v:textbox>
          <w10:wrap type="none"/>
        </v:shape>
      </w:pic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574707pt;margin-top:806.72052pt;width:59.493346pt;height:26.794713pt;mso-position-horizontal-relative:page;mso-position-vertical-relative:page;z-index:-1025464" type="#_x0000_t75" stroked="false">
          <v:imagedata r:id="rId1" o:title=""/>
        </v:shape>
      </w:pict>
    </w:r>
    <w:r>
      <w:rPr/>
      <w:pict>
        <v:shape style="position:absolute;margin-left:289pt;margin-top:771.637329pt;width:17.7pt;height:11.15pt;mso-position-horizontal-relative:page;mso-position-vertical-relative:page;z-index:-1025440" type="#_x0000_t202" filled="false" stroked="false">
          <v:textbox inset="0,0,0,0">
            <w:txbxContent>
              <w:p>
                <w:pPr>
                  <w:pStyle w:val="BodyText"/>
                  <w:spacing w:line="206" w:lineRule="exact"/>
                  <w:ind w:left="40" w:right="0"/>
                  <w:jc w:val="left"/>
                  <w:rPr>
                    <w:rFonts w:ascii="Times New Roman" w:hAnsi="Times New Roman" w:cs="Times New Roman" w:eastAsia="Times New Roman" w:hint="default"/>
                  </w:rPr>
                </w:pPr>
                <w:r>
                  <w:rPr>
                    <w:rFonts w:ascii="Times New Roman"/>
                    <w:w w:val="101"/>
                  </w:rPr>
                </w:r>
                <w:r>
                  <w:rPr/>
                  <w:fldChar w:fldCharType="begin"/>
                </w:r>
                <w:r>
                  <w:rPr>
                    <w:rFonts w:ascii="Times New Roman"/>
                  </w:rPr>
                  <w:instrText> PAGE </w:instrText>
                </w:r>
                <w:r>
                  <w:rPr/>
                  <w:fldChar w:fldCharType="separate"/>
                </w:r>
                <w:r>
                  <w:rPr/>
                  <w:t>178</w:t>
                </w:r>
                <w:r>
                  <w:rPr/>
                  <w:fldChar w:fldCharType="end"/>
                </w:r>
              </w:p>
            </w:txbxContent>
          </v:textbox>
          <w10:wrap type="none"/>
        </v:shape>
      </w:pict>
    </w: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89.199585pt;margin-top:570.315369pt;width:42.059457pt;height:18.942809pt;mso-position-horizontal-relative:page;mso-position-vertical-relative:page;z-index:-1025368" type="#_x0000_t75" stroked="false">
          <v:imagedata r:id="rId1" o:title=""/>
        </v:shape>
      </w:pict>
    </w:r>
    <w:r>
      <w:rPr/>
      <w:pict>
        <v:shape style="position:absolute;margin-left:412.359985pt;margin-top:525.133362pt;width:17.7pt;height:11.15pt;mso-position-horizontal-relative:page;mso-position-vertical-relative:page;z-index:-1025344" type="#_x0000_t202" filled="false" stroked="false">
          <v:textbox inset="0,0,0,0">
            <w:txbxContent>
              <w:p>
                <w:pPr>
                  <w:pStyle w:val="BodyText"/>
                  <w:spacing w:line="206" w:lineRule="exact"/>
                  <w:ind w:left="40" w:right="0"/>
                  <w:jc w:val="left"/>
                  <w:rPr>
                    <w:rFonts w:ascii="Times New Roman" w:hAnsi="Times New Roman" w:cs="Times New Roman" w:eastAsia="Times New Roman" w:hint="default"/>
                  </w:rPr>
                </w:pPr>
                <w:r>
                  <w:rPr>
                    <w:rFonts w:ascii="Times New Roman"/>
                    <w:w w:val="101"/>
                  </w:rPr>
                </w:r>
                <w:r>
                  <w:rPr/>
                  <w:fldChar w:fldCharType="begin"/>
                </w:r>
                <w:r>
                  <w:rPr>
                    <w:rFonts w:ascii="Times New Roman"/>
                  </w:rPr>
                  <w:instrText> PAGE </w:instrText>
                </w:r>
                <w:r>
                  <w:rPr/>
                  <w:fldChar w:fldCharType="separate"/>
                </w:r>
                <w:r>
                  <w:rPr/>
                  <w:t>190</w:t>
                </w:r>
                <w:r>
                  <w:rPr/>
                  <w:fldChar w:fldCharType="end"/>
                </w:r>
              </w:p>
            </w:txbxContent>
          </v:textbox>
          <w10:wrap type="none"/>
        </v:shape>
      </w:pict>
    </w: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574707pt;margin-top:806.72052pt;width:59.493346pt;height:26.794713pt;mso-position-horizontal-relative:page;mso-position-vertical-relative:page;z-index:-1025272" type="#_x0000_t75" stroked="false">
          <v:imagedata r:id="rId1" o:title=""/>
        </v:shape>
      </w:pict>
    </w:r>
    <w:r>
      <w:rPr/>
      <w:pict>
        <v:shape style="position:absolute;margin-left:289pt;margin-top:771.637329pt;width:17.7pt;height:11.15pt;mso-position-horizontal-relative:page;mso-position-vertical-relative:page;z-index:-1025248" type="#_x0000_t202" filled="false" stroked="false">
          <v:textbox inset="0,0,0,0">
            <w:txbxContent>
              <w:p>
                <w:pPr>
                  <w:pStyle w:val="BodyText"/>
                  <w:spacing w:line="206" w:lineRule="exact"/>
                  <w:ind w:left="40" w:right="0"/>
                  <w:jc w:val="left"/>
                  <w:rPr>
                    <w:rFonts w:ascii="Times New Roman" w:hAnsi="Times New Roman" w:cs="Times New Roman" w:eastAsia="Times New Roman" w:hint="default"/>
                  </w:rPr>
                </w:pPr>
                <w:r>
                  <w:rPr>
                    <w:rFonts w:ascii="Times New Roman"/>
                    <w:w w:val="101"/>
                  </w:rPr>
                </w:r>
                <w:r>
                  <w:rPr/>
                  <w:fldChar w:fldCharType="begin"/>
                </w:r>
                <w:r>
                  <w:rPr>
                    <w:rFonts w:ascii="Times New Roman"/>
                  </w:rPr>
                  <w:instrText> PAGE </w:instrText>
                </w:r>
                <w:r>
                  <w:rPr/>
                  <w:fldChar w:fldCharType="separate"/>
                </w:r>
                <w:r>
                  <w:rPr/>
                  <w:t>192</w:t>
                </w:r>
                <w:r>
                  <w:rPr/>
                  <w:fldChar w:fldCharType="end"/>
                </w:r>
              </w:p>
            </w:txbxContent>
          </v:textbox>
          <w10:wrap type="none"/>
        </v:shape>
      </w:pict>
    </w: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574707pt;margin-top:806.72052pt;width:59.493346pt;height:26.794713pt;mso-position-horizontal-relative:page;mso-position-vertical-relative:page;z-index:-1025224" type="#_x0000_t75" stroked="false">
          <v:imagedata r:id="rId1" o:title=""/>
        </v:shape>
      </w:pict>
    </w:r>
    <w:r>
      <w:rPr/>
      <w:pict>
        <v:shape style="position:absolute;margin-left:289pt;margin-top:771.637329pt;width:17.7pt;height:11.15pt;mso-position-horizontal-relative:page;mso-position-vertical-relative:page;z-index:-1025200" type="#_x0000_t202" filled="false" stroked="false">
          <v:textbox inset="0,0,0,0">
            <w:txbxContent>
              <w:p>
                <w:pPr>
                  <w:pStyle w:val="BodyText"/>
                  <w:spacing w:line="206" w:lineRule="exact"/>
                  <w:ind w:left="40" w:right="0"/>
                  <w:jc w:val="left"/>
                  <w:rPr>
                    <w:rFonts w:ascii="Times New Roman" w:hAnsi="Times New Roman" w:cs="Times New Roman" w:eastAsia="Times New Roman" w:hint="default"/>
                  </w:rPr>
                </w:pPr>
                <w:r>
                  <w:rPr>
                    <w:rFonts w:ascii="Times New Roman"/>
                    <w:w w:val="101"/>
                  </w:rPr>
                </w:r>
                <w:r>
                  <w:rPr/>
                  <w:fldChar w:fldCharType="begin"/>
                </w:r>
                <w:r>
                  <w:rPr>
                    <w:rFonts w:ascii="Times New Roman"/>
                  </w:rPr>
                  <w:instrText> PAGE </w:instrText>
                </w:r>
                <w:r>
                  <w:rPr/>
                  <w:fldChar w:fldCharType="separate"/>
                </w:r>
                <w:r>
                  <w:rPr/>
                  <w:t>194</w:t>
                </w:r>
                <w:r>
                  <w:rPr/>
                  <w:fldChar w:fldCharType="end"/>
                </w:r>
              </w:p>
            </w:txbxContent>
          </v:textbox>
          <w10:wrap type="none"/>
        </v:shape>
      </w:pict>
    </w:r>
  </w:p>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574707pt;margin-top:806.72052pt;width:59.493346pt;height:26.794713pt;mso-position-horizontal-relative:page;mso-position-vertical-relative:page;z-index:-1025176" type="#_x0000_t75" stroked="false">
          <v:imagedata r:id="rId1" o:title=""/>
        </v:shape>
      </w:pict>
    </w:r>
    <w:r>
      <w:rPr/>
      <w:pict>
        <v:shape style="position:absolute;margin-left:290pt;margin-top:771.637329pt;width:15.7pt;height:11.15pt;mso-position-horizontal-relative:page;mso-position-vertical-relative:page;z-index:-1025152" type="#_x0000_t202" filled="false" stroked="false">
          <v:textbox inset="0,0,0,0">
            <w:txbxContent>
              <w:p>
                <w:pPr>
                  <w:pStyle w:val="BodyText"/>
                  <w:spacing w:line="206" w:lineRule="exact"/>
                  <w:ind w:left="20" w:right="0"/>
                  <w:jc w:val="left"/>
                  <w:rPr>
                    <w:rFonts w:ascii="Times New Roman" w:hAnsi="Times New Roman" w:cs="Times New Roman" w:eastAsia="Times New Roman" w:hint="default"/>
                  </w:rPr>
                </w:pPr>
                <w:r>
                  <w:rPr>
                    <w:rFonts w:ascii="Times New Roman"/>
                  </w:rPr>
                  <w:t>200</w:t>
                </w:r>
              </w:p>
            </w:txbxContent>
          </v:textbox>
          <w10:wrap type="none"/>
        </v:shape>
      </w:pict>
    </w: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574707pt;margin-top:806.72052pt;width:59.493346pt;height:26.794713pt;mso-position-horizontal-relative:page;mso-position-vertical-relative:page;z-index:-1025128" type="#_x0000_t75" stroked="false">
          <v:imagedata r:id="rId1" o:title=""/>
        </v:shape>
      </w:pict>
    </w:r>
    <w:r>
      <w:rPr/>
      <w:pict>
        <v:shape style="position:absolute;margin-left:289pt;margin-top:771.637329pt;width:17.7pt;height:11.15pt;mso-position-horizontal-relative:page;mso-position-vertical-relative:page;z-index:-1025104" type="#_x0000_t202" filled="false" stroked="false">
          <v:textbox inset="0,0,0,0">
            <w:txbxContent>
              <w:p>
                <w:pPr>
                  <w:pStyle w:val="BodyText"/>
                  <w:spacing w:line="206" w:lineRule="exact"/>
                  <w:ind w:left="40" w:right="0"/>
                  <w:jc w:val="left"/>
                  <w:rPr>
                    <w:rFonts w:ascii="Times New Roman" w:hAnsi="Times New Roman" w:cs="Times New Roman" w:eastAsia="Times New Roman" w:hint="default"/>
                  </w:rPr>
                </w:pPr>
                <w:r>
                  <w:rPr>
                    <w:rFonts w:ascii="Times New Roman"/>
                    <w:w w:val="101"/>
                  </w:rPr>
                </w:r>
                <w:r>
                  <w:rPr/>
                  <w:fldChar w:fldCharType="begin"/>
                </w:r>
                <w:r>
                  <w:rPr>
                    <w:rFonts w:ascii="Times New Roman"/>
                  </w:rPr>
                  <w:instrText> PAGE </w:instrText>
                </w:r>
                <w:r>
                  <w:rPr/>
                  <w:fldChar w:fldCharType="separate"/>
                </w:r>
                <w:r>
                  <w:rPr/>
                  <w:t>201</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574707pt;margin-top:806.72052pt;width:59.493346pt;height:26.794713pt;mso-position-horizontal-relative:page;mso-position-vertical-relative:page;z-index:-1026472" type="#_x0000_t75" stroked="false">
          <v:imagedata r:id="rId1" o:title=""/>
        </v:shape>
      </w:pict>
    </w:r>
    <w:r>
      <w:rPr/>
      <w:pict>
        <v:shape style="position:absolute;margin-left:55.664001pt;margin-top:756.978455pt;width:484.25pt;height:25.8pt;mso-position-horizontal-relative:page;mso-position-vertical-relative:page;z-index:-1026448" type="#_x0000_t202" filled="false" stroked="false">
          <v:textbox inset="0,0,0,0">
            <w:txbxContent>
              <w:p>
                <w:pPr>
                  <w:pStyle w:val="BodyText"/>
                  <w:spacing w:line="202" w:lineRule="exact"/>
                  <w:ind w:left="0" w:right="0"/>
                  <w:jc w:val="center"/>
                </w:pPr>
                <w:r>
                  <w:rPr>
                    <w:spacing w:val="-4"/>
                  </w:rPr>
                  <w:t>市场竞争优势来看，亿美软通的移动信息平台稳定性和服务质量、多年积累的品牌形象、广泛的客户基础等因素使亿美软通</w:t>
                </w:r>
              </w:p>
              <w:p>
                <w:pPr>
                  <w:pStyle w:val="BodyText"/>
                  <w:spacing w:line="240" w:lineRule="auto" w:before="90"/>
                  <w:ind w:left="-1" w:right="0"/>
                  <w:jc w:val="center"/>
                  <w:rPr>
                    <w:rFonts w:ascii="Times New Roman" w:hAnsi="Times New Roman" w:cs="Times New Roman" w:eastAsia="Times New Roman" w:hint="default"/>
                  </w:rPr>
                </w:pPr>
                <w:r>
                  <w:rPr>
                    <w:rFonts w:ascii="Times New Roman"/>
                    <w:w w:val="101"/>
                  </w:rPr>
                </w:r>
                <w:r>
                  <w:rPr/>
                  <w:fldChar w:fldCharType="begin"/>
                </w:r>
                <w:r>
                  <w:rPr>
                    <w:rFonts w:ascii="Times New Roman"/>
                  </w:rPr>
                  <w:instrText> PAGE </w:instrText>
                </w:r>
                <w:r>
                  <w:rPr/>
                  <w:fldChar w:fldCharType="separate"/>
                </w:r>
                <w:r>
                  <w:rPr/>
                  <w:t>13</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574707pt;margin-top:806.72052pt;width:59.493346pt;height:26.794713pt;mso-position-horizontal-relative:page;mso-position-vertical-relative:page;z-index:-1026424" type="#_x0000_t75" stroked="false">
          <v:imagedata r:id="rId1" o:title=""/>
        </v:shape>
      </w:pict>
    </w:r>
    <w:r>
      <w:rPr/>
      <w:pict>
        <v:shape style="position:absolute;margin-left:55.664001pt;margin-top:756.978455pt;width:484.05pt;height:25.8pt;mso-position-horizontal-relative:page;mso-position-vertical-relative:page;z-index:-1026400" type="#_x0000_t202" filled="false" stroked="false">
          <v:textbox inset="0,0,0,0">
            <w:txbxContent>
              <w:p>
                <w:pPr>
                  <w:pStyle w:val="BodyText"/>
                  <w:spacing w:line="216" w:lineRule="exact"/>
                  <w:ind w:left="0" w:right="0"/>
                  <w:jc w:val="center"/>
                </w:pPr>
                <w:r>
                  <w:rPr>
                    <w:spacing w:val="-7"/>
                  </w:rPr>
                  <w:t>括北美、欧洲、澳洲等全球重要市场区域的  </w:t>
                </w:r>
                <w:r>
                  <w:rPr>
                    <w:rFonts w:ascii="Times New Roman" w:hAnsi="Times New Roman" w:cs="Times New Roman" w:eastAsia="Times New Roman" w:hint="default"/>
                  </w:rPr>
                  <w:t>60</w:t>
                </w:r>
                <w:r>
                  <w:rPr>
                    <w:rFonts w:ascii="Times New Roman" w:hAnsi="Times New Roman" w:cs="Times New Roman" w:eastAsia="Times New Roman" w:hint="default"/>
                    <w:spacing w:val="38"/>
                  </w:rPr>
                  <w:t> </w:t>
                </w:r>
                <w:r>
                  <w:rPr>
                    <w:spacing w:val="-6"/>
                  </w:rPr>
                  <w:t>多个国家，并已经建立多个当地办事处和仓库，保证服务及供应链的及时性。</w:t>
                </w:r>
              </w:p>
              <w:p>
                <w:pPr>
                  <w:pStyle w:val="BodyText"/>
                  <w:spacing w:line="240" w:lineRule="auto" w:before="76"/>
                  <w:ind w:left="1" w:right="0"/>
                  <w:jc w:val="center"/>
                  <w:rPr>
                    <w:rFonts w:ascii="Times New Roman" w:hAnsi="Times New Roman" w:cs="Times New Roman" w:eastAsia="Times New Roman" w:hint="default"/>
                  </w:rPr>
                </w:pPr>
                <w:r>
                  <w:rPr>
                    <w:rFonts w:ascii="Times New Roman"/>
                    <w:w w:val="101"/>
                  </w:rPr>
                </w:r>
                <w:r>
                  <w:rPr/>
                  <w:fldChar w:fldCharType="begin"/>
                </w:r>
                <w:r>
                  <w:rPr>
                    <w:rFonts w:ascii="Times New Roman"/>
                  </w:rPr>
                  <w:instrText> PAGE </w:instrText>
                </w:r>
                <w:r>
                  <w:rPr/>
                  <w:fldChar w:fldCharType="separate"/>
                </w:r>
                <w:r>
                  <w:rPr/>
                  <w:t>14</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574707pt;margin-top:806.72052pt;width:59.493346pt;height:26.794713pt;mso-position-horizontal-relative:page;mso-position-vertical-relative:page;z-index:-1026376" type="#_x0000_t75" stroked="false">
          <v:imagedata r:id="rId1" o:title=""/>
        </v:shape>
      </w:pict>
    </w:r>
    <w:r>
      <w:rPr/>
      <w:pict>
        <v:shape style="position:absolute;margin-left:291.160004pt;margin-top:771.637329pt;width:13.15pt;height:11.15pt;mso-position-horizontal-relative:page;mso-position-vertical-relative:page;z-index:-1026352" type="#_x0000_t202" filled="false" stroked="false">
          <v:textbox inset="0,0,0,0">
            <w:txbxContent>
              <w:p>
                <w:pPr>
                  <w:pStyle w:val="BodyText"/>
                  <w:spacing w:line="206" w:lineRule="exact"/>
                  <w:ind w:left="40" w:right="0"/>
                  <w:jc w:val="left"/>
                  <w:rPr>
                    <w:rFonts w:ascii="Times New Roman" w:hAnsi="Times New Roman" w:cs="Times New Roman" w:eastAsia="Times New Roman" w:hint="default"/>
                  </w:rPr>
                </w:pPr>
                <w:r>
                  <w:rPr>
                    <w:rFonts w:ascii="Times New Roman"/>
                    <w:w w:val="101"/>
                  </w:rPr>
                </w:r>
                <w:r>
                  <w:rPr/>
                  <w:fldChar w:fldCharType="begin"/>
                </w:r>
                <w:r>
                  <w:rPr>
                    <w:rFonts w:ascii="Times New Roman"/>
                  </w:rPr>
                  <w:instrText> PAGE </w:instrText>
                </w:r>
                <w:r>
                  <w:rPr/>
                  <w:fldChar w:fldCharType="separate"/>
                </w:r>
                <w:r>
                  <w:rPr/>
                  <w:t>15</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574707pt;margin-top:806.72052pt;width:59.493346pt;height:26.794713pt;mso-position-horizontal-relative:page;mso-position-vertical-relative:page;z-index:-1026328" type="#_x0000_t75" stroked="false">
          <v:imagedata r:id="rId1" o:title=""/>
        </v:shape>
      </w:pict>
    </w:r>
    <w:r>
      <w:rPr/>
      <w:pict>
        <v:shape style="position:absolute;margin-left:291.160004pt;margin-top:771.637329pt;width:13.15pt;height:11.15pt;mso-position-horizontal-relative:page;mso-position-vertical-relative:page;z-index:-1026304" type="#_x0000_t202" filled="false" stroked="false">
          <v:textbox inset="0,0,0,0">
            <w:txbxContent>
              <w:p>
                <w:pPr>
                  <w:pStyle w:val="BodyText"/>
                  <w:spacing w:line="206" w:lineRule="exact"/>
                  <w:ind w:left="40" w:right="0"/>
                  <w:jc w:val="left"/>
                  <w:rPr>
                    <w:rFonts w:ascii="Times New Roman" w:hAnsi="Times New Roman" w:cs="Times New Roman" w:eastAsia="Times New Roman" w:hint="default"/>
                  </w:rPr>
                </w:pPr>
                <w:r>
                  <w:rPr>
                    <w:rFonts w:ascii="Times New Roman"/>
                    <w:w w:val="101"/>
                  </w:rPr>
                </w:r>
                <w:r>
                  <w:rPr/>
                  <w:fldChar w:fldCharType="begin"/>
                </w:r>
                <w:r>
                  <w:rPr>
                    <w:rFonts w:ascii="Times New Roman"/>
                  </w:rPr>
                  <w:instrText> PAGE </w:instrText>
                </w:r>
                <w:r>
                  <w:rPr/>
                  <w:fldChar w:fldCharType="separate"/>
                </w:r>
                <w:r>
                  <w:rPr/>
                  <w:t>38</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574707pt;margin-top:806.72052pt;width:59.493346pt;height:26.794713pt;mso-position-horizontal-relative:page;mso-position-vertical-relative:page;z-index:-1026280" type="#_x0000_t75" stroked="false">
          <v:imagedata r:id="rId1" o:title=""/>
        </v:shape>
      </w:pict>
    </w:r>
    <w:r>
      <w:rPr/>
      <w:pict>
        <v:shape style="position:absolute;margin-left:291.160004pt;margin-top:771.637329pt;width:13.15pt;height:11.15pt;mso-position-horizontal-relative:page;mso-position-vertical-relative:page;z-index:-1026256" type="#_x0000_t202" filled="false" stroked="false">
          <v:textbox inset="0,0,0,0">
            <w:txbxContent>
              <w:p>
                <w:pPr>
                  <w:pStyle w:val="BodyText"/>
                  <w:spacing w:line="206" w:lineRule="exact"/>
                  <w:ind w:left="40" w:right="0"/>
                  <w:jc w:val="left"/>
                  <w:rPr>
                    <w:rFonts w:ascii="Times New Roman" w:hAnsi="Times New Roman" w:cs="Times New Roman" w:eastAsia="Times New Roman" w:hint="default"/>
                  </w:rPr>
                </w:pPr>
                <w:r>
                  <w:rPr>
                    <w:rFonts w:ascii="Times New Roman"/>
                    <w:w w:val="101"/>
                  </w:rPr>
                </w:r>
                <w:r>
                  <w:rPr/>
                  <w:fldChar w:fldCharType="begin"/>
                </w:r>
                <w:r>
                  <w:rPr>
                    <w:rFonts w:ascii="Times New Roman"/>
                  </w:rPr>
                  <w:instrText> PAGE </w:instrText>
                </w:r>
                <w:r>
                  <w:rPr/>
                  <w:fldChar w:fldCharType="separate"/>
                </w:r>
                <w:r>
                  <w:rPr/>
                  <w:t>82</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574707pt;margin-top:806.72052pt;width:59.493346pt;height:26.794713pt;mso-position-horizontal-relative:page;mso-position-vertical-relative:page;z-index:-1026232" type="#_x0000_t75" stroked="false">
          <v:imagedata r:id="rId1" o:title=""/>
        </v:shape>
      </w:pict>
    </w:r>
    <w:r>
      <w:rPr/>
      <w:pict>
        <v:shape style="position:absolute;margin-left:290pt;margin-top:771.637329pt;width:15.7pt;height:11.15pt;mso-position-horizontal-relative:page;mso-position-vertical-relative:page;z-index:-1026208" type="#_x0000_t202" filled="false" stroked="false">
          <v:textbox inset="0,0,0,0">
            <w:txbxContent>
              <w:p>
                <w:pPr>
                  <w:pStyle w:val="BodyText"/>
                  <w:spacing w:line="206" w:lineRule="exact"/>
                  <w:ind w:left="20" w:right="0"/>
                  <w:jc w:val="left"/>
                  <w:rPr>
                    <w:rFonts w:ascii="Times New Roman" w:hAnsi="Times New Roman" w:cs="Times New Roman" w:eastAsia="Times New Roman" w:hint="default"/>
                  </w:rPr>
                </w:pPr>
                <w:r>
                  <w:rPr>
                    <w:rFonts w:ascii="Times New Roman"/>
                  </w:rPr>
                  <w:t>100</w:t>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574707pt;margin-top:806.72052pt;width:59.493346pt;height:26.794713pt;mso-position-horizontal-relative:page;mso-position-vertical-relative:page;z-index:-1026184" type="#_x0000_t75" stroked="false">
          <v:imagedata r:id="rId1" o:title=""/>
        </v:shape>
      </w:pict>
    </w:r>
    <w:r>
      <w:rPr/>
      <w:pict>
        <v:shape style="position:absolute;margin-left:289pt;margin-top:771.637329pt;width:17.7pt;height:11.15pt;mso-position-horizontal-relative:page;mso-position-vertical-relative:page;z-index:-1026160" type="#_x0000_t202" filled="false" stroked="false">
          <v:textbox inset="0,0,0,0">
            <w:txbxContent>
              <w:p>
                <w:pPr>
                  <w:pStyle w:val="BodyText"/>
                  <w:spacing w:line="206" w:lineRule="exact"/>
                  <w:ind w:left="40" w:right="0"/>
                  <w:jc w:val="left"/>
                  <w:rPr>
                    <w:rFonts w:ascii="Times New Roman" w:hAnsi="Times New Roman" w:cs="Times New Roman" w:eastAsia="Times New Roman" w:hint="default"/>
                  </w:rPr>
                </w:pPr>
                <w:r>
                  <w:rPr>
                    <w:rFonts w:ascii="Times New Roman"/>
                    <w:w w:val="101"/>
                  </w:rPr>
                </w:r>
                <w:r>
                  <w:rPr/>
                  <w:fldChar w:fldCharType="begin"/>
                </w:r>
                <w:r>
                  <w:rPr>
                    <w:rFonts w:ascii="Times New Roman"/>
                  </w:rPr>
                  <w:instrText> PAGE </w:instrText>
                </w:r>
                <w:r>
                  <w:rPr/>
                  <w:fldChar w:fldCharType="separate"/>
                </w:r>
                <w:r>
                  <w:rPr/>
                  <w:t>101</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23999pt;margin-top:55.579983pt;width:485pt;height:.1pt;mso-position-horizontal-relative:page;mso-position-vertical-relative:page;z-index:-1026568" coordorigin="1104,1112" coordsize="9700,2">
          <v:shape style="position:absolute;left:1104;top:1112;width:9700;height:2" coordorigin="1104,1112" coordsize="9700,0" path="m1104,1112l10804,1112e" filled="false" stroked="true" strokeweight=".72pt" strokecolor="#000000">
            <v:path arrowok="t"/>
          </v:shape>
          <w10:wrap type="none"/>
        </v:group>
      </w:pict>
    </w:r>
    <w:r>
      <w:rPr/>
      <w:pict>
        <v:shapetype id="_x0000_t202" o:spt="202" coordsize="21600,21600" path="m,l,21600r21600,l21600,xe">
          <v:stroke joinstyle="miter"/>
          <v:path gradientshapeok="t" o:connecttype="rect"/>
        </v:shapetype>
        <v:shape style="position:absolute;margin-left:326.239990pt;margin-top:42.542484pt;width:213.8pt;height:11.65pt;mso-position-horizontal-relative:page;mso-position-vertical-relative:page;z-index:-1026544" type="#_x0000_t202" filled="false" stroked="false">
          <v:textbox inset="0,0,0,0">
            <w:txbxContent>
              <w:p>
                <w:pPr>
                  <w:pStyle w:val="BodyText"/>
                  <w:spacing w:line="216" w:lineRule="exact"/>
                  <w:ind w:left="20" w:right="0"/>
                  <w:jc w:val="left"/>
                </w:pPr>
                <w:r>
                  <w:rPr>
                    <w:spacing w:val="-3"/>
                  </w:rPr>
                  <w:t>深圳市银之杰科技股份有限公司 </w:t>
                </w:r>
                <w:r>
                  <w:rPr>
                    <w:rFonts w:ascii="Times New Roman" w:hAnsi="Times New Roman" w:cs="Times New Roman" w:eastAsia="Times New Roman" w:hint="default"/>
                  </w:rPr>
                  <w:t>2019</w:t>
                </w:r>
                <w:r>
                  <w:rPr>
                    <w:rFonts w:ascii="Times New Roman" w:hAnsi="Times New Roman" w:cs="Times New Roman" w:eastAsia="Times New Roman" w:hint="default"/>
                    <w:spacing w:val="22"/>
                  </w:rPr>
                  <w:t> </w:t>
                </w:r>
                <w:r>
                  <w:rPr>
                    <w:spacing w:val="-3"/>
                  </w:rPr>
                  <w:t>年年度报告全文</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0.584pt;margin-top:55.580013pt;width:701pt;height:.1pt;mso-position-horizontal-relative:page;mso-position-vertical-relative:page;z-index:-1025416" coordorigin="1412,1112" coordsize="14020,2">
          <v:shape style="position:absolute;left:1412;top:1112;width:14020;height:2" coordorigin="1412,1112" coordsize="14020,0" path="m1412,1112l15431,1112e" filled="false" stroked="true" strokeweight=".72pt" strokecolor="#000000">
            <v:path arrowok="t"/>
          </v:shape>
          <w10:wrap type="none"/>
        </v:group>
      </w:pict>
    </w:r>
    <w:r>
      <w:rPr/>
      <w:pict>
        <v:shape style="position:absolute;margin-left:557.650024pt;margin-top:42.542511pt;width:213.75pt;height:11.65pt;mso-position-horizontal-relative:page;mso-position-vertical-relative:page;z-index:-1025392" type="#_x0000_t202" filled="false" stroked="false">
          <v:textbox inset="0,0,0,0">
            <w:txbxContent>
              <w:p>
                <w:pPr>
                  <w:pStyle w:val="BodyText"/>
                  <w:spacing w:line="216" w:lineRule="exact"/>
                  <w:ind w:left="20" w:right="0"/>
                  <w:jc w:val="left"/>
                </w:pPr>
                <w:r>
                  <w:rPr>
                    <w:spacing w:val="-3"/>
                  </w:rPr>
                  <w:t>深圳市银之杰科技股份有限公司 </w:t>
                </w:r>
                <w:r>
                  <w:rPr>
                    <w:rFonts w:ascii="Times New Roman" w:hAnsi="Times New Roman" w:cs="Times New Roman" w:eastAsia="Times New Roman" w:hint="default"/>
                  </w:rPr>
                  <w:t>2019</w:t>
                </w:r>
                <w:r>
                  <w:rPr>
                    <w:rFonts w:ascii="Times New Roman" w:hAnsi="Times New Roman" w:cs="Times New Roman" w:eastAsia="Times New Roman" w:hint="default"/>
                    <w:spacing w:val="22"/>
                  </w:rPr>
                  <w:t> </w:t>
                </w:r>
                <w:r>
                  <w:rPr>
                    <w:spacing w:val="-3"/>
                  </w:rPr>
                  <w:t>年年度报告全文</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23999pt;margin-top:55.579983pt;width:485pt;height:.1pt;mso-position-horizontal-relative:page;mso-position-vertical-relative:page;z-index:-1025320" coordorigin="1104,1112" coordsize="9700,2">
          <v:shape style="position:absolute;left:1104;top:1112;width:9700;height:2" coordorigin="1104,1112" coordsize="9700,0" path="m1104,1112l10804,1112e" filled="false" stroked="true" strokeweight=".72pt" strokecolor="#000000">
            <v:path arrowok="t"/>
          </v:shape>
          <w10:wrap type="none"/>
        </v:group>
      </w:pict>
    </w:r>
    <w:r>
      <w:rPr/>
      <w:pict>
        <v:shape style="position:absolute;margin-left:326.239990pt;margin-top:42.542484pt;width:213.8pt;height:11.65pt;mso-position-horizontal-relative:page;mso-position-vertical-relative:page;z-index:-1025296" type="#_x0000_t202" filled="false" stroked="false">
          <v:textbox inset="0,0,0,0">
            <w:txbxContent>
              <w:p>
                <w:pPr>
                  <w:pStyle w:val="BodyText"/>
                  <w:spacing w:line="216" w:lineRule="exact"/>
                  <w:ind w:left="20" w:right="0"/>
                  <w:jc w:val="left"/>
                </w:pPr>
                <w:r>
                  <w:rPr>
                    <w:spacing w:val="-3"/>
                  </w:rPr>
                  <w:t>深圳市银之杰科技股份有限公司 </w:t>
                </w:r>
                <w:r>
                  <w:rPr>
                    <w:rFonts w:ascii="Times New Roman" w:hAnsi="Times New Roman" w:cs="Times New Roman" w:eastAsia="Times New Roman" w:hint="default"/>
                  </w:rPr>
                  <w:t>2019</w:t>
                </w:r>
                <w:r>
                  <w:rPr>
                    <w:rFonts w:ascii="Times New Roman" w:hAnsi="Times New Roman" w:cs="Times New Roman" w:eastAsia="Times New Roman" w:hint="default"/>
                    <w:spacing w:val="22"/>
                  </w:rPr>
                  <w:t> </w:t>
                </w:r>
                <w:r>
                  <w:rPr>
                    <w:spacing w:val="-3"/>
                  </w:rPr>
                  <w:t>年年度报告全文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62"/>
      <w:ind w:left="153"/>
    </w:pPr>
    <w:rPr>
      <w:rFonts w:ascii="宋体" w:hAnsi="宋体" w:eastAsia="宋体"/>
      <w:b/>
      <w:bCs/>
      <w:sz w:val="24"/>
      <w:szCs w:val="24"/>
    </w:rPr>
  </w:style>
  <w:style w:styleId="BodyText" w:type="paragraph">
    <w:name w:val="Body Text"/>
    <w:basedOn w:val="Normal"/>
    <w:uiPriority w:val="1"/>
    <w:qFormat/>
    <w:pPr>
      <w:ind w:left="153"/>
    </w:pPr>
    <w:rPr>
      <w:rFonts w:ascii="宋体" w:hAnsi="宋体" w:eastAsia="宋体"/>
      <w:sz w:val="18"/>
      <w:szCs w:val="18"/>
    </w:rPr>
  </w:style>
  <w:style w:styleId="Heading1" w:type="paragraph">
    <w:name w:val="Heading 1"/>
    <w:basedOn w:val="Normal"/>
    <w:uiPriority w:val="1"/>
    <w:qFormat/>
    <w:pPr>
      <w:spacing w:before="2"/>
      <w:ind w:left="136"/>
      <w:outlineLvl w:val="1"/>
    </w:pPr>
    <w:rPr>
      <w:rFonts w:ascii="宋体" w:hAnsi="宋体" w:eastAsia="宋体"/>
      <w:b/>
      <w:bCs/>
      <w:sz w:val="32"/>
      <w:szCs w:val="32"/>
    </w:rPr>
  </w:style>
  <w:style w:styleId="Heading2" w:type="paragraph">
    <w:name w:val="Heading 2"/>
    <w:basedOn w:val="Normal"/>
    <w:uiPriority w:val="1"/>
    <w:qFormat/>
    <w:pPr>
      <w:ind w:left="153"/>
      <w:outlineLvl w:val="2"/>
    </w:pPr>
    <w:rPr>
      <w:rFonts w:ascii="宋体" w:hAnsi="宋体" w:eastAsia="宋体"/>
      <w:b/>
      <w:bCs/>
      <w:sz w:val="24"/>
      <w:szCs w:val="24"/>
    </w:rPr>
  </w:style>
  <w:style w:styleId="Heading3" w:type="paragraph">
    <w:name w:val="Heading 3"/>
    <w:basedOn w:val="Normal"/>
    <w:uiPriority w:val="1"/>
    <w:qFormat/>
    <w:pPr>
      <w:ind w:left="153"/>
      <w:outlineLvl w:val="3"/>
    </w:pPr>
    <w:rPr>
      <w:rFonts w:ascii="宋体" w:hAnsi="宋体" w:eastAsia="宋体"/>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2.jpeg"/><Relationship Id="rId7" Type="http://schemas.openxmlformats.org/officeDocument/2006/relationships/header" Target="header1.xml"/><Relationship Id="rId8" Type="http://schemas.openxmlformats.org/officeDocument/2006/relationships/footer" Target="footer2.xml"/><Relationship Id="rId9" Type="http://schemas.openxmlformats.org/officeDocument/2006/relationships/hyperlink" Target="http://www.yinzhijie.com/" TargetMode="External"/><Relationship Id="rId10" Type="http://schemas.openxmlformats.org/officeDocument/2006/relationships/hyperlink" Target="mailto:invest@yinzhijie.com" TargetMode="External"/><Relationship Id="rId11" Type="http://schemas.openxmlformats.org/officeDocument/2006/relationships/hyperlink" Target="mailto:liuyi@yinzhijie.com" TargetMode="External"/><Relationship Id="rId12" Type="http://schemas.openxmlformats.org/officeDocument/2006/relationships/hyperlink" Target="mailto:sushimin@yinzhijie.com" TargetMode="External"/><Relationship Id="rId13" Type="http://schemas.openxmlformats.org/officeDocument/2006/relationships/hyperlink" Target="http://www.cninfo.com.cn/" TargetMode="External"/><Relationship Id="rId14" Type="http://schemas.openxmlformats.org/officeDocument/2006/relationships/footer" Target="footer3.xml"/><Relationship Id="rId15" Type="http://schemas.openxmlformats.org/officeDocument/2006/relationships/footer" Target="footer4.xml"/><Relationship Id="rId16" Type="http://schemas.openxmlformats.org/officeDocument/2006/relationships/footer" Target="footer5.xml"/><Relationship Id="rId17" Type="http://schemas.openxmlformats.org/officeDocument/2006/relationships/hyperlink" Target="http://www/" TargetMode="External"/><Relationship Id="rId18" Type="http://schemas.openxmlformats.org/officeDocument/2006/relationships/footer" Target="footer6.xml"/><Relationship Id="rId19" Type="http://schemas.openxmlformats.org/officeDocument/2006/relationships/image" Target="media/image3.png"/><Relationship Id="rId20" Type="http://schemas.openxmlformats.org/officeDocument/2006/relationships/footer" Target="footer7.xml"/><Relationship Id="rId21" Type="http://schemas.openxmlformats.org/officeDocument/2006/relationships/footer" Target="footer8.xml"/><Relationship Id="rId22" Type="http://schemas.openxmlformats.org/officeDocument/2006/relationships/footer" Target="footer9.xml"/><Relationship Id="rId23" Type="http://schemas.openxmlformats.org/officeDocument/2006/relationships/footer" Target="footer10.xml"/><Relationship Id="rId24" Type="http://schemas.openxmlformats.org/officeDocument/2006/relationships/footer" Target="footer11.xml"/><Relationship Id="rId25" Type="http://schemas.openxmlformats.org/officeDocument/2006/relationships/footer" Target="footer12.xml"/><Relationship Id="rId26" Type="http://schemas.openxmlformats.org/officeDocument/2006/relationships/footer" Target="footer13.xml"/><Relationship Id="rId27" Type="http://schemas.openxmlformats.org/officeDocument/2006/relationships/footer" Target="footer14.xml"/><Relationship Id="rId28" Type="http://schemas.openxmlformats.org/officeDocument/2006/relationships/footer" Target="footer15.xml"/><Relationship Id="rId29" Type="http://schemas.openxmlformats.org/officeDocument/2006/relationships/footer" Target="footer16.xml"/><Relationship Id="rId30" Type="http://schemas.openxmlformats.org/officeDocument/2006/relationships/footer" Target="footer17.xml"/><Relationship Id="rId31" Type="http://schemas.openxmlformats.org/officeDocument/2006/relationships/footer" Target="footer18.xml"/><Relationship Id="rId32" Type="http://schemas.openxmlformats.org/officeDocument/2006/relationships/footer" Target="footer19.xml"/><Relationship Id="rId33" Type="http://schemas.openxmlformats.org/officeDocument/2006/relationships/footer" Target="footer20.xml"/><Relationship Id="rId34" Type="http://schemas.openxmlformats.org/officeDocument/2006/relationships/footer" Target="footer21.xml"/><Relationship Id="rId35" Type="http://schemas.openxmlformats.org/officeDocument/2006/relationships/footer" Target="footer22.xml"/><Relationship Id="rId36" Type="http://schemas.openxmlformats.org/officeDocument/2006/relationships/footer" Target="footer23.xml"/><Relationship Id="rId37" Type="http://schemas.openxmlformats.org/officeDocument/2006/relationships/header" Target="header2.xml"/><Relationship Id="rId38" Type="http://schemas.openxmlformats.org/officeDocument/2006/relationships/footer" Target="footer24.xml"/><Relationship Id="rId39" Type="http://schemas.openxmlformats.org/officeDocument/2006/relationships/header" Target="header3.xml"/><Relationship Id="rId40" Type="http://schemas.openxmlformats.org/officeDocument/2006/relationships/footer" Target="footer25.xml"/><Relationship Id="rId41" Type="http://schemas.openxmlformats.org/officeDocument/2006/relationships/footer" Target="footer26.xml"/><Relationship Id="rId42" Type="http://schemas.openxmlformats.org/officeDocument/2006/relationships/footer" Target="footer27.xml"/><Relationship Id="rId43" Type="http://schemas.openxmlformats.org/officeDocument/2006/relationships/footer" Target="footer28.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10.xml.rels><?xml version="1.0" encoding="UTF-8" standalone="yes"?>
<Relationships xmlns="http://schemas.openxmlformats.org/package/2006/relationships"><Relationship Id="rId1" Type="http://schemas.openxmlformats.org/officeDocument/2006/relationships/image" Target="media/image1.jpeg"/></Relationships>

</file>

<file path=word/_rels/footer11.xml.rels><?xml version="1.0" encoding="UTF-8" standalone="yes"?>
<Relationships xmlns="http://schemas.openxmlformats.org/package/2006/relationships"><Relationship Id="rId1" Type="http://schemas.openxmlformats.org/officeDocument/2006/relationships/image" Target="media/image1.jpeg"/></Relationships>

</file>

<file path=word/_rels/footer12.xml.rels><?xml version="1.0" encoding="UTF-8" standalone="yes"?>
<Relationships xmlns="http://schemas.openxmlformats.org/package/2006/relationships"><Relationship Id="rId1" Type="http://schemas.openxmlformats.org/officeDocument/2006/relationships/image" Target="media/image1.jpeg"/></Relationships>

</file>

<file path=word/_rels/footer13.xml.rels><?xml version="1.0" encoding="UTF-8" standalone="yes"?>
<Relationships xmlns="http://schemas.openxmlformats.org/package/2006/relationships"><Relationship Id="rId1" Type="http://schemas.openxmlformats.org/officeDocument/2006/relationships/image" Target="media/image1.jpeg"/></Relationships>

</file>

<file path=word/_rels/footer14.xml.rels><?xml version="1.0" encoding="UTF-8" standalone="yes"?>
<Relationships xmlns="http://schemas.openxmlformats.org/package/2006/relationships"><Relationship Id="rId1" Type="http://schemas.openxmlformats.org/officeDocument/2006/relationships/image" Target="media/image1.jpeg"/></Relationships>

</file>

<file path=word/_rels/footer15.xml.rels><?xml version="1.0" encoding="UTF-8" standalone="yes"?>
<Relationships xmlns="http://schemas.openxmlformats.org/package/2006/relationships"><Relationship Id="rId1" Type="http://schemas.openxmlformats.org/officeDocument/2006/relationships/image" Target="media/image1.jpeg"/></Relationships>

</file>

<file path=word/_rels/footer16.xml.rels><?xml version="1.0" encoding="UTF-8" standalone="yes"?>
<Relationships xmlns="http://schemas.openxmlformats.org/package/2006/relationships"><Relationship Id="rId1" Type="http://schemas.openxmlformats.org/officeDocument/2006/relationships/image" Target="media/image1.jpeg"/></Relationships>

</file>

<file path=word/_rels/footer17.xml.rels><?xml version="1.0" encoding="UTF-8" standalone="yes"?>
<Relationships xmlns="http://schemas.openxmlformats.org/package/2006/relationships"><Relationship Id="rId1" Type="http://schemas.openxmlformats.org/officeDocument/2006/relationships/image" Target="media/image1.jpeg"/></Relationships>

</file>

<file path=word/_rels/footer18.xml.rels><?xml version="1.0" encoding="UTF-8" standalone="yes"?>
<Relationships xmlns="http://schemas.openxmlformats.org/package/2006/relationships"><Relationship Id="rId1" Type="http://schemas.openxmlformats.org/officeDocument/2006/relationships/image" Target="media/image1.jpeg"/></Relationships>

</file>

<file path=word/_rels/footer19.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footer20.xml.rels><?xml version="1.0" encoding="UTF-8" standalone="yes"?>
<Relationships xmlns="http://schemas.openxmlformats.org/package/2006/relationships"><Relationship Id="rId1" Type="http://schemas.openxmlformats.org/officeDocument/2006/relationships/image" Target="media/image1.jpeg"/></Relationships>

</file>

<file path=word/_rels/footer21.xml.rels><?xml version="1.0" encoding="UTF-8" standalone="yes"?>
<Relationships xmlns="http://schemas.openxmlformats.org/package/2006/relationships"><Relationship Id="rId1" Type="http://schemas.openxmlformats.org/officeDocument/2006/relationships/image" Target="media/image1.jpeg"/></Relationships>

</file>

<file path=word/_rels/footer22.xml.rels><?xml version="1.0" encoding="UTF-8" standalone="yes"?>
<Relationships xmlns="http://schemas.openxmlformats.org/package/2006/relationships"><Relationship Id="rId1" Type="http://schemas.openxmlformats.org/officeDocument/2006/relationships/image" Target="media/image1.jpeg"/></Relationships>

</file>

<file path=word/_rels/footer23.xml.rels><?xml version="1.0" encoding="UTF-8" standalone="yes"?>
<Relationships xmlns="http://schemas.openxmlformats.org/package/2006/relationships"><Relationship Id="rId1" Type="http://schemas.openxmlformats.org/officeDocument/2006/relationships/image" Target="media/image1.jpeg"/></Relationships>

</file>

<file path=word/_rels/footer24.xml.rels><?xml version="1.0" encoding="UTF-8" standalone="yes"?>
<Relationships xmlns="http://schemas.openxmlformats.org/package/2006/relationships"><Relationship Id="rId1" Type="http://schemas.openxmlformats.org/officeDocument/2006/relationships/image" Target="media/image1.jpeg"/></Relationships>

</file>

<file path=word/_rels/footer25.xml.rels><?xml version="1.0" encoding="UTF-8" standalone="yes"?>
<Relationships xmlns="http://schemas.openxmlformats.org/package/2006/relationships"><Relationship Id="rId1" Type="http://schemas.openxmlformats.org/officeDocument/2006/relationships/image" Target="media/image1.jpeg"/></Relationships>

</file>

<file path=word/_rels/footer26.xml.rels><?xml version="1.0" encoding="UTF-8" standalone="yes"?>
<Relationships xmlns="http://schemas.openxmlformats.org/package/2006/relationships"><Relationship Id="rId1" Type="http://schemas.openxmlformats.org/officeDocument/2006/relationships/image" Target="media/image1.jpeg"/></Relationships>

</file>

<file path=word/_rels/footer27.xml.rels><?xml version="1.0" encoding="UTF-8" standalone="yes"?>
<Relationships xmlns="http://schemas.openxmlformats.org/package/2006/relationships"><Relationship Id="rId1" Type="http://schemas.openxmlformats.org/officeDocument/2006/relationships/image" Target="media/image1.jpeg"/></Relationships>

</file>

<file path=word/_rels/footer28.xml.rels><?xml version="1.0" encoding="UTF-8" standalone="yes"?>
<Relationships xmlns="http://schemas.openxmlformats.org/package/2006/relationships"><Relationship Id="rId1" Type="http://schemas.openxmlformats.org/officeDocument/2006/relationships/image" Target="media/image1.jpeg"/></Relationships>

</file>

<file path=word/_rels/footer3.xml.rels><?xml version="1.0" encoding="UTF-8" standalone="yes"?>
<Relationships xmlns="http://schemas.openxmlformats.org/package/2006/relationships"><Relationship Id="rId1" Type="http://schemas.openxmlformats.org/officeDocument/2006/relationships/image" Target="media/image1.jpeg"/></Relationships>

</file>

<file path=word/_rels/footer4.xml.rels><?xml version="1.0" encoding="UTF-8" standalone="yes"?>
<Relationships xmlns="http://schemas.openxmlformats.org/package/2006/relationships"><Relationship Id="rId1" Type="http://schemas.openxmlformats.org/officeDocument/2006/relationships/image" Target="media/image1.jpeg"/></Relationships>

</file>

<file path=word/_rels/footer5.xml.rels><?xml version="1.0" encoding="UTF-8" standalone="yes"?>
<Relationships xmlns="http://schemas.openxmlformats.org/package/2006/relationships"><Relationship Id="rId1" Type="http://schemas.openxmlformats.org/officeDocument/2006/relationships/image" Target="media/image1.jpeg"/></Relationships>

</file>

<file path=word/_rels/footer6.xml.rels><?xml version="1.0" encoding="UTF-8" standalone="yes"?>
<Relationships xmlns="http://schemas.openxmlformats.org/package/2006/relationships"><Relationship Id="rId1" Type="http://schemas.openxmlformats.org/officeDocument/2006/relationships/image" Target="media/image1.jpeg"/></Relationships>

</file>

<file path=word/_rels/footer7.xml.rels><?xml version="1.0" encoding="UTF-8" standalone="yes"?>
<Relationships xmlns="http://schemas.openxmlformats.org/package/2006/relationships"><Relationship Id="rId1" Type="http://schemas.openxmlformats.org/officeDocument/2006/relationships/image" Target="media/image1.jpeg"/></Relationships>

</file>

<file path=word/_rels/footer8.xml.rels><?xml version="1.0" encoding="UTF-8" standalone="yes"?>
<Relationships xmlns="http://schemas.openxmlformats.org/package/2006/relationships"><Relationship Id="rId1" Type="http://schemas.openxmlformats.org/officeDocument/2006/relationships/image" Target="media/image1.jpeg"/></Relationships>

</file>

<file path=word/_rels/footer9.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深圳市银之杰科技股份有限公司</dc:creator>
  <dc:title>深圳市银之杰科技股份有限公司2019年年度报告全文</dc:title>
  <dcterms:created xsi:type="dcterms:W3CDTF">2020-05-19T22:17:27Z</dcterms:created>
  <dcterms:modified xsi:type="dcterms:W3CDTF">2020-05-19T22:17:27Z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2020-04-28T00:00:00Z</vt:filetime>
  </property>
  <property fmtid="{D5CDD505-2E9C-101B-9397-08002B2CF9AE}" pid="3" name="Creator">
    <vt:lpwstr>Microsoft® Office Word 2007</vt:lpwstr>
  </property>
  <property fmtid="{D5CDD505-2E9C-101B-9397-08002B2CF9AE}" pid="4" name="LastSaved">
    <vt:filetime>2020-05-19T00:00:00Z</vt:filetime>
  </property>
</Properties>
</file>