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39" w:line="1" w:lineRule="exact"/>
      </w:pPr>
    </w:p>
    <w:p>
      <w:pPr>
        <w:widowControl w:val="0"/>
        <w:jc w:val="center"/>
        <w:rPr>
          <w:sz w:val="2"/>
          <w:szCs w:val="2"/>
        </w:rPr>
      </w:pPr>
      <w:r>
        <w:drawing>
          <wp:inline>
            <wp:extent cx="2670175" cy="6216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70175" cy="621665"/>
                    </a:xfrm>
                    <a:prstGeom prst="rect"/>
                  </pic:spPr>
                </pic:pic>
              </a:graphicData>
            </a:graphic>
          </wp:inline>
        </w:drawing>
      </w:r>
    </w:p>
    <w:p>
      <w:pPr>
        <w:widowControl w:val="0"/>
        <w:spacing w:after="599" w:line="1" w:lineRule="exact"/>
      </w:pP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深圳市银之杰科技股份有限公司</w:t>
      </w:r>
    </w:p>
    <w:p>
      <w:pPr>
        <w:pStyle w:val="Style4"/>
        <w:keepNext w:val="0"/>
        <w:keepLines w:val="0"/>
        <w:widowControl w:val="0"/>
        <w:shd w:val="clear" w:color="auto" w:fill="auto"/>
        <w:bidi w:val="0"/>
        <w:spacing w:before="0" w:after="2680" w:line="240" w:lineRule="auto"/>
        <w:ind w:left="0" w:right="0" w:firstLine="0"/>
        <w:jc w:val="center"/>
      </w:pPr>
      <w:r>
        <w:rPr>
          <w:color w:val="000000"/>
          <w:spacing w:val="0"/>
          <w:w w:val="100"/>
          <w:position w:val="0"/>
        </w:rPr>
        <w:t>SHENZHEN INFOGEM TECHNOLOGIES CO., LTD.</w:t>
      </w:r>
    </w:p>
    <w:p>
      <w:pPr>
        <w:pStyle w:val="Style2"/>
        <w:keepNext w:val="0"/>
        <w:keepLines w:val="0"/>
        <w:widowControl w:val="0"/>
        <w:shd w:val="clear" w:color="auto" w:fill="auto"/>
        <w:bidi w:val="0"/>
        <w:spacing w:before="0" w:after="4540" w:line="240" w:lineRule="auto"/>
        <w:ind w:left="0" w:right="0" w:firstLine="0"/>
        <w:jc w:val="center"/>
      </w:pPr>
      <w:r>
        <w:rPr>
          <w:rFonts w:ascii="Arial" w:eastAsia="Arial" w:hAnsi="Arial" w:cs="Arial"/>
          <w:color w:val="000000"/>
          <w:spacing w:val="0"/>
          <w:w w:val="100"/>
          <w:position w:val="0"/>
          <w:sz w:val="46"/>
          <w:szCs w:val="46"/>
        </w:rPr>
        <w:t>2020</w:t>
      </w:r>
      <w:r>
        <w:rPr>
          <w:color w:val="000000"/>
          <w:spacing w:val="0"/>
          <w:w w:val="100"/>
          <w:position w:val="0"/>
        </w:rPr>
        <w:t>年年度报告</w:t>
      </w:r>
    </w:p>
    <w:p>
      <w:pPr>
        <w:pStyle w:val="Style4"/>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rPr>
        <w:t>2021</w:t>
      </w:r>
      <w:r>
        <w:rPr>
          <w:rFonts w:ascii="SimSun" w:eastAsia="SimSun" w:hAnsi="SimSun" w:cs="SimSun"/>
          <w:color w:val="000000"/>
          <w:spacing w:val="0"/>
          <w:w w:val="100"/>
          <w:position w:val="0"/>
          <w:sz w:val="32"/>
          <w:szCs w:val="32"/>
        </w:rPr>
        <w:t>年</w:t>
      </w:r>
      <w:r>
        <w:rPr>
          <w:color w:val="000000"/>
          <w:spacing w:val="0"/>
          <w:w w:val="100"/>
          <w:position w:val="0"/>
          <w:sz w:val="32"/>
          <w:szCs w:val="32"/>
        </w:rPr>
        <w:t>04</w:t>
      </w:r>
      <w:r>
        <w:rPr>
          <w:rFonts w:ascii="SimSun" w:eastAsia="SimSun" w:hAnsi="SimSun" w:cs="SimSun"/>
          <w:color w:val="000000"/>
          <w:spacing w:val="0"/>
          <w:w w:val="100"/>
          <w:position w:val="0"/>
          <w:sz w:val="32"/>
          <w:szCs w:val="32"/>
        </w:rPr>
        <w:t>月</w:t>
      </w:r>
    </w:p>
    <w:p>
      <w:pPr>
        <w:pStyle w:val="Style9"/>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公司董事会、监事会及董事、监事、高级管理人员保证年度报告内容的真实、准确、完整，不存在虚 假记载、误导性陈述或者重大遗漏，并承担个别和连带的法律责任。</w:t>
      </w:r>
      <w:bookmarkEnd w:id="3"/>
    </w:p>
    <w:p>
      <w:pPr>
        <w:pStyle w:val="Style15"/>
        <w:keepNext w:val="0"/>
        <w:keepLines w:val="0"/>
        <w:widowControl w:val="0"/>
        <w:shd w:val="clear" w:color="auto" w:fill="auto"/>
        <w:bidi w:val="0"/>
        <w:spacing w:before="0" w:line="470" w:lineRule="exact"/>
        <w:ind w:left="0" w:right="0"/>
        <w:jc w:val="both"/>
      </w:pPr>
      <w:r>
        <w:rPr>
          <w:color w:val="000000"/>
          <w:spacing w:val="0"/>
          <w:w w:val="100"/>
          <w:position w:val="0"/>
        </w:rPr>
        <w:t>公司负责人陈向军、主管会计工作负责人宋卢亮及会计机构负责人（会计主管人员）张春雷声明：保证 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本报告中如有涉及未来计划、业绩预测等方面的内容，均不构成公司对任何投资者及相关人士的实质 承诺，投资者及相关人士均应对此保持足够的风险认识，并且应当理解计划、预测与承诺之间的差异。</w:t>
      </w:r>
    </w:p>
    <w:p>
      <w:pPr>
        <w:pStyle w:val="Style15"/>
        <w:keepNext w:val="0"/>
        <w:keepLines w:val="0"/>
        <w:widowControl w:val="0"/>
        <w:shd w:val="clear" w:color="auto" w:fill="auto"/>
        <w:bidi w:val="0"/>
        <w:spacing w:before="0" w:line="480" w:lineRule="exact"/>
        <w:ind w:left="0" w:right="0"/>
        <w:jc w:val="both"/>
      </w:pPr>
      <w:r>
        <w:rPr>
          <w:color w:val="000000"/>
          <w:spacing w:val="0"/>
          <w:w w:val="100"/>
          <w:position w:val="0"/>
        </w:rPr>
        <w:t>公司在本报告第四节“经营情况讨论与分析”之“九、公司未来发展的展望”部分，详细描述了公司 经营中可能存在的风险及应对措施，并提请投资者特别注意下列风险因素：</w:t>
      </w:r>
    </w:p>
    <w:p>
      <w:pPr>
        <w:pStyle w:val="Style17"/>
        <w:keepNext w:val="0"/>
        <w:keepLines w:val="0"/>
        <w:widowControl w:val="0"/>
        <w:shd w:val="clear" w:color="auto" w:fill="auto"/>
        <w:tabs>
          <w:tab w:pos="699" w:val="left"/>
        </w:tabs>
        <w:bidi w:val="0"/>
        <w:spacing w:before="0" w:after="80" w:line="470" w:lineRule="exact"/>
        <w:ind w:left="0" w:right="0"/>
        <w:jc w:val="both"/>
      </w:pPr>
      <w:bookmarkStart w:id="4" w:name="bookmark4"/>
      <w:r>
        <w:rPr>
          <w:color w:val="000000"/>
          <w:spacing w:val="0"/>
          <w:w w:val="100"/>
          <w:position w:val="0"/>
          <w:sz w:val="18"/>
          <w:szCs w:val="18"/>
        </w:rPr>
        <w:t>1</w:t>
      </w:r>
      <w:bookmarkEnd w:id="4"/>
      <w:r>
        <w:rPr>
          <w:color w:val="000000"/>
          <w:spacing w:val="0"/>
          <w:w w:val="100"/>
          <w:position w:val="0"/>
        </w:rPr>
        <w:t>、</w:t>
        <w:tab/>
        <w:t>短期盈利能力风险</w:t>
      </w:r>
    </w:p>
    <w:p>
      <w:pPr>
        <w:pStyle w:val="Style17"/>
        <w:keepNext w:val="0"/>
        <w:keepLines w:val="0"/>
        <w:widowControl w:val="0"/>
        <w:shd w:val="clear" w:color="auto" w:fill="auto"/>
        <w:bidi w:val="0"/>
        <w:spacing w:before="0" w:after="80" w:line="467" w:lineRule="exact"/>
        <w:ind w:left="0" w:right="0"/>
        <w:jc w:val="both"/>
      </w:pPr>
      <w:r>
        <w:rPr>
          <w:color w:val="000000"/>
          <w:spacing w:val="0"/>
          <w:w w:val="100"/>
          <w:position w:val="0"/>
        </w:rPr>
        <w:t>公司主营业务包括金融信息化、移动信息服务和电子商务业务。为了巩固公司以金融科技服务为核心的业务基础，开拓 新的业务模式和服务领域，公司近年来在个人征信、互联网保险、证券、金融大数据等领域进行了新业务战略布局，打造了 以金融科技为基础的综合金融生态服务体系。公司实施以上战略布局，是公司为企业长远发展而采取的积极措施，并且在各 项战略投资实施之前，公司已对新兴业务的发展空间和项目可行性进行了充分的论证。但是由于部分新业务在业务开展初期 阶段需要比较高的投入，可能在一定时期内不具备盈利能力，因此可能致使公司存在短期盈利能力下降的风险，一定时期内 影响公司整体的盈利能力。</w:t>
      </w:r>
    </w:p>
    <w:p>
      <w:pPr>
        <w:pStyle w:val="Style17"/>
        <w:keepNext w:val="0"/>
        <w:keepLines w:val="0"/>
        <w:widowControl w:val="0"/>
        <w:shd w:val="clear" w:color="auto" w:fill="auto"/>
        <w:bidi w:val="0"/>
        <w:spacing w:before="0" w:after="80" w:line="475" w:lineRule="exact"/>
        <w:ind w:left="0" w:right="0"/>
        <w:jc w:val="both"/>
      </w:pPr>
      <w:r>
        <w:rPr>
          <w:color w:val="000000"/>
          <w:spacing w:val="0"/>
          <w:w w:val="100"/>
          <w:position w:val="0"/>
        </w:rPr>
        <w:t>针对上述风险，公司一方面将从战略高度充分重视新兴业务的进展，全力推进新业务的健康发展，科学把控新兴业务投 资进度，降低投资风险；另一方面将努力推进成熟业务的业绩提升，保持公司整体盈利情况的合理性。</w:t>
      </w:r>
    </w:p>
    <w:p>
      <w:pPr>
        <w:pStyle w:val="Style17"/>
        <w:keepNext w:val="0"/>
        <w:keepLines w:val="0"/>
        <w:widowControl w:val="0"/>
        <w:shd w:val="clear" w:color="auto" w:fill="auto"/>
        <w:tabs>
          <w:tab w:pos="709" w:val="left"/>
        </w:tabs>
        <w:bidi w:val="0"/>
        <w:spacing w:before="0" w:after="80" w:line="470" w:lineRule="exact"/>
        <w:ind w:left="0" w:right="0"/>
        <w:jc w:val="both"/>
      </w:pPr>
      <w:bookmarkStart w:id="5" w:name="bookmark5"/>
      <w:r>
        <w:rPr>
          <w:color w:val="000000"/>
          <w:spacing w:val="0"/>
          <w:w w:val="100"/>
          <w:position w:val="0"/>
          <w:sz w:val="18"/>
          <w:szCs w:val="18"/>
        </w:rPr>
        <w:t>2</w:t>
      </w:r>
      <w:bookmarkEnd w:id="5"/>
      <w:r>
        <w:rPr>
          <w:color w:val="000000"/>
          <w:spacing w:val="0"/>
          <w:w w:val="100"/>
          <w:position w:val="0"/>
        </w:rPr>
        <w:t>、</w:t>
        <w:tab/>
        <w:t>运营资金短缺风险</w:t>
      </w:r>
    </w:p>
    <w:p>
      <w:pPr>
        <w:pStyle w:val="Style17"/>
        <w:keepNext w:val="0"/>
        <w:keepLines w:val="0"/>
        <w:widowControl w:val="0"/>
        <w:shd w:val="clear" w:color="auto" w:fill="auto"/>
        <w:bidi w:val="0"/>
        <w:spacing w:before="0" w:after="80" w:line="470" w:lineRule="exact"/>
        <w:ind w:left="0" w:right="0"/>
        <w:jc w:val="both"/>
      </w:pPr>
      <w:r>
        <w:rPr>
          <w:color w:val="000000"/>
          <w:spacing w:val="0"/>
          <w:w w:val="100"/>
          <w:position w:val="0"/>
        </w:rPr>
        <w:t>随着公司新业务板块持续拓展，经营规模不断扩大，公司对运营资金的需求日益扩大。如果不能及时解决资金需求，将 给公司的业务运营和后续发展带来风险。</w:t>
      </w:r>
    </w:p>
    <w:p>
      <w:pPr>
        <w:pStyle w:val="Style17"/>
        <w:keepNext w:val="0"/>
        <w:keepLines w:val="0"/>
        <w:widowControl w:val="0"/>
        <w:shd w:val="clear" w:color="auto" w:fill="auto"/>
        <w:bidi w:val="0"/>
        <w:spacing w:before="0" w:after="80" w:line="470" w:lineRule="exact"/>
        <w:ind w:left="0" w:right="0"/>
        <w:jc w:val="both"/>
      </w:pPr>
      <w:r>
        <w:rPr>
          <w:color w:val="000000"/>
          <w:spacing w:val="0"/>
          <w:w w:val="100"/>
          <w:position w:val="0"/>
        </w:rPr>
        <w:t>针对上述风险，公司首先将加强公司应收账款的管理，进一步严控企业成本，加强自有资金和募集资金的有效利用，持 续改善公司现金流情况，确保日常运营资金充足；同时充分利用上市公司融资平台和其他融资渠道，适时筹措运营发展资金， 降低公司运营资金短缺的风险。</w:t>
      </w:r>
    </w:p>
    <w:p>
      <w:pPr>
        <w:pStyle w:val="Style17"/>
        <w:keepNext w:val="0"/>
        <w:keepLines w:val="0"/>
        <w:widowControl w:val="0"/>
        <w:shd w:val="clear" w:color="auto" w:fill="auto"/>
        <w:tabs>
          <w:tab w:pos="664" w:val="left"/>
        </w:tabs>
        <w:bidi w:val="0"/>
        <w:spacing w:before="0" w:after="80" w:line="472" w:lineRule="exact"/>
        <w:ind w:left="0" w:right="0"/>
        <w:jc w:val="left"/>
      </w:pPr>
      <w:bookmarkStart w:id="6" w:name="bookmark6"/>
      <w:r>
        <w:rPr>
          <w:color w:val="000000"/>
          <w:spacing w:val="0"/>
          <w:w w:val="100"/>
          <w:position w:val="0"/>
          <w:sz w:val="18"/>
          <w:szCs w:val="18"/>
        </w:rPr>
        <w:t>3</w:t>
      </w:r>
      <w:bookmarkEnd w:id="6"/>
      <w:r>
        <w:rPr>
          <w:color w:val="000000"/>
          <w:spacing w:val="0"/>
          <w:w w:val="100"/>
          <w:position w:val="0"/>
        </w:rPr>
        <w:t>、</w:t>
        <w:tab/>
        <w:t>经营管理风险</w:t>
      </w:r>
    </w:p>
    <w:p>
      <w:pPr>
        <w:pStyle w:val="Style17"/>
        <w:keepNext w:val="0"/>
        <w:keepLines w:val="0"/>
        <w:widowControl w:val="0"/>
        <w:shd w:val="clear" w:color="auto" w:fill="auto"/>
        <w:bidi w:val="0"/>
        <w:spacing w:before="0" w:after="80" w:line="468" w:lineRule="exact"/>
        <w:ind w:left="0" w:right="0"/>
        <w:jc w:val="left"/>
      </w:pPr>
      <w:r>
        <w:rPr>
          <w:color w:val="000000"/>
          <w:spacing w:val="0"/>
          <w:w w:val="100"/>
          <w:position w:val="0"/>
        </w:rPr>
        <w:t>随着公司业务领域的持续拓展、经营规模的不断扩大，公司组织结构和管理体系日趋复杂，公司的经营决策、风险控制 的难度大为增加，对公司管理团队的人才储备、管理水平以及驾驭经营管理风险的能力提出了更高的要求。如果公司在经营 管理过程中不能解决人才、文化、管理能力、管理效率等方面的新的挑战，将对公司的有效运营和业务发展带来一定风险。</w:t>
      </w:r>
    </w:p>
    <w:p>
      <w:pPr>
        <w:pStyle w:val="Style17"/>
        <w:keepNext w:val="0"/>
        <w:keepLines w:val="0"/>
        <w:widowControl w:val="0"/>
        <w:shd w:val="clear" w:color="auto" w:fill="auto"/>
        <w:bidi w:val="0"/>
        <w:spacing w:before="0" w:after="80" w:line="475" w:lineRule="exact"/>
        <w:ind w:left="0" w:right="0"/>
        <w:jc w:val="left"/>
      </w:pPr>
      <w:r>
        <w:rPr>
          <w:color w:val="000000"/>
          <w:spacing w:val="0"/>
          <w:w w:val="100"/>
          <w:position w:val="0"/>
        </w:rPr>
        <w:t>针对上述风险，公司持续引进、储备高素质人才，严格按照上市公司规范治理要求，不断优化、整合业务结构，加强内 控体系建设，提升管理水平，提高公司经营管理抗风险的能力。</w:t>
      </w:r>
    </w:p>
    <w:p>
      <w:pPr>
        <w:pStyle w:val="Style17"/>
        <w:keepNext w:val="0"/>
        <w:keepLines w:val="0"/>
        <w:widowControl w:val="0"/>
        <w:shd w:val="clear" w:color="auto" w:fill="auto"/>
        <w:tabs>
          <w:tab w:pos="669" w:val="left"/>
        </w:tabs>
        <w:bidi w:val="0"/>
        <w:spacing w:before="0" w:after="80" w:line="472" w:lineRule="exact"/>
        <w:ind w:left="0" w:right="0"/>
        <w:jc w:val="left"/>
      </w:pPr>
      <w:bookmarkStart w:id="7" w:name="bookmark7"/>
      <w:r>
        <w:rPr>
          <w:color w:val="000000"/>
          <w:spacing w:val="0"/>
          <w:w w:val="100"/>
          <w:position w:val="0"/>
          <w:sz w:val="18"/>
          <w:szCs w:val="18"/>
        </w:rPr>
        <w:t>4</w:t>
      </w:r>
      <w:bookmarkEnd w:id="7"/>
      <w:r>
        <w:rPr>
          <w:color w:val="000000"/>
          <w:spacing w:val="0"/>
          <w:w w:val="100"/>
          <w:position w:val="0"/>
        </w:rPr>
        <w:t>、</w:t>
        <w:tab/>
        <w:t>商誉减值风险</w:t>
      </w:r>
    </w:p>
    <w:p>
      <w:pPr>
        <w:pStyle w:val="Style17"/>
        <w:keepNext w:val="0"/>
        <w:keepLines w:val="0"/>
        <w:widowControl w:val="0"/>
        <w:shd w:val="clear" w:color="auto" w:fill="auto"/>
        <w:bidi w:val="0"/>
        <w:spacing w:before="0" w:after="80" w:line="472" w:lineRule="exact"/>
        <w:ind w:left="0" w:right="0"/>
        <w:jc w:val="left"/>
      </w:pPr>
      <w:r>
        <w:rPr>
          <w:color w:val="000000"/>
          <w:spacing w:val="0"/>
          <w:w w:val="100"/>
          <w:position w:val="0"/>
          <w:sz w:val="18"/>
          <w:szCs w:val="18"/>
        </w:rPr>
        <w:t>2020</w:t>
      </w:r>
      <w:r>
        <w:rPr>
          <w:color w:val="000000"/>
          <w:spacing w:val="0"/>
          <w:w w:val="100"/>
          <w:position w:val="0"/>
        </w:rPr>
        <w:t>年末，公司商誉账面价值为</w:t>
      </w:r>
      <w:r>
        <w:rPr>
          <w:color w:val="000000"/>
          <w:spacing w:val="0"/>
          <w:w w:val="100"/>
          <w:position w:val="0"/>
          <w:sz w:val="18"/>
          <w:szCs w:val="18"/>
        </w:rPr>
        <w:t>15,561.79</w:t>
      </w:r>
      <w:r>
        <w:rPr>
          <w:color w:val="000000"/>
          <w:spacing w:val="0"/>
          <w:w w:val="100"/>
          <w:position w:val="0"/>
        </w:rPr>
        <w:t>万元，系公司收购亿美软通和安科创新形成的商誉。近期，由于受电信运 营商短信通道成本上升以及行业竞争的影响，亿美软通的经营业绩有所下降。亿美软通正在通过提升短信业务毛利率水平、 开拓</w:t>
      </w:r>
      <w:r>
        <w:rPr>
          <w:color w:val="000000"/>
          <w:spacing w:val="0"/>
          <w:w w:val="100"/>
          <w:position w:val="0"/>
          <w:sz w:val="18"/>
          <w:szCs w:val="18"/>
        </w:rPr>
        <w:t>5G</w:t>
      </w:r>
      <w:r>
        <w:rPr>
          <w:color w:val="000000"/>
          <w:spacing w:val="0"/>
          <w:w w:val="100"/>
          <w:position w:val="0"/>
        </w:rPr>
        <w:t>消息创新业务等措施努力提高公司的经营业绩，目前各项经营措施进展正常。如果以上经营措施不能达到预期效果, 亿美软通的盈利能力持续下降，公司收购亿美软通形成的商誉将可能发生减值，从而对公司的资产总额及盈利能力产生不利 影响。</w:t>
      </w:r>
    </w:p>
    <w:p>
      <w:pPr>
        <w:pStyle w:val="Style17"/>
        <w:keepNext w:val="0"/>
        <w:keepLines w:val="0"/>
        <w:widowControl w:val="0"/>
        <w:shd w:val="clear" w:color="auto" w:fill="auto"/>
        <w:bidi w:val="0"/>
        <w:spacing w:before="0" w:after="660" w:line="473" w:lineRule="exact"/>
        <w:ind w:left="0" w:right="0"/>
        <w:jc w:val="left"/>
      </w:pPr>
      <w:r>
        <w:rPr>
          <w:color w:val="000000"/>
          <w:spacing w:val="0"/>
          <w:w w:val="100"/>
          <w:position w:val="0"/>
        </w:rPr>
        <w:t>针对上述风险，公司除每年对商誉进行减值测试外，还将持续加强母公司与亿美软通、安科创新在产品、技术、市场、 管理等方面的整合，通过加强管理和创新，保持亿美软通、安科创新的市场竞争力及持续稳定的盈利能力，最大限度降低商 誉减值对公司未来业绩的影响。</w:t>
      </w:r>
    </w:p>
    <w:p>
      <w:pPr>
        <w:pStyle w:val="Style15"/>
        <w:keepNext w:val="0"/>
        <w:keepLines w:val="0"/>
        <w:widowControl w:val="0"/>
        <w:shd w:val="clear" w:color="auto" w:fill="auto"/>
        <w:bidi w:val="0"/>
        <w:spacing w:before="0" w:line="466" w:lineRule="exact"/>
        <w:ind w:left="0" w:right="0" w:firstLine="480"/>
        <w:jc w:val="both"/>
        <w:rPr>
          <w:sz w:val="22"/>
          <w:szCs w:val="22"/>
        </w:rPr>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92" w:right="1016" w:bottom="1854" w:left="1107" w:header="0" w:footer="3" w:gutter="0"/>
          <w:pgNumType w:start="1"/>
          <w:cols w:space="720"/>
          <w:noEndnote/>
          <w:titlePg/>
          <w:rtlGutter w:val="0"/>
          <w:docGrid w:linePitch="360"/>
        </w:sectPr>
      </w:pPr>
      <w:r>
        <w:rPr>
          <w:color w:val="000000"/>
          <w:spacing w:val="0"/>
          <w:w w:val="100"/>
          <w:position w:val="0"/>
          <w:sz w:val="22"/>
          <w:szCs w:val="22"/>
        </w:rPr>
        <w:t>公司经本次董事会审议通过的利润分配预案为：以公司总股本</w:t>
      </w:r>
      <w:r>
        <w:rPr>
          <w:color w:val="000000"/>
          <w:spacing w:val="0"/>
          <w:w w:val="100"/>
          <w:position w:val="0"/>
          <w:sz w:val="22"/>
          <w:szCs w:val="22"/>
        </w:rPr>
        <w:t>706,640,535</w:t>
      </w:r>
      <w:r>
        <w:rPr>
          <w:color w:val="000000"/>
          <w:spacing w:val="0"/>
          <w:w w:val="100"/>
          <w:position w:val="0"/>
          <w:sz w:val="22"/>
          <w:szCs w:val="22"/>
        </w:rPr>
        <w:t>股为基数，向全 体股东每</w:t>
      </w:r>
      <w:r>
        <w:rPr>
          <w:color w:val="000000"/>
          <w:spacing w:val="0"/>
          <w:w w:val="100"/>
          <w:position w:val="0"/>
          <w:sz w:val="22"/>
          <w:szCs w:val="22"/>
        </w:rPr>
        <w:t>10</w:t>
      </w:r>
      <w:r>
        <w:rPr>
          <w:color w:val="000000"/>
          <w:spacing w:val="0"/>
          <w:w w:val="100"/>
          <w:position w:val="0"/>
          <w:sz w:val="22"/>
          <w:szCs w:val="22"/>
        </w:rPr>
        <w:t>股派发现金红利</w:t>
      </w:r>
      <w:r>
        <w:rPr>
          <w:color w:val="000000"/>
          <w:spacing w:val="0"/>
          <w:w w:val="100"/>
          <w:position w:val="0"/>
          <w:sz w:val="22"/>
          <w:szCs w:val="22"/>
        </w:rPr>
        <w:t>0.1</w:t>
      </w:r>
      <w:r>
        <w:rPr>
          <w:color w:val="000000"/>
          <w:spacing w:val="0"/>
          <w:w w:val="100"/>
          <w:position w:val="0"/>
          <w:sz w:val="22"/>
          <w:szCs w:val="22"/>
        </w:rPr>
        <w:t>元（含税），送红股</w:t>
      </w:r>
      <w:r>
        <w:rPr>
          <w:color w:val="000000"/>
          <w:spacing w:val="0"/>
          <w:w w:val="100"/>
          <w:position w:val="0"/>
          <w:sz w:val="22"/>
          <w:szCs w:val="22"/>
        </w:rPr>
        <w:t>0</w:t>
      </w:r>
      <w:r>
        <w:rPr>
          <w:color w:val="000000"/>
          <w:spacing w:val="0"/>
          <w:w w:val="100"/>
          <w:position w:val="0"/>
          <w:sz w:val="22"/>
          <w:szCs w:val="22"/>
        </w:rPr>
        <w:t xml:space="preserve">股（含税），以资本公积金向全体股东每 </w:t>
      </w:r>
      <w:r>
        <w:rPr>
          <w:color w:val="000000"/>
          <w:spacing w:val="0"/>
          <w:w w:val="100"/>
          <w:position w:val="0"/>
          <w:sz w:val="22"/>
          <w:szCs w:val="22"/>
        </w:rPr>
        <w:t>10</w:t>
      </w:r>
      <w:r>
        <w:rPr>
          <w:color w:val="000000"/>
          <w:spacing w:val="0"/>
          <w:w w:val="100"/>
          <w:position w:val="0"/>
          <w:sz w:val="22"/>
          <w:szCs w:val="22"/>
        </w:rPr>
        <w:t>股转增</w:t>
      </w:r>
      <w:r>
        <w:rPr>
          <w:color w:val="000000"/>
          <w:spacing w:val="0"/>
          <w:w w:val="100"/>
          <w:position w:val="0"/>
          <w:sz w:val="22"/>
          <w:szCs w:val="22"/>
        </w:rPr>
        <w:t>0</w:t>
      </w:r>
      <w:r>
        <w:rPr>
          <w:color w:val="000000"/>
          <w:spacing w:val="0"/>
          <w:w w:val="100"/>
          <w:position w:val="0"/>
          <w:sz w:val="22"/>
          <w:szCs w:val="22"/>
        </w:rPr>
        <w:t>股。</w:t>
      </w:r>
    </w:p>
    <w:p>
      <w:pPr>
        <w:pStyle w:val="Style22"/>
        <w:keepNext w:val="0"/>
        <w:keepLines w:val="0"/>
        <w:widowControl w:val="0"/>
        <w:shd w:val="clear" w:color="auto" w:fill="auto"/>
        <w:bidi w:val="0"/>
        <w:spacing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9"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11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292"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463"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10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525"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52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572"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665"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669"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4"/>
        <w:keepNext w:val="0"/>
        <w:keepLines w:val="0"/>
        <w:widowControl w:val="0"/>
        <w:shd w:val="clear" w:color="auto" w:fill="auto"/>
        <w:tabs>
          <w:tab w:leader="dot" w:pos="9612" w:val="right"/>
        </w:tabs>
        <w:bidi w:val="0"/>
        <w:spacing w:before="0" w:line="240" w:lineRule="auto"/>
        <w:ind w:left="0" w:right="0" w:firstLine="0"/>
        <w:jc w:val="left"/>
      </w:pPr>
      <w:hyperlink w:anchor="bookmark1855"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205</w:t>
        </w:r>
      </w:hyperlink>
      <w:r>
        <w:br w:type="page"/>
      </w:r>
      <w:r>
        <w:fldChar w:fldCharType="end"/>
      </w:r>
    </w:p>
    <w:p>
      <w:pPr>
        <w:pStyle w:val="Style27"/>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深圳市银之杰科技股份有限公司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银之杰智慧科技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深圳银之杰智慧科技有限公司，本公司全资子公司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银之杰金融设备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深圳市银之杰金融设备有限公司，本公司全资子公司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银之杰拓扑技术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深圳银之杰拓扑技术有限公司，本公司全资子公司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银之杰资产管理</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深圳银之杰资产管理有限公司，本公司全资子公司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亿美软通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北京亿美软通科技有限公司，本公司全资子公司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安科创新（深圳）有限公司，本公司控股子公司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杰智融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北京杰智融软件有限公司，本公司控股子公司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华道征信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北京华道征信有限公司，本公司参股公司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百行征信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百行征信有限公司，华道征信参股公司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东亚前海证券有限责任公司，本公司参股公司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易安保险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易安财产保险股份有限公司，本公司参股公司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上海保险交易所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上海保险交易所股份有限公司，本公司参股公司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通过技术手段推动金融创新，使得金融服务更加便利化、智能化，能 够有效降低交易成本、提高金融业服务效率的技术或者产业。</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金融行业利用信息技术，通过计算机软、硬件及服务，旨在提高业务 效率、安全性或实现业务和管理创新模式的系统工程。本报告中特指 公司在该领域所从事的业务。</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数字金融解决方案</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在金融机构以信息化、网络化、智能化为特征的数字化转型过程中， 针对客户需求所提供的技术咨询、软件开发、运维支持、运营外包等 技术方案和服务。本报告中特指公司在该领域所从事的业务。</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通过手机等移动终端和无线通信、无线上网技术进行信息传递，开展 业务管理、营销管理、商务运营以及数据增值服务的商务服务活动。 本报告中特指公司子公司亿美软通在该领域所从事的业务。</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在互联网环境下，基于浏览器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服务器应用方式，以网上交易和在线支 付为特征，实现商品交换的商业运营模式。本报告中特指公司子公司 安科创新在该领域所从事的业务。</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通过专业化的、独立的第三方机构为个人或企业建立信用档案，依法 采集、整理、保存、加工其信用信息，并对使用者提供信用信息服务 的活动。根据信用评价对象的不同，分为企业征信和个人征信。</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个人征信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依法设立的个人信用征信机构对个人信用信息进行采集和加工，并根 据用户要求提供个人信用信息查询和评估服务的活动。</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互联网保险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实现保险信息咨询、产品设计、投保、交费、核保、承保、保单信息 查询、保全变更和理赔等保险全过程的网络化，以互联网和电子商务 技术为工具来支持保险销售的经营管理活动的新型保险业态。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研究、开发用于模拟、延伸和扩展人的智能的理论、方法、技术及应 用系统的一门新的技术科学。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达到足够量级的，经过新的处理模式能够具有更强的决策力、洞察发 现力和流程优化能力，从而产生更广泛的市场价值的信息资产。</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一种分布式计算方式，通过这种方式，共享的软硬件资源和信息可以 按需求提供给计算机各种终端和其他设备。</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影像技术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对通过摄像、扫描等方式获得的数字图像进行传输、图像处理、识别、 存储、管理等一系列信息化应用的技术。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验印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银行在受理诸如支票等涉及客户签章的业务时，核对客户签章与预留 银行的签章是否相符的业务操作程序。</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智能印控机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以机电一体化盖章方式代替人工盖章，并运用电子图像对比处理技术 对盖章整个过程（凭证放置、找章、盖章、登记、检查）进行实时监 控的专用设备，是目前唯一运用电子技术服务于银行印章风险管控的 电子设备和系统。</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一种分布式数据存储、点对点传输、共识机制、加密算法等计算机技 的新型应用模式，具有去中心化、不可篡改、全程留痕、可以追溯、 集体维护、公开透明等特点。</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数字货币</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一种基于节点网络和数字加密算法的虚拟货币，可作为支付手段，可 以电子形式转移、存储或交易。</w:t>
            </w:r>
          </w:p>
        </w:tc>
      </w:tr>
    </w:tbl>
    <w:p>
      <w:pPr>
        <w:spacing w:lineRule="exact" w:line="1"/>
        <w:rPr>
          <w:sz w:val="2"/>
          <w:szCs w:val="2"/>
        </w:rPr>
      </w:pPr>
      <w:r>
        <w:br w:type="page"/>
      </w:r>
    </w:p>
    <w:p>
      <w:pPr>
        <w:pStyle w:val="Style9"/>
        <w:keepNext/>
        <w:keepLines/>
        <w:widowControl w:val="0"/>
        <w:shd w:val="clear" w:color="auto" w:fill="auto"/>
        <w:bidi w:val="0"/>
        <w:spacing w:before="0" w:after="54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32"/>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bookmarkEnd w:id="11"/>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InfoGem Technologies Co., Ltd.</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InfoGem</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sz w:val="16"/>
                <w:szCs w:val="16"/>
              </w:rPr>
              <w:t>座</w:t>
            </w:r>
            <w:r>
              <w:rPr>
                <w:rFonts w:ascii="Times New Roman" w:eastAsia="Times New Roman" w:hAnsi="Times New Roman" w:cs="Times New Roman"/>
                <w:color w:val="000000"/>
                <w:spacing w:val="0"/>
                <w:w w:val="100"/>
                <w:position w:val="0"/>
                <w:sz w:val="18"/>
                <w:szCs w:val="18"/>
              </w:rPr>
              <w:t>10A-1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sz w:val="16"/>
                <w:szCs w:val="16"/>
              </w:rPr>
              <w:t>座</w:t>
            </w:r>
            <w:r>
              <w:rPr>
                <w:rFonts w:ascii="Times New Roman" w:eastAsia="Times New Roman" w:hAnsi="Times New Roman" w:cs="Times New Roman"/>
                <w:color w:val="000000"/>
                <w:spacing w:val="0"/>
                <w:w w:val="100"/>
                <w:position w:val="0"/>
                <w:sz w:val="18"/>
                <w:szCs w:val="18"/>
              </w:rPr>
              <w:t>10A</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yinzhij ie. com</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invest@yinzhij </w:t>
            </w:r>
            <w:r>
              <w:rPr>
                <w:rFonts w:ascii="Times New Roman" w:eastAsia="Times New Roman" w:hAnsi="Times New Roman" w:cs="Times New Roman"/>
                <w:color w:val="000000"/>
                <w:spacing w:val="0"/>
                <w:w w:val="100"/>
                <w:position w:val="0"/>
                <w:sz w:val="18"/>
                <w:szCs w:val="18"/>
              </w:rPr>
              <w:t>ie.com</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苏士敏</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6"/>
                <w:szCs w:val="16"/>
              </w:rPr>
              <w:t>深圳市福田区天安数码城天祥大厦</w:t>
            </w:r>
            <w:r>
              <w:rPr>
                <w:rFonts w:ascii="Times New Roman" w:eastAsia="Times New Roman" w:hAnsi="Times New Roman" w:cs="Times New Roman"/>
                <w:color w:val="000000"/>
                <w:spacing w:val="0"/>
                <w:w w:val="100"/>
                <w:position w:val="0"/>
                <w:sz w:val="18"/>
                <w:szCs w:val="18"/>
              </w:rPr>
              <w:t xml:space="preserve">AB </w:t>
            </w:r>
            <w:r>
              <w:rPr>
                <w:color w:val="000000"/>
                <w:spacing w:val="0"/>
                <w:w w:val="100"/>
                <w:position w:val="0"/>
                <w:sz w:val="16"/>
                <w:szCs w:val="16"/>
              </w:rPr>
              <w:t>座</w:t>
            </w:r>
            <w:r>
              <w:rPr>
                <w:rFonts w:ascii="Times New Roman" w:eastAsia="Times New Roman" w:hAnsi="Times New Roman" w:cs="Times New Roman"/>
                <w:color w:val="000000"/>
                <w:spacing w:val="0"/>
                <w:w w:val="100"/>
                <w:position w:val="0"/>
                <w:sz w:val="18"/>
                <w:szCs w:val="18"/>
              </w:rPr>
              <w:t>10A</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6"/>
                <w:szCs w:val="16"/>
              </w:rPr>
              <w:t>深圳市福田区天安数码城天祥大厦</w:t>
            </w:r>
            <w:r>
              <w:rPr>
                <w:rFonts w:ascii="Times New Roman" w:eastAsia="Times New Roman" w:hAnsi="Times New Roman" w:cs="Times New Roman"/>
                <w:color w:val="000000"/>
                <w:spacing w:val="0"/>
                <w:w w:val="100"/>
                <w:position w:val="0"/>
                <w:sz w:val="18"/>
                <w:szCs w:val="18"/>
              </w:rPr>
              <w:t xml:space="preserve">AB </w:t>
            </w:r>
            <w:r>
              <w:rPr>
                <w:color w:val="000000"/>
                <w:spacing w:val="0"/>
                <w:w w:val="100"/>
                <w:position w:val="0"/>
                <w:sz w:val="16"/>
                <w:szCs w:val="16"/>
              </w:rPr>
              <w:t>座</w:t>
            </w:r>
            <w:r>
              <w:rPr>
                <w:rFonts w:ascii="Times New Roman" w:eastAsia="Times New Roman" w:hAnsi="Times New Roman" w:cs="Times New Roman"/>
                <w:color w:val="000000"/>
                <w:spacing w:val="0"/>
                <w:w w:val="100"/>
                <w:position w:val="0"/>
                <w:sz w:val="18"/>
                <w:szCs w:val="18"/>
              </w:rPr>
              <w:t>10A</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0755-83930085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0755-83930085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0755-83562955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0755-83562955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"mailto:songll@yinzhijie.com" </w:instrText>
            </w:r>
            <w:r>
              <w:fldChar w:fldCharType="separate"/>
            </w:r>
            <w:r>
              <w:rPr>
                <w:rFonts w:ascii="Times New Roman" w:eastAsia="Times New Roman" w:hAnsi="Times New Roman" w:cs="Times New Roman"/>
                <w:color w:val="000000"/>
                <w:spacing w:val="0"/>
                <w:w w:val="100"/>
                <w:position w:val="0"/>
                <w:sz w:val="18"/>
                <w:szCs w:val="18"/>
              </w:rPr>
              <w:t>songll@yinzhijie.com</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sushimin@yinzhij ie. com</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1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杭州市江干区新业路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号华联时代大厦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章归鸿、王甫荣</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长江证券承销保荐有限公司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上海市浦东新区世纪大道</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1198</w:t>
            </w:r>
            <w:r>
              <w:rPr>
                <w:color w:val="000000"/>
                <w:spacing w:val="0"/>
                <w:w w:val="100"/>
                <w:position w:val="0"/>
              </w:rPr>
              <w:t>号世纪汇一座</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武利华、曹霞</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华英证券有限责任公司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无锡市滨湖区金融一街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 无锡金融中心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03-05</w:t>
            </w:r>
            <w:r>
              <w:rPr>
                <w:color w:val="000000"/>
                <w:spacing w:val="0"/>
                <w:w w:val="100"/>
                <w:position w:val="0"/>
              </w:rPr>
              <w:t>单元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王茜、李大山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年度非公开发行股票募集资 金使用完毕为止</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1,181,006,553.61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1,299,251,173.43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20,858,331.68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4,917,894.10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35,750,737.69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7,668,928.21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-18,185,297.38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1,200,754.63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144,663,486.53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-53,425,673.79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97,185,860.43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2,106,152,382.64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2,094,901,033.45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2,154,554,005.56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1,365,500,811.38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1,353,168,385.28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1,351,266,299.89</w:t>
            </w:r>
          </w:p>
        </w:tc>
      </w:tr>
    </w:tbl>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2"/>
        <w:keepNext/>
        <w:keepLines/>
        <w:widowControl w:val="0"/>
        <w:shd w:val="clear" w:color="auto" w:fill="auto"/>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256,253,083.08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332,688,476.72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382,178,276.98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419,340,370.80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-15,271,142.68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1,466,077.42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-14,468,282.37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49,131,679.31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-18,455,344.69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-391,988.16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-17,409,424.39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43,925,685.45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-32,368,601.42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9,779,080.31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-22,016,972.88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189,269,980.52</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522"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6"/>
        <w:keepNext/>
        <w:keepLines/>
        <w:widowControl w:val="0"/>
        <w:shd w:val="clear" w:color="auto" w:fill="auto"/>
        <w:tabs>
          <w:tab w:pos="395"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7"/>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95" w:val="left"/>
        </w:tabs>
        <w:bidi w:val="0"/>
        <w:spacing w:before="0" w:after="38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7"/>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jc w:val="both"/>
      </w:pPr>
      <w:r>
        <w:rPr>
          <w:color w:val="000000"/>
          <w:spacing w:val="0"/>
          <w:w w:val="100"/>
          <w:position w:val="0"/>
        </w:rPr>
        <w:t>公司报告期不存在按照境外会计准则与按照中国会计准则披露的财务报告中净利润和净资产差异情况。</w:t>
      </w:r>
    </w:p>
    <w:p>
      <w:pPr>
        <w:pStyle w:val="Style32"/>
        <w:keepNext/>
        <w:keepLines/>
        <w:widowControl w:val="0"/>
        <w:shd w:val="clear" w:color="auto" w:fill="auto"/>
        <w:tabs>
          <w:tab w:pos="522" w:val="left"/>
        </w:tabs>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1,219,264.38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55,599.25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35,462,882.06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8,343,691.63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4,221,123.28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6,398,779.75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17,463,315.54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99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2,333,152.76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1,179,540.39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30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-358,175.28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161,902.13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4,291,674.00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2,313,934.65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1,115,386.32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6,314,825.19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665,249.22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837,244.90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1,158,755.69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13,189,403.47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23,103,191.48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34,549,983.06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17"/>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0" w:line="475" w:lineRule="exact"/>
        <w:ind w:left="0" w:right="0"/>
        <w:jc w:val="both"/>
        <w:sectPr>
          <w:footnotePr>
            <w:pos w:val="pageBottom"/>
            <w:numFmt w:val="decimal"/>
            <w:numRestart w:val="continuous"/>
          </w:footnotePr>
          <w:pgSz w:w="11900" w:h="16840"/>
          <w:pgMar w:top="1441" w:right="1123" w:bottom="1532"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 损益项目界定为经常性损益的项目的情形。</w:t>
      </w:r>
    </w:p>
    <w:p>
      <w:pPr>
        <w:pStyle w:val="Style9"/>
        <w:keepNext/>
        <w:keepLines/>
        <w:widowControl w:val="0"/>
        <w:shd w:val="clear" w:color="auto" w:fill="auto"/>
        <w:bidi w:val="0"/>
        <w:spacing w:before="660" w:after="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32"/>
        <w:keepNext/>
        <w:keepLines/>
        <w:widowControl w:val="0"/>
        <w:shd w:val="clear" w:color="auto" w:fill="auto"/>
        <w:bidi w:val="0"/>
        <w:spacing w:before="0" w:after="20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17"/>
        <w:keepNext w:val="0"/>
        <w:keepLines w:val="0"/>
        <w:widowControl w:val="0"/>
        <w:shd w:val="clear" w:color="auto" w:fill="auto"/>
        <w:bidi w:val="0"/>
        <w:spacing w:before="0" w:after="0" w:line="470" w:lineRule="exact"/>
        <w:ind w:left="0" w:right="0"/>
        <w:jc w:val="left"/>
      </w:pPr>
      <w:r>
        <w:rPr>
          <w:color w:val="000000"/>
          <w:spacing w:val="0"/>
          <w:w w:val="100"/>
          <w:position w:val="0"/>
        </w:rPr>
        <w:t>公司是以金融科技服务为核心业务的国家高新技术企业。报告期内，公司的主营业务涉及金融信息化、移动信息服务、 电子商务三大领域。同时，按照公司战略发展规划，公司依托自身的技术、客户资源、行业服务经验等优势，积极推进在金 融科技领域的业务延伸发展。通过投资发展个人征信等金融基础服务业务，以及参与发起设立互联网保险、证券等金融服务 机构，构建以金融科技为基础的综合金融生态服务体系，为国内金融机构、互联网金融企业、个人消费者提供全面的创新金 融科技服务。</w:t>
      </w:r>
    </w:p>
    <w:p>
      <w:pPr>
        <w:pStyle w:val="Style17"/>
        <w:keepNext w:val="0"/>
        <w:keepLines w:val="0"/>
        <w:widowControl w:val="0"/>
        <w:shd w:val="clear" w:color="auto" w:fill="auto"/>
        <w:bidi w:val="0"/>
        <w:spacing w:before="0" w:after="0" w:line="470" w:lineRule="exact"/>
        <w:ind w:left="0" w:right="0"/>
        <w:jc w:val="both"/>
      </w:pPr>
      <w:bookmarkStart w:id="59" w:name="bookmark59"/>
      <w:r>
        <w:rPr>
          <w:color w:val="000000"/>
          <w:spacing w:val="0"/>
          <w:w w:val="100"/>
          <w:position w:val="0"/>
        </w:rPr>
        <w:t>一</w:t>
      </w:r>
      <w:bookmarkEnd w:id="59"/>
      <w:r>
        <w:rPr>
          <w:color w:val="000000"/>
          <w:spacing w:val="0"/>
          <w:w w:val="100"/>
          <w:position w:val="0"/>
        </w:rPr>
        <w:t>、金融信息化</w:t>
      </w:r>
    </w:p>
    <w:p>
      <w:pPr>
        <w:pStyle w:val="Style17"/>
        <w:keepNext w:val="0"/>
        <w:keepLines w:val="0"/>
        <w:widowControl w:val="0"/>
        <w:shd w:val="clear" w:color="auto" w:fill="auto"/>
        <w:tabs>
          <w:tab w:pos="896" w:val="left"/>
        </w:tabs>
        <w:bidi w:val="0"/>
        <w:spacing w:before="0" w:after="0" w:line="470" w:lineRule="exact"/>
        <w:ind w:left="0" w:right="0"/>
        <w:jc w:val="both"/>
      </w:pPr>
      <w:bookmarkStart w:id="60" w:name="bookmark60"/>
      <w:r>
        <w:rPr>
          <w:color w:val="000000"/>
          <w:spacing w:val="0"/>
          <w:w w:val="100"/>
          <w:position w:val="0"/>
        </w:rPr>
        <w:t>（</w:t>
      </w:r>
      <w:bookmarkEnd w:id="60"/>
      <w:r>
        <w:rPr>
          <w:color w:val="000000"/>
          <w:spacing w:val="0"/>
          <w:w w:val="100"/>
          <w:position w:val="0"/>
        </w:rPr>
        <w:t>一）</w:t>
        <w:tab/>
        <w:t>主要业务和产品</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在金融信息化业务领域，公司主要为银行等金融机构提供与支付结算、风险防控、业务流程再造、数字化转型、自助服 务等业务相关的软件产品、软件开发、金融专用设备和技术服务。主要软件产品和服务包括电脑验印系统、票据影像化处理 软件、金融服务基础平台开发、数字金融应用开发、大数据开发服务、软件外包服务等；主要金融专用设备产品包括智能印 章控制机、智能打印鉴伪批量盖章一体机、高拍仪、智能现金尾箱等。</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报告期内，公司主要业务和产品未发生重大变化。</w:t>
      </w:r>
    </w:p>
    <w:p>
      <w:pPr>
        <w:pStyle w:val="Style17"/>
        <w:keepNext w:val="0"/>
        <w:keepLines w:val="0"/>
        <w:widowControl w:val="0"/>
        <w:shd w:val="clear" w:color="auto" w:fill="auto"/>
        <w:tabs>
          <w:tab w:pos="896" w:val="left"/>
        </w:tabs>
        <w:bidi w:val="0"/>
        <w:spacing w:before="0" w:after="0" w:line="469" w:lineRule="exact"/>
        <w:ind w:left="0" w:right="0"/>
        <w:jc w:val="both"/>
      </w:pPr>
      <w:bookmarkStart w:id="61" w:name="bookmark61"/>
      <w:r>
        <w:rPr>
          <w:color w:val="000000"/>
          <w:spacing w:val="0"/>
          <w:w w:val="100"/>
          <w:position w:val="0"/>
        </w:rPr>
        <w:t>（</w:t>
      </w:r>
      <w:bookmarkEnd w:id="61"/>
      <w:r>
        <w:rPr>
          <w:color w:val="000000"/>
          <w:spacing w:val="0"/>
          <w:w w:val="100"/>
          <w:position w:val="0"/>
        </w:rPr>
        <w:t>二）</w:t>
        <w:tab/>
        <w:t>经营模式</w:t>
      </w:r>
    </w:p>
    <w:p>
      <w:pPr>
        <w:pStyle w:val="Style17"/>
        <w:keepNext w:val="0"/>
        <w:keepLines w:val="0"/>
        <w:widowControl w:val="0"/>
        <w:shd w:val="clear" w:color="auto" w:fill="auto"/>
        <w:tabs>
          <w:tab w:pos="699" w:val="left"/>
        </w:tabs>
        <w:bidi w:val="0"/>
        <w:spacing w:before="0" w:after="0" w:line="469" w:lineRule="exact"/>
        <w:ind w:left="0" w:right="0"/>
        <w:jc w:val="both"/>
      </w:pPr>
      <w:bookmarkStart w:id="62" w:name="bookmark62"/>
      <w:r>
        <w:rPr>
          <w:rFonts w:ascii="Times New Roman" w:eastAsia="Times New Roman" w:hAnsi="Times New Roman" w:cs="Times New Roman"/>
          <w:color w:val="000000"/>
          <w:spacing w:val="0"/>
          <w:w w:val="100"/>
          <w:position w:val="0"/>
          <w:sz w:val="18"/>
          <w:szCs w:val="18"/>
        </w:rPr>
        <w:t>1</w:t>
      </w:r>
      <w:bookmarkEnd w:id="62"/>
      <w:r>
        <w:rPr>
          <w:color w:val="000000"/>
          <w:spacing w:val="0"/>
          <w:w w:val="100"/>
          <w:position w:val="0"/>
        </w:rPr>
        <w:t>、</w:t>
        <w:tab/>
        <w:t>生产和开发模式</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公司以银行、证券、保险等金融机构为主要目标客户，提供的软件和硬件产品均以自主知识产权的产品为主，同时为客 户提供定制软件开发、软件外包、运维支持等服务。公司的软件产品是根据客户共性需求自主开发的标准化软件版本；软件 开发是针对客户的特殊需求提供的定制化软件开发、软件外包开发服务。公司的金融专用设备以自主研发的方式形成产品， 通过自主加工和委外加工相结合的生产模式进行生产。</w:t>
      </w:r>
    </w:p>
    <w:p>
      <w:pPr>
        <w:pStyle w:val="Style17"/>
        <w:keepNext w:val="0"/>
        <w:keepLines w:val="0"/>
        <w:widowControl w:val="0"/>
        <w:shd w:val="clear" w:color="auto" w:fill="auto"/>
        <w:tabs>
          <w:tab w:pos="718" w:val="left"/>
        </w:tabs>
        <w:bidi w:val="0"/>
        <w:spacing w:before="0" w:after="0" w:line="545" w:lineRule="auto"/>
        <w:ind w:left="0" w:right="0"/>
        <w:jc w:val="both"/>
      </w:pPr>
      <w:bookmarkStart w:id="63" w:name="bookmark63"/>
      <w:r>
        <w:rPr>
          <w:rFonts w:ascii="Times New Roman" w:eastAsia="Times New Roman" w:hAnsi="Times New Roman" w:cs="Times New Roman"/>
          <w:color w:val="000000"/>
          <w:spacing w:val="0"/>
          <w:w w:val="100"/>
          <w:position w:val="0"/>
          <w:sz w:val="18"/>
          <w:szCs w:val="18"/>
        </w:rPr>
        <w:t>2</w:t>
      </w:r>
      <w:bookmarkEnd w:id="63"/>
      <w:r>
        <w:rPr>
          <w:color w:val="000000"/>
          <w:spacing w:val="0"/>
          <w:w w:val="100"/>
          <w:position w:val="0"/>
        </w:rPr>
        <w:t>、</w:t>
        <w:tab/>
        <w:t>销售模式</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公司软件产品、软件开发服务、金融专用设备的客户主要是以银行为主的金融机构。对于国有大型商业银行，通常是总 行或者省一级分行实施采购；对于股份制商业银行、城市商业银行、农村商业银行通常是上述银行的总行实施采购。销售模 式是：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）公司主要通过参与客户的招标或者单一来源采购谈判进行销售，来实现客户对具体产品或服务的首次采购；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 于在合同有效期内客户对已采购产品或服务的追加购买，一般通过与客户直接签订追加采购合同或订单完成销售。</w:t>
      </w:r>
    </w:p>
    <w:p>
      <w:pPr>
        <w:pStyle w:val="Style17"/>
        <w:keepNext w:val="0"/>
        <w:keepLines w:val="0"/>
        <w:widowControl w:val="0"/>
        <w:shd w:val="clear" w:color="auto" w:fill="auto"/>
        <w:tabs>
          <w:tab w:pos="718" w:val="left"/>
        </w:tabs>
        <w:bidi w:val="0"/>
        <w:spacing w:before="0" w:after="0" w:line="545" w:lineRule="auto"/>
        <w:ind w:left="0" w:right="0"/>
        <w:jc w:val="both"/>
      </w:pPr>
      <w:bookmarkStart w:id="64" w:name="bookmark64"/>
      <w:r>
        <w:rPr>
          <w:rFonts w:ascii="Times New Roman" w:eastAsia="Times New Roman" w:hAnsi="Times New Roman" w:cs="Times New Roman"/>
          <w:color w:val="000000"/>
          <w:spacing w:val="0"/>
          <w:w w:val="100"/>
          <w:position w:val="0"/>
          <w:sz w:val="18"/>
          <w:szCs w:val="18"/>
        </w:rPr>
        <w:t>3</w:t>
      </w:r>
      <w:bookmarkEnd w:id="64"/>
      <w:r>
        <w:rPr>
          <w:color w:val="000000"/>
          <w:spacing w:val="0"/>
          <w:w w:val="100"/>
          <w:position w:val="0"/>
        </w:rPr>
        <w:t>、</w:t>
        <w:tab/>
        <w:t>盈利模式</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对于软件产品，公司主要是在产品向客户完成供货、安装调试并验收合格后实现收入；对于金融专用设备，公司主要是 </w:t>
      </w:r>
      <w:r>
        <w:rPr>
          <w:color w:val="000000"/>
          <w:spacing w:val="0"/>
          <w:w w:val="100"/>
          <w:position w:val="0"/>
        </w:rPr>
        <w:t>在设备发货、客户签收后实现收入；对于软件开发项目，公司主要是在投入开发人力按照客户业务需求和进度计划完成开发 任务后，按完工进度或在项目全部完成、验收合格后一次性实现收入；对于软硬件产品的售后技术维护业务，公司在为客户 承担技术服务的期间内按月分期实现服务收入。</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报告期内，公司坚持聚焦产品和客户，持续维护和银行、证券、保险等金融机构客户之间的良好合作关系，金融信息化 业务的经营模式未发生重大变化。</w:t>
      </w:r>
    </w:p>
    <w:p>
      <w:pPr>
        <w:pStyle w:val="Style17"/>
        <w:keepNext w:val="0"/>
        <w:keepLines w:val="0"/>
        <w:widowControl w:val="0"/>
        <w:shd w:val="clear" w:color="auto" w:fill="auto"/>
        <w:tabs>
          <w:tab w:pos="851" w:val="left"/>
        </w:tabs>
        <w:bidi w:val="0"/>
        <w:spacing w:before="0" w:after="0" w:line="468" w:lineRule="exact"/>
        <w:ind w:left="0" w:right="0"/>
        <w:jc w:val="both"/>
      </w:pPr>
      <w:bookmarkStart w:id="65" w:name="bookmark65"/>
      <w:r>
        <w:rPr>
          <w:color w:val="000000"/>
          <w:spacing w:val="0"/>
          <w:w w:val="100"/>
          <w:position w:val="0"/>
        </w:rPr>
        <w:t>（</w:t>
      </w:r>
      <w:bookmarkEnd w:id="65"/>
      <w:r>
        <w:rPr>
          <w:color w:val="000000"/>
          <w:spacing w:val="0"/>
          <w:w w:val="100"/>
          <w:position w:val="0"/>
        </w:rPr>
        <w:t>三）</w:t>
        <w:tab/>
        <w:t>主要业绩驱动因素</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公司金融信息化业务的业绩驱动因素，从行业趋势来看，伴随着人工智能、区块链、云计算、大数据等新技术的迅速发 展，基于金融科技的智能风控、智能营销、智能运营等正广泛应用于银行等金融机构，由此催生了更多核心系统的重构和升 级需求，银行的数字化转型成为大势所趋。从客户需求来看，中国银行业客户对信息化软、硬件产品长期以来一直保持稳定 的创新应用和升级换代业务需求，同时根据中国银保监会提出的政策方向，未来要增加金融供给，增加中小银行和险企的数 量和业务比重，将会催生更多的金融机构信息化系统的建设需求。从本公司的市场竞争优势来看，公司经过多年积累，凭借 广泛的客户资源、扎实的技术研发实力、良好的品牌影响力及丰富的业务经验等形成了独特的竞争优势，进一步夯实了公司 可持续健康发展的基础。</w:t>
      </w:r>
    </w:p>
    <w:p>
      <w:pPr>
        <w:pStyle w:val="Style17"/>
        <w:keepNext w:val="0"/>
        <w:keepLines w:val="0"/>
        <w:widowControl w:val="0"/>
        <w:shd w:val="clear" w:color="auto" w:fill="auto"/>
        <w:tabs>
          <w:tab w:pos="851" w:val="left"/>
        </w:tabs>
        <w:bidi w:val="0"/>
        <w:spacing w:before="0" w:after="0" w:line="468" w:lineRule="exact"/>
        <w:ind w:left="0" w:right="0"/>
        <w:jc w:val="both"/>
      </w:pPr>
      <w:bookmarkStart w:id="66" w:name="bookmark66"/>
      <w:r>
        <w:rPr>
          <w:color w:val="000000"/>
          <w:spacing w:val="0"/>
          <w:w w:val="100"/>
          <w:position w:val="0"/>
        </w:rPr>
        <w:t>（</w:t>
      </w:r>
      <w:bookmarkEnd w:id="66"/>
      <w:r>
        <w:rPr>
          <w:color w:val="000000"/>
          <w:spacing w:val="0"/>
          <w:w w:val="100"/>
          <w:position w:val="0"/>
        </w:rPr>
        <w:t>四）</w:t>
        <w:tab/>
        <w:t>行业特点及发展趋势</w:t>
      </w:r>
    </w:p>
    <w:p>
      <w:pPr>
        <w:pStyle w:val="Style17"/>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月，中国人民银行印发《金融科技</w:t>
      </w:r>
      <w:r>
        <w:rPr>
          <w:rFonts w:ascii="Times New Roman" w:eastAsia="Times New Roman" w:hAnsi="Times New Roman" w:cs="Times New Roman"/>
          <w:color w:val="000000"/>
          <w:spacing w:val="0"/>
          <w:w w:val="100"/>
          <w:position w:val="0"/>
          <w:sz w:val="18"/>
          <w:szCs w:val="18"/>
        </w:rPr>
        <w:t>FinTech</w:t>
      </w:r>
      <w:r>
        <w:rPr>
          <w:color w:val="000000"/>
          <w:spacing w:val="0"/>
          <w:w w:val="100"/>
          <w:position w:val="0"/>
        </w:rPr>
        <w:t>）发展规划（</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年）》，提出到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年，建立健全我国金融 科技发展的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四梁八柱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，进一步增强金融业科技应用能力，实现金融与科技深度融合、协调发展，明显增强人民群众对数字 化、网络化、智能化金融产品和服务的满意度，推动我国金融科技发展居于国际领先水平。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月，中共中央政治局常 务委员会召开会议，明确提出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网络、数据中心等新型基础设施建设进度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，其中信息基础设施是新型基础设施的主 要内容之一，包括以人工智能、云计算、区块链等为代表的新技术基础设施，以及以数据中心、智能计算中心为代表的算力 基础设施等。</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我国金融信息化行业，特别是银行信息化行业总体上保持稳定增长的发展态势。随着市场竞争环境和客户需求的快速变 化，传统银行面临业务模式单一、服务能力不足、客户体验差、获客困难等发展痛点，亟需依靠信息技术在业务系统架构、 产品设计、风险管理、场景运营等多个环节进行变革，降低运营成本提升经营效益。在新一轮科技革命和产业变革的背景下， 金融科技蓬勃发展，人工智能、大数据、云计算、物联网等信息技术与金融业务深度融合，为金融发展提供源源不断的创新 活力。在此种情况下，越来越多的银行开始系统性规划数字化转型并付诸实践，进而推动银行业务流程的重构，带动银行业 信息化建设投入的增加，促进我国银行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行业的快速发展。据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统计，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解决方案市场总规模约为</w:t>
      </w:r>
      <w:r>
        <w:rPr>
          <w:rFonts w:ascii="Times New Roman" w:eastAsia="Times New Roman" w:hAnsi="Times New Roman" w:cs="Times New Roman"/>
          <w:color w:val="000000"/>
          <w:spacing w:val="0"/>
          <w:w w:val="100"/>
          <w:position w:val="0"/>
          <w:sz w:val="18"/>
          <w:szCs w:val="18"/>
        </w:rPr>
        <w:t xml:space="preserve">425.8 </w:t>
      </w:r>
      <w:r>
        <w:rPr>
          <w:color w:val="000000"/>
          <w:spacing w:val="0"/>
          <w:w w:val="100"/>
          <w:position w:val="0"/>
        </w:rPr>
        <w:t>亿元人民币，同比增长</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；预计到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解决方案市场规模将达到</w:t>
      </w:r>
      <w:r>
        <w:rPr>
          <w:rFonts w:ascii="Times New Roman" w:eastAsia="Times New Roman" w:hAnsi="Times New Roman" w:cs="Times New Roman"/>
          <w:color w:val="000000"/>
          <w:spacing w:val="0"/>
          <w:w w:val="100"/>
          <w:position w:val="0"/>
          <w:sz w:val="18"/>
          <w:szCs w:val="18"/>
        </w:rPr>
        <w:t>1273.5</w:t>
      </w:r>
      <w:r>
        <w:rPr>
          <w:color w:val="000000"/>
          <w:spacing w:val="0"/>
          <w:w w:val="100"/>
          <w:position w:val="0"/>
        </w:rPr>
        <w:t xml:space="preserve">亿元人民币，年复合增长率为 </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w:t>
      </w:r>
    </w:p>
    <w:p>
      <w:pPr>
        <w:pStyle w:val="Style17"/>
        <w:keepNext w:val="0"/>
        <w:keepLines w:val="0"/>
        <w:widowControl w:val="0"/>
        <w:shd w:val="clear" w:color="auto" w:fill="auto"/>
        <w:tabs>
          <w:tab w:pos="851" w:val="left"/>
        </w:tabs>
        <w:bidi w:val="0"/>
        <w:spacing w:before="0" w:after="0" w:line="468" w:lineRule="exact"/>
        <w:ind w:left="0" w:right="0"/>
        <w:jc w:val="both"/>
      </w:pPr>
      <w:bookmarkStart w:id="67" w:name="bookmark67"/>
      <w:r>
        <w:rPr>
          <w:color w:val="000000"/>
          <w:spacing w:val="0"/>
          <w:w w:val="100"/>
          <w:position w:val="0"/>
        </w:rPr>
        <w:t>（</w:t>
      </w:r>
      <w:bookmarkEnd w:id="67"/>
      <w:r>
        <w:rPr>
          <w:color w:val="000000"/>
          <w:spacing w:val="0"/>
          <w:w w:val="100"/>
          <w:position w:val="0"/>
        </w:rPr>
        <w:t>五）</w:t>
        <w:tab/>
        <w:t>公司的行业地位</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公司金融信息化产品和服务在国内银行业已得到广泛应用，客户遍及国内</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个省、市、自治区的</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 xml:space="preserve">余家银行或分行， </w:t>
      </w:r>
      <w:r>
        <w:rPr>
          <w:color w:val="000000"/>
          <w:spacing w:val="0"/>
          <w:w w:val="100"/>
          <w:position w:val="0"/>
        </w:rPr>
        <w:t>涵盖政策性银行、大型国有商业银行、主要全国性股份制银行以及部分城市商业银行、农村商业银行和农村信用联社，覆盖 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万个银行营业网点，约占全国银行业金融机构营业网点总数的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。客户基础、技术与服务能力、核心产品市场占有 率在国内同行业中居于领先地位。</w:t>
      </w:r>
    </w:p>
    <w:p>
      <w:pPr>
        <w:pStyle w:val="Style17"/>
        <w:keepNext w:val="0"/>
        <w:keepLines w:val="0"/>
        <w:widowControl w:val="0"/>
        <w:shd w:val="clear" w:color="auto" w:fill="auto"/>
        <w:bidi w:val="0"/>
        <w:spacing w:before="0" w:after="0" w:line="470" w:lineRule="exact"/>
        <w:ind w:left="0" w:right="0"/>
        <w:jc w:val="both"/>
      </w:pPr>
      <w:bookmarkStart w:id="68" w:name="bookmark68"/>
      <w:r>
        <w:rPr>
          <w:color w:val="000000"/>
          <w:spacing w:val="0"/>
          <w:w w:val="100"/>
          <w:position w:val="0"/>
        </w:rPr>
        <w:t>二</w:t>
      </w:r>
      <w:bookmarkEnd w:id="68"/>
      <w:r>
        <w:rPr>
          <w:color w:val="000000"/>
          <w:spacing w:val="0"/>
          <w:w w:val="100"/>
          <w:position w:val="0"/>
        </w:rPr>
        <w:t>、移动信息服务</w:t>
      </w:r>
    </w:p>
    <w:p>
      <w:pPr>
        <w:pStyle w:val="Style17"/>
        <w:keepNext w:val="0"/>
        <w:keepLines w:val="0"/>
        <w:widowControl w:val="0"/>
        <w:shd w:val="clear" w:color="auto" w:fill="auto"/>
        <w:tabs>
          <w:tab w:pos="877" w:val="left"/>
        </w:tabs>
        <w:bidi w:val="0"/>
        <w:spacing w:before="0" w:after="0" w:line="470" w:lineRule="exact"/>
        <w:ind w:left="0" w:right="0"/>
        <w:jc w:val="both"/>
      </w:pPr>
      <w:bookmarkStart w:id="69" w:name="bookmark69"/>
      <w:r>
        <w:rPr>
          <w:color w:val="000000"/>
          <w:spacing w:val="0"/>
          <w:w w:val="100"/>
          <w:position w:val="0"/>
        </w:rPr>
        <w:t>（</w:t>
      </w:r>
      <w:bookmarkEnd w:id="69"/>
      <w:r>
        <w:rPr>
          <w:color w:val="000000"/>
          <w:spacing w:val="0"/>
          <w:w w:val="100"/>
          <w:position w:val="0"/>
        </w:rPr>
        <w:t>一）</w:t>
        <w:tab/>
        <w:t>主要业务和产品</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在移动信息服务领域，公司旗下全资子公司亿美软通为国内外企业提供移动信息平台与解决方案和移动营销服务解决方 案，并通过应用短彩信通信技术、智能语音技术、新媒体营销技术为企业提供移动营销、移动管理和移动客服等多维度服务。 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亿美满意通——移动客户关系管理平台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亿美</w:t>
      </w:r>
      <w:r>
        <w:rPr>
          <w:rFonts w:ascii="Times New Roman" w:eastAsia="Times New Roman" w:hAnsi="Times New Roman" w:cs="Times New Roman"/>
          <w:color w:val="000000"/>
          <w:spacing w:val="0"/>
          <w:w w:val="100"/>
          <w:position w:val="0"/>
          <w:sz w:val="18"/>
          <w:szCs w:val="18"/>
        </w:rPr>
        <w:t xml:space="preserve">SDK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嵌入式短信平台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亿美智能语音平台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亿美富媒体云 通信平台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等系列产品被市场广泛认同并获得用户高度评价。</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亿美软通于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月正式加入全球移动通信系统协会</w:t>
      </w:r>
      <w:r>
        <w:rPr>
          <w:rFonts w:ascii="Times New Roman" w:eastAsia="Times New Roman" w:hAnsi="Times New Roman" w:cs="Times New Roman"/>
          <w:color w:val="000000"/>
          <w:spacing w:val="0"/>
          <w:w w:val="100"/>
          <w:position w:val="0"/>
          <w:sz w:val="18"/>
          <w:szCs w:val="18"/>
        </w:rPr>
        <w:t>GSMA</w:t>
      </w:r>
      <w:r>
        <w:rPr>
          <w:color w:val="000000"/>
          <w:spacing w:val="0"/>
          <w:w w:val="100"/>
          <w:position w:val="0"/>
        </w:rPr>
        <w:t>，积极探索新一代的富媒体通信服务</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年度，亿 美软通顺利通过</w:t>
      </w:r>
      <w:r>
        <w:rPr>
          <w:rFonts w:ascii="Times New Roman" w:eastAsia="Times New Roman" w:hAnsi="Times New Roman" w:cs="Times New Roman"/>
          <w:color w:val="000000"/>
          <w:spacing w:val="0"/>
          <w:w w:val="100"/>
          <w:position w:val="0"/>
          <w:sz w:val="18"/>
          <w:szCs w:val="18"/>
        </w:rPr>
        <w:t>IS</w:t>
      </w:r>
      <w:r>
        <w:rPr>
          <w:rFonts w:ascii="Times New Roman" w:eastAsia="Times New Roman" w:hAnsi="Times New Roman" w:cs="Times New Roman"/>
          <w:color w:val="000000"/>
          <w:spacing w:val="0"/>
          <w:w w:val="100"/>
          <w:position w:val="0"/>
          <w:sz w:val="18"/>
          <w:szCs w:val="18"/>
        </w:rPr>
        <w:t>09001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IS027001</w:t>
      </w:r>
      <w:r>
        <w:rPr>
          <w:color w:val="000000"/>
          <w:spacing w:val="0"/>
          <w:w w:val="100"/>
          <w:position w:val="0"/>
        </w:rPr>
        <w:t>年审，并于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月荣获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5G</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融合消息平台最佳实践奖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。报告期内，亿美软 通的主要业务和产品未发生重大变化。</w:t>
      </w:r>
    </w:p>
    <w:p>
      <w:pPr>
        <w:pStyle w:val="Style17"/>
        <w:keepNext w:val="0"/>
        <w:keepLines w:val="0"/>
        <w:widowControl w:val="0"/>
        <w:shd w:val="clear" w:color="auto" w:fill="auto"/>
        <w:tabs>
          <w:tab w:pos="877" w:val="left"/>
        </w:tabs>
        <w:bidi w:val="0"/>
        <w:spacing w:before="0" w:after="260" w:line="469" w:lineRule="exact"/>
        <w:ind w:left="0" w:right="0"/>
        <w:jc w:val="both"/>
      </w:pPr>
      <w:bookmarkStart w:id="70" w:name="bookmark70"/>
      <w:r>
        <w:rPr>
          <w:color w:val="000000"/>
          <w:spacing w:val="0"/>
          <w:w w:val="100"/>
          <w:position w:val="0"/>
        </w:rPr>
        <w:t>（</w:t>
      </w:r>
      <w:bookmarkEnd w:id="70"/>
      <w:r>
        <w:rPr>
          <w:color w:val="000000"/>
          <w:spacing w:val="0"/>
          <w:w w:val="100"/>
          <w:position w:val="0"/>
        </w:rPr>
        <w:t>二）</w:t>
        <w:tab/>
        <w:t>经营模式</w:t>
      </w:r>
    </w:p>
    <w:p>
      <w:pPr>
        <w:pStyle w:val="Style17"/>
        <w:keepNext w:val="0"/>
        <w:keepLines w:val="0"/>
        <w:widowControl w:val="0"/>
        <w:shd w:val="clear" w:color="auto" w:fill="auto"/>
        <w:tabs>
          <w:tab w:pos="680" w:val="left"/>
        </w:tabs>
        <w:bidi w:val="0"/>
        <w:spacing w:before="0" w:after="0" w:line="545" w:lineRule="auto"/>
        <w:ind w:left="0" w:right="0"/>
        <w:jc w:val="both"/>
      </w:pPr>
      <w:bookmarkStart w:id="71" w:name="bookmark71"/>
      <w:r>
        <w:rPr>
          <w:rFonts w:ascii="Times New Roman" w:eastAsia="Times New Roman" w:hAnsi="Times New Roman" w:cs="Times New Roman"/>
          <w:color w:val="000000"/>
          <w:spacing w:val="0"/>
          <w:w w:val="100"/>
          <w:position w:val="0"/>
          <w:sz w:val="18"/>
          <w:szCs w:val="18"/>
        </w:rPr>
        <w:t>1</w:t>
      </w:r>
      <w:bookmarkEnd w:id="71"/>
      <w:r>
        <w:rPr>
          <w:color w:val="000000"/>
          <w:spacing w:val="0"/>
          <w:w w:val="100"/>
          <w:position w:val="0"/>
        </w:rPr>
        <w:t>、</w:t>
        <w:tab/>
        <w:t>采购模式</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亿美软通提供企业移动信息化服务的通道接入点主要为北京、上海、广东等移动通讯网络较为发达的地区。日常经营中 亿美软通主要采购成本来自向运营商或其他短彩信渠道提供商采购短彩信等业务资源支付的成本，并根据各通道中短、彩信 业务的使用数量与资源提供方进行对账和结算。一般按月与资源提供方对账并进行结算。</w:t>
      </w:r>
    </w:p>
    <w:p>
      <w:pPr>
        <w:pStyle w:val="Style17"/>
        <w:keepNext w:val="0"/>
        <w:keepLines w:val="0"/>
        <w:widowControl w:val="0"/>
        <w:shd w:val="clear" w:color="auto" w:fill="auto"/>
        <w:tabs>
          <w:tab w:pos="699" w:val="left"/>
        </w:tabs>
        <w:bidi w:val="0"/>
        <w:spacing w:before="0" w:after="0" w:line="545" w:lineRule="auto"/>
        <w:ind w:left="0" w:right="0"/>
        <w:jc w:val="both"/>
      </w:pPr>
      <w:bookmarkStart w:id="72" w:name="bookmark72"/>
      <w:r>
        <w:rPr>
          <w:rFonts w:ascii="Times New Roman" w:eastAsia="Times New Roman" w:hAnsi="Times New Roman" w:cs="Times New Roman"/>
          <w:color w:val="000000"/>
          <w:spacing w:val="0"/>
          <w:w w:val="100"/>
          <w:position w:val="0"/>
          <w:sz w:val="18"/>
          <w:szCs w:val="18"/>
        </w:rPr>
        <w:t>2</w:t>
      </w:r>
      <w:bookmarkEnd w:id="72"/>
      <w:r>
        <w:rPr>
          <w:color w:val="000000"/>
          <w:spacing w:val="0"/>
          <w:w w:val="100"/>
          <w:position w:val="0"/>
        </w:rPr>
        <w:t>、</w:t>
        <w:tab/>
        <w:t>销售模式</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亿美软通主要客户集中在电商、互联网、金融、消费品、教育、生活服务等行业，电商、互联网行业大型企业一般会选 择多家移动通讯业务供应商，亿美软通始终致力于与行业领军企业保持良好的合作关系，成为其主要移动通讯业务提供商， 同时提供标准化产品为中小企业提供服务，以扩大销售规模，分散行业风险。</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亿美软通与客户结算一般有以下两种方式：第一、亿美软通与根据客户业务合作协议中约定的移动信息化产品服务价格 和当月用量按月直接与客户进行对账，确认无误后由亿美软通向客户收取服务费用。第二、部分小型客户为预付费用户，先 行在亿美软通移动商务平台进行充值，再进行短彩信的发送，短彩信发送同时亿美软通即从预付费账户中进行扣费。</w:t>
      </w:r>
    </w:p>
    <w:p>
      <w:pPr>
        <w:pStyle w:val="Style17"/>
        <w:keepNext w:val="0"/>
        <w:keepLines w:val="0"/>
        <w:widowControl w:val="0"/>
        <w:shd w:val="clear" w:color="auto" w:fill="auto"/>
        <w:tabs>
          <w:tab w:pos="699" w:val="left"/>
        </w:tabs>
        <w:bidi w:val="0"/>
        <w:spacing w:before="0" w:after="0" w:line="545" w:lineRule="auto"/>
        <w:ind w:left="0" w:right="0"/>
        <w:jc w:val="both"/>
      </w:pPr>
      <w:bookmarkStart w:id="73" w:name="bookmark73"/>
      <w:r>
        <w:rPr>
          <w:rFonts w:ascii="Times New Roman" w:eastAsia="Times New Roman" w:hAnsi="Times New Roman" w:cs="Times New Roman"/>
          <w:color w:val="000000"/>
          <w:spacing w:val="0"/>
          <w:w w:val="100"/>
          <w:position w:val="0"/>
          <w:sz w:val="18"/>
          <w:szCs w:val="18"/>
        </w:rPr>
        <w:t>3</w:t>
      </w:r>
      <w:bookmarkEnd w:id="73"/>
      <w:r>
        <w:rPr>
          <w:color w:val="000000"/>
          <w:spacing w:val="0"/>
          <w:w w:val="100"/>
          <w:position w:val="0"/>
        </w:rPr>
        <w:t>、</w:t>
        <w:tab/>
        <w:t>盈利模式</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亿美软通拥有跨地区增值电信业务经营许可证、电信与信息服务业务经营许可证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证书）等移动信息化服务资质， 与三大运营商都缔结了业务合作协议，具备完善移动信息化业务准入资格，盈利模式以短彩信业务销售为主。报告期内，亿 美软通移动信息服务业务的经营模式未发生重大变化。</w:t>
      </w:r>
    </w:p>
    <w:p>
      <w:pPr>
        <w:pStyle w:val="Style17"/>
        <w:keepNext w:val="0"/>
        <w:keepLines w:val="0"/>
        <w:widowControl w:val="0"/>
        <w:shd w:val="clear" w:color="auto" w:fill="auto"/>
        <w:tabs>
          <w:tab w:pos="877" w:val="left"/>
        </w:tabs>
        <w:bidi w:val="0"/>
        <w:spacing w:before="0" w:after="0" w:line="469" w:lineRule="exact"/>
        <w:ind w:left="0" w:right="0"/>
        <w:jc w:val="both"/>
      </w:pPr>
      <w:bookmarkStart w:id="74" w:name="bookmark74"/>
      <w:r>
        <w:rPr>
          <w:color w:val="000000"/>
          <w:spacing w:val="0"/>
          <w:w w:val="100"/>
          <w:position w:val="0"/>
        </w:rPr>
        <w:t>（</w:t>
      </w:r>
      <w:bookmarkEnd w:id="74"/>
      <w:r>
        <w:rPr>
          <w:color w:val="000000"/>
          <w:spacing w:val="0"/>
          <w:w w:val="100"/>
          <w:position w:val="0"/>
        </w:rPr>
        <w:t>三）</w:t>
        <w:tab/>
        <w:t>主要业绩驱动因素</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移动信息服务的业绩驱动因素，从行业角度来看，随着企业移动互联网和电子商务的应用，短信凭借其时效性强、法律 </w:t>
      </w:r>
      <w:r>
        <w:rPr>
          <w:color w:val="000000"/>
          <w:spacing w:val="0"/>
          <w:w w:val="100"/>
          <w:position w:val="0"/>
        </w:rPr>
        <w:t>效力高、稳定性好、身份可确定等特点，相较微信等即时通讯工具具有不可替代性，短信仍然是企业移动信息服务的主流方 式之一，行业市场容量仍处在稳步增长的阶段；随着互联网经济的快速发展，企业短信目前已渗透到以电子商务、第三方支 付、物流快递等领域，未来企业短信的应用场景将会不断增加，对企业短信的需求将会持续增长。从公司子公司亿美软通的 市场竞争优势来看，亿美软通的移动信息平台稳定性和服务质量、多年积累的品牌形象、广泛的客户基础等因素使亿美软通 在行业竞争中具备核心竞争优势；亿美软通于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w:t>
      </w:r>
      <w:r>
        <w:rPr>
          <w:rFonts w:ascii="Times New Roman" w:eastAsia="Times New Roman" w:hAnsi="Times New Roman" w:cs="Times New Roman"/>
          <w:color w:val="000000"/>
          <w:spacing w:val="0"/>
          <w:w w:val="100"/>
          <w:position w:val="0"/>
          <w:sz w:val="18"/>
          <w:szCs w:val="18"/>
        </w:rPr>
        <w:t xml:space="preserve">GSMA </w:t>
      </w:r>
      <w:r>
        <w:rPr>
          <w:color w:val="000000"/>
          <w:spacing w:val="0"/>
          <w:w w:val="100"/>
          <w:position w:val="0"/>
        </w:rPr>
        <w:t>（全球移动通信系统协会），成为整个</w:t>
      </w:r>
      <w:r>
        <w:rPr>
          <w:rFonts w:ascii="Times New Roman" w:eastAsia="Times New Roman" w:hAnsi="Times New Roman" w:cs="Times New Roman"/>
          <w:color w:val="000000"/>
          <w:spacing w:val="0"/>
          <w:w w:val="100"/>
          <w:position w:val="0"/>
          <w:sz w:val="18"/>
          <w:szCs w:val="18"/>
        </w:rPr>
        <w:t xml:space="preserve">RCS </w:t>
      </w:r>
      <w:r>
        <w:rPr>
          <w:color w:val="000000"/>
          <w:spacing w:val="0"/>
          <w:w w:val="100"/>
          <w:position w:val="0"/>
        </w:rPr>
        <w:t>（富媒体通 信）产业生态的一员，预计随着未来</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市场的爆发，其经营业绩也能得到良好的表现。此外，本公司在金融行业积累的银 行客户基础，可以与亿美软通的移动信息业务产生业务协同效应，帮助亿美软通提升市场份额和经营业绩。</w:t>
      </w:r>
    </w:p>
    <w:p>
      <w:pPr>
        <w:pStyle w:val="Style17"/>
        <w:keepNext w:val="0"/>
        <w:keepLines w:val="0"/>
        <w:widowControl w:val="0"/>
        <w:shd w:val="clear" w:color="auto" w:fill="auto"/>
        <w:tabs>
          <w:tab w:pos="851" w:val="left"/>
        </w:tabs>
        <w:bidi w:val="0"/>
        <w:spacing w:before="0" w:after="0" w:line="468" w:lineRule="exact"/>
        <w:ind w:left="0" w:right="0"/>
        <w:jc w:val="both"/>
      </w:pPr>
      <w:bookmarkStart w:id="75" w:name="bookmark75"/>
      <w:r>
        <w:rPr>
          <w:color w:val="000000"/>
          <w:spacing w:val="0"/>
          <w:w w:val="100"/>
          <w:position w:val="0"/>
        </w:rPr>
        <w:t>（</w:t>
      </w:r>
      <w:bookmarkEnd w:id="75"/>
      <w:r>
        <w:rPr>
          <w:color w:val="000000"/>
          <w:spacing w:val="0"/>
          <w:w w:val="100"/>
          <w:position w:val="0"/>
        </w:rPr>
        <w:t>四）</w:t>
        <w:tab/>
        <w:t>行业特点及发展趋势</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年通信业统计公报》数据显示，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年，全国移动短信业务量比上年增长</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,增速较上年下降</w:t>
      </w:r>
      <w:r>
        <w:rPr>
          <w:rFonts w:ascii="Times New Roman" w:eastAsia="Times New Roman" w:hAnsi="Times New Roman" w:cs="Times New Roman"/>
          <w:color w:val="000000"/>
          <w:spacing w:val="0"/>
          <w:w w:val="100"/>
          <w:position w:val="0"/>
          <w:sz w:val="18"/>
          <w:szCs w:val="18"/>
        </w:rPr>
        <w:t>14.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个百分 点；移动短信业务收入比上年增长</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,移动短信业务量收增速差从上年的</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下降至</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大数据、移动互联 网等技术的不断发展，移动信息服务行业的应用场景日益增多，对移动信息服务行业的技术创新和产品服务升级提出更高要 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月，中国移动、中国联通、中国电信联合发布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消息白皮书》后，三大运营商均已开始</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消息规模化部署，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消息有望成为首批</w:t>
      </w:r>
      <w:r>
        <w:rPr>
          <w:rFonts w:ascii="Times New Roman" w:eastAsia="Times New Roman" w:hAnsi="Times New Roman" w:cs="Times New Roman"/>
          <w:color w:val="000000"/>
          <w:spacing w:val="0"/>
          <w:w w:val="100"/>
          <w:position w:val="0"/>
          <w:sz w:val="18"/>
          <w:szCs w:val="18"/>
        </w:rPr>
        <w:t>2C</w:t>
      </w:r>
      <w:r>
        <w:rPr>
          <w:color w:val="000000"/>
          <w:spacing w:val="0"/>
          <w:w w:val="100"/>
          <w:position w:val="0"/>
        </w:rPr>
        <w:t>端的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应用之一，移动信息行业迎来新的发展商机。亿美软通也从资源、技术、客户等方面做好充 分准备，努力提升研发能力，致力于提供更优质的移动信息平台与解决方案和移动营销服务解决方案。</w:t>
      </w:r>
    </w:p>
    <w:p>
      <w:pPr>
        <w:pStyle w:val="Style17"/>
        <w:keepNext w:val="0"/>
        <w:keepLines w:val="0"/>
        <w:widowControl w:val="0"/>
        <w:shd w:val="clear" w:color="auto" w:fill="auto"/>
        <w:tabs>
          <w:tab w:pos="851" w:val="left"/>
        </w:tabs>
        <w:bidi w:val="0"/>
        <w:spacing w:before="0" w:after="0" w:line="468" w:lineRule="exact"/>
        <w:ind w:left="0" w:right="0"/>
        <w:jc w:val="both"/>
      </w:pPr>
      <w:bookmarkStart w:id="76" w:name="bookmark76"/>
      <w:r>
        <w:rPr>
          <w:color w:val="000000"/>
          <w:spacing w:val="0"/>
          <w:w w:val="100"/>
          <w:position w:val="0"/>
        </w:rPr>
        <w:t>（</w:t>
      </w:r>
      <w:bookmarkEnd w:id="76"/>
      <w:r>
        <w:rPr>
          <w:color w:val="000000"/>
          <w:spacing w:val="0"/>
          <w:w w:val="100"/>
          <w:position w:val="0"/>
        </w:rPr>
        <w:t>五）</w:t>
        <w:tab/>
        <w:t>公司的行业地位</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亿美软通是国内领先的移动信息平台技术和应用方案提供商。自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年成立以来，亿美软通始终致力于为国内外企业提 供移动个性客服、移动数据采集、移动高效管理等方面的各类移动商务产品和通讯服务，业务服务覆盖超过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亿手机用户。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年，在信息通信行业企业信用等级评价中，亿美软通成为行业内首家获得最高级别双</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认证殊荣的企业，表明亿美 软通在企业诚信建设和信用管理水平已达到行业领先水平。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月，亿美软通正式加入</w:t>
      </w:r>
      <w:r>
        <w:rPr>
          <w:rFonts w:ascii="Times New Roman" w:eastAsia="Times New Roman" w:hAnsi="Times New Roman" w:cs="Times New Roman"/>
          <w:color w:val="000000"/>
          <w:spacing w:val="0"/>
          <w:w w:val="100"/>
          <w:position w:val="0"/>
          <w:sz w:val="18"/>
          <w:szCs w:val="18"/>
        </w:rPr>
        <w:t>GSMA</w:t>
      </w:r>
      <w:r>
        <w:rPr>
          <w:color w:val="000000"/>
          <w:spacing w:val="0"/>
          <w:w w:val="100"/>
          <w:position w:val="0"/>
        </w:rPr>
        <w:t>，</w:t>
      </w:r>
      <w:r>
        <w:rPr>
          <w:color w:val="000000"/>
          <w:spacing w:val="0"/>
          <w:w w:val="100"/>
          <w:position w:val="0"/>
        </w:rPr>
        <w:t>未来将真正进入</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的 核心圈，成为相关标准协议的推进者，成为整个</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产业生态的一员，业绩成长存在广阔的前景和空间。目前，亿美软通已 拥有包括阿里巴巴、支付宝、中信银行、浦发银行、万达集团、嘉实基金、大众点评、美团、当当网、优衣库、华为、顺丰 集团、肯德基、必胜客等众多国内外知名客户。亿美软通已在全国建立七大直营分公司，销售和服务网络覆盖</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个省、市、 自治区，产品覆盖全国</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个城市的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余个行业的超过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万家企业客户，成为目前中国移动信息服务领域产品线齐全、营销 覆盖广泛、服务与技术经验丰富的领先的移动信息服务商。</w:t>
      </w:r>
    </w:p>
    <w:p>
      <w:pPr>
        <w:pStyle w:val="Style17"/>
        <w:keepNext w:val="0"/>
        <w:keepLines w:val="0"/>
        <w:widowControl w:val="0"/>
        <w:shd w:val="clear" w:color="auto" w:fill="auto"/>
        <w:bidi w:val="0"/>
        <w:spacing w:before="0" w:after="0" w:line="468" w:lineRule="exact"/>
        <w:ind w:left="0" w:right="0"/>
        <w:jc w:val="both"/>
      </w:pPr>
      <w:bookmarkStart w:id="77" w:name="bookmark77"/>
      <w:r>
        <w:rPr>
          <w:color w:val="000000"/>
          <w:spacing w:val="0"/>
          <w:w w:val="100"/>
          <w:position w:val="0"/>
        </w:rPr>
        <w:t>三</w:t>
      </w:r>
      <w:bookmarkEnd w:id="77"/>
      <w:r>
        <w:rPr>
          <w:color w:val="000000"/>
          <w:spacing w:val="0"/>
          <w:w w:val="100"/>
          <w:position w:val="0"/>
        </w:rPr>
        <w:t>、电子商务</w:t>
      </w:r>
    </w:p>
    <w:p>
      <w:pPr>
        <w:pStyle w:val="Style17"/>
        <w:keepNext w:val="0"/>
        <w:keepLines w:val="0"/>
        <w:widowControl w:val="0"/>
        <w:shd w:val="clear" w:color="auto" w:fill="auto"/>
        <w:bidi w:val="0"/>
        <w:spacing w:before="0" w:after="0" w:line="468" w:lineRule="exact"/>
        <w:ind w:left="0" w:right="0"/>
        <w:jc w:val="both"/>
      </w:pPr>
      <w:bookmarkStart w:id="78" w:name="bookmark78"/>
      <w:r>
        <w:rPr>
          <w:color w:val="000000"/>
          <w:spacing w:val="0"/>
          <w:w w:val="100"/>
          <w:position w:val="0"/>
        </w:rPr>
        <w:t>（</w:t>
      </w:r>
      <w:bookmarkEnd w:id="78"/>
      <w:r>
        <w:rPr>
          <w:color w:val="000000"/>
          <w:spacing w:val="0"/>
          <w:w w:val="100"/>
          <w:position w:val="0"/>
        </w:rPr>
        <w:t>一）主要业务和产品</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在电子商务领域，公司旗下控股子公司安科创新提供跨境电子商务服务，主营产品包括家居安防及智能家居产品等，通 过线上第三方平台，如</w:t>
      </w:r>
      <w:r>
        <w:rPr>
          <w:rFonts w:ascii="Times New Roman" w:eastAsia="Times New Roman" w:hAnsi="Times New Roman" w:cs="Times New Roman"/>
          <w:color w:val="000000"/>
          <w:spacing w:val="0"/>
          <w:w w:val="100"/>
          <w:position w:val="0"/>
          <w:sz w:val="18"/>
          <w:szCs w:val="18"/>
        </w:rPr>
        <w:t>Amazon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Ebay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AliExpress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Walmart</w:t>
      </w:r>
      <w:r>
        <w:rPr>
          <w:color w:val="000000"/>
          <w:spacing w:val="0"/>
          <w:w w:val="100"/>
          <w:position w:val="0"/>
        </w:rPr>
        <w:t>等，和自营平台</w:t>
      </w:r>
      <w:r>
        <w:rPr>
          <w:rFonts w:ascii="Times New Roman" w:eastAsia="Times New Roman" w:hAnsi="Times New Roman" w:cs="Times New Roman"/>
          <w:color w:val="000000"/>
          <w:spacing w:val="0"/>
          <w:w w:val="100"/>
          <w:position w:val="0"/>
          <w:sz w:val="18"/>
          <w:szCs w:val="18"/>
        </w:rPr>
        <w:t>annke.com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easehold.com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vacos.com</w:t>
      </w:r>
      <w:r>
        <w:rPr>
          <w:color w:val="000000"/>
          <w:spacing w:val="0"/>
          <w:w w:val="100"/>
          <w:position w:val="0"/>
        </w:rPr>
        <w:t>等，以</w:t>
      </w:r>
      <w:r>
        <w:rPr>
          <w:rFonts w:ascii="Times New Roman" w:eastAsia="Times New Roman" w:hAnsi="Times New Roman" w:cs="Times New Roman"/>
          <w:color w:val="000000"/>
          <w:spacing w:val="0"/>
          <w:w w:val="100"/>
          <w:position w:val="0"/>
          <w:sz w:val="18"/>
          <w:szCs w:val="18"/>
        </w:rPr>
        <w:t xml:space="preserve">B2C </w:t>
      </w:r>
      <w:r>
        <w:rPr>
          <w:color w:val="000000"/>
          <w:spacing w:val="0"/>
          <w:w w:val="100"/>
          <w:position w:val="0"/>
        </w:rPr>
        <w:t>的业务模式向家庭、企业、商铺等客户提供自营品牌的产品销售。主要自营品牌包括家居安防产品领域的</w:t>
      </w:r>
      <w:r>
        <w:rPr>
          <w:rFonts w:ascii="Times New Roman" w:eastAsia="Times New Roman" w:hAnsi="Times New Roman" w:cs="Times New Roman"/>
          <w:color w:val="000000"/>
          <w:spacing w:val="0"/>
          <w:w w:val="100"/>
          <w:position w:val="0"/>
          <w:sz w:val="18"/>
          <w:szCs w:val="18"/>
        </w:rPr>
        <w:t>ANNKE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VACOS</w:t>
      </w:r>
      <w:r>
        <w:rPr>
          <w:color w:val="000000"/>
          <w:spacing w:val="0"/>
          <w:w w:val="100"/>
          <w:position w:val="0"/>
        </w:rPr>
        <w:t xml:space="preserve">， </w:t>
      </w:r>
      <w:r>
        <w:rPr>
          <w:color w:val="000000"/>
          <w:spacing w:val="0"/>
          <w:w w:val="100"/>
          <w:position w:val="0"/>
        </w:rPr>
        <w:t>以及智能家居产品领域的</w:t>
      </w:r>
      <w:r>
        <w:rPr>
          <w:rFonts w:ascii="Times New Roman" w:eastAsia="Times New Roman" w:hAnsi="Times New Roman" w:cs="Times New Roman"/>
          <w:color w:val="000000"/>
          <w:spacing w:val="0"/>
          <w:w w:val="100"/>
          <w:position w:val="0"/>
          <w:sz w:val="18"/>
          <w:szCs w:val="18"/>
        </w:rPr>
        <w:t>EASEHOLD</w:t>
      </w:r>
      <w:r>
        <w:rPr>
          <w:color w:val="000000"/>
          <w:spacing w:val="0"/>
          <w:w w:val="100"/>
          <w:position w:val="0"/>
        </w:rPr>
        <w:t>。</w:t>
      </w:r>
    </w:p>
    <w:p>
      <w:pPr>
        <w:pStyle w:val="Style17"/>
        <w:keepNext w:val="0"/>
        <w:keepLines w:val="0"/>
        <w:widowControl w:val="0"/>
        <w:shd w:val="clear" w:color="auto" w:fill="auto"/>
        <w:bidi w:val="0"/>
        <w:spacing w:before="0" w:after="0" w:line="467" w:lineRule="exact"/>
        <w:ind w:left="0" w:right="0"/>
        <w:jc w:val="left"/>
      </w:pPr>
      <w:r>
        <w:rPr>
          <w:color w:val="000000"/>
          <w:spacing w:val="0"/>
          <w:w w:val="100"/>
          <w:position w:val="0"/>
        </w:rPr>
        <w:t>报告期内，安科创新的主营业务未发生重大变化。</w:t>
      </w:r>
    </w:p>
    <w:p>
      <w:pPr>
        <w:pStyle w:val="Style17"/>
        <w:keepNext w:val="0"/>
        <w:keepLines w:val="0"/>
        <w:widowControl w:val="0"/>
        <w:shd w:val="clear" w:color="auto" w:fill="auto"/>
        <w:tabs>
          <w:tab w:pos="851" w:val="left"/>
        </w:tabs>
        <w:bidi w:val="0"/>
        <w:spacing w:before="0" w:after="0" w:line="467" w:lineRule="exact"/>
        <w:ind w:left="0" w:right="0"/>
        <w:jc w:val="both"/>
      </w:pPr>
      <w:bookmarkStart w:id="79" w:name="bookmark79"/>
      <w:r>
        <w:rPr>
          <w:color w:val="000000"/>
          <w:spacing w:val="0"/>
          <w:w w:val="100"/>
          <w:position w:val="0"/>
        </w:rPr>
        <w:t>（</w:t>
      </w:r>
      <w:bookmarkEnd w:id="79"/>
      <w:r>
        <w:rPr>
          <w:color w:val="000000"/>
          <w:spacing w:val="0"/>
          <w:w w:val="100"/>
          <w:position w:val="0"/>
        </w:rPr>
        <w:t>二）</w:t>
        <w:tab/>
        <w:t>经营模式</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安科创新是以自营品牌的产品创新为经营理念的跨境电子商务公司。安科创新拥有专业的产品研发团队，依托丰富的市 场经验，精准定位客户需求，进而研发适合海内外用户需求的家居安防以及日用</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电子产品等，并建立</w:t>
      </w:r>
      <w:r>
        <w:rPr>
          <w:rFonts w:ascii="Times New Roman" w:eastAsia="Times New Roman" w:hAnsi="Times New Roman" w:cs="Times New Roman"/>
          <w:color w:val="000000"/>
          <w:spacing w:val="0"/>
          <w:w w:val="100"/>
          <w:position w:val="0"/>
          <w:sz w:val="18"/>
          <w:szCs w:val="18"/>
        </w:rPr>
        <w:t>ANNKE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VACOS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EASEHOL D</w:t>
      </w:r>
      <w:r>
        <w:rPr>
          <w:color w:val="000000"/>
          <w:spacing w:val="0"/>
          <w:w w:val="100"/>
          <w:position w:val="0"/>
        </w:rPr>
        <w:t>等自主品牌，通过外协厂商的方式完成产品生产，利用第三方线上平台和自营平台打开销售渠道，提高用户的 认知度，逐步建立品牌影响力，进而进军线下商场超市、线下代理等渠道，形成线上线下结合的经营模式。公司销售区域包 括北美、欧洲、澳洲等全球重要市场区域的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多个国家，并已经建立多个当地办事处和仓库，保证服务及供应链的及时性。</w:t>
      </w:r>
    </w:p>
    <w:p>
      <w:pPr>
        <w:pStyle w:val="Style17"/>
        <w:keepNext w:val="0"/>
        <w:keepLines w:val="0"/>
        <w:widowControl w:val="0"/>
        <w:shd w:val="clear" w:color="auto" w:fill="auto"/>
        <w:tabs>
          <w:tab w:pos="851" w:val="left"/>
        </w:tabs>
        <w:bidi w:val="0"/>
        <w:spacing w:before="0" w:after="0" w:line="467" w:lineRule="exact"/>
        <w:ind w:left="0" w:right="0"/>
        <w:jc w:val="both"/>
      </w:pPr>
      <w:bookmarkStart w:id="80" w:name="bookmark80"/>
      <w:r>
        <w:rPr>
          <w:color w:val="000000"/>
          <w:spacing w:val="0"/>
          <w:w w:val="100"/>
          <w:position w:val="0"/>
        </w:rPr>
        <w:t>（</w:t>
      </w:r>
      <w:bookmarkEnd w:id="80"/>
      <w:r>
        <w:rPr>
          <w:color w:val="000000"/>
          <w:spacing w:val="0"/>
          <w:w w:val="100"/>
          <w:position w:val="0"/>
        </w:rPr>
        <w:t>三）</w:t>
        <w:tab/>
        <w:t>主要业绩驱动因素</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安科创新属于跨境出口电子商务行业。从行业角度来看，近年来，随着我国进出口贸易规模的扩大和国内跨境采购需求 的增长，跨境电子商务市场规模也迅速扩大；疫情驱使消费者居家时间延长，催生线上购物需求；在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新消费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观念和消费升 级潮流的冲击下，随着平台物流水平和供应链打造逐渐完善，未来跨境电商的市场有望得到进一步扩大。从安科创新自身的 经营情况看，经过近几年的发展，安科创新凭借产品的持续创新和丰富的市场经验，已经在家居安防等产品领域树立了良好 的口碑，品牌形象与价值不断提升，并逐步开拓海外线下渠道，形成比较稳定的销售流量。</w:t>
      </w:r>
    </w:p>
    <w:p>
      <w:pPr>
        <w:pStyle w:val="Style17"/>
        <w:keepNext w:val="0"/>
        <w:keepLines w:val="0"/>
        <w:widowControl w:val="0"/>
        <w:shd w:val="clear" w:color="auto" w:fill="auto"/>
        <w:tabs>
          <w:tab w:pos="851" w:val="left"/>
        </w:tabs>
        <w:bidi w:val="0"/>
        <w:spacing w:before="0" w:after="0" w:line="467" w:lineRule="exact"/>
        <w:ind w:left="0" w:right="0"/>
        <w:jc w:val="both"/>
      </w:pPr>
      <w:bookmarkStart w:id="81" w:name="bookmark81"/>
      <w:r>
        <w:rPr>
          <w:color w:val="000000"/>
          <w:spacing w:val="0"/>
          <w:w w:val="100"/>
          <w:position w:val="0"/>
        </w:rPr>
        <w:t>（</w:t>
      </w:r>
      <w:bookmarkEnd w:id="81"/>
      <w:r>
        <w:rPr>
          <w:color w:val="000000"/>
          <w:spacing w:val="0"/>
          <w:w w:val="100"/>
          <w:position w:val="0"/>
        </w:rPr>
        <w:t>四）</w:t>
        <w:tab/>
        <w:t>行业特点及发展趋势</w:t>
      </w:r>
    </w:p>
    <w:p>
      <w:pPr>
        <w:pStyle w:val="Style17"/>
        <w:keepNext w:val="0"/>
        <w:keepLines w:val="0"/>
        <w:widowControl w:val="0"/>
        <w:shd w:val="clear" w:color="auto" w:fill="auto"/>
        <w:bidi w:val="0"/>
        <w:spacing w:before="0" w:after="0" w:line="46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月，国务院办公厅印发《关于推进对外贸易创新发展的实施意见》，明确要促进跨境电商等新业态发展。</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年度，受疫情影响，海外消费者消费渠道向线上转移，叠加跨境电商相关政策扶持，跨境电商行业迎来快速发展。据海关总 署数据显示，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年我国出口总值为</w:t>
      </w:r>
      <w:r>
        <w:rPr>
          <w:rFonts w:ascii="Times New Roman" w:eastAsia="Times New Roman" w:hAnsi="Times New Roman" w:cs="Times New Roman"/>
          <w:color w:val="000000"/>
          <w:spacing w:val="0"/>
          <w:w w:val="100"/>
          <w:position w:val="0"/>
          <w:sz w:val="18"/>
          <w:szCs w:val="18"/>
        </w:rPr>
        <w:t>17.93</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年通过海关跨境电子商务管理平台验放进出口清单</w:t>
      </w:r>
      <w:r>
        <w:rPr>
          <w:rFonts w:ascii="Times New Roman" w:eastAsia="Times New Roman" w:hAnsi="Times New Roman" w:cs="Times New Roman"/>
          <w:color w:val="000000"/>
          <w:spacing w:val="0"/>
          <w:w w:val="100"/>
          <w:position w:val="0"/>
          <w:sz w:val="18"/>
          <w:szCs w:val="18"/>
        </w:rPr>
        <w:t xml:space="preserve">24.5 </w:t>
      </w:r>
      <w:r>
        <w:rPr>
          <w:color w:val="000000"/>
          <w:spacing w:val="0"/>
          <w:w w:val="100"/>
          <w:position w:val="0"/>
        </w:rPr>
        <w:t>亿票，同比增长</w:t>
      </w:r>
      <w:r>
        <w:rPr>
          <w:rFonts w:ascii="Times New Roman" w:eastAsia="Times New Roman" w:hAnsi="Times New Roman" w:cs="Times New Roman"/>
          <w:color w:val="000000"/>
          <w:spacing w:val="0"/>
          <w:w w:val="100"/>
          <w:position w:val="0"/>
          <w:sz w:val="18"/>
          <w:szCs w:val="18"/>
        </w:rPr>
        <w:t>63.3%</w:t>
      </w:r>
      <w:r>
        <w:rPr>
          <w:color w:val="000000"/>
          <w:spacing w:val="0"/>
          <w:w w:val="100"/>
          <w:position w:val="0"/>
        </w:rPr>
        <w:t>。《跨境电商蓝皮书：中国跨境电商发展报告（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）》显示，我国跨境电商市场迎来新的快速发展 机遇期，预计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年有望达到</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亿元，继续实现跳跃式增长。此外，</w:t>
      </w:r>
      <w:r>
        <w:rPr>
          <w:rFonts w:ascii="Times New Roman" w:eastAsia="Times New Roman" w:hAnsi="Times New Roman" w:cs="Times New Roman"/>
          <w:color w:val="000000"/>
          <w:spacing w:val="0"/>
          <w:w w:val="100"/>
          <w:position w:val="0"/>
          <w:sz w:val="18"/>
          <w:szCs w:val="18"/>
        </w:rPr>
        <w:t>eMarketer</w:t>
      </w:r>
      <w:r>
        <w:rPr>
          <w:color w:val="000000"/>
          <w:spacing w:val="0"/>
          <w:w w:val="100"/>
          <w:position w:val="0"/>
        </w:rPr>
        <w:t>监测显示，到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年，全球网络零售额将 达到</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万亿美元，在全球消费品零售总额中占比达到</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。安科创新始终坚持自有品牌跨境出口电商的发展思路开展经营， 以用户体验为导向，通过产品的持续创新来满足客户日益丰富、多样化的产品需求，未来发展空间广阔。</w:t>
      </w:r>
    </w:p>
    <w:p>
      <w:pPr>
        <w:pStyle w:val="Style17"/>
        <w:keepNext w:val="0"/>
        <w:keepLines w:val="0"/>
        <w:widowControl w:val="0"/>
        <w:shd w:val="clear" w:color="auto" w:fill="auto"/>
        <w:tabs>
          <w:tab w:pos="851" w:val="left"/>
        </w:tabs>
        <w:bidi w:val="0"/>
        <w:spacing w:before="0" w:after="0" w:line="467" w:lineRule="exact"/>
        <w:ind w:left="0" w:right="0"/>
        <w:jc w:val="both"/>
      </w:pPr>
      <w:bookmarkStart w:id="82" w:name="bookmark82"/>
      <w:r>
        <w:rPr>
          <w:color w:val="000000"/>
          <w:spacing w:val="0"/>
          <w:w w:val="100"/>
          <w:position w:val="0"/>
        </w:rPr>
        <w:t>（</w:t>
      </w:r>
      <w:bookmarkEnd w:id="82"/>
      <w:r>
        <w:rPr>
          <w:color w:val="000000"/>
          <w:spacing w:val="0"/>
          <w:w w:val="100"/>
          <w:position w:val="0"/>
        </w:rPr>
        <w:t>五）</w:t>
        <w:tab/>
        <w:t>公司的行业地位</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近年来，凭借更有效率及性价比的商业模式，我国跨境电商已实现较快的规模增长，未来伴随全球物流、支付、贸易便 利化条件持续改善及全球数字化进程加速，跨境电商正面临更大的发展机遇期。安科创新发展时间较短，业务规模在行业中 不具有显著优势。但在具体产品品类，如家居安防产品市场上，安科创新在</w:t>
      </w:r>
      <w:r>
        <w:rPr>
          <w:rFonts w:ascii="Times New Roman" w:eastAsia="Times New Roman" w:hAnsi="Times New Roman" w:cs="Times New Roman"/>
          <w:color w:val="000000"/>
          <w:spacing w:val="0"/>
          <w:w w:val="100"/>
          <w:position w:val="0"/>
          <w:sz w:val="18"/>
          <w:szCs w:val="18"/>
        </w:rPr>
        <w:t>Amazon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Ebay</w:t>
      </w:r>
      <w:r>
        <w:rPr>
          <w:color w:val="000000"/>
          <w:spacing w:val="0"/>
          <w:w w:val="100"/>
          <w:position w:val="0"/>
        </w:rPr>
        <w:t>等多家国际第三方电商平台上均 处于名列前茅的位置。借助在产品解决方案方面的优势，安科创新的产品服务区域已覆盖美国、英国、德国、法国、澳大利 亚、西班牙和俄罗斯等</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多个国家和地区，是北美、澳洲及欧洲等地区家居安防在线市场的领先品牌。</w:t>
      </w:r>
    </w:p>
    <w:p>
      <w:pPr>
        <w:pStyle w:val="Style17"/>
        <w:keepNext w:val="0"/>
        <w:keepLines w:val="0"/>
        <w:widowControl w:val="0"/>
        <w:shd w:val="clear" w:color="auto" w:fill="auto"/>
        <w:bidi w:val="0"/>
        <w:spacing w:before="0" w:after="0" w:line="467" w:lineRule="exact"/>
        <w:ind w:left="0" w:right="0"/>
        <w:jc w:val="both"/>
      </w:pPr>
      <w:bookmarkStart w:id="83" w:name="bookmark83"/>
      <w:r>
        <w:rPr>
          <w:color w:val="000000"/>
          <w:spacing w:val="0"/>
          <w:w w:val="100"/>
          <w:position w:val="0"/>
        </w:rPr>
        <w:t>四</w:t>
      </w:r>
      <w:bookmarkEnd w:id="83"/>
      <w:r>
        <w:rPr>
          <w:color w:val="000000"/>
          <w:spacing w:val="0"/>
          <w:w w:val="100"/>
          <w:position w:val="0"/>
        </w:rPr>
        <w:t>、公司其他战略投资业务情况</w:t>
      </w:r>
    </w:p>
    <w:p>
      <w:pPr>
        <w:pStyle w:val="Style17"/>
        <w:keepNext w:val="0"/>
        <w:keepLines w:val="0"/>
        <w:widowControl w:val="0"/>
        <w:shd w:val="clear" w:color="auto" w:fill="auto"/>
        <w:bidi w:val="0"/>
        <w:spacing w:before="0" w:after="260" w:line="467" w:lineRule="exact"/>
        <w:ind w:left="0" w:right="0"/>
        <w:jc w:val="both"/>
      </w:pPr>
      <w:bookmarkStart w:id="84" w:name="bookmark84"/>
      <w:r>
        <w:rPr>
          <w:color w:val="000000"/>
          <w:spacing w:val="0"/>
          <w:w w:val="100"/>
          <w:position w:val="0"/>
        </w:rPr>
        <w:t>（</w:t>
      </w:r>
      <w:bookmarkEnd w:id="84"/>
      <w:r>
        <w:rPr>
          <w:color w:val="000000"/>
          <w:spacing w:val="0"/>
          <w:w w:val="100"/>
          <w:position w:val="0"/>
        </w:rPr>
        <w:t>一）个人征信业务</w:t>
      </w:r>
    </w:p>
    <w:p>
      <w:pPr>
        <w:pStyle w:val="Style17"/>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日《征信业管理条例》正式实施，标志着我国个人征信行业进入了市场化发展的新时代。同年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月，公司 </w:t>
      </w:r>
      <w:r>
        <w:rPr>
          <w:color w:val="000000"/>
          <w:spacing w:val="0"/>
          <w:w w:val="100"/>
          <w:position w:val="0"/>
        </w:rPr>
        <w:t>作为第一大股东投资设立了华道征信。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月，华道征信经中国人民银行批准开展个人征信业务准备工作。</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年，华 道征信与其他发起人共同发起设立百行征信有限公司。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日，百行征信已经中国人民银行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银征信许准予字</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批准获得个人征信机构设立许可，是目前国内首家经中国人民银行批准开展个人业务的征信公司。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百行征信在深圳正式挂牌成立。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日，百行征信完成企业征信业务经营备案，百行征信正式成为国内首家持有个 人征信与企业征信业务双牌照的市场化征信机构。华道征信作为股东和董事单位，与百行征信共建共赢，积极支持、配合百 行征信各项工作的开展。</w:t>
      </w:r>
    </w:p>
    <w:p>
      <w:pPr>
        <w:pStyle w:val="Style17"/>
        <w:keepNext w:val="0"/>
        <w:keepLines w:val="0"/>
        <w:widowControl w:val="0"/>
        <w:shd w:val="clear" w:color="auto" w:fill="auto"/>
        <w:tabs>
          <w:tab w:pos="831" w:val="left"/>
        </w:tabs>
        <w:bidi w:val="0"/>
        <w:spacing w:before="0" w:after="0" w:line="470" w:lineRule="exact"/>
        <w:ind w:left="0" w:right="0" w:firstLine="360"/>
        <w:jc w:val="both"/>
      </w:pPr>
      <w:bookmarkStart w:id="85" w:name="bookmark85"/>
      <w:r>
        <w:rPr>
          <w:color w:val="000000"/>
          <w:spacing w:val="0"/>
          <w:w w:val="100"/>
          <w:position w:val="0"/>
        </w:rPr>
        <w:t>（</w:t>
      </w:r>
      <w:bookmarkEnd w:id="85"/>
      <w:r>
        <w:rPr>
          <w:color w:val="000000"/>
          <w:spacing w:val="0"/>
          <w:w w:val="100"/>
          <w:position w:val="0"/>
        </w:rPr>
        <w:t>二）</w:t>
        <w:tab/>
        <w:t>证券业务</w:t>
      </w:r>
    </w:p>
    <w:p>
      <w:pPr>
        <w:pStyle w:val="Style17"/>
        <w:keepNext w:val="0"/>
        <w:keepLines w:val="0"/>
        <w:widowControl w:val="0"/>
        <w:shd w:val="clear" w:color="auto" w:fill="auto"/>
        <w:bidi w:val="0"/>
        <w:spacing w:before="0" w:after="0" w:line="470"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月，公司与东亚银行及其他出资人共同发起设立东亚前海证券有限责任公司，公司使用自有资金出资</w:t>
      </w:r>
      <w:r>
        <w:rPr>
          <w:rFonts w:ascii="Times New Roman" w:eastAsia="Times New Roman" w:hAnsi="Times New Roman" w:cs="Times New Roman"/>
          <w:color w:val="000000"/>
          <w:spacing w:val="0"/>
          <w:w w:val="100"/>
          <w:position w:val="0"/>
          <w:sz w:val="18"/>
          <w:szCs w:val="18"/>
        </w:rPr>
        <w:t xml:space="preserve">39,150.00 </w:t>
      </w:r>
      <w:r>
        <w:rPr>
          <w:color w:val="000000"/>
          <w:spacing w:val="0"/>
          <w:w w:val="100"/>
          <w:position w:val="0"/>
        </w:rPr>
        <w:t>万元，出资后占东亚前海证券注册资本的</w:t>
      </w:r>
      <w:r>
        <w:rPr>
          <w:rFonts w:ascii="Times New Roman" w:eastAsia="Times New Roman" w:hAnsi="Times New Roman" w:cs="Times New Roman"/>
          <w:color w:val="000000"/>
          <w:spacing w:val="0"/>
          <w:w w:val="100"/>
          <w:position w:val="0"/>
          <w:sz w:val="18"/>
          <w:szCs w:val="18"/>
        </w:rPr>
        <w:t>26.10%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日，东亚前海证券获得中国证监会颁发的《经营证券期货业 务许可证》，正式对外开展业务，业务经营范围包括证券经纪、证券承销与保荐、证券自营、证券资产管理与证券投资咨询。 公司充分利用已有的技术和业务资源，助力东亚前海证券发展成为科技驱动的新型券商，推动东亚前海证券业务快速发展。</w:t>
      </w:r>
    </w:p>
    <w:p>
      <w:pPr>
        <w:pStyle w:val="Style17"/>
        <w:keepNext w:val="0"/>
        <w:keepLines w:val="0"/>
        <w:widowControl w:val="0"/>
        <w:shd w:val="clear" w:color="auto" w:fill="auto"/>
        <w:tabs>
          <w:tab w:pos="831" w:val="left"/>
        </w:tabs>
        <w:bidi w:val="0"/>
        <w:spacing w:before="0" w:after="0" w:line="470" w:lineRule="exact"/>
        <w:ind w:left="0" w:right="0" w:firstLine="360"/>
        <w:jc w:val="both"/>
      </w:pPr>
      <w:bookmarkStart w:id="86" w:name="bookmark86"/>
      <w:r>
        <w:rPr>
          <w:color w:val="000000"/>
          <w:spacing w:val="0"/>
          <w:w w:val="100"/>
          <w:position w:val="0"/>
        </w:rPr>
        <w:t>（</w:t>
      </w:r>
      <w:bookmarkEnd w:id="86"/>
      <w:r>
        <w:rPr>
          <w:color w:val="000000"/>
          <w:spacing w:val="0"/>
          <w:w w:val="100"/>
          <w:position w:val="0"/>
        </w:rPr>
        <w:t>三）</w:t>
        <w:tab/>
        <w:t>互联网保险业务</w:t>
      </w:r>
    </w:p>
    <w:p>
      <w:pPr>
        <w:pStyle w:val="Style17"/>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易安保险是本公司参与发起设立的财产保险公司，注册资本人民币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亿元。本公司出资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亿元，持股权比例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月，易安保险经原中国保监会批准正式开业运营，是目前国内仅有四家开展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与互联网交易直接相关的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保险业务（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 网保险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）的财产保险公司之一。易安保险的营业范围包括与互联网交易直接相关的企业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家庭财产保险、货运保险、责任保 险、信用保证保险、短期健康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意外伤害保险；上述业务的再保险分出和再保险分入业务（仅限临时分保分入）；国家法律、 法规允许的保险资金运用业务；经中国保险监督管理委员会批准的其他业务。</w:t>
      </w:r>
    </w:p>
    <w:p>
      <w:pPr>
        <w:pStyle w:val="Style17"/>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本公司通过以上业务开展，以及对金融基础服务和金融机构的战略投资，已经逐步在金融科技服务领域形成了比较完整 的业务布局，构建了以技术、客户资源、牌照为基石，通过整合资源、协同创新向客户提供软硬件产品、技术开发、系统运 维、数据分析等综合服务的业务格局，为公司以金融科技为核心的业务发展开创了广阔的发展空间。</w:t>
      </w:r>
    </w:p>
    <w:p>
      <w:pPr>
        <w:pStyle w:val="Style32"/>
        <w:keepNext/>
        <w:keepLines/>
        <w:widowControl w:val="0"/>
        <w:shd w:val="clear" w:color="auto" w:fill="auto"/>
        <w:bidi w:val="0"/>
        <w:spacing w:before="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二</w:t>
      </w:r>
      <w:bookmarkEnd w:id="89"/>
      <w:r>
        <w:rPr>
          <w:color w:val="000000"/>
          <w:spacing w:val="0"/>
          <w:w w:val="100"/>
          <w:position w:val="0"/>
          <w:sz w:val="24"/>
          <w:szCs w:val="24"/>
        </w:rPr>
        <w:t>、主要资产重大变化情况</w:t>
      </w:r>
      <w:bookmarkEnd w:id="87"/>
      <w:bookmarkEnd w:id="88"/>
      <w:bookmarkEnd w:id="90"/>
    </w:p>
    <w:p>
      <w:pPr>
        <w:pStyle w:val="Style36"/>
        <w:keepNext/>
        <w:keepLines/>
        <w:widowControl w:val="0"/>
        <w:shd w:val="clear" w:color="auto" w:fill="auto"/>
        <w:bidi w:val="0"/>
        <w:spacing w:before="0" w:after="32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1</w:t>
      </w:r>
      <w:bookmarkEnd w:id="93"/>
      <w:r>
        <w:rPr>
          <w:color w:val="000000"/>
          <w:spacing w:val="0"/>
          <w:w w:val="100"/>
          <w:position w:val="0"/>
        </w:rPr>
        <w:t>、主要资产重大变化情况</w:t>
      </w:r>
      <w:bookmarkEnd w:id="91"/>
      <w:bookmarkEnd w:id="92"/>
      <w:bookmarkEnd w:id="9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280,199,848.90</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99.29%</w:t>
            </w:r>
            <w:r>
              <w:rPr>
                <w:color w:val="000000"/>
                <w:spacing w:val="0"/>
                <w:w w:val="100"/>
                <w:position w:val="0"/>
              </w:rPr>
              <w:t>，主要原因系报告期内公</w:t>
            </w:r>
          </w:p>
        </w:tc>
      </w:tr>
    </w:tbl>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司使用暂时闲置募集资金进行现金管理减少以及经营活动现金流量增加所致。</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期末余额较年初余额减少</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，主要原因系报告期末公 司收回浮动利率理财产品所致。</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期末余额较年初余额减少</w:t>
            </w:r>
            <w:r>
              <w:rPr>
                <w:rFonts w:ascii="Times New Roman" w:eastAsia="Times New Roman" w:hAnsi="Times New Roman" w:cs="Times New Roman"/>
                <w:color w:val="000000"/>
                <w:spacing w:val="0"/>
                <w:w w:val="100"/>
                <w:position w:val="0"/>
                <w:sz w:val="18"/>
                <w:szCs w:val="18"/>
              </w:rPr>
              <w:t>112,005,935.60</w:t>
            </w:r>
            <w:r>
              <w:rPr>
                <w:color w:val="000000"/>
                <w:spacing w:val="0"/>
                <w:w w:val="100"/>
                <w:position w:val="0"/>
              </w:rPr>
              <w:t>元，下降</w:t>
            </w:r>
            <w:r>
              <w:rPr>
                <w:rFonts w:ascii="Times New Roman" w:eastAsia="Times New Roman" w:hAnsi="Times New Roman" w:cs="Times New Roman"/>
                <w:color w:val="000000"/>
                <w:spacing w:val="0"/>
                <w:w w:val="100"/>
                <w:position w:val="0"/>
                <w:sz w:val="18"/>
                <w:szCs w:val="18"/>
              </w:rPr>
              <w:t>69.51%</w:t>
            </w:r>
            <w:r>
              <w:rPr>
                <w:color w:val="000000"/>
                <w:spacing w:val="0"/>
                <w:w w:val="100"/>
                <w:position w:val="0"/>
              </w:rPr>
              <w:t>，主要原因系报告期末公 司收回固定利率理财产品所致。</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期末余额较年初余额增加</w:t>
            </w:r>
            <w:r>
              <w:rPr>
                <w:rFonts w:ascii="Times New Roman" w:eastAsia="Times New Roman" w:hAnsi="Times New Roman" w:cs="Times New Roman"/>
                <w:color w:val="000000"/>
                <w:spacing w:val="0"/>
                <w:w w:val="100"/>
                <w:position w:val="0"/>
                <w:sz w:val="18"/>
                <w:szCs w:val="18"/>
              </w:rPr>
              <w:t>96,028,572.65</w:t>
            </w:r>
            <w:r>
              <w:rPr>
                <w:color w:val="000000"/>
                <w:spacing w:val="0"/>
                <w:w w:val="100"/>
                <w:position w:val="0"/>
              </w:rPr>
              <w:t>元，增长</w:t>
            </w:r>
            <w:r>
              <w:rPr>
                <w:rFonts w:ascii="Times New Roman" w:eastAsia="Times New Roman" w:hAnsi="Times New Roman" w:cs="Times New Roman"/>
                <w:color w:val="000000"/>
                <w:spacing w:val="0"/>
                <w:w w:val="100"/>
                <w:position w:val="0"/>
                <w:sz w:val="18"/>
                <w:szCs w:val="18"/>
              </w:rPr>
              <w:t>132.91%</w:t>
            </w:r>
            <w:r>
              <w:rPr>
                <w:color w:val="000000"/>
                <w:spacing w:val="0"/>
                <w:w w:val="100"/>
                <w:position w:val="0"/>
              </w:rPr>
              <w:t>，主要原因系报告期内公 司对易安保险以及子公司亿美软通对百可录的投资由长期股权投资权益法核算，变 更为金融工具一其他权益工具投资进行核算所致。</w:t>
            </w:r>
          </w:p>
        </w:tc>
      </w:tr>
    </w:tbl>
    <w:p>
      <w:pPr>
        <w:widowControl w:val="0"/>
        <w:spacing w:after="339" w:line="1" w:lineRule="exact"/>
      </w:pPr>
    </w:p>
    <w:p>
      <w:pPr>
        <w:pStyle w:val="Style36"/>
        <w:keepNext/>
        <w:keepLines/>
        <w:widowControl w:val="0"/>
        <w:shd w:val="clear" w:color="auto" w:fill="auto"/>
        <w:bidi w:val="0"/>
        <w:spacing w:before="0" w:after="120" w:line="240" w:lineRule="auto"/>
        <w:ind w:left="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2</w:t>
      </w:r>
      <w:bookmarkEnd w:id="97"/>
      <w:r>
        <w:rPr>
          <w:color w:val="000000"/>
          <w:spacing w:val="0"/>
          <w:w w:val="100"/>
          <w:position w:val="0"/>
        </w:rPr>
        <w:t>、主要境外资产情况</w:t>
      </w:r>
      <w:bookmarkEnd w:id="95"/>
      <w:bookmarkEnd w:id="96"/>
      <w:bookmarkEnd w:id="98"/>
    </w:p>
    <w:p>
      <w:pPr>
        <w:pStyle w:val="Style17"/>
        <w:keepNext w:val="0"/>
        <w:keepLines w:val="0"/>
        <w:widowControl w:val="0"/>
        <w:shd w:val="clear" w:color="auto" w:fill="auto"/>
        <w:bidi w:val="0"/>
        <w:spacing w:before="0" w:after="34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0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三</w:t>
      </w:r>
      <w:bookmarkEnd w:id="101"/>
      <w:r>
        <w:rPr>
          <w:color w:val="000000"/>
          <w:spacing w:val="0"/>
          <w:w w:val="100"/>
          <w:position w:val="0"/>
          <w:sz w:val="24"/>
          <w:szCs w:val="24"/>
        </w:rPr>
        <w:t>、核心竞争力分析</w:t>
      </w:r>
      <w:bookmarkEnd w:id="100"/>
      <w:bookmarkEnd w:id="102"/>
      <w:bookmarkEnd w:id="99"/>
    </w:p>
    <w:p>
      <w:pPr>
        <w:pStyle w:val="Style17"/>
        <w:keepNext w:val="0"/>
        <w:keepLines w:val="0"/>
        <w:widowControl w:val="0"/>
        <w:numPr>
          <w:ilvl w:val="0"/>
          <w:numId w:val="1"/>
        </w:numPr>
        <w:shd w:val="clear" w:color="auto" w:fill="auto"/>
        <w:tabs>
          <w:tab w:pos="624" w:val="left"/>
        </w:tabs>
        <w:bidi w:val="0"/>
        <w:spacing w:before="0" w:after="0" w:line="468" w:lineRule="exact"/>
        <w:ind w:left="0" w:right="0"/>
        <w:jc w:val="both"/>
      </w:pPr>
      <w:bookmarkStart w:id="103" w:name="bookmark103"/>
      <w:bookmarkEnd w:id="103"/>
      <w:r>
        <w:rPr>
          <w:color w:val="000000"/>
          <w:spacing w:val="0"/>
          <w:w w:val="100"/>
          <w:position w:val="0"/>
        </w:rPr>
        <w:t>技术与行业经验优势</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公司在所从事的主要业务领域有长期的专业化积累，使公司在全行业内保持技术领先和行业经验领先的优势。本公司在 金融信息化领域已经有长达</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年的行业经验，主要全资子公司亿美软通在移动信息服务领域也有长达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年的行业经验积累， 使得公司在图像处理、模式识别、机器视觉、工作流引擎技术，以及大数据分析处理、互联网应用等技术领域具有行业领先 地位。截至报告期末，公司及控股子公司已获得软件著作权</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项、专利授权</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 xml:space="preserve">43 </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项）。凭借长期以来的技术研发及行业经验的积累，形成了公司核心的竞争优势，为公司的长久发展打 下了坚实的基础。</w:t>
      </w:r>
    </w:p>
    <w:p>
      <w:pPr>
        <w:pStyle w:val="Style17"/>
        <w:keepNext w:val="0"/>
        <w:keepLines w:val="0"/>
        <w:widowControl w:val="0"/>
        <w:numPr>
          <w:ilvl w:val="0"/>
          <w:numId w:val="1"/>
        </w:numPr>
        <w:shd w:val="clear" w:color="auto" w:fill="auto"/>
        <w:tabs>
          <w:tab w:pos="643" w:val="left"/>
        </w:tabs>
        <w:bidi w:val="0"/>
        <w:spacing w:before="0" w:after="0" w:line="542" w:lineRule="auto"/>
        <w:ind w:left="0" w:right="0"/>
        <w:jc w:val="both"/>
      </w:pPr>
      <w:bookmarkStart w:id="104" w:name="bookmark104"/>
      <w:bookmarkEnd w:id="104"/>
      <w:r>
        <w:rPr>
          <w:color w:val="000000"/>
          <w:spacing w:val="0"/>
          <w:w w:val="100"/>
          <w:position w:val="0"/>
        </w:rPr>
        <w:t>客户资源优势</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公司在主营业务涉及的各行业领域客户积累了比较明显的客户资源优势。在金融信息化行业，公司合作客户包括遍及国 内</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个省、市、自治区的</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余家银行或分行，涵盖政策性银行、大型国有商业银行、主要全国性股份制银行以及部分城市 商业银行、农村商业银行和农村信用联社，用户覆盖超过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万个银行营业网点，约占全国银行业金融机构营业网点总数的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。在移动信息服务领域，公司子公司亿美软通已为银行、酒店、航空、旅游、电商、商超等超过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万家企业提供移动信 息通讯、移动互联网应用服务，服务数据覆盖约</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亿人群。公司始终坚持以客户需求为导向，不断完善服务理念，积累了一 批稳定、优质的客户资源，促进公司良性发展。</w:t>
      </w:r>
    </w:p>
    <w:p>
      <w:pPr>
        <w:pStyle w:val="Style17"/>
        <w:keepNext w:val="0"/>
        <w:keepLines w:val="0"/>
        <w:widowControl w:val="0"/>
        <w:numPr>
          <w:ilvl w:val="0"/>
          <w:numId w:val="1"/>
        </w:numPr>
        <w:shd w:val="clear" w:color="auto" w:fill="auto"/>
        <w:tabs>
          <w:tab w:pos="643" w:val="left"/>
        </w:tabs>
        <w:bidi w:val="0"/>
        <w:spacing w:before="0" w:after="0" w:line="468" w:lineRule="exact"/>
        <w:ind w:left="0" w:right="0"/>
        <w:jc w:val="both"/>
      </w:pPr>
      <w:bookmarkStart w:id="105" w:name="bookmark105"/>
      <w:bookmarkEnd w:id="105"/>
      <w:r>
        <w:rPr>
          <w:color w:val="000000"/>
          <w:spacing w:val="0"/>
          <w:w w:val="100"/>
          <w:position w:val="0"/>
        </w:rPr>
        <w:t>业务牌照资源优势</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公司一直坚持以国家政策导向为指引确定战略业务发展规划，在国家主管部门的监管下合法、合规地开展业务。在此指 导思想下，公司已经取得了开展主要业务及创新业务的牌照许可。公司参股公司华道征信与其他发起人共同发起设立百行征 信有限公司，百行征信已于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月获得中国人民银行颁发的《个人征信业务经营许可证》，并于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日完成企业 征信业务经营备案，成为国内首家持有个人征信与企业征信业务双牌照的市场化征信机构。公司发起设立的易安保险已于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月获得原中国保监会核发的《保险公司法人许可证》，并正式开业运营。公司与东亚银行等股东发起设立的东亚前 海证券已于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月获得中国证监会颁发的《经营证券期货业务许可证》。以上经营许可牌照均具有非常高的稀缺性，因 此具有很强的核心竞争优势。</w:t>
      </w:r>
    </w:p>
    <w:p>
      <w:pPr>
        <w:pStyle w:val="Style17"/>
        <w:keepNext w:val="0"/>
        <w:keepLines w:val="0"/>
        <w:widowControl w:val="0"/>
        <w:numPr>
          <w:ilvl w:val="0"/>
          <w:numId w:val="1"/>
        </w:numPr>
        <w:shd w:val="clear" w:color="auto" w:fill="auto"/>
        <w:tabs>
          <w:tab w:pos="640" w:val="left"/>
        </w:tabs>
        <w:bidi w:val="0"/>
        <w:spacing w:before="0" w:after="0" w:line="471" w:lineRule="exact"/>
        <w:ind w:left="0" w:right="0"/>
        <w:jc w:val="left"/>
      </w:pPr>
      <w:bookmarkStart w:id="106" w:name="bookmark106"/>
      <w:bookmarkEnd w:id="106"/>
      <w:r>
        <w:rPr>
          <w:color w:val="000000"/>
          <w:spacing w:val="0"/>
          <w:w w:val="100"/>
          <w:position w:val="0"/>
        </w:rPr>
        <w:t>产业生态布局的协同发展优势</w:t>
      </w:r>
    </w:p>
    <w:p>
      <w:pPr>
        <w:pStyle w:val="Style17"/>
        <w:keepNext w:val="0"/>
        <w:keepLines w:val="0"/>
        <w:widowControl w:val="0"/>
        <w:shd w:val="clear" w:color="auto" w:fill="auto"/>
        <w:bidi w:val="0"/>
        <w:spacing w:before="0" w:after="0" w:line="471" w:lineRule="exact"/>
        <w:ind w:left="0" w:right="0"/>
        <w:jc w:val="left"/>
      </w:pPr>
      <w:r>
        <w:rPr>
          <w:color w:val="000000"/>
          <w:spacing w:val="0"/>
          <w:w w:val="100"/>
          <w:position w:val="0"/>
        </w:rPr>
        <w:t>近年来，按照公司战略发展规划，公司的主营业务已经从金融信息化向互联网金融、数字金融领域延伸发展。目前，公 司主营业务已经涉及金融信息化、移动信息服务、电子商务等多个行业领域，并且投资和布局个人征信服务、互联网保险、 证券等业务领域，逐步构建了以金融科技为基础的综合金融生态服务体系。随着以上产业链布局的推进，公司在产业生态布 局方面的协同优势明显，为公司业务的开展打开了更广阔的局面。</w:t>
      </w:r>
    </w:p>
    <w:p>
      <w:pPr>
        <w:pStyle w:val="Style17"/>
        <w:keepNext w:val="0"/>
        <w:keepLines w:val="0"/>
        <w:widowControl w:val="0"/>
        <w:numPr>
          <w:ilvl w:val="0"/>
          <w:numId w:val="1"/>
        </w:numPr>
        <w:shd w:val="clear" w:color="auto" w:fill="auto"/>
        <w:tabs>
          <w:tab w:pos="640" w:val="left"/>
        </w:tabs>
        <w:bidi w:val="0"/>
        <w:spacing w:before="0" w:after="0" w:line="471" w:lineRule="exact"/>
        <w:ind w:left="0" w:right="0"/>
        <w:jc w:val="left"/>
      </w:pPr>
      <w:bookmarkStart w:id="107" w:name="bookmark107"/>
      <w:bookmarkEnd w:id="107"/>
      <w:r>
        <w:rPr>
          <w:color w:val="000000"/>
          <w:spacing w:val="0"/>
          <w:w w:val="100"/>
          <w:position w:val="0"/>
        </w:rPr>
        <w:t>人才优势</w:t>
      </w:r>
    </w:p>
    <w:p>
      <w:pPr>
        <w:pStyle w:val="Style17"/>
        <w:keepNext w:val="0"/>
        <w:keepLines w:val="0"/>
        <w:widowControl w:val="0"/>
        <w:shd w:val="clear" w:color="auto" w:fill="auto"/>
        <w:bidi w:val="0"/>
        <w:spacing w:before="0" w:after="0" w:line="471" w:lineRule="exact"/>
        <w:ind w:left="0" w:right="0"/>
        <w:jc w:val="left"/>
        <w:sectPr>
          <w:footnotePr>
            <w:pos w:val="pageBottom"/>
            <w:numFmt w:val="decimal"/>
            <w:numRestart w:val="continuous"/>
          </w:footnotePr>
          <w:pgSz w:w="11900" w:h="16840"/>
          <w:pgMar w:top="1261" w:right="1013" w:bottom="1251" w:left="1099" w:header="0" w:footer="3" w:gutter="0"/>
          <w:cols w:space="720"/>
          <w:noEndnote/>
          <w:rtlGutter w:val="0"/>
          <w:docGrid w:linePitch="360"/>
        </w:sectPr>
      </w:pPr>
      <w:r>
        <w:rPr>
          <w:color w:val="000000"/>
          <w:spacing w:val="0"/>
          <w:w w:val="100"/>
          <w:position w:val="0"/>
        </w:rPr>
        <w:t>经过多年的发展，公司逐步汇集了一批技术、市场、管理、资本领域的专业人才，其中不乏专业水平突出、行业经验丰 富的复合型人才。公司管理团队经验丰富、团结稳定、勤勉务实、积极进取。随着企业经营规模不断扩大，公司在高度重视 内部人员的培养和人才梯队建设工作的同时，还将持续完善公司的人才战略，以人为本，广纳贤才，努力把人才优势转化为 公司长远发展的推动力。</w:t>
      </w:r>
    </w:p>
    <w:p>
      <w:pPr>
        <w:pStyle w:val="Style9"/>
        <w:keepNext/>
        <w:keepLines/>
        <w:widowControl w:val="0"/>
        <w:shd w:val="clear" w:color="auto" w:fill="auto"/>
        <w:bidi w:val="0"/>
        <w:spacing w:before="680" w:after="520" w:line="240" w:lineRule="auto"/>
        <w:ind w:left="0" w:right="0" w:firstLine="0"/>
        <w:jc w:val="center"/>
      </w:pPr>
      <w:bookmarkStart w:id="111" w:name="bookmark111"/>
      <w:bookmarkStart w:id="112" w:name="bookmark112"/>
      <w:bookmarkStart w:id="113" w:name="bookmark113"/>
      <w:r>
        <w:rPr>
          <w:color w:val="000000"/>
          <w:spacing w:val="0"/>
          <w:w w:val="100"/>
          <w:position w:val="0"/>
        </w:rPr>
        <w:t>第四节经营情况讨论与分析</w:t>
      </w:r>
      <w:bookmarkEnd w:id="111"/>
      <w:bookmarkEnd w:id="112"/>
      <w:bookmarkEnd w:id="113"/>
    </w:p>
    <w:p>
      <w:pPr>
        <w:pStyle w:val="Style32"/>
        <w:keepNext/>
        <w:keepLines/>
        <w:widowControl w:val="0"/>
        <w:shd w:val="clear" w:color="auto" w:fill="auto"/>
        <w:bidi w:val="0"/>
        <w:spacing w:before="0" w:after="200" w:line="240" w:lineRule="auto"/>
        <w:ind w:left="0" w:right="0" w:firstLine="0"/>
        <w:jc w:val="left"/>
      </w:pPr>
      <w:bookmarkStart w:id="114" w:name="bookmark114"/>
      <w:bookmarkStart w:id="115" w:name="bookmark115"/>
      <w:bookmarkStart w:id="116" w:name="bookmark116"/>
      <w:bookmarkStart w:id="117" w:name="bookmark117"/>
      <w:bookmarkStart w:id="118" w:name="bookmark118"/>
      <w:r>
        <w:rPr>
          <w:color w:val="000000"/>
          <w:spacing w:val="0"/>
          <w:w w:val="100"/>
          <w:position w:val="0"/>
          <w:sz w:val="24"/>
          <w:szCs w:val="24"/>
        </w:rPr>
        <w:t>一</w:t>
      </w:r>
      <w:bookmarkEnd w:id="117"/>
      <w:r>
        <w:rPr>
          <w:color w:val="000000"/>
          <w:spacing w:val="0"/>
          <w:w w:val="100"/>
          <w:position w:val="0"/>
          <w:sz w:val="24"/>
          <w:szCs w:val="24"/>
        </w:rPr>
        <w:t>、概述</w:t>
      </w:r>
      <w:bookmarkEnd w:id="115"/>
      <w:bookmarkEnd w:id="116"/>
      <w:bookmarkEnd w:id="118"/>
      <w:bookmarkEnd w:id="114"/>
    </w:p>
    <w:p>
      <w:pPr>
        <w:pStyle w:val="Style17"/>
        <w:keepNext w:val="0"/>
        <w:keepLines w:val="0"/>
        <w:widowControl w:val="0"/>
        <w:shd w:val="clear" w:color="auto" w:fill="auto"/>
        <w:bidi w:val="0"/>
        <w:spacing w:before="0" w:after="0" w:line="46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年度，公司按照既定的战略发展规划开展经营。近年来，公司在综合金融科技服务领域已经构建了比较完整的战略 发展布局。在国家关于深化金融改革开放、发力金融科技建设、推动金融业健康发展的政策引导下，公司通过金融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互联 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、大数据、人工智能等信息技术不断探索创新产品和服务，帮助金融机构提升服务实体经济的效率，同时驱动金融产品、 服务渠道、盈利模式等创新。报告期内，公司金融信息化、移动信息服务、电子商务三大主营业务经营情况良好。同时，公 司在金融服务领域的业务延伸发展也取得了稳步推进，综合金融生态服务体系的业务布局日趋完善，为公司业务的长远发展 打下了坚实的基础。</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报告期公司实现营业总收入</w:t>
      </w:r>
      <w:r>
        <w:rPr>
          <w:rFonts w:ascii="Times New Roman" w:eastAsia="Times New Roman" w:hAnsi="Times New Roman" w:cs="Times New Roman"/>
          <w:color w:val="000000"/>
          <w:spacing w:val="0"/>
          <w:w w:val="100"/>
          <w:position w:val="0"/>
          <w:sz w:val="18"/>
          <w:szCs w:val="18"/>
        </w:rPr>
        <w:t>139,046.02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17.74%</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3,025.43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520.24%</w:t>
      </w:r>
      <w:r>
        <w:rPr>
          <w:color w:val="000000"/>
          <w:spacing w:val="0"/>
          <w:w w:val="100"/>
          <w:position w:val="0"/>
        </w:rPr>
        <w:t>； 利润总额</w:t>
      </w:r>
      <w:r>
        <w:rPr>
          <w:rFonts w:ascii="Times New Roman" w:eastAsia="Times New Roman" w:hAnsi="Times New Roman" w:cs="Times New Roman"/>
          <w:color w:val="000000"/>
          <w:spacing w:val="0"/>
          <w:w w:val="100"/>
          <w:position w:val="0"/>
          <w:sz w:val="18"/>
          <w:szCs w:val="18"/>
        </w:rPr>
        <w:t>3,027.49</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587.91%</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,085.83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324.13%</w:t>
      </w:r>
      <w:r>
        <w:rPr>
          <w:color w:val="000000"/>
          <w:spacing w:val="0"/>
          <w:w w:val="100"/>
          <w:position w:val="0"/>
        </w:rPr>
        <w:t>。</w:t>
      </w:r>
    </w:p>
    <w:p>
      <w:pPr>
        <w:pStyle w:val="Style17"/>
        <w:keepNext w:val="0"/>
        <w:keepLines w:val="0"/>
        <w:widowControl w:val="0"/>
        <w:shd w:val="clear" w:color="auto" w:fill="auto"/>
        <w:bidi w:val="0"/>
        <w:spacing w:before="0" w:after="0" w:line="466" w:lineRule="exact"/>
        <w:ind w:left="0" w:right="0"/>
        <w:jc w:val="left"/>
      </w:pPr>
      <w:r>
        <w:rPr>
          <w:color w:val="000000"/>
          <w:spacing w:val="0"/>
          <w:w w:val="100"/>
          <w:position w:val="0"/>
        </w:rPr>
        <w:t>报告期内公司各业务板块具体经营状况如下：</w:t>
      </w:r>
    </w:p>
    <w:p>
      <w:pPr>
        <w:pStyle w:val="Style17"/>
        <w:keepNext w:val="0"/>
        <w:keepLines w:val="0"/>
        <w:widowControl w:val="0"/>
        <w:shd w:val="clear" w:color="auto" w:fill="auto"/>
        <w:tabs>
          <w:tab w:pos="886" w:val="left"/>
        </w:tabs>
        <w:bidi w:val="0"/>
        <w:spacing w:before="0" w:after="0" w:line="466" w:lineRule="exact"/>
        <w:ind w:left="0" w:right="0"/>
        <w:jc w:val="both"/>
      </w:pPr>
      <w:bookmarkStart w:id="119" w:name="bookmark119"/>
      <w:r>
        <w:rPr>
          <w:color w:val="000000"/>
          <w:spacing w:val="0"/>
          <w:w w:val="100"/>
          <w:position w:val="0"/>
        </w:rPr>
        <w:t>（</w:t>
      </w:r>
      <w:bookmarkEnd w:id="119"/>
      <w:r>
        <w:rPr>
          <w:color w:val="000000"/>
          <w:spacing w:val="0"/>
          <w:w w:val="100"/>
          <w:position w:val="0"/>
        </w:rPr>
        <w:t>一）</w:t>
        <w:tab/>
        <w:t>主营业务收入及净利润</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报告期内，公司主营业务收入主要来自于金融信息化、移动信息服务和电子商务等业务领域。</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在金融信息化业务领域，公司继续沿着软件、硬件并举的思路推进业务发展。金融软件方面，公司在银行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领域的产品 和服务范围持续扩展，并逐步开拓保险</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和证券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领域的市场，近年来金融软件收入占比持续提高。金融专用设备方面，公 司一方面继续开拓优势产品市场，一方面着力推动迭代升级产品的开发。报告期内公司金融信息化业务实现营业收入 </w:t>
      </w:r>
      <w:r>
        <w:rPr>
          <w:rFonts w:ascii="Times New Roman" w:eastAsia="Times New Roman" w:hAnsi="Times New Roman" w:cs="Times New Roman"/>
          <w:color w:val="000000"/>
          <w:spacing w:val="0"/>
          <w:w w:val="100"/>
          <w:position w:val="0"/>
          <w:sz w:val="18"/>
          <w:szCs w:val="18"/>
        </w:rPr>
        <w:t>21,582.68</w:t>
      </w:r>
      <w:r>
        <w:rPr>
          <w:color w:val="000000"/>
          <w:spacing w:val="0"/>
          <w:w w:val="100"/>
          <w:position w:val="0"/>
        </w:rPr>
        <w:t>万元，较上年同期上升</w:t>
      </w:r>
      <w:r>
        <w:rPr>
          <w:rFonts w:ascii="Times New Roman" w:eastAsia="Times New Roman" w:hAnsi="Times New Roman" w:cs="Times New Roman"/>
          <w:color w:val="000000"/>
          <w:spacing w:val="0"/>
          <w:w w:val="100"/>
          <w:position w:val="0"/>
          <w:sz w:val="18"/>
          <w:szCs w:val="18"/>
        </w:rPr>
        <w:t>25.45%</w:t>
      </w:r>
      <w:r>
        <w:rPr>
          <w:color w:val="000000"/>
          <w:spacing w:val="0"/>
          <w:w w:val="100"/>
          <w:position w:val="0"/>
        </w:rPr>
        <w:t>。</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在移动信息服务领域，公司营业收入主要来自于公司全资子公司亿美软通的移动信息服务和移动互联网应用服务业务。 本报告期，在电信运营商通道成本提升的情况下，亿美软通以优质的价格服务于大型客户，形成了收入增加、毛利率降低的 变动情况。报告期内，移动信息服务业务实现营业收入</w:t>
      </w:r>
      <w:r>
        <w:rPr>
          <w:rFonts w:ascii="Times New Roman" w:eastAsia="Times New Roman" w:hAnsi="Times New Roman" w:cs="Times New Roman"/>
          <w:color w:val="000000"/>
          <w:spacing w:val="0"/>
          <w:w w:val="100"/>
          <w:position w:val="0"/>
          <w:sz w:val="18"/>
          <w:szCs w:val="18"/>
        </w:rPr>
        <w:t>74,378.82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17.50%</w:t>
      </w:r>
      <w:r>
        <w:rPr>
          <w:color w:val="000000"/>
          <w:spacing w:val="0"/>
          <w:w w:val="100"/>
          <w:position w:val="0"/>
        </w:rPr>
        <w:t>。</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在电子商务服务领域，公司营业收入主要来自于控股子公司安科创新以家居安防产品为主要产品的跨境电子商务业务。 报告期内，安科创新着力加大自主品牌的市场宣传和推广，服务区域已辐射全球</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多个国家和地区，包括美国、英国、德国、 法国、澳大利亚、西班牙等。报告期内，受疫情环境的影响，海外消费者消费渠道向线上转移，电子商务服务业务实现营业 收入</w:t>
      </w:r>
      <w:r>
        <w:rPr>
          <w:rFonts w:ascii="Times New Roman" w:eastAsia="Times New Roman" w:hAnsi="Times New Roman" w:cs="Times New Roman"/>
          <w:color w:val="000000"/>
          <w:spacing w:val="0"/>
          <w:w w:val="100"/>
          <w:position w:val="0"/>
          <w:sz w:val="18"/>
          <w:szCs w:val="18"/>
        </w:rPr>
        <w:t>43,084.53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w:t>
      </w:r>
    </w:p>
    <w:p>
      <w:pPr>
        <w:pStyle w:val="Style17"/>
        <w:keepNext w:val="0"/>
        <w:keepLines w:val="0"/>
        <w:widowControl w:val="0"/>
        <w:shd w:val="clear" w:color="auto" w:fill="auto"/>
        <w:tabs>
          <w:tab w:pos="886" w:val="left"/>
        </w:tabs>
        <w:bidi w:val="0"/>
        <w:spacing w:before="0" w:after="260" w:line="466" w:lineRule="exact"/>
        <w:ind w:left="0" w:right="0"/>
        <w:jc w:val="both"/>
      </w:pPr>
      <w:bookmarkStart w:id="120" w:name="bookmark120"/>
      <w:r>
        <w:rPr>
          <w:color w:val="000000"/>
          <w:spacing w:val="0"/>
          <w:w w:val="100"/>
          <w:position w:val="0"/>
        </w:rPr>
        <w:t>（</w:t>
      </w:r>
      <w:bookmarkEnd w:id="120"/>
      <w:r>
        <w:rPr>
          <w:color w:val="000000"/>
          <w:spacing w:val="0"/>
          <w:w w:val="100"/>
          <w:position w:val="0"/>
        </w:rPr>
        <w:t>二）</w:t>
        <w:tab/>
        <w:t>战略投资业务的经营情况</w:t>
      </w:r>
    </w:p>
    <w:p>
      <w:pPr>
        <w:pStyle w:val="Style17"/>
        <w:keepNext w:val="0"/>
        <w:keepLines w:val="0"/>
        <w:widowControl w:val="0"/>
        <w:numPr>
          <w:ilvl w:val="0"/>
          <w:numId w:val="3"/>
        </w:numPr>
        <w:shd w:val="clear" w:color="auto" w:fill="auto"/>
        <w:bidi w:val="0"/>
        <w:spacing w:before="0" w:after="0" w:line="540" w:lineRule="auto"/>
        <w:ind w:left="0" w:right="0"/>
        <w:jc w:val="both"/>
      </w:pPr>
      <w:bookmarkStart w:id="121" w:name="bookmark121"/>
      <w:bookmarkEnd w:id="121"/>
      <w:r>
        <w:rPr>
          <w:color w:val="000000"/>
          <w:spacing w:val="0"/>
          <w:w w:val="100"/>
          <w:position w:val="0"/>
        </w:rPr>
        <w:t>个人征信相关业务</w:t>
      </w:r>
    </w:p>
    <w:p>
      <w:pPr>
        <w:pStyle w:val="Style17"/>
        <w:keepNext w:val="0"/>
        <w:keepLines w:val="0"/>
        <w:widowControl w:val="0"/>
        <w:shd w:val="clear" w:color="auto" w:fill="auto"/>
        <w:bidi w:val="0"/>
        <w:spacing w:before="0" w:after="0" w:line="466"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月，公司作为第一大股东投资设立了华道征信。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年，华道征信与其他发起人共同发起设立百行征信有限公 </w:t>
      </w: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日，百行征信经中国人民银行批准获得个人征信机构设立许可，是国内首家持牌市场化个人征信机构。截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年底，百行征信累计拓展金融机构达</w:t>
      </w:r>
      <w:r>
        <w:rPr>
          <w:rFonts w:ascii="Times New Roman" w:eastAsia="Times New Roman" w:hAnsi="Times New Roman" w:cs="Times New Roman"/>
          <w:color w:val="000000"/>
          <w:spacing w:val="0"/>
          <w:w w:val="100"/>
          <w:position w:val="0"/>
          <w:sz w:val="18"/>
          <w:szCs w:val="18"/>
        </w:rPr>
        <w:t>1887</w:t>
      </w:r>
      <w:r>
        <w:rPr>
          <w:color w:val="000000"/>
          <w:spacing w:val="0"/>
          <w:w w:val="100"/>
          <w:position w:val="0"/>
        </w:rPr>
        <w:t>家，累计收录个人信息主体去重后达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亿人，百行征信个人信用报告全年 使用量</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亿笔。百行个人征信数据库全年新增个人信息主体数近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亿人，特别关注名单、信息核验、反欺诈系列等增值产 品使用量</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亿笔，所有产品全年使用量</w:t>
      </w:r>
      <w:r>
        <w:rPr>
          <w:rFonts w:ascii="Times New Roman" w:eastAsia="Times New Roman" w:hAnsi="Times New Roman" w:cs="Times New Roman"/>
          <w:color w:val="000000"/>
          <w:spacing w:val="0"/>
          <w:w w:val="100"/>
          <w:position w:val="0"/>
          <w:sz w:val="18"/>
          <w:szCs w:val="18"/>
        </w:rPr>
        <w:t>3.16</w:t>
      </w:r>
      <w:r>
        <w:rPr>
          <w:color w:val="000000"/>
          <w:spacing w:val="0"/>
          <w:w w:val="100"/>
          <w:position w:val="0"/>
        </w:rPr>
        <w:t>亿笔。报告期内，华道征信作为百行征信的股东单位，支持百行征信的业务发 展，开展个人征信相关的行业研究和技术开发，由于相关业务尚处于业务开展初期，尚未实现盈利。</w:t>
      </w:r>
    </w:p>
    <w:p>
      <w:pPr>
        <w:pStyle w:val="Style17"/>
        <w:keepNext w:val="0"/>
        <w:keepLines w:val="0"/>
        <w:widowControl w:val="0"/>
        <w:numPr>
          <w:ilvl w:val="0"/>
          <w:numId w:val="3"/>
        </w:numPr>
        <w:shd w:val="clear" w:color="auto" w:fill="auto"/>
        <w:tabs>
          <w:tab w:pos="640" w:val="left"/>
        </w:tabs>
        <w:bidi w:val="0"/>
        <w:spacing w:before="0" w:after="0" w:line="470" w:lineRule="exact"/>
        <w:ind w:left="0" w:right="0"/>
        <w:jc w:val="both"/>
      </w:pPr>
      <w:bookmarkStart w:id="122" w:name="bookmark122"/>
      <w:bookmarkEnd w:id="122"/>
      <w:r>
        <w:rPr>
          <w:color w:val="000000"/>
          <w:spacing w:val="0"/>
          <w:w w:val="100"/>
          <w:position w:val="0"/>
        </w:rPr>
        <w:t>互联网保险业务</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公司参股发起设立的易安保险于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月正式开业运营。易安保险主要经营健康险、意外险、家庭财产保险、信用保 证保险、责任保险、货运险等保险产品种类，是目前国内四家经原中国保监会批准开展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与互联网交易直接相关的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保险业务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互联网保险</w:t>
      </w:r>
      <w:r>
        <w:rPr>
          <w:color w:val="000000"/>
          <w:spacing w:val="0"/>
          <w:w w:val="100"/>
          <w:position w:val="0"/>
        </w:rPr>
        <w:t>''）</w:t>
      </w:r>
      <w:r>
        <w:rPr>
          <w:color w:val="000000"/>
          <w:spacing w:val="0"/>
          <w:w w:val="100"/>
          <w:position w:val="0"/>
        </w:rPr>
        <w:t>的财产保险公司之一。</w:t>
      </w:r>
    </w:p>
    <w:p>
      <w:pPr>
        <w:pStyle w:val="Style17"/>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月，中国银保监会发布了《中国银保监会依法对天安财产保险股份有限公司等六家机构实施接管的公告》，按 照该公告的要求，易安保险被中国银保监会实施接管。接管期限自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日止，可依法适当延长。 接管组由中国银保监会派驻，接管组委托中国人民财产保险股份有限公司组建的托管组对易安保险的业务进行托管。接管后 易安保险照常经营，公司债权债务关系不因接管而变化。</w:t>
      </w:r>
    </w:p>
    <w:p>
      <w:pPr>
        <w:pStyle w:val="Style17"/>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年第一季度，易安保险对公司投资收益的影响为</w:t>
      </w:r>
      <w:r>
        <w:rPr>
          <w:rFonts w:ascii="Times New Roman" w:eastAsia="Times New Roman" w:hAnsi="Times New Roman" w:cs="Times New Roman"/>
          <w:color w:val="000000"/>
          <w:spacing w:val="0"/>
          <w:w w:val="100"/>
          <w:position w:val="0"/>
          <w:sz w:val="18"/>
          <w:szCs w:val="18"/>
        </w:rPr>
        <w:t>-1,262.93</w:t>
      </w:r>
      <w:r>
        <w:rPr>
          <w:color w:val="000000"/>
          <w:spacing w:val="0"/>
          <w:w w:val="100"/>
          <w:position w:val="0"/>
        </w:rPr>
        <w:t>万元。自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日起，公司对易安保险股权的会计 核算已由长期股权投资权益法核算变更为金融工具一其他权益工具投资进行核算，易安保险的当期净利润不再对公司的投 资收益产生影响。因此，易安保险被中国银保监会实施接管不会对公司的当期净利润产生影响。截止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以公允价值对易安保险计量的其他权益工具投资资产为</w:t>
      </w:r>
      <w:r>
        <w:rPr>
          <w:rFonts w:ascii="Times New Roman" w:eastAsia="Times New Roman" w:hAnsi="Times New Roman" w:cs="Times New Roman"/>
          <w:color w:val="000000"/>
          <w:spacing w:val="0"/>
          <w:w w:val="100"/>
          <w:position w:val="0"/>
          <w:sz w:val="18"/>
          <w:szCs w:val="18"/>
        </w:rPr>
        <w:t>7,864.43</w:t>
      </w:r>
      <w:r>
        <w:rPr>
          <w:color w:val="000000"/>
          <w:spacing w:val="0"/>
          <w:w w:val="100"/>
          <w:position w:val="0"/>
        </w:rPr>
        <w:t>万元。易安保险被中国银保监会接管后，如果其公允价值发 生变动，将对公司所有者权益产生影响，具体影响程度将视易安保险后续股权处置及经营管理情况而定。</w:t>
      </w:r>
    </w:p>
    <w:p>
      <w:pPr>
        <w:pStyle w:val="Style17"/>
        <w:keepNext w:val="0"/>
        <w:keepLines w:val="0"/>
        <w:widowControl w:val="0"/>
        <w:numPr>
          <w:ilvl w:val="0"/>
          <w:numId w:val="3"/>
        </w:numPr>
        <w:shd w:val="clear" w:color="auto" w:fill="auto"/>
        <w:tabs>
          <w:tab w:pos="640" w:val="left"/>
        </w:tabs>
        <w:bidi w:val="0"/>
        <w:spacing w:before="0" w:after="0" w:line="470" w:lineRule="exact"/>
        <w:ind w:left="0" w:right="0"/>
        <w:jc w:val="both"/>
      </w:pPr>
      <w:bookmarkStart w:id="123" w:name="bookmark123"/>
      <w:bookmarkEnd w:id="123"/>
      <w:r>
        <w:rPr>
          <w:color w:val="000000"/>
          <w:spacing w:val="0"/>
          <w:w w:val="100"/>
          <w:position w:val="0"/>
        </w:rPr>
        <w:t>证券业务</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公司参股发起设立的东亚前海证券于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月获得中国证监会颁发的《经营证券期货业务许可证》，正式对外开展业 务。公司占东亚前海证券注册资本的</w:t>
      </w:r>
      <w:r>
        <w:rPr>
          <w:rFonts w:ascii="Times New Roman" w:eastAsia="Times New Roman" w:hAnsi="Times New Roman" w:cs="Times New Roman"/>
          <w:color w:val="000000"/>
          <w:spacing w:val="0"/>
          <w:w w:val="100"/>
          <w:position w:val="0"/>
          <w:sz w:val="18"/>
          <w:szCs w:val="18"/>
        </w:rPr>
        <w:t>26.10%</w:t>
      </w:r>
      <w:r>
        <w:rPr>
          <w:color w:val="000000"/>
          <w:spacing w:val="0"/>
          <w:w w:val="100"/>
          <w:position w:val="0"/>
        </w:rPr>
        <w:t>。东亚前海证券已全面开展证券经纪、投资银行、资产管理、证券自营、证券 投资咨询等业务，并设立了深圳分公司、北京分公司、上海分公司、广东分公司、湖北分公司、浙江分公司、江苏分公司、 福建分公司、陕西分公司和四川分公司等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家分公司。报告期内，东亚前海证券实现净利润为</w:t>
      </w:r>
      <w:r>
        <w:rPr>
          <w:rFonts w:ascii="Times New Roman" w:eastAsia="Times New Roman" w:hAnsi="Times New Roman" w:cs="Times New Roman"/>
          <w:color w:val="000000"/>
          <w:spacing w:val="0"/>
          <w:w w:val="100"/>
          <w:position w:val="0"/>
          <w:sz w:val="18"/>
          <w:szCs w:val="18"/>
        </w:rPr>
        <w:t>4,316.69</w:t>
      </w:r>
      <w:r>
        <w:rPr>
          <w:color w:val="000000"/>
          <w:spacing w:val="0"/>
          <w:w w:val="100"/>
          <w:position w:val="0"/>
        </w:rPr>
        <w:t>万元，对公司投资收 益的影响为</w:t>
      </w:r>
      <w:r>
        <w:rPr>
          <w:rFonts w:ascii="Times New Roman" w:eastAsia="Times New Roman" w:hAnsi="Times New Roman" w:cs="Times New Roman"/>
          <w:color w:val="000000"/>
          <w:spacing w:val="0"/>
          <w:w w:val="100"/>
          <w:position w:val="0"/>
          <w:sz w:val="18"/>
          <w:szCs w:val="18"/>
        </w:rPr>
        <w:t>1,126.66</w:t>
      </w:r>
      <w:r>
        <w:rPr>
          <w:color w:val="000000"/>
          <w:spacing w:val="0"/>
          <w:w w:val="100"/>
          <w:position w:val="0"/>
        </w:rPr>
        <w:t>万元。</w:t>
      </w:r>
    </w:p>
    <w:p>
      <w:pPr>
        <w:pStyle w:val="Style17"/>
        <w:keepNext w:val="0"/>
        <w:keepLines w:val="0"/>
        <w:widowControl w:val="0"/>
        <w:shd w:val="clear" w:color="auto" w:fill="auto"/>
        <w:bidi w:val="0"/>
        <w:spacing w:before="0" w:after="0" w:line="470" w:lineRule="exact"/>
        <w:ind w:left="0" w:right="0"/>
        <w:jc w:val="both"/>
      </w:pPr>
      <w:bookmarkStart w:id="124" w:name="bookmark124"/>
      <w:r>
        <w:rPr>
          <w:color w:val="000000"/>
          <w:spacing w:val="0"/>
          <w:w w:val="100"/>
          <w:position w:val="0"/>
        </w:rPr>
        <w:t>（</w:t>
      </w:r>
      <w:bookmarkEnd w:id="124"/>
      <w:r>
        <w:rPr>
          <w:color w:val="000000"/>
          <w:spacing w:val="0"/>
          <w:w w:val="100"/>
          <w:position w:val="0"/>
        </w:rPr>
        <w:t>三）向特定对象发行股票募集资金再融资情况</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股股票事项分别经第四届董事会第二十一次会议、第五届董事会第一次会议、第五届董 事会第二次会议以及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年第一次临时股东大会审议通过,公司拟向特定对象发行股票募集资金总额不超过</w:t>
      </w:r>
      <w:r>
        <w:rPr>
          <w:rFonts w:ascii="Times New Roman" w:eastAsia="Times New Roman" w:hAnsi="Times New Roman" w:cs="Times New Roman"/>
          <w:color w:val="000000"/>
          <w:spacing w:val="0"/>
          <w:w w:val="100"/>
          <w:position w:val="0"/>
          <w:sz w:val="18"/>
          <w:szCs w:val="18"/>
        </w:rPr>
        <w:t>135,297.50</w:t>
      </w:r>
      <w:r>
        <w:rPr>
          <w:color w:val="000000"/>
          <w:spacing w:val="0"/>
          <w:w w:val="100"/>
          <w:position w:val="0"/>
        </w:rPr>
        <w:t>万元, 扣除发行费用后拟用于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银行数字化转型解决方案项目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银行智能设备产业化项目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偿还银行贷款匚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日，深圳证券交易所（以下简称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）受理公司向特定对象发行股票申请文件。</w:t>
      </w:r>
    </w:p>
    <w:p>
      <w:pPr>
        <w:pStyle w:val="Style17"/>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日，公司召开第五届董事会第四次会议，审议通过了《关于终止向特定对象发行股票事项并撤回申请文件 </w:t>
      </w:r>
      <w:r>
        <w:rPr>
          <w:color w:val="000000"/>
          <w:spacing w:val="0"/>
          <w:w w:val="100"/>
          <w:position w:val="0"/>
        </w:rPr>
        <w:t>的议案》。经与中介机构审慎研究，综合考虑资本市场政策及环境的变化、公司目前的实际情况等因素，公司决定终止本次 向特定对象发行股票事项，并向深交所申请撤回相关申请文件。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日，公司收到深交所《关于终止对深圳市银之 杰科技股份有限公司申请向特定对象发行股票审核的决定》（深证上审〔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594</w:t>
      </w:r>
      <w:r>
        <w:rPr>
          <w:color w:val="000000"/>
          <w:spacing w:val="0"/>
          <w:w w:val="100"/>
          <w:position w:val="0"/>
        </w:rPr>
        <w:t>号）。</w:t>
      </w:r>
    </w:p>
    <w:p>
      <w:pPr>
        <w:pStyle w:val="Style17"/>
        <w:keepNext w:val="0"/>
        <w:keepLines w:val="0"/>
        <w:widowControl w:val="0"/>
        <w:shd w:val="clear" w:color="auto" w:fill="auto"/>
        <w:bidi w:val="0"/>
        <w:spacing w:before="0" w:after="0" w:line="466" w:lineRule="exact"/>
        <w:ind w:left="0" w:right="0"/>
        <w:jc w:val="both"/>
      </w:pPr>
      <w:r>
        <w:rPr>
          <w:b/>
          <w:bCs/>
          <w:color w:val="000000"/>
          <w:spacing w:val="0"/>
          <w:w w:val="100"/>
          <w:position w:val="0"/>
        </w:rPr>
        <w:t>公司需遵守《深圳证券交易所创业板行业信息披露指引第</w:t>
      </w:r>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号一上市公司从事电子商务业务》的披露要求：</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公司子公司安科创新是从事以家居安防电子产品为主的出口跨境电商企业。</w:t>
      </w:r>
    </w:p>
    <w:p>
      <w:pPr>
        <w:pStyle w:val="Style17"/>
        <w:keepNext w:val="0"/>
        <w:keepLines w:val="0"/>
        <w:widowControl w:val="0"/>
        <w:shd w:val="clear" w:color="auto" w:fill="auto"/>
        <w:bidi w:val="0"/>
        <w:spacing w:before="0" w:after="0" w:line="466" w:lineRule="exact"/>
        <w:ind w:left="0" w:right="0"/>
        <w:jc w:val="both"/>
      </w:pPr>
      <w:bookmarkStart w:id="125" w:name="bookmark125"/>
      <w:r>
        <w:rPr>
          <w:color w:val="000000"/>
          <w:spacing w:val="0"/>
          <w:w w:val="100"/>
          <w:position w:val="0"/>
        </w:rPr>
        <w:t>一</w:t>
      </w:r>
      <w:bookmarkEnd w:id="125"/>
      <w:r>
        <w:rPr>
          <w:color w:val="000000"/>
          <w:spacing w:val="0"/>
          <w:w w:val="100"/>
          <w:position w:val="0"/>
        </w:rPr>
        <w:t>、按照《深圳证券交易所创业板行业信息披露指引第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号——上市公司从事电子商务业务》第五条，业务经营情况</w:t>
      </w:r>
    </w:p>
    <w:p>
      <w:pPr>
        <w:pStyle w:val="Style17"/>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安科创新业务模式主要是在国内以</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方式进行产品采购，运输到海外在海外仓备货，通过</w:t>
      </w:r>
      <w:r>
        <w:rPr>
          <w:rFonts w:ascii="Times New Roman" w:eastAsia="Times New Roman" w:hAnsi="Times New Roman" w:cs="Times New Roman"/>
          <w:color w:val="000000"/>
          <w:spacing w:val="0"/>
          <w:w w:val="100"/>
          <w:position w:val="0"/>
          <w:sz w:val="18"/>
          <w:szCs w:val="18"/>
        </w:rPr>
        <w:t>Amazon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Ebay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Aliexpress</w:t>
      </w:r>
      <w:r>
        <w:rPr>
          <w:color w:val="000000"/>
          <w:spacing w:val="0"/>
          <w:w w:val="100"/>
          <w:position w:val="0"/>
        </w:rPr>
        <w:t>、</w:t>
      </w:r>
    </w:p>
    <w:p>
      <w:pPr>
        <w:pStyle w:val="Style17"/>
        <w:keepNext w:val="0"/>
        <w:keepLines w:val="0"/>
        <w:widowControl w:val="0"/>
        <w:shd w:val="clear" w:color="auto" w:fill="auto"/>
        <w:bidi w:val="0"/>
        <w:spacing w:before="0" w:after="120" w:line="485" w:lineRule="exact"/>
        <w:ind w:left="0" w:right="0" w:firstLine="0"/>
        <w:jc w:val="left"/>
      </w:pPr>
      <w:r>
        <w:rPr>
          <w:rFonts w:ascii="Times New Roman" w:eastAsia="Times New Roman" w:hAnsi="Times New Roman" w:cs="Times New Roman"/>
          <w:color w:val="000000"/>
          <w:spacing w:val="0"/>
          <w:w w:val="100"/>
          <w:position w:val="0"/>
          <w:sz w:val="18"/>
          <w:szCs w:val="18"/>
        </w:rPr>
        <w:t>Walmart</w:t>
      </w:r>
      <w:r>
        <w:rPr>
          <w:color w:val="000000"/>
          <w:spacing w:val="0"/>
          <w:w w:val="100"/>
          <w:position w:val="0"/>
        </w:rPr>
        <w:t>等第三方平台或自营平台销售并配送给海内外终端消费者。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年度收入金额占比在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以上的电商平台销售情况 列示如下：</w:t>
      </w:r>
    </w:p>
    <w:tbl>
      <w:tblPr>
        <w:tblOverlap w:val="never"/>
        <w:jc w:val="center"/>
        <w:tblLayout w:type="fixed"/>
      </w:tblPr>
      <w:tblGrid>
        <w:gridCol w:w="1570"/>
        <w:gridCol w:w="1301"/>
        <w:gridCol w:w="1435"/>
        <w:gridCol w:w="1656"/>
        <w:gridCol w:w="1560"/>
        <w:gridCol w:w="2160"/>
      </w:tblGrid>
      <w:tr>
        <w:trPr>
          <w:trHeight w:val="509" w:hRule="exact"/>
        </w:trPr>
        <w:tc>
          <w:tcPr>
            <w:vMerge w:val="restart"/>
            <w:tcBorders>
              <w:top w:val="single" w:sz="4"/>
              <w:left w:val="single" w:sz="4"/>
            </w:tcBorders>
            <w:shd w:val="clear" w:color="auto" w:fill="D3D3D3"/>
            <w:vAlign w:val="top"/>
          </w:tcPr>
          <w:p>
            <w:pPr>
              <w:pStyle w:val="Style29"/>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电商平台名称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51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占总收入比重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收入金额（万元）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占总收入比重</w:t>
            </w:r>
          </w:p>
        </w:tc>
        <w:tc>
          <w:tcPr>
            <w:vMerge/>
            <w:tcBorders>
              <w:left w:val="single" w:sz="4"/>
              <w:right w:val="single" w:sz="4"/>
            </w:tcBorders>
            <w:shd w:val="clear" w:color="auto" w:fill="D3D3D3"/>
            <w:vAlign w:val="center"/>
          </w:tcPr>
          <w:p>
            <w:pPr/>
          </w:p>
        </w:tc>
      </w:tr>
      <w:tr>
        <w:trPr>
          <w:trHeight w:val="52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Amazon</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23,200.19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bl>
    <w:p>
      <w:pPr>
        <w:pStyle w:val="Style41"/>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安科创新核心产品为家居安防及智能家居类消费产品。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年线上交易额人民币</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亿元，总订单数为</w:t>
      </w:r>
      <w:r>
        <w:rPr>
          <w:rFonts w:ascii="Times New Roman" w:eastAsia="Times New Roman" w:hAnsi="Times New Roman" w:cs="Times New Roman"/>
          <w:color w:val="000000"/>
          <w:spacing w:val="0"/>
          <w:w w:val="100"/>
          <w:position w:val="0"/>
          <w:sz w:val="18"/>
          <w:szCs w:val="18"/>
        </w:rPr>
        <w:t>58.99</w:t>
      </w:r>
      <w:r>
        <w:rPr>
          <w:color w:val="000000"/>
          <w:spacing w:val="0"/>
          <w:w w:val="100"/>
          <w:position w:val="0"/>
        </w:rPr>
        <w:t>万个。</w:t>
      </w:r>
    </w:p>
    <w:p>
      <w:pPr>
        <w:pStyle w:val="Style17"/>
        <w:keepNext w:val="0"/>
        <w:keepLines w:val="0"/>
        <w:widowControl w:val="0"/>
        <w:shd w:val="clear" w:color="auto" w:fill="auto"/>
        <w:tabs>
          <w:tab w:pos="790" w:val="left"/>
        </w:tabs>
        <w:bidi w:val="0"/>
        <w:spacing w:before="0" w:after="0" w:line="470" w:lineRule="exact"/>
        <w:ind w:left="0" w:right="0"/>
        <w:jc w:val="both"/>
      </w:pPr>
      <w:bookmarkStart w:id="126" w:name="bookmark126"/>
      <w:r>
        <w:rPr>
          <w:color w:val="000000"/>
          <w:spacing w:val="0"/>
          <w:w w:val="100"/>
          <w:position w:val="0"/>
        </w:rPr>
        <w:t>二</w:t>
      </w:r>
      <w:bookmarkEnd w:id="126"/>
      <w:r>
        <w:rPr>
          <w:color w:val="000000"/>
          <w:spacing w:val="0"/>
          <w:w w:val="100"/>
          <w:position w:val="0"/>
        </w:rPr>
        <w:t>、</w:t>
        <w:tab/>
        <w:t>按照《深圳证券交易所创业板行业信息披露指引第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号——上市公司从事电子商务业务》第七条，电子商务业务收 入确认及成本结转的具体方法</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安科创新电子商务业务收入确认的具体方法为：客户通过在公司自有网站或第三方销售平台下订单并按公司指定的付款 方式支付货款，销售平台负责将货物配送给客户或者公司委托物流公司配送交货给客户时确认收入。</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安科创新成本结转的具体方法为：按照月末一次加权平均法进行产品成本核算，货物发出后，按加权平均成本结转货物 成本。</w:t>
      </w:r>
    </w:p>
    <w:p>
      <w:pPr>
        <w:pStyle w:val="Style17"/>
        <w:keepNext w:val="0"/>
        <w:keepLines w:val="0"/>
        <w:widowControl w:val="0"/>
        <w:shd w:val="clear" w:color="auto" w:fill="auto"/>
        <w:tabs>
          <w:tab w:pos="790" w:val="left"/>
        </w:tabs>
        <w:bidi w:val="0"/>
        <w:spacing w:before="0" w:after="0" w:line="470" w:lineRule="exact"/>
        <w:ind w:left="0" w:right="0"/>
        <w:jc w:val="both"/>
      </w:pPr>
      <w:bookmarkStart w:id="127" w:name="bookmark127"/>
      <w:r>
        <w:rPr>
          <w:color w:val="000000"/>
          <w:spacing w:val="0"/>
          <w:w w:val="100"/>
          <w:position w:val="0"/>
        </w:rPr>
        <w:t>三</w:t>
      </w:r>
      <w:bookmarkEnd w:id="127"/>
      <w:r>
        <w:rPr>
          <w:color w:val="000000"/>
          <w:spacing w:val="0"/>
          <w:w w:val="100"/>
          <w:position w:val="0"/>
        </w:rPr>
        <w:t>、</w:t>
        <w:tab/>
        <w:t>按照《深圳证券交易所创业板行业信息披露指引第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号——上市公司从事电子商务业务》第八条，在网络及数据信 息安全、个人信息保护、消费者权益保护、商业道德风险等领域所实施的保障措施</w:t>
      </w:r>
    </w:p>
    <w:p>
      <w:pPr>
        <w:pStyle w:val="Style17"/>
        <w:keepNext w:val="0"/>
        <w:keepLines w:val="0"/>
        <w:widowControl w:val="0"/>
        <w:shd w:val="clear" w:color="auto" w:fill="auto"/>
        <w:bidi w:val="0"/>
        <w:spacing w:before="0" w:after="420" w:line="470" w:lineRule="exact"/>
        <w:ind w:left="0" w:right="0"/>
        <w:jc w:val="both"/>
      </w:pPr>
      <w:r>
        <w:rPr>
          <w:color w:val="000000"/>
          <w:spacing w:val="0"/>
          <w:w w:val="100"/>
          <w:position w:val="0"/>
        </w:rPr>
        <w:t>安科创新开通国内、国外用户服务专线，并布局售后网点来重点处理用户的产品安装、使用故障及投诉等问题，从而有 效提升客户体验，并保障消费者权益。安科创新在跨境电商领域拥有良好的技术储备，自营平台采用了科学的加密技术与手 段，外部平台主要选择信誉好、规模大、措施完善的第三方平台开展合作，充分保障每一位用户的个人信息及隐私权益。</w:t>
      </w:r>
    </w:p>
    <w:p>
      <w:pPr>
        <w:pStyle w:val="Style32"/>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sz w:val="24"/>
          <w:szCs w:val="24"/>
        </w:rPr>
        <w:t>二</w:t>
      </w:r>
      <w:bookmarkEnd w:id="130"/>
      <w:r>
        <w:rPr>
          <w:color w:val="000000"/>
          <w:spacing w:val="0"/>
          <w:w w:val="100"/>
          <w:position w:val="0"/>
          <w:sz w:val="24"/>
          <w:szCs w:val="24"/>
        </w:rPr>
        <w:t>、主营业务分析</w:t>
      </w:r>
      <w:bookmarkEnd w:id="128"/>
      <w:bookmarkEnd w:id="129"/>
      <w:bookmarkEnd w:id="131"/>
    </w:p>
    <w:p>
      <w:pPr>
        <w:pStyle w:val="Style36"/>
        <w:keepNext/>
        <w:keepLines/>
        <w:widowControl w:val="0"/>
        <w:shd w:val="clear" w:color="auto" w:fill="auto"/>
        <w:bidi w:val="0"/>
        <w:spacing w:before="0" w:after="18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1</w:t>
      </w:r>
      <w:bookmarkEnd w:id="134"/>
      <w:r>
        <w:rPr>
          <w:color w:val="000000"/>
          <w:spacing w:val="0"/>
          <w:w w:val="100"/>
          <w:position w:val="0"/>
        </w:rPr>
        <w:t>、概述</w:t>
      </w:r>
      <w:bookmarkEnd w:id="132"/>
      <w:bookmarkEnd w:id="133"/>
      <w:bookmarkEnd w:id="135"/>
    </w:p>
    <w:p>
      <w:pPr>
        <w:pStyle w:val="Style17"/>
        <w:keepNext w:val="0"/>
        <w:keepLines w:val="0"/>
        <w:widowControl w:val="0"/>
        <w:shd w:val="clear" w:color="auto" w:fill="auto"/>
        <w:bidi w:val="0"/>
        <w:spacing w:before="0" w:after="160" w:line="470" w:lineRule="exact"/>
        <w:ind w:left="0" w:right="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6"/>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2</w:t>
      </w:r>
      <w:bookmarkEnd w:id="138"/>
      <w:r>
        <w:rPr>
          <w:color w:val="000000"/>
          <w:spacing w:val="0"/>
          <w:w w:val="100"/>
          <w:position w:val="0"/>
        </w:rPr>
        <w:t>、收入与成本</w:t>
      </w:r>
      <w:bookmarkEnd w:id="136"/>
      <w:bookmarkEnd w:id="137"/>
      <w:bookmarkEnd w:id="139"/>
    </w:p>
    <w:p>
      <w:pPr>
        <w:pStyle w:val="Style44"/>
        <w:keepNext/>
        <w:keepLines/>
        <w:widowControl w:val="0"/>
        <w:numPr>
          <w:ilvl w:val="0"/>
          <w:numId w:val="5"/>
        </w:numPr>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营业收入构成</w:t>
      </w:r>
      <w:bookmarkEnd w:id="140"/>
      <w:bookmarkEnd w:id="141"/>
      <w:bookmarkEnd w:id="143"/>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1,181,006,553.61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215,826,759.68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172,038,475.59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743,788,163.89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633,002,221.67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430,845,284.01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375,965,856.35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81,494,826.69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92,635,671.12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134,331,932.99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79,402,804.47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641,356,235.73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514,035,746.91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移动互联网应用服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102,431,928.16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118,966,474.76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430,845,284.01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375,965,856.35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968,551,135.65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810,931,712.54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421,909,071.93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370,074,841.07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r>
    </w:tbl>
    <w:p>
      <w:pPr>
        <w:widowControl w:val="0"/>
        <w:spacing w:after="319" w:line="1" w:lineRule="exact"/>
      </w:pPr>
    </w:p>
    <w:p>
      <w:pPr>
        <w:pStyle w:val="Style44"/>
        <w:keepNext/>
        <w:keepLines/>
        <w:widowControl w:val="0"/>
        <w:numPr>
          <w:ilvl w:val="0"/>
          <w:numId w:val="5"/>
        </w:numPr>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4"/>
      <w:bookmarkEnd w:id="145"/>
      <w:bookmarkEnd w:id="147"/>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215,826,759.68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105,235,421.10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11.18%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743,788,163.89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646,928,171.78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430,845,284.01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285,587,687.21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81,494,826.69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42,683,265.84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134,331,932.99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62,552,155.26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641,356,235.73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600,327,926.03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移动互联网应用 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102,431,928.16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46,600,245.75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430,845,284.01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285,587,687.21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968,551,135.65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685,506,294.11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421,909,071.93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352,244,985.98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w:t>
            </w:r>
          </w:p>
        </w:tc>
      </w:tr>
    </w:tbl>
    <w:p>
      <w:pPr>
        <w:pStyle w:val="Style1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10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8"/>
      <w:bookmarkEnd w:id="149"/>
      <w:bookmarkEnd w:id="151"/>
    </w:p>
    <w:p>
      <w:pPr>
        <w:pStyle w:val="Style17"/>
        <w:keepNext w:val="0"/>
        <w:keepLines w:val="0"/>
        <w:widowControl w:val="0"/>
        <w:shd w:val="clear" w:color="auto" w:fill="auto"/>
        <w:bidi w:val="0"/>
        <w:spacing w:before="0" w:after="380" w:line="48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2"/>
      <w:bookmarkEnd w:id="153"/>
      <w:bookmarkEnd w:id="155"/>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490" w:lineRule="exact"/>
        <w:ind w:left="0" w:right="0" w:firstLine="36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月，公司中标中国工商银行行政印章用印机设备项目。截至报告期末，该项目已实施的合同总金额为</w:t>
      </w:r>
      <w:r>
        <w:rPr>
          <w:rFonts w:ascii="Times New Roman" w:eastAsia="Times New Roman" w:hAnsi="Times New Roman" w:cs="Times New Roman"/>
          <w:color w:val="000000"/>
          <w:spacing w:val="0"/>
          <w:w w:val="100"/>
          <w:position w:val="0"/>
          <w:sz w:val="18"/>
          <w:szCs w:val="18"/>
        </w:rPr>
        <w:t>179.35</w:t>
      </w:r>
      <w:r>
        <w:rPr>
          <w:color w:val="000000"/>
          <w:spacing w:val="0"/>
          <w:w w:val="100"/>
          <w:position w:val="0"/>
        </w:rPr>
        <w:t>万 元，目前该项目仍在进行中，公司将继续与客户协商按照客户需求履行合同。</w:t>
      </w:r>
    </w:p>
    <w:p>
      <w:pPr>
        <w:pStyle w:val="Style17"/>
        <w:keepNext w:val="0"/>
        <w:keepLines w:val="0"/>
        <w:widowControl w:val="0"/>
        <w:shd w:val="clear" w:color="auto" w:fill="auto"/>
        <w:bidi w:val="0"/>
        <w:spacing w:before="0" w:after="440" w:line="485"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月，公司中标中国建设银行印控机采购项目。截至报告期末，该项目已实施的合同总金额为</w:t>
      </w:r>
      <w:r>
        <w:rPr>
          <w:rFonts w:ascii="Times New Roman" w:eastAsia="Times New Roman" w:hAnsi="Times New Roman" w:cs="Times New Roman"/>
          <w:color w:val="000000"/>
          <w:spacing w:val="0"/>
          <w:w w:val="100"/>
          <w:position w:val="0"/>
          <w:sz w:val="18"/>
          <w:szCs w:val="18"/>
        </w:rPr>
        <w:t>4,614.88</w:t>
      </w:r>
      <w:r>
        <w:rPr>
          <w:color w:val="000000"/>
          <w:spacing w:val="0"/>
          <w:w w:val="100"/>
          <w:position w:val="0"/>
        </w:rPr>
        <w:t>万元，该 项目已基本实施完毕。</w:t>
      </w:r>
    </w:p>
    <w:p>
      <w:pPr>
        <w:pStyle w:val="Style44"/>
        <w:keepNext/>
        <w:keepLines/>
        <w:widowControl w:val="0"/>
        <w:shd w:val="clear" w:color="auto" w:fill="auto"/>
        <w:tabs>
          <w:tab w:pos="493" w:val="left"/>
        </w:tabs>
        <w:bidi w:val="0"/>
        <w:spacing w:before="0" w:after="10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6"/>
      <w:bookmarkEnd w:id="157"/>
      <w:bookmarkEnd w:id="159"/>
    </w:p>
    <w:p>
      <w:pPr>
        <w:pStyle w:val="Style17"/>
        <w:keepNext w:val="0"/>
        <w:keepLines w:val="0"/>
        <w:widowControl w:val="0"/>
        <w:shd w:val="clear" w:color="auto" w:fill="auto"/>
        <w:bidi w:val="0"/>
        <w:spacing w:before="0" w:after="140" w:line="487" w:lineRule="exact"/>
        <w:ind w:left="0" w:right="0" w:firstLine="0"/>
        <w:jc w:val="left"/>
      </w:pPr>
      <w:r>
        <w:rPr>
          <w:color w:val="000000"/>
          <w:spacing w:val="0"/>
          <w:w w:val="100"/>
          <w:position w:val="0"/>
        </w:rPr>
        <w:t>产品分类</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2,470,828.32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3,398,229.73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40,212,437.52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49,400,841.73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58,559,264.66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46,545,807.60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3,992,890.60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3,774,322.97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600,327,926.03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442,220,705.17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移动互联网应用 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1,439,386.95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1,356,182.25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移动互联网应用 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45,160,858.80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27,264,112.05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w:t>
            </w:r>
          </w:p>
        </w:tc>
      </w:tr>
    </w:tbl>
    <w:p>
      <w:pPr>
        <w:widowControl w:val="0"/>
        <w:spacing w:line="1" w:lineRule="exact"/>
      </w:pP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285,587,687.21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235,446,738.48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r>
    </w:tbl>
    <w:p>
      <w:pPr>
        <w:widowControl w:val="0"/>
        <w:spacing w:after="319" w:line="1" w:lineRule="exact"/>
      </w:pPr>
    </w:p>
    <w:p>
      <w:pPr>
        <w:pStyle w:val="Style44"/>
        <w:keepNext/>
        <w:keepLines/>
        <w:widowControl w:val="0"/>
        <w:shd w:val="clear" w:color="auto" w:fill="auto"/>
        <w:tabs>
          <w:tab w:pos="493" w:val="left"/>
        </w:tabs>
        <w:bidi w:val="0"/>
        <w:spacing w:before="0" w:after="10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0"/>
      <w:bookmarkEnd w:id="161"/>
      <w:bookmarkEnd w:id="163"/>
    </w:p>
    <w:p>
      <w:pPr>
        <w:pStyle w:val="Style17"/>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val="0"/>
        <w:keepLines w:val="0"/>
        <w:widowControl w:val="0"/>
        <w:shd w:val="clear" w:color="auto" w:fill="auto"/>
        <w:bidi w:val="0"/>
        <w:spacing w:before="0" w:after="460" w:line="468" w:lineRule="exact"/>
        <w:ind w:left="0" w:right="0" w:firstLine="360"/>
        <w:jc w:val="both"/>
      </w:pPr>
      <w:r>
        <w:rPr>
          <w:color w:val="000000"/>
          <w:spacing w:val="0"/>
          <w:w w:val="100"/>
          <w:position w:val="0"/>
        </w:rPr>
        <w:t>报告期内，本公司全资孙公司深圳市银之杰金融设备有限公司的股东由全资子公司深圳银之杰智慧科技有限公司变更为 本公司，深圳市银之杰金融设备有限公司变更为公司全资子公司，合并报表范围子公司增加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户。本公司子公司北京杰智融 软件有限公司出资设立河南图柏创新信息科技有限公司，合并报表范围孙公司增加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w:t>
      </w:r>
    </w:p>
    <w:p>
      <w:pPr>
        <w:pStyle w:val="Style44"/>
        <w:keepNext/>
        <w:keepLines/>
        <w:widowControl w:val="0"/>
        <w:shd w:val="clear" w:color="auto" w:fill="auto"/>
        <w:tabs>
          <w:tab w:pos="493" w:val="left"/>
        </w:tabs>
        <w:bidi w:val="0"/>
        <w:spacing w:before="0" w:after="10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4"/>
      <w:bookmarkEnd w:id="165"/>
      <w:bookmarkEnd w:id="167"/>
    </w:p>
    <w:p>
      <w:pPr>
        <w:pStyle w:val="Style17"/>
        <w:keepNext w:val="0"/>
        <w:keepLines w:val="0"/>
        <w:widowControl w:val="0"/>
        <w:shd w:val="clear" w:color="auto" w:fill="auto"/>
        <w:bidi w:val="0"/>
        <w:spacing w:before="0" w:after="360" w:line="46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100" w:line="240" w:lineRule="auto"/>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8"/>
      <w:bookmarkEnd w:id="169"/>
      <w:bookmarkEnd w:id="171"/>
    </w:p>
    <w:p>
      <w:pPr>
        <w:pStyle w:val="Style17"/>
        <w:keepNext w:val="0"/>
        <w:keepLines w:val="0"/>
        <w:widowControl w:val="0"/>
        <w:shd w:val="clear" w:color="auto" w:fill="auto"/>
        <w:bidi w:val="0"/>
        <w:spacing w:before="0" w:after="100" w:line="468"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318,634,966.68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widowControl w:val="0"/>
        <w:spacing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117,633,645.26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58,980,781.38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54,313,153.54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50,521,538.30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37,185,848.20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318,634,966.68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w:t>
            </w:r>
          </w:p>
        </w:tc>
      </w:tr>
    </w:tbl>
    <w:p>
      <w:pPr>
        <w:widowControl w:val="0"/>
        <w:spacing w:after="99" w:line="1" w:lineRule="exact"/>
      </w:pP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主要客户其他情况说明</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220" w:line="485" w:lineRule="exact"/>
        <w:ind w:left="0" w:right="0" w:firstLine="36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 人和其他关联方在主要客户中未直接或间接拥有权益。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490,528,465.03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148,112,404.94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112,461,892.70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7.82%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101,894,635.75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71,771,185.32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56,288,346.32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490,528,465.03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460" w:line="480" w:lineRule="exact"/>
        <w:ind w:left="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 制人和其他关联方在主要供应商中未直接或间接拥有权益。</w:t>
      </w:r>
    </w:p>
    <w:p>
      <w:pPr>
        <w:pStyle w:val="Style36"/>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、费用</w:t>
      </w:r>
      <w:bookmarkEnd w:id="172"/>
      <w:bookmarkEnd w:id="173"/>
      <w:bookmarkEnd w:id="17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168,431,893.10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192,201,122.27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60,784,125.08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62,058,606.69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13,537,876.49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17,032,847.87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74,028,411.51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68,812,204.30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2,298,651.17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1,379,402.26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主要原因系报告期内公司及子公司 智慧科技、杰智融营收增加导致税金 及附加增加所致。</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12,468,031.26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8,176,569.93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主要原因系报告期内公司子公司亿 美软通享受增值税进项税额加计抵 扣优惠以及子公司智慧科技因收入 增长导致收到软件退税款增加所致。</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主要原因系报告期内公司子公司安 科创新上期进行的套期保值远期结 汇交易业务本期已到期所致。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主要原因系报告期内公司处置固定 资产较上期减少所致。</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599,928.97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主要原因系公司子公司亿美软通上 期固定资产报废处置损失大于本期 所致。</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-5,225,713.28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-3,000,607.43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主要原因系报告期内公司子公司亿</w:t>
            </w:r>
          </w:p>
        </w:tc>
      </w:tr>
    </w:tbl>
    <w:p>
      <w:pPr>
        <w:widowControl w:val="0"/>
        <w:spacing w:line="1" w:lineRule="exact"/>
      </w:pPr>
      <w:r>
        <w:br w:type="page"/>
      </w:r>
    </w:p>
    <w:tbl>
      <w:tblPr>
        <w:tblOverlap w:val="never"/>
        <w:jc w:val="center"/>
        <w:tblLayout w:type="fixed"/>
      </w:tblPr>
      <w:tblGrid>
        <w:gridCol w:w="1920"/>
        <w:gridCol w:w="1637"/>
        <w:gridCol w:w="1637"/>
        <w:gridCol w:w="1459"/>
        <w:gridCol w:w="292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美软通利润较上期减少所致。</w:t>
            </w:r>
          </w:p>
        </w:tc>
      </w:tr>
    </w:tbl>
    <w:p>
      <w:pPr>
        <w:widowControl w:val="0"/>
        <w:spacing w:after="319" w:line="1" w:lineRule="exact"/>
      </w:pPr>
    </w:p>
    <w:p>
      <w:pPr>
        <w:pStyle w:val="Style36"/>
        <w:keepNext/>
        <w:keepLines/>
        <w:widowControl w:val="0"/>
        <w:shd w:val="clear" w:color="auto" w:fill="auto"/>
        <w:bidi w:val="0"/>
        <w:spacing w:before="0" w:after="12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4</w:t>
      </w:r>
      <w:bookmarkEnd w:id="178"/>
      <w:r>
        <w:rPr>
          <w:color w:val="000000"/>
          <w:spacing w:val="0"/>
          <w:w w:val="100"/>
          <w:position w:val="0"/>
        </w:rPr>
        <w:t>、研发投入</w:t>
      </w:r>
      <w:bookmarkEnd w:id="176"/>
      <w:bookmarkEnd w:id="177"/>
      <w:bookmarkEnd w:id="179"/>
    </w:p>
    <w:p>
      <w:pPr>
        <w:pStyle w:val="Style17"/>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金融行业业务创新层出不穷，市场需求日新月异。作为金融信息化和新兴金融服务领域的高新技术企业，公司一直十分 重视研发投入，坚持以客户需求为导向，走自主创新的产品研发道路。为公司进一步丰富综合金融生态服务体系的产品和服 务，提升金融科技的服务能力和竞争能力。公司一方面努力做好提高、完善现有产品的各项技术和功能，另一方面不断丰富 研发人员的知识储备，密切关注创新业务的动态与潜在需求，加大新产品的研发力度、提升新兴业务的服务能力。</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截至报告期末，公司及控股子公司已获得软件著作权</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项、专利授权</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项、 外观设计专利</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项）。</w:t>
      </w:r>
    </w:p>
    <w:p>
      <w:pPr>
        <w:pStyle w:val="Style17"/>
        <w:keepNext w:val="0"/>
        <w:keepLines w:val="0"/>
        <w:widowControl w:val="0"/>
        <w:shd w:val="clear" w:color="auto" w:fill="auto"/>
        <w:bidi w:val="0"/>
        <w:spacing w:before="0" w:after="80" w:line="470"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82,134,007.52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81,340,235.97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60,807,075.77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19,275,350.77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10,628,538.27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6,621,427.99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92.41%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r>
    </w:tbl>
    <w:p>
      <w:pPr>
        <w:pStyle w:val="Style1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bookmarkEnd w:id="182"/>
      <w:r>
        <w:rPr>
          <w:color w:val="000000"/>
          <w:spacing w:val="0"/>
          <w:w w:val="100"/>
          <w:position w:val="0"/>
        </w:rPr>
        <w:t>、现金流</w:t>
      </w:r>
      <w:bookmarkEnd w:id="180"/>
      <w:bookmarkEnd w:id="181"/>
      <w:bookmarkEnd w:id="18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1,489,453,199.08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1,204,220,144.02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1,344,789,712.55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1,257,645,817.81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144,663,486.53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-53,425,673.79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433,374,432.26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543,806,742.83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w:t>
            </w:r>
          </w:p>
        </w:tc>
      </w:tr>
    </w:tbl>
    <w:p>
      <w:pPr>
        <w:widowControl w:val="0"/>
        <w:spacing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292,725,943.98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541,209,647.73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140,648,488.28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2,597,095.10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554,620,184.15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425,950,000.00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657,211,576.73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481,757,268.82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-102,591,392.58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-55,807,268.82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181,751,409.94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-106,735,322.48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270.28%</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474" w:lineRule="exact"/>
        <w:ind w:left="0" w:right="0" w:firstLine="360"/>
        <w:jc w:val="both"/>
      </w:pPr>
      <w:r>
        <w:rPr>
          <w:color w:val="000000"/>
          <w:spacing w:val="0"/>
          <w:w w:val="100"/>
          <w:position w:val="0"/>
        </w:rPr>
        <w:t>报告期内，经营活动现金流入增加</w:t>
      </w:r>
      <w:r>
        <w:rPr>
          <w:rFonts w:ascii="Times New Roman" w:eastAsia="Times New Roman" w:hAnsi="Times New Roman" w:cs="Times New Roman"/>
          <w:color w:val="000000"/>
          <w:spacing w:val="0"/>
          <w:w w:val="100"/>
          <w:position w:val="0"/>
          <w:sz w:val="18"/>
          <w:szCs w:val="18"/>
        </w:rPr>
        <w:t>28,523.3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23.69%</w:t>
      </w:r>
      <w:r>
        <w:rPr>
          <w:color w:val="000000"/>
          <w:spacing w:val="0"/>
          <w:w w:val="100"/>
          <w:position w:val="0"/>
        </w:rPr>
        <w:t>，主要原因系报告期内公司及公司子公司亿美软通、安 科创新销售回款较上期增加所致。</w:t>
      </w:r>
    </w:p>
    <w:p>
      <w:pPr>
        <w:pStyle w:val="Style17"/>
        <w:keepNext w:val="0"/>
        <w:keepLines w:val="0"/>
        <w:widowControl w:val="0"/>
        <w:shd w:val="clear" w:color="auto" w:fill="auto"/>
        <w:bidi w:val="0"/>
        <w:spacing w:before="0" w:after="0" w:line="474" w:lineRule="exact"/>
        <w:ind w:left="0" w:right="0" w:firstLine="360"/>
        <w:jc w:val="both"/>
      </w:pPr>
      <w:r>
        <w:rPr>
          <w:color w:val="000000"/>
          <w:spacing w:val="0"/>
          <w:w w:val="100"/>
          <w:position w:val="0"/>
        </w:rPr>
        <w:t>报告期内，经营活动现金流出增加</w:t>
      </w:r>
      <w:r>
        <w:rPr>
          <w:rFonts w:ascii="Times New Roman" w:eastAsia="Times New Roman" w:hAnsi="Times New Roman" w:cs="Times New Roman"/>
          <w:color w:val="000000"/>
          <w:spacing w:val="0"/>
          <w:w w:val="100"/>
          <w:position w:val="0"/>
          <w:sz w:val="18"/>
          <w:szCs w:val="18"/>
        </w:rPr>
        <w:t>8,714.39</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6.93%</w:t>
      </w:r>
      <w:r>
        <w:rPr>
          <w:color w:val="000000"/>
          <w:spacing w:val="0"/>
          <w:w w:val="100"/>
          <w:position w:val="0"/>
        </w:rPr>
        <w:t>，主要原因系报告期内公司子公司亿美软通及安科创新增 加购买商品支付现金所致。</w:t>
      </w:r>
    </w:p>
    <w:p>
      <w:pPr>
        <w:pStyle w:val="Style17"/>
        <w:keepNext w:val="0"/>
        <w:keepLines w:val="0"/>
        <w:widowControl w:val="0"/>
        <w:shd w:val="clear" w:color="auto" w:fill="auto"/>
        <w:bidi w:val="0"/>
        <w:spacing w:before="0" w:after="0" w:line="474" w:lineRule="exact"/>
        <w:ind w:left="0" w:right="0" w:firstLine="360"/>
        <w:jc w:val="both"/>
      </w:pPr>
      <w:r>
        <w:rPr>
          <w:color w:val="000000"/>
          <w:spacing w:val="0"/>
          <w:w w:val="100"/>
          <w:position w:val="0"/>
        </w:rPr>
        <w:t>报告期内，投资活动现金流入减少</w:t>
      </w:r>
      <w:r>
        <w:rPr>
          <w:rFonts w:ascii="Times New Roman" w:eastAsia="Times New Roman" w:hAnsi="Times New Roman" w:cs="Times New Roman"/>
          <w:color w:val="000000"/>
          <w:spacing w:val="0"/>
          <w:w w:val="100"/>
          <w:position w:val="0"/>
          <w:sz w:val="18"/>
          <w:szCs w:val="18"/>
        </w:rPr>
        <w:t>11,043.23</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，主要原因系报告期内公司募集资金现金管理赎回较上 年同期减少所致。</w:t>
      </w:r>
    </w:p>
    <w:p>
      <w:pPr>
        <w:pStyle w:val="Style17"/>
        <w:keepNext w:val="0"/>
        <w:keepLines w:val="0"/>
        <w:widowControl w:val="0"/>
        <w:shd w:val="clear" w:color="auto" w:fill="auto"/>
        <w:bidi w:val="0"/>
        <w:spacing w:before="0" w:after="0" w:line="474" w:lineRule="exact"/>
        <w:ind w:left="0" w:right="0" w:firstLine="360"/>
        <w:jc w:val="both"/>
      </w:pPr>
      <w:r>
        <w:rPr>
          <w:color w:val="000000"/>
          <w:spacing w:val="0"/>
          <w:w w:val="100"/>
          <w:position w:val="0"/>
        </w:rPr>
        <w:t>报告期内，投资活动现金流出减少</w:t>
      </w:r>
      <w:r>
        <w:rPr>
          <w:rFonts w:ascii="Times New Roman" w:eastAsia="Times New Roman" w:hAnsi="Times New Roman" w:cs="Times New Roman"/>
          <w:color w:val="000000"/>
          <w:spacing w:val="0"/>
          <w:w w:val="100"/>
          <w:position w:val="0"/>
          <w:sz w:val="18"/>
          <w:szCs w:val="18"/>
        </w:rPr>
        <w:t>24,848.37</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45.91%</w:t>
      </w:r>
      <w:r>
        <w:rPr>
          <w:color w:val="000000"/>
          <w:spacing w:val="0"/>
          <w:w w:val="100"/>
          <w:position w:val="0"/>
        </w:rPr>
        <w:t>，主要原因系报告期内公司使用暂时闲置募集资金进行 现金管理减少所致。</w:t>
      </w:r>
    </w:p>
    <w:p>
      <w:pPr>
        <w:pStyle w:val="Style17"/>
        <w:keepNext w:val="0"/>
        <w:keepLines w:val="0"/>
        <w:widowControl w:val="0"/>
        <w:shd w:val="clear" w:color="auto" w:fill="auto"/>
        <w:bidi w:val="0"/>
        <w:spacing w:before="0" w:after="0" w:line="474" w:lineRule="exact"/>
        <w:ind w:left="0" w:right="0" w:firstLine="360"/>
        <w:jc w:val="both"/>
      </w:pPr>
      <w:r>
        <w:rPr>
          <w:color w:val="000000"/>
          <w:spacing w:val="0"/>
          <w:w w:val="100"/>
          <w:position w:val="0"/>
        </w:rPr>
        <w:t>报告期内，筹资活动现金流入增加</w:t>
      </w:r>
      <w:r>
        <w:rPr>
          <w:rFonts w:ascii="Times New Roman" w:eastAsia="Times New Roman" w:hAnsi="Times New Roman" w:cs="Times New Roman"/>
          <w:color w:val="000000"/>
          <w:spacing w:val="0"/>
          <w:w w:val="100"/>
          <w:position w:val="0"/>
          <w:sz w:val="18"/>
          <w:szCs w:val="18"/>
        </w:rPr>
        <w:t>12,867.02</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30.21%</w:t>
      </w:r>
      <w:r>
        <w:rPr>
          <w:color w:val="000000"/>
          <w:spacing w:val="0"/>
          <w:w w:val="100"/>
          <w:position w:val="0"/>
        </w:rPr>
        <w:t>，主要原因系报告期内公司子公司智慧科技取得一年内 的银行借款较上期增加所致。</w:t>
      </w:r>
    </w:p>
    <w:p>
      <w:pPr>
        <w:pStyle w:val="Style17"/>
        <w:keepNext w:val="0"/>
        <w:keepLines w:val="0"/>
        <w:widowControl w:val="0"/>
        <w:shd w:val="clear" w:color="auto" w:fill="auto"/>
        <w:bidi w:val="0"/>
        <w:spacing w:before="0" w:after="580" w:line="474" w:lineRule="exact"/>
        <w:ind w:left="0" w:right="0" w:firstLine="360"/>
        <w:jc w:val="both"/>
      </w:pPr>
      <w:r>
        <w:rPr>
          <w:color w:val="000000"/>
          <w:spacing w:val="0"/>
          <w:w w:val="100"/>
          <w:position w:val="0"/>
        </w:rPr>
        <w:t>报告期内，筹资活动现金流出增加</w:t>
      </w:r>
      <w:r>
        <w:rPr>
          <w:rFonts w:ascii="Times New Roman" w:eastAsia="Times New Roman" w:hAnsi="Times New Roman" w:cs="Times New Roman"/>
          <w:color w:val="000000"/>
          <w:spacing w:val="0"/>
          <w:w w:val="100"/>
          <w:position w:val="0"/>
          <w:sz w:val="18"/>
          <w:szCs w:val="18"/>
        </w:rPr>
        <w:t>17,545.43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36.42%</w:t>
      </w:r>
      <w:r>
        <w:rPr>
          <w:color w:val="000000"/>
          <w:spacing w:val="0"/>
          <w:w w:val="100"/>
          <w:position w:val="0"/>
        </w:rPr>
        <w:t>，主要原因系报告期内公司及子公司安科创新、亿美软 通偿还银行借款较上期增加所致。</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报告期内，公司经营活动的现金流量较本年度净利润增加</w:t>
      </w:r>
      <w:r>
        <w:rPr>
          <w:rFonts w:ascii="Times New Roman" w:eastAsia="Times New Roman" w:hAnsi="Times New Roman" w:cs="Times New Roman"/>
          <w:color w:val="000000"/>
          <w:spacing w:val="0"/>
          <w:w w:val="100"/>
          <w:position w:val="0"/>
          <w:sz w:val="18"/>
          <w:szCs w:val="18"/>
        </w:rPr>
        <w:t>10,916.29</w:t>
      </w:r>
      <w:r>
        <w:rPr>
          <w:color w:val="000000"/>
          <w:spacing w:val="0"/>
          <w:w w:val="100"/>
          <w:position w:val="0"/>
        </w:rPr>
        <w:t>万元，主要原因是：</w:t>
      </w:r>
    </w:p>
    <w:p>
      <w:pPr>
        <w:pStyle w:val="Style17"/>
        <w:keepNext w:val="0"/>
        <w:keepLines w:val="0"/>
        <w:widowControl w:val="0"/>
        <w:shd w:val="clear" w:color="auto" w:fill="auto"/>
        <w:tabs>
          <w:tab w:pos="694" w:val="left"/>
        </w:tabs>
        <w:bidi w:val="0"/>
        <w:spacing w:before="0" w:after="0" w:line="474" w:lineRule="exact"/>
        <w:ind w:left="0" w:right="0" w:firstLine="360"/>
        <w:jc w:val="left"/>
      </w:pPr>
      <w:bookmarkStart w:id="184" w:name="bookmark184"/>
      <w:r>
        <w:rPr>
          <w:rFonts w:ascii="Times New Roman" w:eastAsia="Times New Roman" w:hAnsi="Times New Roman" w:cs="Times New Roman"/>
          <w:color w:val="000000"/>
          <w:spacing w:val="0"/>
          <w:w w:val="100"/>
          <w:position w:val="0"/>
          <w:sz w:val="18"/>
          <w:szCs w:val="18"/>
        </w:rPr>
        <w:t>1</w:t>
      </w:r>
      <w:bookmarkEnd w:id="184"/>
      <w:r>
        <w:rPr>
          <w:color w:val="000000"/>
          <w:spacing w:val="0"/>
          <w:w w:val="100"/>
          <w:position w:val="0"/>
        </w:rPr>
        <w:t>、</w:t>
        <w:tab/>
        <w:t>报告期内公司及子公司亿美软通、安科创新销售回款增加，导致经营活动现金流入增加；</w:t>
      </w:r>
    </w:p>
    <w:p>
      <w:pPr>
        <w:pStyle w:val="Style17"/>
        <w:keepNext w:val="0"/>
        <w:keepLines w:val="0"/>
        <w:widowControl w:val="0"/>
        <w:shd w:val="clear" w:color="auto" w:fill="auto"/>
        <w:tabs>
          <w:tab w:pos="714" w:val="left"/>
        </w:tabs>
        <w:bidi w:val="0"/>
        <w:spacing w:before="0" w:after="0" w:line="474" w:lineRule="exact"/>
        <w:ind w:left="0" w:right="0" w:firstLine="360"/>
        <w:jc w:val="left"/>
      </w:pPr>
      <w:bookmarkStart w:id="185" w:name="bookmark185"/>
      <w:r>
        <w:rPr>
          <w:rFonts w:ascii="Times New Roman" w:eastAsia="Times New Roman" w:hAnsi="Times New Roman" w:cs="Times New Roman"/>
          <w:color w:val="000000"/>
          <w:spacing w:val="0"/>
          <w:w w:val="100"/>
          <w:position w:val="0"/>
          <w:sz w:val="18"/>
          <w:szCs w:val="18"/>
        </w:rPr>
        <w:t>2</w:t>
      </w:r>
      <w:bookmarkEnd w:id="185"/>
      <w:r>
        <w:rPr>
          <w:color w:val="000000"/>
          <w:spacing w:val="0"/>
          <w:w w:val="100"/>
          <w:position w:val="0"/>
        </w:rPr>
        <w:t>、</w:t>
        <w:tab/>
        <w:t>报告期内公司计提联营企业亏损</w:t>
      </w:r>
      <w:r>
        <w:rPr>
          <w:rFonts w:ascii="Times New Roman" w:eastAsia="Times New Roman" w:hAnsi="Times New Roman" w:cs="Times New Roman"/>
          <w:color w:val="000000"/>
          <w:spacing w:val="0"/>
          <w:w w:val="100"/>
          <w:position w:val="0"/>
          <w:sz w:val="18"/>
          <w:szCs w:val="18"/>
        </w:rPr>
        <w:t>496.98</w:t>
      </w:r>
      <w:r>
        <w:rPr>
          <w:color w:val="000000"/>
          <w:spacing w:val="0"/>
          <w:w w:val="100"/>
          <w:position w:val="0"/>
        </w:rPr>
        <w:t>万元，未发生经营活动的现金流出；</w:t>
      </w:r>
    </w:p>
    <w:p>
      <w:pPr>
        <w:pStyle w:val="Style17"/>
        <w:keepNext w:val="0"/>
        <w:keepLines w:val="0"/>
        <w:widowControl w:val="0"/>
        <w:shd w:val="clear" w:color="auto" w:fill="auto"/>
        <w:tabs>
          <w:tab w:pos="714" w:val="left"/>
        </w:tabs>
        <w:bidi w:val="0"/>
        <w:spacing w:before="0" w:after="440" w:line="474" w:lineRule="exact"/>
        <w:ind w:left="0" w:right="0" w:firstLine="360"/>
        <w:jc w:val="left"/>
      </w:pPr>
      <w:bookmarkStart w:id="186" w:name="bookmark186"/>
      <w:r>
        <w:rPr>
          <w:rFonts w:ascii="Times New Roman" w:eastAsia="Times New Roman" w:hAnsi="Times New Roman" w:cs="Times New Roman"/>
          <w:color w:val="000000"/>
          <w:spacing w:val="0"/>
          <w:w w:val="100"/>
          <w:position w:val="0"/>
          <w:sz w:val="18"/>
          <w:szCs w:val="18"/>
        </w:rPr>
        <w:t>3</w:t>
      </w:r>
      <w:bookmarkEnd w:id="186"/>
      <w:r>
        <w:rPr>
          <w:color w:val="000000"/>
          <w:spacing w:val="0"/>
          <w:w w:val="100"/>
          <w:position w:val="0"/>
        </w:rPr>
        <w:t>、</w:t>
        <w:tab/>
        <w:t>报告期内公司计提资产减值准备、折旧、摊销等非付现费用</w:t>
      </w:r>
      <w:r>
        <w:rPr>
          <w:rFonts w:ascii="Times New Roman" w:eastAsia="Times New Roman" w:hAnsi="Times New Roman" w:cs="Times New Roman"/>
          <w:color w:val="000000"/>
          <w:spacing w:val="0"/>
          <w:w w:val="100"/>
          <w:position w:val="0"/>
          <w:sz w:val="18"/>
          <w:szCs w:val="18"/>
        </w:rPr>
        <w:t>3,933.33</w:t>
      </w:r>
      <w:r>
        <w:rPr>
          <w:color w:val="000000"/>
          <w:spacing w:val="0"/>
          <w:w w:val="100"/>
          <w:position w:val="0"/>
        </w:rPr>
        <w:t>万元。</w:t>
      </w:r>
    </w:p>
    <w:p>
      <w:pPr>
        <w:pStyle w:val="Style32"/>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三</w:t>
      </w:r>
      <w:bookmarkEnd w:id="189"/>
      <w:r>
        <w:rPr>
          <w:color w:val="000000"/>
          <w:spacing w:val="0"/>
          <w:w w:val="100"/>
          <w:position w:val="0"/>
          <w:sz w:val="24"/>
          <w:szCs w:val="24"/>
        </w:rPr>
        <w:t>、非主营业务情况</w:t>
      </w:r>
      <w:bookmarkEnd w:id="187"/>
      <w:bookmarkEnd w:id="188"/>
      <w:bookmarkEnd w:id="190"/>
    </w:p>
    <w:p>
      <w:pPr>
        <w:pStyle w:val="Style17"/>
        <w:keepNext w:val="0"/>
        <w:keepLines w:val="0"/>
        <w:widowControl w:val="0"/>
        <w:shd w:val="clear" w:color="auto" w:fill="auto"/>
        <w:bidi w:val="0"/>
        <w:spacing w:before="0" w:after="0" w:line="55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-2,636,603.43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公司对外投资形成的损益 及理财收益。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存货计提的减值准备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处置废品收入及其他与企 业经营无直接联系的收入。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对外捐赠支出及其他与企 业经营无直接联系的支出。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-12,253,825.54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应收、其他应收款项计提的 减值准备。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四</w:t>
      </w:r>
      <w:bookmarkEnd w:id="193"/>
      <w:r>
        <w:rPr>
          <w:color w:val="000000"/>
          <w:spacing w:val="0"/>
          <w:w w:val="100"/>
          <w:position w:val="0"/>
          <w:sz w:val="24"/>
          <w:szCs w:val="24"/>
        </w:rPr>
        <w:t>、资产及负债状况分析</w:t>
      </w:r>
      <w:bookmarkEnd w:id="191"/>
      <w:bookmarkEnd w:id="192"/>
      <w:bookmarkEnd w:id="194"/>
    </w:p>
    <w:p>
      <w:pPr>
        <w:pStyle w:val="Style36"/>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、资产构成重大变动情况</w:t>
      </w:r>
      <w:bookmarkEnd w:id="195"/>
      <w:bookmarkEnd w:id="196"/>
      <w:bookmarkEnd w:id="198"/>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562,391,953.6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282,192,104.71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主要原因系报告期内公司使用暂时 闲置募集资金进行现金管理减少以 及经营活动现金流量增加所致。</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361,533,980.5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406,195,706.46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118,914,300.6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100,871,874.99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380,887,542.3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481,429,465.01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主要原因系报告期内公司对易安保 险以及子公司亿美软通对百可录的 投资由长期股权投资权益法核算，变 更为金融工具一其他权益工具投 资进行核算所致。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16,037,501.36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17,315,049.28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465,563,195.6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330,456,086.25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主要原因系报告期内公司及子公司 智慧科技、杰智融取得一年内的银行 借款较上期增加所致。</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主要原因系报告期内公司收回浮动</w:t>
            </w:r>
          </w:p>
        </w:tc>
      </w:tr>
    </w:tbl>
    <w:p>
      <w:pPr>
        <w:widowControl w:val="0"/>
        <w:spacing w:line="1" w:lineRule="exact"/>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利率理财产品所致。</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168,278,587.1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72,250,014.54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主要原因系报告期内公司对易安保 险以及子公司亿美软通对百可录的 投资由长期股权投资权益法核算，变 更为金融工具一其他权益工具投 资进行核算所致。</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141,218,041.7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191,369,361.13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主要原因系报告期内公司预付供应 商货款及公司子公司亿美软通预付 特定电信运营商的通讯服务运营成 本减少所致。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42,511,292.48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47,794,136.39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49,134,821.34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161,140,756.94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主要原因系报告期末公司收回固定 利率理财产品所致。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52,423,206.37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55,483,496.17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15,424,139.02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12,759,968.70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5,120,846.41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5,472,231.76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36,539,531.22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45,008,942.71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46,769,379.06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25,159,856.89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主要原因系报告期内公司以及子公 司安科创新兑付上年度期末的银行 承兑汇票与本报告期开具的银行承 兑汇票的差额所致。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63,447,422.64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58,497,226.90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57,759,343.41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86,892,190.13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主要原因系报告期内公司子公司亿 美软通部分客户付款方式由预充值 向后付费转变所致。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13,170,778.28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15,365,076.46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51,695,989.80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76,298,939.41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主要原因系报告期内公司子公司亿 美软通营业利润较上年同期减少及 公司孙公司安科创新（香港）有限公 司取得税务豁免所致。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3,235,208.22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4,023,030.58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110,169,897.26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主要原因系报告期内公司到期归还 一年内到期的银行长期借款所致。</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380,384,170.3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、以公允价值计量的资产和负债</w:t>
      </w:r>
      <w:bookmarkEnd w:id="199"/>
      <w:bookmarkEnd w:id="200"/>
      <w:bookmarkEnd w:id="202"/>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50,455.50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50,455.50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8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、截至报告期末的资产权利受限情况</w:t>
      </w:r>
      <w:bookmarkEnd w:id="203"/>
      <w:bookmarkEnd w:id="204"/>
      <w:bookmarkEnd w:id="20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148,707.14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冻结的活期存款</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107,998,098.71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定期存款质押及保证金等</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20,099,496.00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银行借款质押担保</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128,246,301.85</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2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定期存款质押系本公司将</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万元定期存款质押银行开具银行票据；</w:t>
      </w:r>
    </w:p>
    <w:p>
      <w:pPr>
        <w:pStyle w:val="Style17"/>
        <w:keepNext w:val="0"/>
        <w:keepLines w:val="0"/>
        <w:widowControl w:val="0"/>
        <w:shd w:val="clear" w:color="auto" w:fill="auto"/>
        <w:bidi w:val="0"/>
        <w:spacing w:before="0" w:after="4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子公司北京亿美软通科技有限公司向北京银行借款</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20,099,496.00</w:t>
      </w:r>
      <w:r>
        <w:rPr>
          <w:color w:val="000000"/>
          <w:spacing w:val="0"/>
          <w:w w:val="100"/>
          <w:position w:val="0"/>
        </w:rPr>
        <w:t>元的应收账款作为质押。</w:t>
      </w:r>
    </w:p>
    <w:p>
      <w:pPr>
        <w:pStyle w:val="Style32"/>
        <w:keepNext/>
        <w:keepLines/>
        <w:widowControl w:val="0"/>
        <w:shd w:val="clear" w:color="auto" w:fill="auto"/>
        <w:bidi w:val="0"/>
        <w:spacing w:before="0" w:after="38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五</w:t>
      </w:r>
      <w:bookmarkEnd w:id="209"/>
      <w:r>
        <w:rPr>
          <w:color w:val="000000"/>
          <w:spacing w:val="0"/>
          <w:w w:val="100"/>
          <w:position w:val="0"/>
          <w:sz w:val="24"/>
          <w:szCs w:val="24"/>
        </w:rPr>
        <w:t>、投资状况分析</w:t>
      </w:r>
      <w:bookmarkEnd w:id="207"/>
      <w:bookmarkEnd w:id="208"/>
      <w:bookmarkEnd w:id="210"/>
    </w:p>
    <w:p>
      <w:pPr>
        <w:pStyle w:val="Style36"/>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、总体情况</w:t>
      </w:r>
      <w:bookmarkEnd w:id="211"/>
      <w:bookmarkEnd w:id="212"/>
      <w:bookmarkEnd w:id="214"/>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436.36%</w:t>
            </w:r>
          </w:p>
        </w:tc>
      </w:tr>
    </w:tbl>
    <w:p>
      <w:pPr>
        <w:widowControl w:val="0"/>
        <w:spacing w:after="359" w:line="1" w:lineRule="exact"/>
      </w:pPr>
    </w:p>
    <w:p>
      <w:pPr>
        <w:pStyle w:val="Style36"/>
        <w:keepNext/>
        <w:keepLines/>
        <w:widowControl w:val="0"/>
        <w:shd w:val="clear" w:color="auto" w:fill="auto"/>
        <w:tabs>
          <w:tab w:pos="378"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报告期内获取的重大的股权投资情况</w:t>
      </w:r>
      <w:bookmarkEnd w:id="215"/>
      <w:bookmarkEnd w:id="216"/>
      <w:bookmarkEnd w:id="218"/>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w:t>
        <w:tab/>
        <w:t>报告期内正在进行的重大的非股权投资情况</w:t>
      </w:r>
      <w:bookmarkEnd w:id="219"/>
      <w:bookmarkEnd w:id="220"/>
      <w:bookmarkEnd w:id="222"/>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4</w:t>
      </w:r>
      <w:bookmarkEnd w:id="225"/>
      <w:r>
        <w:rPr>
          <w:color w:val="000000"/>
          <w:spacing w:val="0"/>
          <w:w w:val="100"/>
          <w:position w:val="0"/>
        </w:rPr>
        <w:t>、</w:t>
        <w:tab/>
        <w:t>以公允价值计量的金融资产</w:t>
      </w:r>
      <w:bookmarkEnd w:id="223"/>
      <w:bookmarkEnd w:id="224"/>
      <w:bookmarkEnd w:id="226"/>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2,282,697.2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2,282,697.2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5</w:t>
      </w:r>
      <w:bookmarkEnd w:id="229"/>
      <w:r>
        <w:rPr>
          <w:color w:val="000000"/>
          <w:spacing w:val="0"/>
          <w:w w:val="100"/>
          <w:position w:val="0"/>
        </w:rPr>
        <w:t>、募集资金使用情况</w:t>
      </w:r>
      <w:bookmarkEnd w:id="227"/>
      <w:bookmarkEnd w:id="228"/>
      <w:bookmarkEnd w:id="230"/>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1"/>
      <w:bookmarkEnd w:id="232"/>
      <w:bookmarkEnd w:id="23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 用途的募 集资金总</w:t>
            </w:r>
          </w:p>
          <w:p>
            <w:pPr>
              <w:pStyle w:val="Style29"/>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1,338.72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26,166.01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暂时补充 流动资金、 存放于募 集资金专 项账户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26,166.01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1,338.72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10,498.45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26,166.01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26,166.01</w:t>
            </w:r>
          </w:p>
        </w:tc>
      </w:tr>
      <w:tr>
        <w:trPr>
          <w:trHeight w:val="403" w:hRule="exact"/>
        </w:trPr>
        <w:tc>
          <w:tcPr>
            <w:gridSpan w:val="11"/>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70" w:hRule="exact"/>
        </w:trPr>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[2017]559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核准，公司向同方金融控股（深圳）有限公司、武汉亘星投资有限公司、</w:t>
            </w:r>
          </w:p>
        </w:tc>
      </w:tr>
    </w:tbl>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财通基金管理有限公司非公开发行人民币普通股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22,626,766</w:t>
      </w:r>
      <w:r>
        <w:rPr>
          <w:color w:val="000000"/>
          <w:spacing w:val="0"/>
          <w:w w:val="100"/>
          <w:position w:val="0"/>
        </w:rPr>
        <w:t>股，发行价格每股</w:t>
      </w:r>
      <w:r>
        <w:rPr>
          <w:rFonts w:ascii="Times New Roman" w:eastAsia="Times New Roman" w:hAnsi="Times New Roman" w:cs="Times New Roman"/>
          <w:color w:val="000000"/>
          <w:spacing w:val="0"/>
          <w:w w:val="100"/>
          <w:position w:val="0"/>
          <w:sz w:val="18"/>
          <w:szCs w:val="18"/>
        </w:rPr>
        <w:t>15.99</w:t>
      </w:r>
      <w:r>
        <w:rPr>
          <w:color w:val="000000"/>
          <w:spacing w:val="0"/>
          <w:w w:val="100"/>
          <w:position w:val="0"/>
        </w:rPr>
        <w:t xml:space="preserve">元，募集资金总额为 </w:t>
      </w:r>
      <w:r>
        <w:rPr>
          <w:rFonts w:ascii="Times New Roman" w:eastAsia="Times New Roman" w:hAnsi="Times New Roman" w:cs="Times New Roman"/>
          <w:color w:val="000000"/>
          <w:spacing w:val="0"/>
          <w:w w:val="100"/>
          <w:position w:val="0"/>
          <w:sz w:val="18"/>
          <w:szCs w:val="18"/>
        </w:rPr>
        <w:t>361,801,988.34</w:t>
      </w:r>
      <w:r>
        <w:rPr>
          <w:color w:val="000000"/>
          <w:spacing w:val="0"/>
          <w:w w:val="100"/>
          <w:position w:val="0"/>
        </w:rPr>
        <w:t>元，扣除各项发行费用</w:t>
      </w:r>
      <w:r>
        <w:rPr>
          <w:rFonts w:ascii="Times New Roman" w:eastAsia="Times New Roman" w:hAnsi="Times New Roman" w:cs="Times New Roman"/>
          <w:color w:val="000000"/>
          <w:spacing w:val="0"/>
          <w:w w:val="100"/>
          <w:position w:val="0"/>
          <w:sz w:val="18"/>
          <w:szCs w:val="18"/>
        </w:rPr>
        <w:t>16,909,930.00</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344,892,058.34</w:t>
      </w:r>
      <w:r>
        <w:rPr>
          <w:color w:val="000000"/>
          <w:spacing w:val="0"/>
          <w:w w:val="100"/>
          <w:position w:val="0"/>
        </w:rPr>
        <w:t>元。该项募集资金用于银行数据 分析应用系统建设项目及补充流动资金。上述募集资金已于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日全部到位，资金到位情况已经瑞华会计师事 务所(特殊普通合伙)验证，并由其出具的瑞华验字</w:t>
      </w:r>
      <w:r>
        <w:rPr>
          <w:rFonts w:ascii="Times New Roman" w:eastAsia="Times New Roman" w:hAnsi="Times New Roman" w:cs="Times New Roman"/>
          <w:color w:val="000000"/>
          <w:spacing w:val="0"/>
          <w:w w:val="100"/>
          <w:position w:val="0"/>
          <w:sz w:val="18"/>
          <w:szCs w:val="18"/>
        </w:rPr>
        <w:t>[2017]48020003</w:t>
      </w:r>
      <w:r>
        <w:rPr>
          <w:color w:val="000000"/>
          <w:spacing w:val="0"/>
          <w:w w:val="100"/>
          <w:position w:val="0"/>
        </w:rPr>
        <w:t>号《验资报告》验证。公司对募集资金采取了专户存 储制度。</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日，根据非公开发行股票募集资金投资计划，公司使用</w:t>
      </w:r>
      <w:r>
        <w:rPr>
          <w:rFonts w:ascii="Times New Roman" w:eastAsia="Times New Roman" w:hAnsi="Times New Roman" w:cs="Times New Roman"/>
          <w:color w:val="000000"/>
          <w:spacing w:val="0"/>
          <w:w w:val="100"/>
          <w:position w:val="0"/>
          <w:sz w:val="18"/>
          <w:szCs w:val="18"/>
        </w:rPr>
        <w:t>8,300</w:t>
      </w:r>
      <w:r>
        <w:rPr>
          <w:color w:val="000000"/>
          <w:spacing w:val="0"/>
          <w:w w:val="100"/>
          <w:position w:val="0"/>
        </w:rPr>
        <w:t>万元募集资金永久补充流动资金。</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月，分别经公司第四届董事会第五次会议、第四届董 事会第十三次会议、第四届董事会第十六次会议、第四届董事会第十八次会议及第五届董事会第五次会议审议通过，公司 使用暂时闲置募集资金进行现金管理。</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月，分别经公司第四届董事会第十次会议、第四届董事会第十六次会议、第四届董 事会第二十二次会议审议通过，公司使用闲置募集资金暂时补充公司流动资金。</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24" w:lineRule="exact"/>
        <w:ind w:left="0" w:right="0" w:firstLine="0"/>
        <w:jc w:val="left"/>
      </w:pPr>
      <w:r>
        <w:rPr>
          <w:color w:val="000000"/>
          <w:spacing w:val="0"/>
          <w:w w:val="100"/>
          <w:position w:val="0"/>
        </w:rPr>
        <w:t>截至报告期末，公司非公开发行股票募集资金净额</w:t>
      </w:r>
      <w:r>
        <w:rPr>
          <w:rFonts w:ascii="Times New Roman" w:eastAsia="Times New Roman" w:hAnsi="Times New Roman" w:cs="Times New Roman"/>
          <w:color w:val="000000"/>
          <w:spacing w:val="0"/>
          <w:w w:val="100"/>
          <w:position w:val="0"/>
          <w:sz w:val="18"/>
          <w:szCs w:val="18"/>
        </w:rPr>
        <w:t>34,489.21</w:t>
      </w:r>
      <w:r>
        <w:rPr>
          <w:color w:val="000000"/>
          <w:spacing w:val="0"/>
          <w:w w:val="100"/>
          <w:position w:val="0"/>
        </w:rPr>
        <w:t>万元，已投入募集资金投资项目</w:t>
      </w:r>
      <w:r>
        <w:rPr>
          <w:rFonts w:ascii="Times New Roman" w:eastAsia="Times New Roman" w:hAnsi="Times New Roman" w:cs="Times New Roman"/>
          <w:color w:val="000000"/>
          <w:spacing w:val="0"/>
          <w:w w:val="100"/>
          <w:position w:val="0"/>
          <w:sz w:val="18"/>
          <w:szCs w:val="18"/>
        </w:rPr>
        <w:t>10,498.45</w:t>
      </w:r>
      <w:r>
        <w:rPr>
          <w:color w:val="000000"/>
          <w:spacing w:val="0"/>
          <w:w w:val="100"/>
          <w:position w:val="0"/>
        </w:rPr>
        <w:t>万元，公司募集资 金专户尚有募集资金及利息</w:t>
      </w:r>
      <w:r>
        <w:rPr>
          <w:rFonts w:ascii="Times New Roman" w:eastAsia="Times New Roman" w:hAnsi="Times New Roman" w:cs="Times New Roman"/>
          <w:color w:val="000000"/>
          <w:spacing w:val="0"/>
          <w:w w:val="100"/>
          <w:position w:val="0"/>
          <w:sz w:val="18"/>
          <w:szCs w:val="18"/>
        </w:rPr>
        <w:t>26,166.01</w:t>
      </w:r>
      <w:r>
        <w:rPr>
          <w:color w:val="000000"/>
          <w:spacing w:val="0"/>
          <w:w w:val="100"/>
          <w:position w:val="0"/>
        </w:rPr>
        <w:t>万元未使用，其中</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万元暂时闲置募集资金用于暂时补充流动资金。</w:t>
      </w:r>
    </w:p>
    <w:p>
      <w:pPr>
        <w:pStyle w:val="Style44"/>
        <w:keepNext/>
        <w:keepLines/>
        <w:widowControl w:val="0"/>
        <w:numPr>
          <w:ilvl w:val="0"/>
          <w:numId w:val="7"/>
        </w:numPr>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募集资金承诺项目情况</w:t>
      </w:r>
      <w:bookmarkEnd w:id="235"/>
      <w:bookmarkEnd w:id="236"/>
      <w:bookmarkEnd w:id="238"/>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 资项目 和超募 资金投</w:t>
            </w:r>
          </w:p>
          <w:p>
            <w:pPr>
              <w:pStyle w:val="Style29"/>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6"/>
                <w:szCs w:val="16"/>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 投资进度</w:t>
            </w:r>
          </w:p>
          <w:p>
            <w:pPr>
              <w:pStyle w:val="Style2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9"/>
              <w:keepNext w:val="0"/>
              <w:keepLines w:val="0"/>
              <w:widowControl w:val="0"/>
              <w:shd w:val="clear" w:color="auto" w:fill="auto"/>
              <w:bidi w:val="0"/>
              <w:spacing w:before="0" w:after="6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9"/>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银行数 据分析 应用系 统建设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859.73</w:t>
            </w:r>
            <w:r>
              <w:rPr>
                <w:rFonts w:ascii="Times New Roman" w:eastAsia="Times New Roman" w:hAnsi="Times New Roman" w:cs="Times New Roman"/>
                <w:color w:val="FF0000"/>
                <w:spacing w:val="0"/>
                <w:w w:val="100"/>
                <w:position w:val="0"/>
                <w:sz w:val="18"/>
                <w:szCs w:val="18"/>
                <w:vertAlign w:val="superscript"/>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银行数 字化转 型解决 方案项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17,597.48</w:t>
            </w:r>
            <w:r>
              <w:rPr>
                <w:rFonts w:ascii="Times New Roman" w:eastAsia="Times New Roman" w:hAnsi="Times New Roman" w:cs="Times New Roman"/>
                <w:color w:val="FF0000"/>
                <w:spacing w:val="0"/>
                <w:w w:val="100"/>
                <w:position w:val="0"/>
                <w:sz w:val="18"/>
                <w:szCs w:val="18"/>
                <w:vertAlign w:val="superscript"/>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银行智 能设备 产业化 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7,422</w:t>
            </w:r>
            <w:r>
              <w:rPr>
                <w:rFonts w:ascii="Times New Roman" w:eastAsia="Times New Roman" w:hAnsi="Times New Roman" w:cs="Times New Roman"/>
                <w:color w:val="FF0000"/>
                <w:spacing w:val="0"/>
                <w:w w:val="100"/>
                <w:position w:val="0"/>
                <w:sz w:val="18"/>
                <w:szCs w:val="18"/>
                <w:vertAlign w:val="superscript"/>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w:t>
            </w:r>
            <w:r>
              <w:rPr>
                <w:rFonts w:ascii="Times New Roman" w:eastAsia="Times New Roman" w:hAnsi="Times New Roman" w:cs="Times New Roman"/>
                <w:color w:val="FF0000"/>
                <w:spacing w:val="0"/>
                <w:w w:val="100"/>
                <w:position w:val="0"/>
                <w:sz w:val="18"/>
                <w:szCs w:val="18"/>
                <w:vertAlign w:val="superscript"/>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325.89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720"/>
        <w:gridCol w:w="734"/>
        <w:gridCol w:w="893"/>
        <w:gridCol w:w="898"/>
        <w:gridCol w:w="725"/>
        <w:gridCol w:w="902"/>
        <w:gridCol w:w="898"/>
        <w:gridCol w:w="725"/>
        <w:gridCol w:w="730"/>
        <w:gridCol w:w="898"/>
        <w:gridCol w:w="725"/>
        <w:gridCol w:w="739"/>
      </w:tblGrid>
      <w:tr>
        <w:trPr>
          <w:trHeight w:val="67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10,498.45</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10,498.45</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 计划进 度或预 计收益 的情况 和原因</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62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银行数据分析应用系统建设项目实施过程中，行业趋势和市场环境变化较快，银行客户对数据分析的应用需求已 经升级为对银行整体业务系统架构的数字化转型需求，原募投项目建设目标已经难以满足银行业客户在数字化转 型浪潮下对信息系统建设所提出的更高要求。</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公司为了适应行业发展趋势和市场环境的变化，已经进行新的业务规划，并拟通过非公开发行股票募集资金实现 公司战略发展规划。为更科学、审慎和有效的使用募集资金，防范募集资金投资风险，促进公司业务长期稳定发 展，保护公司及全体股东利益，经公司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日第四届董事会第二十一次会议、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年第一次临时股东大会审议通过，同意公司终止原银行数据分析应用系统建设项目，并将尚未使用的剩余募集资 金用于银行数字化转型解决方案项目、银行智能设备产业化项目和研发中心项目建设。</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25"/>
        <w:gridCol w:w="8861"/>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1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日第四届董事会第八次会议审议通过，同意公司使用</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万元闲置非公开发行股票募集 资金暂时补充流动资金，使用期限自董事会审议通过之日起不超过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月实 际使用</w:t>
            </w:r>
            <w:r>
              <w:rPr>
                <w:rFonts w:ascii="Times New Roman" w:eastAsia="Times New Roman" w:hAnsi="Times New Roman" w:cs="Times New Roman"/>
                <w:color w:val="000000"/>
                <w:spacing w:val="0"/>
                <w:w w:val="100"/>
                <w:position w:val="0"/>
                <w:sz w:val="18"/>
                <w:szCs w:val="18"/>
              </w:rPr>
              <w:t>6,873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1,227</w:t>
            </w:r>
            <w:r>
              <w:rPr>
                <w:color w:val="000000"/>
                <w:spacing w:val="0"/>
                <w:w w:val="100"/>
                <w:position w:val="0"/>
              </w:rPr>
              <w:t>万元闲置募集资金暂时补充公司流动资金。以上暂时补充流动资金的募集 资金公司已于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月全部归还至公司募集资金专户。</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日第四届董事会第十六次会议审议通过，同意公司使用</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万元闲置非公开发行股票募 集资金暂时补充流动资金，使用期限自董事会审议通过之日起不超过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月实际使用</w:t>
            </w: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rPr>
              <w:t>万元闲置募集资金暂时补充公司流动资金。以上暂时补充流动资金的募集资金公司已于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月全部归还至 公司募集资金专户。</w:t>
            </w:r>
          </w:p>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日第四届董事会第二十二次会议审议通过，同意公司使用</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万元闲置募集资金暂时补 充公司流动资金，使用期限自董事会审议通过之日起不超过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月实际使用 </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万元闲置募集资金暂时补充公司流动资金。截至报告期末，公司累计使用</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万元闲置募集 资金暂时补充流动资金。</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截至报告期末，公司使用闲置募集资金暂时补充流动资金余额为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万元，其余尚未使用的募集资金均存放在 公司募集资金专用账户。</w:t>
            </w:r>
          </w:p>
        </w:tc>
      </w:tr>
      <w:tr>
        <w:trPr>
          <w:trHeight w:val="228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公司已按照相关法规要求及时、真实、准确、完整地披露了公司募集资金的存放及实际使用情况。本报告期内， 公司募集资金使用及披露中不存在问题。</w:t>
            </w:r>
          </w:p>
        </w:tc>
      </w:tr>
    </w:tbl>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：银行数据分析应用系统建设项目原募集资金承诺投资总额</w:t>
      </w:r>
      <w:r>
        <w:rPr>
          <w:rFonts w:ascii="Times New Roman" w:eastAsia="Times New Roman" w:hAnsi="Times New Roman" w:cs="Times New Roman"/>
          <w:color w:val="000000"/>
          <w:spacing w:val="0"/>
          <w:w w:val="100"/>
          <w:position w:val="0"/>
          <w:sz w:val="18"/>
          <w:szCs w:val="18"/>
        </w:rPr>
        <w:t>27,880.20</w:t>
      </w:r>
      <w:r>
        <w:rPr>
          <w:color w:val="000000"/>
          <w:spacing w:val="0"/>
          <w:w w:val="100"/>
          <w:position w:val="0"/>
        </w:rPr>
        <w:t>万元，该项目已于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一次临时股东大会审议通过后终止。终止后，该项目募集资金承诺投资总额调整为</w:t>
      </w:r>
      <w:r>
        <w:rPr>
          <w:rFonts w:ascii="Times New Roman" w:eastAsia="Times New Roman" w:hAnsi="Times New Roman" w:cs="Times New Roman"/>
          <w:color w:val="000000"/>
          <w:spacing w:val="0"/>
          <w:w w:val="100"/>
          <w:position w:val="0"/>
          <w:sz w:val="18"/>
          <w:szCs w:val="18"/>
        </w:rPr>
        <w:t>859.73</w:t>
      </w:r>
      <w:r>
        <w:rPr>
          <w:color w:val="000000"/>
          <w:spacing w:val="0"/>
          <w:w w:val="100"/>
          <w:position w:val="0"/>
        </w:rPr>
        <w:t>万元。</w:t>
      </w:r>
    </w:p>
    <w:p>
      <w:pPr>
        <w:pStyle w:val="Style17"/>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日召开第四届董事会第二十一次会议、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 审议通过了《关于变更募集资金用途的议案》，同意终止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年非公开发行股票实施的银行数据分析应用系统建设项目，并</w:t>
        <w:br w:type="page"/>
      </w:r>
      <w:r>
        <w:rPr>
          <w:color w:val="000000"/>
          <w:spacing w:val="0"/>
          <w:w w:val="100"/>
          <w:position w:val="0"/>
        </w:rPr>
        <w:t>将尚未使用的剩余募集资金</w:t>
      </w:r>
      <w:r>
        <w:rPr>
          <w:rFonts w:ascii="Times New Roman" w:eastAsia="Times New Roman" w:hAnsi="Times New Roman" w:cs="Times New Roman"/>
          <w:color w:val="000000"/>
          <w:spacing w:val="0"/>
          <w:w w:val="100"/>
          <w:position w:val="0"/>
          <w:sz w:val="18"/>
          <w:szCs w:val="18"/>
        </w:rPr>
        <w:t>27,019.48</w:t>
      </w:r>
      <w:r>
        <w:rPr>
          <w:color w:val="000000"/>
          <w:spacing w:val="0"/>
          <w:w w:val="100"/>
          <w:position w:val="0"/>
        </w:rPr>
        <w:t>万元投向银行数字化转型解决方案项目、银行智能设备产业化项目和研发中心项目建 设。其中，银行数字化转型解决方案项目总投资额</w:t>
      </w:r>
      <w:r>
        <w:rPr>
          <w:rFonts w:ascii="Times New Roman" w:eastAsia="Times New Roman" w:hAnsi="Times New Roman" w:cs="Times New Roman"/>
          <w:color w:val="000000"/>
          <w:spacing w:val="0"/>
          <w:w w:val="100"/>
          <w:position w:val="0"/>
          <w:sz w:val="18"/>
          <w:szCs w:val="18"/>
        </w:rPr>
        <w:t>57,997.76</w:t>
      </w:r>
      <w:r>
        <w:rPr>
          <w:color w:val="000000"/>
          <w:spacing w:val="0"/>
          <w:w w:val="100"/>
          <w:position w:val="0"/>
        </w:rPr>
        <w:t>万元，投入尚未使用的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年发行股份募集资金</w:t>
      </w:r>
      <w:r>
        <w:rPr>
          <w:rFonts w:ascii="Times New Roman" w:eastAsia="Times New Roman" w:hAnsi="Times New Roman" w:cs="Times New Roman"/>
          <w:color w:val="000000"/>
          <w:spacing w:val="0"/>
          <w:w w:val="100"/>
          <w:position w:val="0"/>
          <w:sz w:val="18"/>
          <w:szCs w:val="18"/>
        </w:rPr>
        <w:t>17,597.48</w:t>
      </w:r>
      <w:r>
        <w:rPr>
          <w:color w:val="000000"/>
          <w:spacing w:val="0"/>
          <w:w w:val="100"/>
          <w:position w:val="0"/>
        </w:rPr>
        <w:t>万 元；银行智能设备产业化项目总投资额</w:t>
      </w:r>
      <w:r>
        <w:rPr>
          <w:rFonts w:ascii="Times New Roman" w:eastAsia="Times New Roman" w:hAnsi="Times New Roman" w:cs="Times New Roman"/>
          <w:color w:val="000000"/>
          <w:spacing w:val="0"/>
          <w:w w:val="100"/>
          <w:position w:val="0"/>
          <w:sz w:val="18"/>
          <w:szCs w:val="18"/>
        </w:rPr>
        <w:t>68,999.46</w:t>
      </w:r>
      <w:r>
        <w:rPr>
          <w:color w:val="000000"/>
          <w:spacing w:val="0"/>
          <w:w w:val="100"/>
          <w:position w:val="0"/>
        </w:rPr>
        <w:t>万元，投入尚未使用的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年发行股份募集资金</w:t>
      </w:r>
      <w:r>
        <w:rPr>
          <w:rFonts w:ascii="Times New Roman" w:eastAsia="Times New Roman" w:hAnsi="Times New Roman" w:cs="Times New Roman"/>
          <w:color w:val="000000"/>
          <w:spacing w:val="0"/>
          <w:w w:val="100"/>
          <w:position w:val="0"/>
          <w:sz w:val="18"/>
          <w:szCs w:val="18"/>
        </w:rPr>
        <w:t>7,422.00</w:t>
      </w:r>
      <w:r>
        <w:rPr>
          <w:color w:val="000000"/>
          <w:spacing w:val="0"/>
          <w:w w:val="100"/>
          <w:position w:val="0"/>
        </w:rPr>
        <w:t>万元；研发中心 项目总投资额</w:t>
      </w:r>
      <w:r>
        <w:rPr>
          <w:rFonts w:ascii="Times New Roman" w:eastAsia="Times New Roman" w:hAnsi="Times New Roman" w:cs="Times New Roman"/>
          <w:color w:val="000000"/>
          <w:spacing w:val="0"/>
          <w:w w:val="100"/>
          <w:position w:val="0"/>
          <w:sz w:val="18"/>
          <w:szCs w:val="18"/>
        </w:rPr>
        <w:t>13,319.76</w:t>
      </w:r>
      <w:r>
        <w:rPr>
          <w:color w:val="000000"/>
          <w:spacing w:val="0"/>
          <w:w w:val="100"/>
          <w:position w:val="0"/>
        </w:rPr>
        <w:t>万元，投入尚未使用的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年发行股份募集资金</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p>
      <w:pPr>
        <w:pStyle w:val="Style44"/>
        <w:keepNext/>
        <w:keepLines/>
        <w:widowControl w:val="0"/>
        <w:numPr>
          <w:ilvl w:val="0"/>
          <w:numId w:val="9"/>
        </w:numPr>
        <w:shd w:val="clear" w:color="auto" w:fill="auto"/>
        <w:bidi w:val="0"/>
        <w:spacing w:before="0" w:after="380" w:line="240" w:lineRule="auto"/>
        <w:ind w:left="0" w:right="0" w:firstLine="0"/>
        <w:jc w:val="both"/>
      </w:pPr>
      <w:bookmarkStart w:id="239" w:name="bookmark239"/>
      <w:bookmarkStart w:id="240" w:name="bookmark240"/>
      <w:bookmarkStart w:id="241" w:name="bookmark241"/>
      <w:bookmarkStart w:id="242" w:name="bookmark242"/>
      <w:bookmarkEnd w:id="241"/>
      <w:r>
        <w:rPr>
          <w:color w:val="000000"/>
          <w:spacing w:val="0"/>
          <w:w w:val="100"/>
          <w:position w:val="0"/>
        </w:rPr>
        <w:t>募集资金变更项目情况</w:t>
      </w:r>
      <w:bookmarkEnd w:id="239"/>
      <w:bookmarkEnd w:id="240"/>
      <w:bookmarkEnd w:id="242"/>
    </w:p>
    <w:p>
      <w:pPr>
        <w:pStyle w:val="Style1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变更后项目 拟投入募集 资金总额</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截至期末投 资进度</w:t>
            </w:r>
          </w:p>
          <w:p>
            <w:pPr>
              <w:pStyle w:val="Style29"/>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变更后的项 目可行性是 否发生重大</w:t>
            </w:r>
          </w:p>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银行数字化 转型解决方 案项目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银行数据分 析应用系统 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17,597.48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银行智能设 备产业化项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银行数据分 析应用系统 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研发中心项</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银行数据分 析应用系统 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27,019.48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1,338.72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878.71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498"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自银行数据分析应用系统建设项目启动以来，公司一直积极推动项目实施，不断完善 项目核心软件及产品，形成了相关无形资产，并产生了一定的项目收益。但项目实施 过程中，行业趋势和市场环境变化较快，银行客户对数据分析的应用需求已经升级为 对银行整体业务系统架构的数字化转型需求，原募投项目建设目标已经难以满足银行 业客户在数字化转型浪潮下对信息系统建设所提出的更高要求。</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公司为了适应行业发展趋势和市场环境的变化，已经进行新的业务规划，并拟通过非 公开发行股票募集资金实现公司战略发展规划。为更科学、审慎和有效的使用募集资 金，防范募集资金投资风险，促进公司业务长期稳定发展，保护公司及全体股东利益， 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日第四届董事会第二十一次会议、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一次临时股东大会审议通过，同意公司终止原银行数据分析应用系统建设项目，并将 尚未使用的剩余募集资金用于银行数字化转型解决方案项目、银行智能设备产业化项 目和研发中心项目建设。具体内容详见公司于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日刊登在中国证监会指 定的创业板信息披露网站巨潮资讯网公布的《关于变更募集资金用途的公告》(公告 编号：</w:t>
            </w:r>
            <w:r>
              <w:rPr>
                <w:rFonts w:ascii="Times New Roman" w:eastAsia="Times New Roman" w:hAnsi="Times New Roman" w:cs="Times New Roman"/>
                <w:color w:val="000000"/>
                <w:spacing w:val="0"/>
                <w:w w:val="100"/>
                <w:position w:val="0"/>
                <w:sz w:val="18"/>
                <w:szCs w:val="18"/>
              </w:rPr>
              <w:t>2020-011</w:t>
            </w:r>
            <w:r>
              <w:rPr>
                <w:color w:val="000000"/>
                <w:spacing w:val="0"/>
                <w:w w:val="100"/>
                <w:position w:val="0"/>
              </w:rPr>
              <w:t>)。</w:t>
            </w:r>
          </w:p>
        </w:tc>
      </w:tr>
      <w:tr>
        <w:trPr>
          <w:trHeight w:val="710"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32"/>
        <w:keepNext/>
        <w:keepLines/>
        <w:widowControl w:val="0"/>
        <w:shd w:val="clear" w:color="auto" w:fill="auto"/>
        <w:tabs>
          <w:tab w:pos="517" w:val="left"/>
        </w:tabs>
        <w:bidi w:val="0"/>
        <w:spacing w:before="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六</w:t>
      </w:r>
      <w:bookmarkEnd w:id="245"/>
      <w:r>
        <w:rPr>
          <w:color w:val="000000"/>
          <w:spacing w:val="0"/>
          <w:w w:val="100"/>
          <w:position w:val="0"/>
          <w:sz w:val="24"/>
          <w:szCs w:val="24"/>
        </w:rPr>
        <w:t>、</w:t>
        <w:tab/>
        <w:t>重大资产和股权出售</w:t>
      </w:r>
      <w:bookmarkEnd w:id="243"/>
      <w:bookmarkEnd w:id="244"/>
      <w:bookmarkEnd w:id="246"/>
    </w:p>
    <w:p>
      <w:pPr>
        <w:pStyle w:val="Style36"/>
        <w:keepNext/>
        <w:keepLines/>
        <w:widowControl w:val="0"/>
        <w:shd w:val="clear" w:color="auto" w:fill="auto"/>
        <w:tabs>
          <w:tab w:pos="395" w:val="left"/>
        </w:tabs>
        <w:bidi w:val="0"/>
        <w:spacing w:before="0" w:after="36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1</w:t>
      </w:r>
      <w:bookmarkEnd w:id="249"/>
      <w:r>
        <w:rPr>
          <w:color w:val="000000"/>
          <w:spacing w:val="0"/>
          <w:w w:val="100"/>
          <w:position w:val="0"/>
        </w:rPr>
        <w:t>、</w:t>
        <w:tab/>
        <w:t>出售重大资产情况</w:t>
      </w:r>
      <w:bookmarkEnd w:id="247"/>
      <w:bookmarkEnd w:id="248"/>
      <w:bookmarkEnd w:id="250"/>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公司报告期未出售重大资产。</w:t>
      </w:r>
    </w:p>
    <w:p>
      <w:pPr>
        <w:pStyle w:val="Style36"/>
        <w:keepNext/>
        <w:keepLines/>
        <w:widowControl w:val="0"/>
        <w:shd w:val="clear" w:color="auto" w:fill="auto"/>
        <w:tabs>
          <w:tab w:pos="395" w:val="left"/>
        </w:tabs>
        <w:bidi w:val="0"/>
        <w:spacing w:before="0" w:after="36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2</w:t>
      </w:r>
      <w:bookmarkEnd w:id="253"/>
      <w:r>
        <w:rPr>
          <w:color w:val="000000"/>
          <w:spacing w:val="0"/>
          <w:w w:val="100"/>
          <w:position w:val="0"/>
        </w:rPr>
        <w:t>、</w:t>
        <w:tab/>
        <w:t>出售重大股权情况</w:t>
      </w:r>
      <w:bookmarkEnd w:id="251"/>
      <w:bookmarkEnd w:id="252"/>
      <w:bookmarkEnd w:id="254"/>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22" w:val="left"/>
        </w:tabs>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七</w:t>
      </w:r>
      <w:bookmarkEnd w:id="257"/>
      <w:r>
        <w:rPr>
          <w:color w:val="000000"/>
          <w:spacing w:val="0"/>
          <w:w w:val="100"/>
          <w:position w:val="0"/>
          <w:sz w:val="24"/>
          <w:szCs w:val="24"/>
        </w:rPr>
        <w:t>、</w:t>
        <w:tab/>
        <w:t>主要控股参股公司分析</w:t>
      </w:r>
      <w:bookmarkEnd w:id="255"/>
      <w:bookmarkEnd w:id="256"/>
      <w:bookmarkEnd w:id="258"/>
    </w:p>
    <w:p>
      <w:pPr>
        <w:pStyle w:val="Style1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北京亿美软 通科技有限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为国内外企 业提供移动 通讯服务和 移动互联网 应用服务。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470,023,856.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320,639,947.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743,788,163.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-470,056.69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689,317.05</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北京杰智融 软件有限公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为金融行业 提供数字金 融解决方案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30,570,556.0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9,170,250.45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36,323,124.0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-4,217,095.2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-3,341,621.3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 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家居安防及 相关产品的 电子商务业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1,086,956.00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197,380,705.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51,258,463.2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430,845,284.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32,183,268.3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33,769,833.4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深圳银之杰 智慧科技有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主要为本公 司提供金融 专业设备产 品的底层控 制软件及终 端应用软件 技术的开发 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20,889,190.9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5,803,235.11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30,756,105.3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9,358,636.95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9,191,532.42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北京华道征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个人征信相</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52,500,000.0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99,367,955.4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-25,501,516.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37,827,118.7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-30,094,736.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-30,095,064.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东亚前海证 券有限责任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3,442,377,86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1,449,557,20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612,204,939.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41,717,899.7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43,166,895.6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p>
    <w:tbl>
      <w:tblPr>
        <w:tblOverlap w:val="never"/>
        <w:jc w:val="center"/>
        <w:tblLayout w:type="fixed"/>
      </w:tblPr>
      <w:tblGrid>
        <w:gridCol w:w="1061"/>
        <w:gridCol w:w="1195"/>
        <w:gridCol w:w="1042"/>
        <w:gridCol w:w="1046"/>
        <w:gridCol w:w="1046"/>
        <w:gridCol w:w="1046"/>
        <w:gridCol w:w="1046"/>
        <w:gridCol w:w="1042"/>
        <w:gridCol w:w="1056"/>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国誉创富国</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际金融服务</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（深圳）有限</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48,319,238.7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2,973,571.57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1,139,930.60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-5,534,233.7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-5,499,115.5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深圳市银之杰金融设备有限公司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公司全资孙公司深圳市银之杰金融设备 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股权划转至本公司持 有，由全资孙公司变更为全资子公司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合并报表范围发生变化，符合公司战略 发展规划，不会对公司的持续经营产生 不利影响</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河南图柏创新信息科技有限公司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北京杰智融软件有限公司出资设立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合并报表范围发生变化，符合公司战略 发展规划，不会对公司的持续经营产生 不利影响</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7"/>
        <w:keepNext w:val="0"/>
        <w:keepLines w:val="0"/>
        <w:widowControl w:val="0"/>
        <w:shd w:val="clear" w:color="auto" w:fill="auto"/>
        <w:bidi w:val="0"/>
        <w:spacing w:before="0" w:after="400" w:line="468" w:lineRule="exact"/>
        <w:ind w:left="0" w:right="0" w:firstLine="360"/>
        <w:jc w:val="left"/>
      </w:pPr>
      <w:r>
        <w:rPr>
          <w:color w:val="000000"/>
          <w:spacing w:val="0"/>
          <w:w w:val="100"/>
          <w:position w:val="0"/>
        </w:rPr>
        <w:t>公司主要控股公司及参股公司的经营业绩变动情况分析请见本节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505" w:val="left"/>
        </w:tabs>
        <w:bidi w:val="0"/>
        <w:spacing w:before="0" w:after="40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八</w:t>
      </w:r>
      <w:bookmarkEnd w:id="261"/>
      <w:r>
        <w:rPr>
          <w:color w:val="000000"/>
          <w:spacing w:val="0"/>
          <w:w w:val="100"/>
          <w:position w:val="0"/>
          <w:sz w:val="24"/>
          <w:szCs w:val="24"/>
        </w:rPr>
        <w:t>、</w:t>
        <w:tab/>
        <w:t>公司控制的结构化主体情况</w:t>
      </w:r>
      <w:bookmarkEnd w:id="259"/>
      <w:bookmarkEnd w:id="260"/>
      <w:bookmarkEnd w:id="262"/>
    </w:p>
    <w:p>
      <w:pPr>
        <w:pStyle w:val="Style17"/>
        <w:keepNext w:val="0"/>
        <w:keepLines w:val="0"/>
        <w:widowControl w:val="0"/>
        <w:shd w:val="clear" w:color="auto" w:fill="auto"/>
        <w:bidi w:val="0"/>
        <w:spacing w:before="0" w:after="8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05" w:val="left"/>
        </w:tabs>
        <w:bidi w:val="0"/>
        <w:spacing w:before="0" w:after="20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九</w:t>
      </w:r>
      <w:bookmarkEnd w:id="265"/>
      <w:r>
        <w:rPr>
          <w:color w:val="000000"/>
          <w:spacing w:val="0"/>
          <w:w w:val="100"/>
          <w:position w:val="0"/>
          <w:sz w:val="24"/>
          <w:szCs w:val="24"/>
        </w:rPr>
        <w:t>、</w:t>
        <w:tab/>
        <w:t>公司未来发展的展望</w:t>
      </w:r>
      <w:bookmarkEnd w:id="263"/>
      <w:bookmarkEnd w:id="264"/>
      <w:bookmarkEnd w:id="266"/>
    </w:p>
    <w:p>
      <w:pPr>
        <w:pStyle w:val="Style17"/>
        <w:keepNext w:val="0"/>
        <w:keepLines w:val="0"/>
        <w:widowControl w:val="0"/>
        <w:shd w:val="clear" w:color="auto" w:fill="auto"/>
        <w:bidi w:val="0"/>
        <w:spacing w:before="0" w:after="0" w:line="468" w:lineRule="exact"/>
        <w:ind w:left="0" w:right="0" w:firstLine="360"/>
        <w:jc w:val="both"/>
      </w:pPr>
      <w:bookmarkStart w:id="267" w:name="bookmark267"/>
      <w:r>
        <w:rPr>
          <w:color w:val="000000"/>
          <w:spacing w:val="0"/>
          <w:w w:val="100"/>
          <w:position w:val="0"/>
        </w:rPr>
        <w:t>（</w:t>
      </w:r>
      <w:bookmarkEnd w:id="267"/>
      <w:r>
        <w:rPr>
          <w:color w:val="000000"/>
          <w:spacing w:val="0"/>
          <w:w w:val="100"/>
          <w:position w:val="0"/>
        </w:rPr>
        <w:t>一）行业格局和趋势</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按照公司既定的战略发展规划，公司的主营业务已经从金融信息化向金融科技综合服务领域延伸发展。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年起，随着 互联网金融元年的到来，移动互联网、互联网金融、大数据等新兴产业迅猛发展，公司积极探索，迅速把握历史机遇，凭借 丰富的行业经验、广泛的客户资源以及深厚的技术实力，充分利用资本市场平台优势，通过对外投资计划和实施收购兼并， 大力拓展新业务，在金融科技领域进行了一系列的布局，为企业打开了全新的发展局面。</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根据工信部发布的《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年，我国软件和信息技术服务业持续恢复，逐步摆 脱疫情负面影响，呈现平稳发展态势。收入和利润均保持较快增长，从业人数稳步增加；信息技术服务加快云化发展，软件 应用服务化、平台化趋势明显。其中，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年，全国软件和信息技术服务业规模以上企业超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万家，累计完成软件业务收入 </w:t>
      </w:r>
      <w:r>
        <w:rPr>
          <w:rFonts w:ascii="Times New Roman" w:eastAsia="Times New Roman" w:hAnsi="Times New Roman" w:cs="Times New Roman"/>
          <w:color w:val="000000"/>
          <w:spacing w:val="0"/>
          <w:w w:val="100"/>
          <w:position w:val="0"/>
          <w:sz w:val="18"/>
          <w:szCs w:val="18"/>
        </w:rPr>
        <w:t>81616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年软件和信息技术服务业实现利润总额</w:t>
      </w:r>
      <w:r>
        <w:rPr>
          <w:rFonts w:ascii="Times New Roman" w:eastAsia="Times New Roman" w:hAnsi="Times New Roman" w:cs="Times New Roman"/>
          <w:color w:val="000000"/>
          <w:spacing w:val="0"/>
          <w:w w:val="100"/>
          <w:position w:val="0"/>
          <w:sz w:val="18"/>
          <w:szCs w:val="18"/>
        </w:rPr>
        <w:t>10676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；人均实现业务收入</w:t>
      </w:r>
      <w:r>
        <w:rPr>
          <w:rFonts w:ascii="Times New Roman" w:eastAsia="Times New Roman" w:hAnsi="Times New Roman" w:cs="Times New Roman"/>
          <w:color w:val="000000"/>
          <w:spacing w:val="0"/>
          <w:w w:val="100"/>
          <w:position w:val="0"/>
          <w:sz w:val="18"/>
          <w:szCs w:val="18"/>
        </w:rPr>
        <w:t xml:space="preserve">115.8 </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，利润增速稳步增长。</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金融科技是指通过技术手段推动金融创新，使得金融服务更加便利化、智能化，能够有效降低交易成本、提高金融业服 务效率的技术或者产业。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月，中国人民银行印发《金融科技</w:t>
      </w:r>
      <w:r>
        <w:rPr>
          <w:rFonts w:ascii="Times New Roman" w:eastAsia="Times New Roman" w:hAnsi="Times New Roman" w:cs="Times New Roman"/>
          <w:color w:val="000000"/>
          <w:spacing w:val="0"/>
          <w:w w:val="100"/>
          <w:position w:val="0"/>
          <w:sz w:val="18"/>
          <w:szCs w:val="18"/>
        </w:rPr>
        <w:t>FinTech</w:t>
      </w:r>
      <w:r>
        <w:rPr>
          <w:color w:val="000000"/>
          <w:spacing w:val="0"/>
          <w:w w:val="100"/>
          <w:position w:val="0"/>
        </w:rPr>
        <w:t>）发展规划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年）》，《规划》提出， 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年，建立健全我国金融科技发展的“四梁八柱”，进一步增强金融业科技应用能力，实现金融与科技深度融合、协调 </w:t>
      </w:r>
      <w:r>
        <w:rPr>
          <w:color w:val="000000"/>
          <w:spacing w:val="0"/>
          <w:w w:val="100"/>
          <w:position w:val="0"/>
        </w:rPr>
        <w:t>发展，明显增强人民群众对数字化、网络化、智能化金融产品和服务的满意度，推动我国金融科技发展居于国际领先水平。 该规划的出台给整个金融科技行业营造了良好的政策氛围，我国金融科技行业将开启一个全新的发展时代。</w:t>
      </w:r>
    </w:p>
    <w:p>
      <w:pPr>
        <w:pStyle w:val="Style17"/>
        <w:keepNext w:val="0"/>
        <w:keepLines w:val="0"/>
        <w:widowControl w:val="0"/>
        <w:shd w:val="clear" w:color="auto" w:fill="auto"/>
        <w:tabs>
          <w:tab w:pos="831" w:val="left"/>
        </w:tabs>
        <w:bidi w:val="0"/>
        <w:spacing w:before="0" w:after="0" w:line="469" w:lineRule="exact"/>
        <w:ind w:left="0" w:right="0" w:firstLine="360"/>
        <w:jc w:val="both"/>
      </w:pPr>
      <w:bookmarkStart w:id="268" w:name="bookmark268"/>
      <w:r>
        <w:rPr>
          <w:color w:val="000000"/>
          <w:spacing w:val="0"/>
          <w:w w:val="100"/>
          <w:position w:val="0"/>
        </w:rPr>
        <w:t>（</w:t>
      </w:r>
      <w:bookmarkEnd w:id="268"/>
      <w:r>
        <w:rPr>
          <w:color w:val="000000"/>
          <w:spacing w:val="0"/>
          <w:w w:val="100"/>
          <w:position w:val="0"/>
        </w:rPr>
        <w:t>二）</w:t>
        <w:tab/>
        <w:t>公司发展战略</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公司目前主营业务涉及金融信息化服务、移动信息服务和电子商务三大领域。经过近年来的战略布局，公司已经发展成 为涉及</w:t>
      </w:r>
      <w:r>
        <w:rPr>
          <w:color w:val="000000"/>
          <w:spacing w:val="0"/>
          <w:w w:val="100"/>
          <w:position w:val="0"/>
          <w:sz w:val="18"/>
          <w:szCs w:val="18"/>
        </w:rPr>
        <w:t>IT</w:t>
      </w:r>
      <w:r>
        <w:rPr>
          <w:color w:val="000000"/>
          <w:spacing w:val="0"/>
          <w:w w:val="100"/>
          <w:position w:val="0"/>
        </w:rPr>
        <w:t>、</w:t>
      </w:r>
      <w:r>
        <w:rPr>
          <w:color w:val="000000"/>
          <w:spacing w:val="0"/>
          <w:w w:val="100"/>
          <w:position w:val="0"/>
          <w:sz w:val="18"/>
          <w:szCs w:val="18"/>
        </w:rPr>
        <w:t>DT</w:t>
      </w:r>
      <w:r>
        <w:rPr>
          <w:color w:val="000000"/>
          <w:spacing w:val="0"/>
          <w:w w:val="100"/>
          <w:position w:val="0"/>
        </w:rPr>
        <w:t>、</w:t>
      </w:r>
      <w:r>
        <w:rPr>
          <w:color w:val="000000"/>
          <w:spacing w:val="0"/>
          <w:w w:val="100"/>
          <w:position w:val="0"/>
        </w:rPr>
        <w:t>个人征信、互联网保险、证券等业务领域的金融科技公司。未来，公司将紧紧抓住中国特色社会主义先行示 范区和粤港澳大湾区建设背景下金融科技领域的时代发展机遇，持续进行产品与技术创新，推动公司三大主营业务的稳健发 展，持续提升公司核心竞争力；通过科技赋能大力促进个人征信、证券、互联网保险、上海保交所等金融服务机构的发展， 构建以金融科技为基础的综合金融生态服务体系，引领公司在金融科技服务领域实现跨越式发展；依托自身技术、客户资源、 行业服务经验等优势，整合内部资源，重点发挥各业务板块间的协同效应，实现各业务板块的优势互补。具体经营层面，公 司将充分发挥在金融服务各业务领域间的协同效应，对外做大做强既有业务，对内优化经营管理效率，在技术研发、产品创 新、商业模式创新、品牌宣传和集团化管理等方面狠抓落实，致力于为国内金融机构、互联网金融企业、个人消费者提供全 面的创新金融科技服务，持续提升公司核心竞争力，实现公司经营业绩的快速提升。</w:t>
      </w:r>
    </w:p>
    <w:p>
      <w:pPr>
        <w:pStyle w:val="Style17"/>
        <w:keepNext w:val="0"/>
        <w:keepLines w:val="0"/>
        <w:widowControl w:val="0"/>
        <w:shd w:val="clear" w:color="auto" w:fill="auto"/>
        <w:tabs>
          <w:tab w:pos="831" w:val="left"/>
        </w:tabs>
        <w:bidi w:val="0"/>
        <w:spacing w:before="0" w:after="0" w:line="469" w:lineRule="exact"/>
        <w:ind w:left="0" w:right="0" w:firstLine="360"/>
        <w:jc w:val="both"/>
      </w:pPr>
      <w:bookmarkStart w:id="269" w:name="bookmark269"/>
      <w:r>
        <w:rPr>
          <w:color w:val="000000"/>
          <w:spacing w:val="0"/>
          <w:w w:val="100"/>
          <w:position w:val="0"/>
        </w:rPr>
        <w:t>（</w:t>
      </w:r>
      <w:bookmarkEnd w:id="269"/>
      <w:r>
        <w:rPr>
          <w:color w:val="000000"/>
          <w:spacing w:val="0"/>
          <w:w w:val="100"/>
          <w:position w:val="0"/>
        </w:rPr>
        <w:t>三）</w:t>
        <w:tab/>
        <w:t>公司经营计划</w:t>
      </w:r>
    </w:p>
    <w:p>
      <w:pPr>
        <w:pStyle w:val="Style17"/>
        <w:keepNext w:val="0"/>
        <w:keepLines w:val="0"/>
        <w:widowControl w:val="0"/>
        <w:shd w:val="clear" w:color="auto" w:fill="auto"/>
        <w:bidi w:val="0"/>
        <w:spacing w:before="0" w:after="0" w:line="469" w:lineRule="exact"/>
        <w:ind w:left="0" w:right="0" w:firstLine="360"/>
        <w:jc w:val="both"/>
      </w:pPr>
      <w:bookmarkStart w:id="270" w:name="bookmark270"/>
      <w:r>
        <w:rPr>
          <w:color w:val="000000"/>
          <w:spacing w:val="0"/>
          <w:w w:val="100"/>
          <w:position w:val="0"/>
          <w:sz w:val="18"/>
          <w:szCs w:val="18"/>
        </w:rPr>
        <w:t>1</w:t>
      </w:r>
      <w:bookmarkEnd w:id="270"/>
      <w:r>
        <w:rPr>
          <w:color w:val="000000"/>
          <w:spacing w:val="0"/>
          <w:w w:val="100"/>
          <w:position w:val="0"/>
        </w:rPr>
        <w:t>、前期披露的发展战略和经营计划在报告期内的进展</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年度报告中披露了公司报告期内的经营计划。报告期内，公司围绕长期战略规划和近期发展目标，立足于目前 已有的业务布局基础，稳步推进计划的贯彻落实。一方面，着力推动已布局的个人征信、互联网保险、证券业务的项目落地; 另一方面，发挥在各投资领域的整合优势，扎实推进公司互联网金融产业发展战略，逐步构建互联网金融的产业生态圈，推 动公司整体业绩提升，为股东创造更大的价值，也为公司未来可持续发展奠定了坚实基础。</w:t>
      </w:r>
    </w:p>
    <w:p>
      <w:pPr>
        <w:pStyle w:val="Style17"/>
        <w:keepNext w:val="0"/>
        <w:keepLines w:val="0"/>
        <w:widowControl w:val="0"/>
        <w:shd w:val="clear" w:color="auto" w:fill="auto"/>
        <w:tabs>
          <w:tab w:pos="649" w:val="left"/>
        </w:tabs>
        <w:bidi w:val="0"/>
        <w:spacing w:before="0" w:after="0" w:line="469" w:lineRule="exact"/>
        <w:ind w:left="0" w:right="0" w:firstLine="360"/>
        <w:jc w:val="both"/>
      </w:pPr>
      <w:bookmarkStart w:id="271" w:name="bookmark271"/>
      <w:r>
        <w:rPr>
          <w:color w:val="000000"/>
          <w:spacing w:val="0"/>
          <w:w w:val="100"/>
          <w:position w:val="0"/>
          <w:sz w:val="18"/>
          <w:szCs w:val="18"/>
        </w:rPr>
        <w:t>1</w:t>
      </w:r>
      <w:bookmarkEnd w:id="271"/>
      <w:r>
        <w:rPr>
          <w:color w:val="000000"/>
          <w:spacing w:val="0"/>
          <w:w w:val="100"/>
          <w:position w:val="0"/>
          <w:sz w:val="18"/>
          <w:szCs w:val="18"/>
        </w:rPr>
        <w:t>）</w:t>
        <w:tab/>
      </w:r>
      <w:r>
        <w:rPr>
          <w:color w:val="000000"/>
          <w:spacing w:val="0"/>
          <w:w w:val="100"/>
          <w:position w:val="0"/>
        </w:rPr>
        <w:t>在疫情全球爆发，国内外经济受到严重影响的背景下，采取积极措施控制成本，稳定经营；</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报告期内，公司贯彻和落实中央及地方政府制定的各项要求，积极贯彻落实疫情防控工作，在疫情防控到位的前提下， 积极组织复工复产，全力做好公司生产经营和成本管控。公司努力克服疫情给市场和经营带来的影响，围绕既定战略目标积 极拓展市场，较好地完成了公司</w:t>
      </w:r>
      <w:r>
        <w:rPr>
          <w:color w:val="000000"/>
          <w:spacing w:val="0"/>
          <w:w w:val="100"/>
          <w:position w:val="0"/>
          <w:sz w:val="18"/>
          <w:szCs w:val="18"/>
        </w:rPr>
        <w:t>2020</w:t>
      </w:r>
      <w:r>
        <w:rPr>
          <w:color w:val="000000"/>
          <w:spacing w:val="0"/>
          <w:w w:val="100"/>
          <w:position w:val="0"/>
        </w:rPr>
        <w:t>年度业绩目标。</w:t>
      </w:r>
    </w:p>
    <w:p>
      <w:pPr>
        <w:pStyle w:val="Style17"/>
        <w:keepNext w:val="0"/>
        <w:keepLines w:val="0"/>
        <w:widowControl w:val="0"/>
        <w:shd w:val="clear" w:color="auto" w:fill="auto"/>
        <w:tabs>
          <w:tab w:pos="658" w:val="left"/>
        </w:tabs>
        <w:bidi w:val="0"/>
        <w:spacing w:before="0" w:after="0" w:line="469" w:lineRule="exact"/>
        <w:ind w:left="0" w:right="0" w:firstLine="360"/>
        <w:jc w:val="both"/>
      </w:pPr>
      <w:bookmarkStart w:id="272" w:name="bookmark272"/>
      <w:r>
        <w:rPr>
          <w:color w:val="000000"/>
          <w:spacing w:val="0"/>
          <w:w w:val="100"/>
          <w:position w:val="0"/>
          <w:sz w:val="18"/>
          <w:szCs w:val="18"/>
        </w:rPr>
        <w:t>2</w:t>
      </w:r>
      <w:bookmarkEnd w:id="272"/>
      <w:r>
        <w:rPr>
          <w:color w:val="000000"/>
          <w:spacing w:val="0"/>
          <w:w w:val="100"/>
          <w:position w:val="0"/>
          <w:sz w:val="18"/>
          <w:szCs w:val="18"/>
        </w:rPr>
        <w:t>）</w:t>
        <w:tab/>
      </w:r>
      <w:r>
        <w:rPr>
          <w:color w:val="000000"/>
          <w:spacing w:val="0"/>
          <w:w w:val="100"/>
          <w:position w:val="0"/>
        </w:rPr>
        <w:t>推进公司非公开发行股票募集资金计划，为公司业务长远发展筹措资金；</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年度向特定对象发行</w:t>
      </w:r>
      <w:r>
        <w:rPr>
          <w:color w:val="000000"/>
          <w:spacing w:val="0"/>
          <w:w w:val="100"/>
          <w:position w:val="0"/>
          <w:sz w:val="18"/>
          <w:szCs w:val="18"/>
        </w:rPr>
        <w:t>A</w:t>
      </w:r>
      <w:r>
        <w:rPr>
          <w:color w:val="000000"/>
          <w:spacing w:val="0"/>
          <w:w w:val="100"/>
          <w:position w:val="0"/>
        </w:rPr>
        <w:t>股股票事项分别经第四届董事会第二十一次会议、第五届董事会第一次会议、第五届董 事会第二次会议以及</w:t>
      </w:r>
      <w:r>
        <w:rPr>
          <w:color w:val="000000"/>
          <w:spacing w:val="0"/>
          <w:w w:val="100"/>
          <w:position w:val="0"/>
          <w:sz w:val="18"/>
          <w:szCs w:val="18"/>
        </w:rPr>
        <w:t>2020</w:t>
      </w:r>
      <w:r>
        <w:rPr>
          <w:color w:val="000000"/>
          <w:spacing w:val="0"/>
          <w:w w:val="100"/>
          <w:position w:val="0"/>
        </w:rPr>
        <w:t>年第一次临时股东大会审议通过，公司拟向特定对象发行股票募集资金总额不超过</w:t>
      </w:r>
      <w:r>
        <w:rPr>
          <w:color w:val="000000"/>
          <w:spacing w:val="0"/>
          <w:w w:val="100"/>
          <w:position w:val="0"/>
          <w:sz w:val="18"/>
          <w:szCs w:val="18"/>
        </w:rPr>
        <w:t>135,297.50</w:t>
      </w:r>
      <w:r>
        <w:rPr>
          <w:color w:val="000000"/>
          <w:spacing w:val="0"/>
          <w:w w:val="100"/>
          <w:position w:val="0"/>
        </w:rPr>
        <w:t>万 元，扣除发行费用后拟用于“银行数字化转型解决方案项目”、“银行智能设备产业化项目”、“研发中心项目”、“补充 流动资金”和“偿还银行贷款”。</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日，深交所受理公司向特定对象发行股票申请文件。</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日，公司召开第五届董事会第四次会议，审议通过了《关于终止向特定对象发行股票事项并撤回申请文件 的议案》。经与中介机构审慎研究，综合考虑资本市场政策及环境的变化、公司目前的实际情况等因素，公司决定终止本次 向特定对象发行股票事项，并向深交所申请撤回相关申请文件。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日，公司收到深交所《关于终止对深圳市银之 </w:t>
      </w:r>
      <w:r>
        <w:rPr>
          <w:color w:val="000000"/>
          <w:spacing w:val="0"/>
          <w:w w:val="100"/>
          <w:position w:val="0"/>
        </w:rPr>
        <w:t>杰科技股份有限公司申请向特定对象发行股票审核的决定》（深证上审〔</w:t>
      </w:r>
      <w:r>
        <w:rPr>
          <w:color w:val="000000"/>
          <w:spacing w:val="0"/>
          <w:w w:val="100"/>
          <w:position w:val="0"/>
          <w:sz w:val="18"/>
          <w:szCs w:val="18"/>
        </w:rPr>
        <w:t>2020</w:t>
      </w:r>
      <w:r>
        <w:rPr>
          <w:color w:val="000000"/>
          <w:spacing w:val="0"/>
          <w:w w:val="100"/>
          <w:position w:val="0"/>
        </w:rPr>
        <w:t xml:space="preserve">〕 </w:t>
      </w:r>
      <w:r>
        <w:rPr>
          <w:color w:val="000000"/>
          <w:spacing w:val="0"/>
          <w:w w:val="100"/>
          <w:position w:val="0"/>
          <w:sz w:val="18"/>
          <w:szCs w:val="18"/>
        </w:rPr>
        <w:t>594</w:t>
      </w:r>
      <w:r>
        <w:rPr>
          <w:color w:val="000000"/>
          <w:spacing w:val="0"/>
          <w:w w:val="100"/>
          <w:position w:val="0"/>
        </w:rPr>
        <w:t>号）。公司将结合资本市场政策环境、 未来业务发展需求等因素调整发行方案并择机重新申报。</w:t>
      </w:r>
    </w:p>
    <w:p>
      <w:pPr>
        <w:pStyle w:val="Style17"/>
        <w:keepNext w:val="0"/>
        <w:keepLines w:val="0"/>
        <w:widowControl w:val="0"/>
        <w:shd w:val="clear" w:color="auto" w:fill="auto"/>
        <w:tabs>
          <w:tab w:pos="704" w:val="left"/>
        </w:tabs>
        <w:bidi w:val="0"/>
        <w:spacing w:before="0" w:after="0" w:line="470" w:lineRule="exact"/>
        <w:ind w:left="0" w:right="0"/>
        <w:jc w:val="left"/>
      </w:pPr>
      <w:bookmarkStart w:id="273" w:name="bookmark273"/>
      <w:r>
        <w:rPr>
          <w:color w:val="000000"/>
          <w:spacing w:val="0"/>
          <w:w w:val="100"/>
          <w:position w:val="0"/>
          <w:sz w:val="18"/>
          <w:szCs w:val="18"/>
        </w:rPr>
        <w:t>3</w:t>
      </w:r>
      <w:bookmarkEnd w:id="273"/>
      <w:r>
        <w:rPr>
          <w:color w:val="000000"/>
          <w:spacing w:val="0"/>
          <w:w w:val="100"/>
          <w:position w:val="0"/>
          <w:sz w:val="18"/>
          <w:szCs w:val="18"/>
        </w:rPr>
        <w:t>）</w:t>
        <w:tab/>
      </w:r>
      <w:r>
        <w:rPr>
          <w:color w:val="000000"/>
          <w:spacing w:val="0"/>
          <w:w w:val="100"/>
          <w:position w:val="0"/>
        </w:rPr>
        <w:t>在金融信息化、移动信息服务、电子商务等三大主营业务的基础上，努力发展金融科技的创新业务和模式；</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报告期内，公司战略投资的创新业务中，由华道征信入股的百行征信有限公司</w:t>
      </w:r>
      <w:r>
        <w:rPr>
          <w:color w:val="000000"/>
          <w:spacing w:val="0"/>
          <w:w w:val="100"/>
          <w:position w:val="0"/>
          <w:sz w:val="18"/>
          <w:szCs w:val="18"/>
        </w:rPr>
        <w:t>2020</w:t>
      </w:r>
      <w:r>
        <w:rPr>
          <w:color w:val="000000"/>
          <w:spacing w:val="0"/>
          <w:w w:val="100"/>
          <w:position w:val="0"/>
        </w:rPr>
        <w:t>年取得较好业绩，累计收录的个人信 息主体数量、上市产品数量、个人信用报告及增值产品使用量达到历史新高，具有良好的发展前景。公司的参股公司华道征 信主要从事征信技术开发，为百行征信业务发展提供技术支持和技术服务，以及在征信产业链中开展与个人征信相关的配套 服务。</w:t>
      </w:r>
    </w:p>
    <w:p>
      <w:pPr>
        <w:pStyle w:val="Style17"/>
        <w:keepNext w:val="0"/>
        <w:keepLines w:val="0"/>
        <w:widowControl w:val="0"/>
        <w:shd w:val="clear" w:color="auto" w:fill="auto"/>
        <w:tabs>
          <w:tab w:pos="709" w:val="left"/>
        </w:tabs>
        <w:bidi w:val="0"/>
        <w:spacing w:before="0" w:after="0" w:line="470" w:lineRule="exact"/>
        <w:ind w:left="0" w:right="0"/>
        <w:jc w:val="both"/>
      </w:pPr>
      <w:bookmarkStart w:id="274" w:name="bookmark274"/>
      <w:r>
        <w:rPr>
          <w:color w:val="000000"/>
          <w:spacing w:val="0"/>
          <w:w w:val="100"/>
          <w:position w:val="0"/>
          <w:sz w:val="18"/>
          <w:szCs w:val="18"/>
        </w:rPr>
        <w:t>4</w:t>
      </w:r>
      <w:bookmarkEnd w:id="274"/>
      <w:r>
        <w:rPr>
          <w:color w:val="000000"/>
          <w:spacing w:val="0"/>
          <w:w w:val="100"/>
          <w:position w:val="0"/>
          <w:sz w:val="18"/>
          <w:szCs w:val="18"/>
        </w:rPr>
        <w:t>）</w:t>
        <w:tab/>
      </w:r>
      <w:r>
        <w:rPr>
          <w:color w:val="000000"/>
          <w:spacing w:val="0"/>
          <w:w w:val="100"/>
          <w:position w:val="0"/>
        </w:rPr>
        <w:t>持续提升公司经营管理效率，确保公司稳健运营。</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报告期内，公司不断加强和完善公司治理水平和内部控制管理体系建设。公司于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月，根据新颁布的《深圳证券 交易所创业板股票上市规则</w:t>
      </w:r>
      <w:r>
        <w:rPr>
          <w:color w:val="000000"/>
          <w:spacing w:val="0"/>
          <w:w w:val="100"/>
          <w:position w:val="0"/>
          <w:sz w:val="18"/>
          <w:szCs w:val="18"/>
        </w:rPr>
        <w:t>（2020</w:t>
      </w:r>
      <w:r>
        <w:rPr>
          <w:color w:val="000000"/>
          <w:spacing w:val="0"/>
          <w:w w:val="100"/>
          <w:position w:val="0"/>
        </w:rPr>
        <w:t>年修订）》、《深圳证券交易所创业板上市公司规范运作指引</w:t>
      </w:r>
      <w:r>
        <w:rPr>
          <w:color w:val="000000"/>
          <w:spacing w:val="0"/>
          <w:w w:val="100"/>
          <w:position w:val="0"/>
          <w:sz w:val="18"/>
          <w:szCs w:val="18"/>
        </w:rPr>
        <w:t>（2020</w:t>
      </w:r>
      <w:r>
        <w:rPr>
          <w:color w:val="000000"/>
          <w:spacing w:val="0"/>
          <w:w w:val="100"/>
          <w:position w:val="0"/>
        </w:rPr>
        <w:t>年修订）》等有关法 律法规的规定，对公司的《公司章程》、《董事会议事规则》、《股东大会议事规则》、《关联交易决策制度》、《对外担 保管理制度》、《对外投资管理制度》、《募集资金管理制度》等十余项内控制度进行了全面、系统的修订，保证了公司内 部控制制度的有效性，提升了公司治理能力。此外，公司建立了符合自身业务特点和经营需求的内部控制管理体系，并定期 开展内部控制自我评价，使公司运营管理更规范、高效，为公司把控风险、稳健经营打下良好基础。</w:t>
      </w:r>
    </w:p>
    <w:p>
      <w:pPr>
        <w:pStyle w:val="Style17"/>
        <w:keepNext w:val="0"/>
        <w:keepLines w:val="0"/>
        <w:widowControl w:val="0"/>
        <w:shd w:val="clear" w:color="auto" w:fill="auto"/>
        <w:bidi w:val="0"/>
        <w:spacing w:before="0" w:after="0" w:line="470" w:lineRule="exact"/>
        <w:ind w:left="0" w:right="0"/>
        <w:jc w:val="both"/>
      </w:pPr>
      <w:bookmarkStart w:id="275" w:name="bookmark275"/>
      <w:r>
        <w:rPr>
          <w:color w:val="000000"/>
          <w:spacing w:val="0"/>
          <w:w w:val="100"/>
          <w:position w:val="0"/>
          <w:sz w:val="18"/>
          <w:szCs w:val="18"/>
        </w:rPr>
        <w:t>2</w:t>
      </w:r>
      <w:bookmarkEnd w:id="275"/>
      <w:r>
        <w:rPr>
          <w:color w:val="000000"/>
          <w:spacing w:val="0"/>
          <w:w w:val="100"/>
          <w:position w:val="0"/>
        </w:rPr>
        <w:t>、</w:t>
      </w:r>
      <w:r>
        <w:rPr>
          <w:color w:val="000000"/>
          <w:spacing w:val="0"/>
          <w:w w:val="100"/>
          <w:position w:val="0"/>
          <w:sz w:val="18"/>
          <w:szCs w:val="18"/>
        </w:rPr>
        <w:t>2021</w:t>
      </w:r>
      <w:r>
        <w:rPr>
          <w:color w:val="000000"/>
          <w:spacing w:val="0"/>
          <w:w w:val="100"/>
          <w:position w:val="0"/>
        </w:rPr>
        <w:t>年度经营计划</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sz w:val="18"/>
          <w:szCs w:val="18"/>
        </w:rPr>
        <w:t>2021</w:t>
      </w:r>
      <w:r>
        <w:rPr>
          <w:color w:val="000000"/>
          <w:spacing w:val="0"/>
          <w:w w:val="100"/>
          <w:position w:val="0"/>
        </w:rPr>
        <w:t>年公司的经营工作主要围绕以下四个方面展开：</w:t>
      </w:r>
    </w:p>
    <w:p>
      <w:pPr>
        <w:pStyle w:val="Style17"/>
        <w:keepNext w:val="0"/>
        <w:keepLines w:val="0"/>
        <w:widowControl w:val="0"/>
        <w:shd w:val="clear" w:color="auto" w:fill="auto"/>
        <w:tabs>
          <w:tab w:pos="695" w:val="left"/>
        </w:tabs>
        <w:bidi w:val="0"/>
        <w:spacing w:before="0" w:after="0" w:line="470" w:lineRule="exact"/>
        <w:ind w:left="0" w:right="0"/>
        <w:jc w:val="left"/>
      </w:pPr>
      <w:bookmarkStart w:id="276" w:name="bookmark276"/>
      <w:r>
        <w:rPr>
          <w:color w:val="000000"/>
          <w:spacing w:val="0"/>
          <w:w w:val="100"/>
          <w:position w:val="0"/>
          <w:sz w:val="18"/>
          <w:szCs w:val="18"/>
        </w:rPr>
        <w:t>1</w:t>
      </w:r>
      <w:bookmarkEnd w:id="276"/>
      <w:r>
        <w:rPr>
          <w:color w:val="000000"/>
          <w:spacing w:val="0"/>
          <w:w w:val="100"/>
          <w:position w:val="0"/>
          <w:sz w:val="18"/>
          <w:szCs w:val="18"/>
        </w:rPr>
        <w:t>）</w:t>
        <w:tab/>
      </w:r>
      <w:r>
        <w:rPr>
          <w:color w:val="000000"/>
          <w:spacing w:val="0"/>
          <w:w w:val="100"/>
          <w:position w:val="0"/>
        </w:rPr>
        <w:t>聚焦金融信息化、移动信息服务、电子商务三大主营业务，实现全年销售目标；</w:t>
      </w:r>
    </w:p>
    <w:p>
      <w:pPr>
        <w:pStyle w:val="Style17"/>
        <w:keepNext w:val="0"/>
        <w:keepLines w:val="0"/>
        <w:widowControl w:val="0"/>
        <w:shd w:val="clear" w:color="auto" w:fill="auto"/>
        <w:tabs>
          <w:tab w:pos="704" w:val="left"/>
        </w:tabs>
        <w:bidi w:val="0"/>
        <w:spacing w:before="0" w:after="0" w:line="470" w:lineRule="exact"/>
        <w:ind w:left="0" w:right="0"/>
        <w:jc w:val="left"/>
      </w:pPr>
      <w:bookmarkStart w:id="277" w:name="bookmark277"/>
      <w:r>
        <w:rPr>
          <w:color w:val="000000"/>
          <w:spacing w:val="0"/>
          <w:w w:val="100"/>
          <w:position w:val="0"/>
          <w:sz w:val="18"/>
          <w:szCs w:val="18"/>
        </w:rPr>
        <w:t>2</w:t>
      </w:r>
      <w:bookmarkEnd w:id="277"/>
      <w:r>
        <w:rPr>
          <w:color w:val="000000"/>
          <w:spacing w:val="0"/>
          <w:w w:val="100"/>
          <w:position w:val="0"/>
          <w:sz w:val="18"/>
          <w:szCs w:val="18"/>
        </w:rPr>
        <w:t>）</w:t>
        <w:tab/>
      </w:r>
      <w:r>
        <w:rPr>
          <w:color w:val="000000"/>
          <w:spacing w:val="0"/>
          <w:w w:val="100"/>
          <w:position w:val="0"/>
        </w:rPr>
        <w:t>充分利用资本市场平台，通过对外投资或收购兼并，积极寻求外延式发展机会；</w:t>
      </w:r>
    </w:p>
    <w:p>
      <w:pPr>
        <w:pStyle w:val="Style17"/>
        <w:keepNext w:val="0"/>
        <w:keepLines w:val="0"/>
        <w:widowControl w:val="0"/>
        <w:shd w:val="clear" w:color="auto" w:fill="auto"/>
        <w:tabs>
          <w:tab w:pos="704" w:val="left"/>
        </w:tabs>
        <w:bidi w:val="0"/>
        <w:spacing w:before="0" w:after="0" w:line="470" w:lineRule="exact"/>
        <w:ind w:left="0" w:right="0"/>
        <w:jc w:val="left"/>
      </w:pPr>
      <w:bookmarkStart w:id="278" w:name="bookmark278"/>
      <w:r>
        <w:rPr>
          <w:color w:val="000000"/>
          <w:spacing w:val="0"/>
          <w:w w:val="100"/>
          <w:position w:val="0"/>
          <w:sz w:val="18"/>
          <w:szCs w:val="18"/>
        </w:rPr>
        <w:t>3</w:t>
      </w:r>
      <w:bookmarkEnd w:id="278"/>
      <w:r>
        <w:rPr>
          <w:color w:val="000000"/>
          <w:spacing w:val="0"/>
          <w:w w:val="100"/>
          <w:position w:val="0"/>
          <w:sz w:val="18"/>
          <w:szCs w:val="18"/>
        </w:rPr>
        <w:t>）</w:t>
        <w:tab/>
      </w:r>
      <w:r>
        <w:rPr>
          <w:color w:val="000000"/>
          <w:spacing w:val="0"/>
          <w:w w:val="100"/>
          <w:position w:val="0"/>
        </w:rPr>
        <w:t>推进主营业务之间的业务协同，实现公司各业务板块协调发展；</w:t>
      </w:r>
    </w:p>
    <w:p>
      <w:pPr>
        <w:pStyle w:val="Style17"/>
        <w:keepNext w:val="0"/>
        <w:keepLines w:val="0"/>
        <w:widowControl w:val="0"/>
        <w:shd w:val="clear" w:color="auto" w:fill="auto"/>
        <w:tabs>
          <w:tab w:pos="709" w:val="left"/>
        </w:tabs>
        <w:bidi w:val="0"/>
        <w:spacing w:before="0" w:after="0" w:line="470" w:lineRule="exact"/>
        <w:ind w:left="0" w:right="0"/>
        <w:jc w:val="left"/>
      </w:pPr>
      <w:bookmarkStart w:id="279" w:name="bookmark279"/>
      <w:r>
        <w:rPr>
          <w:color w:val="000000"/>
          <w:spacing w:val="0"/>
          <w:w w:val="100"/>
          <w:position w:val="0"/>
          <w:sz w:val="18"/>
          <w:szCs w:val="18"/>
        </w:rPr>
        <w:t>4</w:t>
      </w:r>
      <w:bookmarkEnd w:id="279"/>
      <w:r>
        <w:rPr>
          <w:color w:val="000000"/>
          <w:spacing w:val="0"/>
          <w:w w:val="100"/>
          <w:position w:val="0"/>
          <w:sz w:val="18"/>
          <w:szCs w:val="18"/>
        </w:rPr>
        <w:t>）</w:t>
        <w:tab/>
      </w:r>
      <w:r>
        <w:rPr>
          <w:color w:val="000000"/>
          <w:spacing w:val="0"/>
          <w:w w:val="100"/>
          <w:position w:val="0"/>
        </w:rPr>
        <w:t>持续优化公司治理结构和内部控制规范，提升公司的运行管理水平与效率，促进公司快速、稳健、可持续发展。</w:t>
      </w:r>
    </w:p>
    <w:p>
      <w:pPr>
        <w:pStyle w:val="Style17"/>
        <w:keepNext w:val="0"/>
        <w:keepLines w:val="0"/>
        <w:widowControl w:val="0"/>
        <w:shd w:val="clear" w:color="auto" w:fill="auto"/>
        <w:bidi w:val="0"/>
        <w:spacing w:before="0" w:after="0" w:line="470" w:lineRule="exact"/>
        <w:ind w:left="0" w:right="0"/>
        <w:jc w:val="left"/>
      </w:pPr>
      <w:bookmarkStart w:id="280" w:name="bookmark280"/>
      <w:r>
        <w:rPr>
          <w:color w:val="000000"/>
          <w:spacing w:val="0"/>
          <w:w w:val="100"/>
          <w:position w:val="0"/>
        </w:rPr>
        <w:t>（</w:t>
      </w:r>
      <w:bookmarkEnd w:id="280"/>
      <w:r>
        <w:rPr>
          <w:color w:val="000000"/>
          <w:spacing w:val="0"/>
          <w:w w:val="100"/>
          <w:position w:val="0"/>
        </w:rPr>
        <w:t>四）可能面对的风险</w:t>
      </w:r>
    </w:p>
    <w:p>
      <w:pPr>
        <w:pStyle w:val="Style17"/>
        <w:keepNext w:val="0"/>
        <w:keepLines w:val="0"/>
        <w:widowControl w:val="0"/>
        <w:shd w:val="clear" w:color="auto" w:fill="auto"/>
        <w:bidi w:val="0"/>
        <w:spacing w:before="0" w:after="0" w:line="470" w:lineRule="exact"/>
        <w:ind w:left="0" w:right="0"/>
        <w:jc w:val="left"/>
      </w:pPr>
      <w:r>
        <w:rPr>
          <w:color w:val="000000"/>
          <w:spacing w:val="0"/>
          <w:w w:val="100"/>
          <w:position w:val="0"/>
          <w:sz w:val="18"/>
          <w:szCs w:val="18"/>
        </w:rPr>
        <w:t>1</w:t>
      </w:r>
      <w:r>
        <w:rPr>
          <w:color w:val="000000"/>
          <w:spacing w:val="0"/>
          <w:w w:val="100"/>
          <w:position w:val="0"/>
        </w:rPr>
        <w:t>、短期盈利能力风险</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公司主营业务包括金融信息化、移动信息服务和电子商务业务。为了巩固公司以金融科技服务为核心的业务基础，开拓 新的业务模式和服务领域，公司近年来在个人征信、互联网保险、证券、金融大数据等领域进行了新业务战略布局，打造了 以金融科技为基础的综合金融生态服务体系。公司实施以上战略布局，是公司为企业长远发展而采取的积极措施，并且在各 项战略投资实施之前，公司已对新兴业务的发展空间和项目可行性进行了充分的论证。但是由于部分新业务在业务开展初期 阶段需要比较高的投入，可能在一定时期内不具备盈利能力，因此可能致使公司存在短期盈利能力下降的风险，一定时期内 影响公司整体的盈利能力。</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针对上述风险，公司一方面将从战略高度充分重视新兴业务的进展，全力推进新业务的健康发展，科学把控新兴业务投 资进度，降低投资风险；另一方面将努力推进成熟业务的业绩提升，保持公司整体盈利情况的合理性。</w:t>
      </w:r>
    </w:p>
    <w:p>
      <w:pPr>
        <w:pStyle w:val="Style17"/>
        <w:keepNext w:val="0"/>
        <w:keepLines w:val="0"/>
        <w:widowControl w:val="0"/>
        <w:shd w:val="clear" w:color="auto" w:fill="auto"/>
        <w:tabs>
          <w:tab w:pos="683" w:val="left"/>
        </w:tabs>
        <w:bidi w:val="0"/>
        <w:spacing w:before="0" w:after="0" w:line="471" w:lineRule="exact"/>
        <w:ind w:left="0" w:right="0" w:firstLine="360"/>
        <w:jc w:val="left"/>
      </w:pPr>
      <w:bookmarkStart w:id="281" w:name="bookmark281"/>
      <w:r>
        <w:rPr>
          <w:color w:val="000000"/>
          <w:spacing w:val="0"/>
          <w:w w:val="100"/>
          <w:position w:val="0"/>
          <w:sz w:val="18"/>
          <w:szCs w:val="18"/>
        </w:rPr>
        <w:t>2</w:t>
      </w:r>
      <w:bookmarkEnd w:id="281"/>
      <w:r>
        <w:rPr>
          <w:color w:val="000000"/>
          <w:spacing w:val="0"/>
          <w:w w:val="100"/>
          <w:position w:val="0"/>
        </w:rPr>
        <w:t>、</w:t>
        <w:tab/>
        <w:t>运营资金短缺风险</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随着公司新业务板块持续拓展，经营规模不断扩大，公司对运营资金的需求日益扩大。如果不能及时解决资金需求，将 给公司的业务运营和后续发展带来风险。</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针对上述风险，公司首先将加强公司应收账款的管理，进一步严控企业成本，加强自有资金和募集资金的有效利用，持 续改善公司现金流情况，确保日常运营资金充足；同时充分利用上市公司融资平台和其他融资渠道，适时筹措运营发展资金， 降低公司运营资金短缺的风险。</w:t>
      </w:r>
    </w:p>
    <w:p>
      <w:pPr>
        <w:pStyle w:val="Style17"/>
        <w:keepNext w:val="0"/>
        <w:keepLines w:val="0"/>
        <w:widowControl w:val="0"/>
        <w:shd w:val="clear" w:color="auto" w:fill="auto"/>
        <w:tabs>
          <w:tab w:pos="683" w:val="left"/>
        </w:tabs>
        <w:bidi w:val="0"/>
        <w:spacing w:before="0" w:after="0" w:line="471" w:lineRule="exact"/>
        <w:ind w:left="0" w:right="0" w:firstLine="360"/>
        <w:jc w:val="both"/>
      </w:pPr>
      <w:bookmarkStart w:id="282" w:name="bookmark282"/>
      <w:r>
        <w:rPr>
          <w:color w:val="000000"/>
          <w:spacing w:val="0"/>
          <w:w w:val="100"/>
          <w:position w:val="0"/>
          <w:sz w:val="18"/>
          <w:szCs w:val="18"/>
        </w:rPr>
        <w:t>3</w:t>
      </w:r>
      <w:bookmarkEnd w:id="282"/>
      <w:r>
        <w:rPr>
          <w:color w:val="000000"/>
          <w:spacing w:val="0"/>
          <w:w w:val="100"/>
          <w:position w:val="0"/>
        </w:rPr>
        <w:t>、</w:t>
        <w:tab/>
        <w:t>经营管理风险</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随着公司业务领域的持续拓展、经营规模的不断扩大，公司组织结构和管理体系日趋复杂，公司的经营决策、风险控制 的难度大为增加，对公司管理团队的人才储备、管理水平以及驾驭经营管理风险的能力提出了更高的要求。如果公司在经营 管理过程中不能解决人才、文化、管理能力、管理效率等方面的新的挑战，将对公司的有效运营和业务发展带来一定风险。</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针对上述风险，公司持续引进、储备高素质人才，严格按照上市公司规范治理要求，不断优化、整合业务结构，加强内 控体系建设，提升管理水平，提高公司经营管理抗风险的能力。</w:t>
      </w:r>
    </w:p>
    <w:p>
      <w:pPr>
        <w:pStyle w:val="Style17"/>
        <w:keepNext w:val="0"/>
        <w:keepLines w:val="0"/>
        <w:widowControl w:val="0"/>
        <w:shd w:val="clear" w:color="auto" w:fill="auto"/>
        <w:tabs>
          <w:tab w:pos="687" w:val="left"/>
        </w:tabs>
        <w:bidi w:val="0"/>
        <w:spacing w:before="0" w:after="0" w:line="471" w:lineRule="exact"/>
        <w:ind w:left="0" w:right="0" w:firstLine="360"/>
        <w:jc w:val="both"/>
      </w:pPr>
      <w:bookmarkStart w:id="283" w:name="bookmark283"/>
      <w:r>
        <w:rPr>
          <w:color w:val="000000"/>
          <w:spacing w:val="0"/>
          <w:w w:val="100"/>
          <w:position w:val="0"/>
          <w:sz w:val="18"/>
          <w:szCs w:val="18"/>
        </w:rPr>
        <w:t>4</w:t>
      </w:r>
      <w:bookmarkEnd w:id="283"/>
      <w:r>
        <w:rPr>
          <w:color w:val="000000"/>
          <w:spacing w:val="0"/>
          <w:w w:val="100"/>
          <w:position w:val="0"/>
        </w:rPr>
        <w:t>、</w:t>
        <w:tab/>
        <w:t>商誉减值风险</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sz w:val="18"/>
          <w:szCs w:val="18"/>
        </w:rPr>
        <w:t>2020</w:t>
      </w:r>
      <w:r>
        <w:rPr>
          <w:color w:val="000000"/>
          <w:spacing w:val="0"/>
          <w:w w:val="100"/>
          <w:position w:val="0"/>
        </w:rPr>
        <w:t>年末，公司商誉账面价值为</w:t>
      </w:r>
      <w:r>
        <w:rPr>
          <w:color w:val="000000"/>
          <w:spacing w:val="0"/>
          <w:w w:val="100"/>
          <w:position w:val="0"/>
          <w:sz w:val="18"/>
          <w:szCs w:val="18"/>
        </w:rPr>
        <w:t>15,561.79</w:t>
      </w:r>
      <w:r>
        <w:rPr>
          <w:color w:val="000000"/>
          <w:spacing w:val="0"/>
          <w:w w:val="100"/>
          <w:position w:val="0"/>
        </w:rPr>
        <w:t>万元，系公司收购亿美软通和安科创新形成的商誉。近期，由于受电信运营 商短信通道成本上升以及行业竞争的影响，亿美软通的经营业绩有所下降。亿美软通正在通过提升短信业务毛利率水平、开 拓</w:t>
      </w:r>
      <w:r>
        <w:rPr>
          <w:color w:val="000000"/>
          <w:spacing w:val="0"/>
          <w:w w:val="100"/>
          <w:position w:val="0"/>
          <w:sz w:val="18"/>
          <w:szCs w:val="18"/>
        </w:rPr>
        <w:t>5G</w:t>
      </w:r>
      <w:r>
        <w:rPr>
          <w:color w:val="000000"/>
          <w:spacing w:val="0"/>
          <w:w w:val="100"/>
          <w:position w:val="0"/>
        </w:rPr>
        <w:t>消息创新业务等措施努力提高公司的经营业绩，目前各项经营措施进展正常。如果以上经营措施不能达到预期效果，亿 美软通的盈利能力持续下降，公司收购亿美软通形成的商誉将可能发生减值，从而对公司的资产总额及盈利能力产生不利影 响。</w:t>
      </w:r>
    </w:p>
    <w:p>
      <w:pPr>
        <w:pStyle w:val="Style17"/>
        <w:keepNext w:val="0"/>
        <w:keepLines w:val="0"/>
        <w:widowControl w:val="0"/>
        <w:shd w:val="clear" w:color="auto" w:fill="auto"/>
        <w:bidi w:val="0"/>
        <w:spacing w:before="0" w:after="440" w:line="471" w:lineRule="exact"/>
        <w:ind w:left="0" w:right="0" w:firstLine="360"/>
        <w:jc w:val="both"/>
      </w:pPr>
      <w:r>
        <w:rPr>
          <w:color w:val="000000"/>
          <w:spacing w:val="0"/>
          <w:w w:val="100"/>
          <w:position w:val="0"/>
        </w:rPr>
        <w:t>针对上述风险，公司除每年对商誉进行减值测试外，还将持续加强母公司与亿美软通、安科创新在产品、技术、市场、 管理等方面的整合，通过加强管理和创新，保持亿美软通、安科创新的市场竞争力及持续稳定的盈利能力，最大限度降低商 誉减值对公司未来业绩的影响。</w:t>
      </w:r>
    </w:p>
    <w:p>
      <w:pPr>
        <w:pStyle w:val="Style32"/>
        <w:keepNext/>
        <w:keepLines/>
        <w:widowControl w:val="0"/>
        <w:shd w:val="clear" w:color="auto" w:fill="auto"/>
        <w:bidi w:val="0"/>
        <w:spacing w:before="0" w:line="240" w:lineRule="auto"/>
        <w:ind w:left="0" w:right="0" w:firstLine="0"/>
        <w:jc w:val="left"/>
      </w:pPr>
      <w:bookmarkStart w:id="284" w:name="bookmark284"/>
      <w:bookmarkStart w:id="285" w:name="bookmark285"/>
      <w:bookmarkStart w:id="286" w:name="bookmark286"/>
      <w:r>
        <w:rPr>
          <w:color w:val="000000"/>
          <w:spacing w:val="0"/>
          <w:w w:val="100"/>
          <w:position w:val="0"/>
          <w:sz w:val="24"/>
          <w:szCs w:val="24"/>
        </w:rPr>
        <w:t>十、接待调研、沟通、采访等活动登记表</w:t>
      </w:r>
      <w:bookmarkEnd w:id="284"/>
      <w:bookmarkEnd w:id="285"/>
      <w:bookmarkEnd w:id="286"/>
    </w:p>
    <w:p>
      <w:pPr>
        <w:pStyle w:val="Style36"/>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、报告期内接待调研、沟通、采访等活动登记表</w:t>
      </w:r>
      <w:bookmarkEnd w:id="287"/>
      <w:bookmarkEnd w:id="288"/>
      <w:bookmarkEnd w:id="290"/>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公司报告期内未发生接待调研、沟通、采访等活动。</w:t>
      </w:r>
    </w:p>
    <w:p>
      <w:pPr>
        <w:pStyle w:val="Style9"/>
        <w:keepNext/>
        <w:keepLines/>
        <w:widowControl w:val="0"/>
        <w:shd w:val="clear" w:color="auto" w:fill="auto"/>
        <w:bidi w:val="0"/>
        <w:spacing w:before="0" w:after="520" w:line="240" w:lineRule="auto"/>
        <w:ind w:left="0" w:right="0" w:firstLine="0"/>
        <w:jc w:val="center"/>
      </w:pPr>
      <w:bookmarkStart w:id="291" w:name="bookmark291"/>
      <w:bookmarkStart w:id="292" w:name="bookmark292"/>
      <w:bookmarkStart w:id="293" w:name="bookmark293"/>
      <w:r>
        <w:rPr>
          <w:color w:val="000000"/>
          <w:spacing w:val="0"/>
          <w:w w:val="100"/>
          <w:position w:val="0"/>
        </w:rPr>
        <w:t>第五节重要事项</w:t>
      </w:r>
      <w:bookmarkEnd w:id="291"/>
      <w:bookmarkEnd w:id="292"/>
      <w:bookmarkEnd w:id="293"/>
    </w:p>
    <w:p>
      <w:pPr>
        <w:pStyle w:val="Style32"/>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bookmarkStart w:id="297" w:name="bookmark297"/>
      <w:bookmarkStart w:id="298" w:name="bookmark298"/>
      <w:r>
        <w:rPr>
          <w:color w:val="000000"/>
          <w:spacing w:val="0"/>
          <w:w w:val="100"/>
          <w:position w:val="0"/>
          <w:sz w:val="24"/>
          <w:szCs w:val="24"/>
        </w:rPr>
        <w:t>一</w:t>
      </w:r>
      <w:bookmarkEnd w:id="297"/>
      <w:r>
        <w:rPr>
          <w:color w:val="000000"/>
          <w:spacing w:val="0"/>
          <w:w w:val="100"/>
          <w:position w:val="0"/>
          <w:sz w:val="24"/>
          <w:szCs w:val="24"/>
        </w:rPr>
        <w:t>、公司普通股利润分配及资本公积金转增股本情况</w:t>
      </w:r>
      <w:bookmarkEnd w:id="295"/>
      <w:bookmarkEnd w:id="296"/>
      <w:bookmarkEnd w:id="298"/>
      <w:bookmarkEnd w:id="29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15"/>
        <w:gridCol w:w="586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112,029,015.83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99" w:hRule="exact"/>
        </w:trPr>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经中汇会计师事务所审计，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10,940,660.15</w:t>
            </w:r>
            <w:r>
              <w:rPr>
                <w:color w:val="000000"/>
                <w:spacing w:val="0"/>
                <w:w w:val="100"/>
                <w:position w:val="0"/>
              </w:rPr>
              <w:t>元，根据《公司法》和《公司章程》的有关规定， 按照实现净利润的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1,094,066.02</w:t>
            </w:r>
            <w:r>
              <w:rPr>
                <w:color w:val="000000"/>
                <w:spacing w:val="0"/>
                <w:w w:val="100"/>
                <w:position w:val="0"/>
              </w:rPr>
              <w:t>元后，加上年初未分配利润</w:t>
            </w:r>
            <w:r>
              <w:rPr>
                <w:rFonts w:ascii="Times New Roman" w:eastAsia="Times New Roman" w:hAnsi="Times New Roman" w:cs="Times New Roman"/>
                <w:color w:val="000000"/>
                <w:spacing w:val="0"/>
                <w:w w:val="100"/>
                <w:position w:val="0"/>
                <w:sz w:val="18"/>
                <w:szCs w:val="18"/>
              </w:rPr>
              <w:t>102,182,421.69</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年度现金 分红</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112,029,015.82</w:t>
            </w:r>
            <w:r>
              <w:rPr>
                <w:color w:val="000000"/>
                <w:spacing w:val="0"/>
                <w:w w:val="100"/>
                <w:position w:val="0"/>
              </w:rPr>
              <w:t>元。</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公司董事会拟定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706,640,535.00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元人民币现金（含税），合计派发现金股利</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sz w:val="18"/>
                <w:szCs w:val="18"/>
              </w:rPr>
              <w:t>104,962,610.47</w:t>
            </w:r>
            <w:r>
              <w:rPr>
                <w:color w:val="000000"/>
                <w:spacing w:val="0"/>
                <w:w w:val="100"/>
                <w:position w:val="0"/>
              </w:rPr>
              <w:t>元结转以后年度。</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7"/>
        <w:keepNext w:val="0"/>
        <w:keepLines w:val="0"/>
        <w:widowControl w:val="0"/>
        <w:shd w:val="clear" w:color="auto" w:fill="auto"/>
        <w:bidi w:val="0"/>
        <w:spacing w:before="0" w:after="0" w:line="468" w:lineRule="exact"/>
        <w:ind w:left="0" w:right="0" w:firstLine="360"/>
        <w:jc w:val="left"/>
      </w:pPr>
      <w:r>
        <w:rPr>
          <w:rFonts w:ascii="Times New Roman" w:eastAsia="Times New Roman" w:hAnsi="Times New Roman" w:cs="Times New Roman"/>
          <w:color w:val="000000"/>
          <w:spacing w:val="0"/>
          <w:w w:val="100"/>
          <w:position w:val="0"/>
          <w:sz w:val="18"/>
          <w:szCs w:val="18"/>
        </w:rPr>
        <w:t>1.202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年度利润分配预案</w:t>
      </w:r>
    </w:p>
    <w:p>
      <w:pPr>
        <w:pStyle w:val="Style17"/>
        <w:keepNext w:val="0"/>
        <w:keepLines w:val="0"/>
        <w:widowControl w:val="0"/>
        <w:shd w:val="clear" w:color="auto" w:fill="auto"/>
        <w:bidi w:val="0"/>
        <w:spacing w:before="0" w:after="0" w:line="468" w:lineRule="exact"/>
        <w:ind w:left="0" w:right="0" w:firstLine="360"/>
        <w:jc w:val="left"/>
      </w:pPr>
      <w:r>
        <w:rPr>
          <w:color w:val="000000"/>
          <w:spacing w:val="0"/>
          <w:w w:val="100"/>
          <w:position w:val="0"/>
        </w:rPr>
        <w:t>经中汇会计师事务所审计，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10,940,660.15</w:t>
      </w:r>
      <w:r>
        <w:rPr>
          <w:color w:val="000000"/>
          <w:spacing w:val="0"/>
          <w:w w:val="100"/>
          <w:position w:val="0"/>
        </w:rPr>
        <w:t>元，根据《公司法》和《公司章程》的有关规定， 按照实现净利润的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,094,066.02</w:t>
      </w:r>
      <w:r>
        <w:rPr>
          <w:color w:val="000000"/>
          <w:spacing w:val="0"/>
          <w:w w:val="100"/>
          <w:position w:val="0"/>
        </w:rPr>
        <w:t>元后，加上年初未分配利润</w:t>
      </w:r>
      <w:r>
        <w:rPr>
          <w:rFonts w:ascii="Times New Roman" w:eastAsia="Times New Roman" w:hAnsi="Times New Roman" w:cs="Times New Roman"/>
          <w:color w:val="000000"/>
          <w:spacing w:val="0"/>
          <w:w w:val="100"/>
          <w:position w:val="0"/>
          <w:sz w:val="18"/>
          <w:szCs w:val="18"/>
        </w:rPr>
        <w:t>102,182,421.69</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112,029,015.8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公司董事会拟定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706,640,535.00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元人民币现金（含税），合计派发现金股利</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sz w:val="18"/>
          <w:szCs w:val="18"/>
        </w:rPr>
        <w:t>104,962,610.47</w:t>
      </w:r>
      <w:r>
        <w:rPr>
          <w:color w:val="000000"/>
          <w:spacing w:val="0"/>
          <w:w w:val="100"/>
          <w:position w:val="0"/>
        </w:rPr>
        <w:t>元结转以后年度。</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公司独立董事认为：公司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年度利润分配预案符合公司实际情况，在保证公司正常经营和长远发展的前提下，更好地 兼顾了股东的即期利益和长远利益；符合中国证监会《关于进一步落实上市公司现金分红有关事项的通知》、《上市公司监 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号——上市公司现金分红》的文件精神；不存在违反法律、法规、公司章程的情形，也不存在损害公司股东尤其 是中小股东利益的情形，有利于公司的正常经营和健康发展。</w:t>
      </w:r>
    </w:p>
    <w:p>
      <w:pPr>
        <w:pStyle w:val="Style17"/>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本利润分配预案尚需提交公司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w:t>
      </w:r>
    </w:p>
    <w:p>
      <w:pPr>
        <w:pStyle w:val="Style17"/>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2.2019</w:t>
      </w:r>
      <w:r>
        <w:rPr>
          <w:color w:val="000000"/>
          <w:spacing w:val="0"/>
          <w:w w:val="100"/>
          <w:position w:val="0"/>
        </w:rPr>
        <w:t>年度利润分配预案</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经中汇会计师事务所（特殊普通合伙）审计，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9,446,488.03</w:t>
      </w:r>
      <w:r>
        <w:rPr>
          <w:color w:val="000000"/>
          <w:spacing w:val="0"/>
          <w:w w:val="100"/>
          <w:position w:val="0"/>
        </w:rPr>
        <w:t>元，根据《公司法》和《公司章 程》的有关规定，按照实现净利润的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944,648.8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元后，加上年初未分配利润</w:t>
      </w:r>
      <w:r>
        <w:rPr>
          <w:rFonts w:ascii="Times New Roman" w:eastAsia="Times New Roman" w:hAnsi="Times New Roman" w:cs="Times New Roman"/>
          <w:color w:val="000000"/>
          <w:spacing w:val="0"/>
          <w:w w:val="100"/>
          <w:position w:val="0"/>
          <w:sz w:val="18"/>
          <w:szCs w:val="18"/>
        </w:rPr>
        <w:t>107,813,393.16</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14,132,810.70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sz w:val="18"/>
          <w:szCs w:val="18"/>
        </w:rPr>
        <w:t>102,182,421.69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年度母公司经营 活动产生的现金流量净额为</w:t>
      </w:r>
      <w:r>
        <w:rPr>
          <w:rFonts w:ascii="Times New Roman" w:eastAsia="Times New Roman" w:hAnsi="Times New Roman" w:cs="Times New Roman"/>
          <w:color w:val="000000"/>
          <w:spacing w:val="0"/>
          <w:w w:val="100"/>
          <w:position w:val="0"/>
          <w:sz w:val="18"/>
          <w:szCs w:val="18"/>
        </w:rPr>
        <w:t>-105,568,976.42</w:t>
      </w:r>
      <w:r>
        <w:rPr>
          <w:color w:val="000000"/>
          <w:spacing w:val="0"/>
          <w:w w:val="100"/>
          <w:position w:val="0"/>
        </w:rPr>
        <w:t>元，合并口径公司经营活动产生的现金流量净额为</w:t>
      </w:r>
      <w:r>
        <w:rPr>
          <w:rFonts w:ascii="Times New Roman" w:eastAsia="Times New Roman" w:hAnsi="Times New Roman" w:cs="Times New Roman"/>
          <w:color w:val="000000"/>
          <w:spacing w:val="0"/>
          <w:w w:val="100"/>
          <w:position w:val="0"/>
          <w:sz w:val="18"/>
          <w:szCs w:val="18"/>
        </w:rPr>
        <w:t>-53,425,673.79</w:t>
      </w:r>
      <w:r>
        <w:rPr>
          <w:color w:val="000000"/>
          <w:spacing w:val="0"/>
          <w:w w:val="100"/>
          <w:position w:val="0"/>
        </w:rPr>
        <w:t>元。</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根据《公司章程》关于利润分配的有关规定，鉴于公司上年度盈利情况、现金流情况以及未来经营发展需要，为保障公 司生产经营的正常运行，增强抵御风险能力，实现公司持续、稳定、健康发展，更好的维护全体股东的长远利益，经公司董 事会研究决定：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年度不进行现金分红，也不进行资本公积金转增股本，可供股东分配的利润结转以后年度。</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公司独立董事认为：综合考虑公司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年度的盈利情况、现金流情况以及未来经营发展需要，公司董事会关于“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年度不进行现金分红，也不进行资本公积金转增股本”的预案符合公司实际情况，是基于公司持续经营与长期发展的考虑， 符合《公司章程》中利润分配政策的有关规定，不存在损害公司股东特别是中小股东利益的情形，有利于公司的正常经营和 可持续发展。因此，我们同意董事会制定的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年度不进行利润分配的议案，并同意提交公司股东大会审议。</w:t>
      </w:r>
    </w:p>
    <w:p>
      <w:pPr>
        <w:pStyle w:val="Style17"/>
        <w:keepNext w:val="0"/>
        <w:keepLines w:val="0"/>
        <w:widowControl w:val="0"/>
        <w:shd w:val="clear" w:color="auto" w:fill="auto"/>
        <w:bidi w:val="0"/>
        <w:spacing w:before="0" w:after="260" w:line="468"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年度不进行利润分配的预案已提交公司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p>
    <w:p>
      <w:pPr>
        <w:pStyle w:val="Style17"/>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3.2018</w:t>
      </w:r>
      <w:r>
        <w:rPr>
          <w:color w:val="000000"/>
          <w:spacing w:val="0"/>
          <w:w w:val="100"/>
          <w:position w:val="0"/>
        </w:rPr>
        <w:t>年度利润分配预案</w:t>
      </w:r>
    </w:p>
    <w:p>
      <w:pPr>
        <w:pStyle w:val="Style17"/>
        <w:keepNext w:val="0"/>
        <w:keepLines w:val="0"/>
        <w:widowControl w:val="0"/>
        <w:shd w:val="clear" w:color="auto" w:fill="auto"/>
        <w:bidi w:val="0"/>
        <w:spacing w:before="0" w:after="260" w:line="468" w:lineRule="exact"/>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年度，公司以经瑞华会计师事务所审计的母公司可供分配利润为基础，以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元现金（含税）</w:t>
      </w:r>
      <w:r>
        <w:rPr>
          <w:color w:val="000000"/>
          <w:spacing w:val="0"/>
          <w:w w:val="100"/>
          <w:position w:val="0"/>
          <w:sz w:val="18"/>
          <w:szCs w:val="18"/>
        </w:rPr>
        <w:t>，</w:t>
      </w:r>
      <w:r>
        <w:rPr>
          <w:color w:val="000000"/>
          <w:spacing w:val="0"/>
          <w:w w:val="100"/>
          <w:position w:val="0"/>
        </w:rPr>
        <w:t>合计派发现金股利利</w:t>
      </w:r>
      <w:r>
        <w:rPr>
          <w:rFonts w:ascii="Times New Roman" w:eastAsia="Times New Roman" w:hAnsi="Times New Roman" w:cs="Times New Roman"/>
          <w:color w:val="000000"/>
          <w:spacing w:val="0"/>
          <w:w w:val="100"/>
          <w:position w:val="0"/>
          <w:sz w:val="18"/>
          <w:szCs w:val="18"/>
        </w:rPr>
        <w:t>14,132,810.7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日，公司第四届 董事会第十六次会议审议通过了《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年度股东大会审议通过上述权益分派方 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日，上述方案已实施完毕。</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197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w:t>
            </w: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的比率</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7,066,405.35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20,858,331.68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4,917,894.10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14,132,810.70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35,750,737.69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14,132,810.70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w:t>
            </w:r>
          </w:p>
        </w:tc>
      </w:tr>
    </w:tbl>
    <w:p>
      <w:pPr>
        <w:pStyle w:val="Style1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二</w:t>
      </w:r>
      <w:bookmarkEnd w:id="301"/>
      <w:r>
        <w:rPr>
          <w:color w:val="000000"/>
          <w:spacing w:val="0"/>
          <w:w w:val="100"/>
          <w:position w:val="0"/>
          <w:sz w:val="24"/>
          <w:szCs w:val="24"/>
        </w:rPr>
        <w:t>、承诺事项履行情况</w:t>
      </w:r>
      <w:bookmarkEnd w:id="299"/>
      <w:bookmarkEnd w:id="300"/>
      <w:bookmarkEnd w:id="302"/>
    </w:p>
    <w:p>
      <w:pPr>
        <w:pStyle w:val="Style36"/>
        <w:keepNext/>
        <w:keepLines/>
        <w:widowControl w:val="0"/>
        <w:shd w:val="clear" w:color="auto" w:fill="auto"/>
        <w:bidi w:val="0"/>
        <w:spacing w:before="0" w:after="360" w:line="307" w:lineRule="exact"/>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、公司实际控制人、股东、关联方、收购人以及公司等承诺相关方在报告期内履行完毕及截至报告期末 尚未履行完毕的承诺事项</w:t>
      </w:r>
      <w:bookmarkEnd w:id="303"/>
      <w:bookmarkEnd w:id="304"/>
      <w:bookmarkEnd w:id="306"/>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收购报告书或权益变动报告书中所</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3" w:lineRule="exact"/>
              <w:ind w:left="0" w:right="0" w:firstLine="0"/>
              <w:jc w:val="left"/>
            </w:pPr>
            <w:r>
              <w:rPr>
                <w:color w:val="000000"/>
                <w:spacing w:val="0"/>
                <w:w w:val="100"/>
                <w:position w:val="0"/>
              </w:rPr>
              <w:t>冯军、李岩、 深圳弘道天 瑞投资有限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302" w:lineRule="exact"/>
              <w:ind w:left="0" w:right="0" w:firstLine="0"/>
              <w:jc w:val="left"/>
            </w:pPr>
            <w:r>
              <w:rPr>
                <w:color w:val="000000"/>
                <w:spacing w:val="0"/>
                <w:w w:val="100"/>
                <w:position w:val="0"/>
              </w:rPr>
              <w:t>避免关联交 易的承诺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9"/>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截止报告期 末，公司上述 股东均遵守 以上承诺，未 发生违反上 述承诺的情 况。</w:t>
            </w:r>
          </w:p>
        </w:tc>
      </w:tr>
      <w:tr>
        <w:trPr>
          <w:trHeight w:val="289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3" w:lineRule="exact"/>
              <w:ind w:left="0" w:right="0" w:firstLine="0"/>
              <w:jc w:val="left"/>
            </w:pPr>
            <w:r>
              <w:rPr>
                <w:color w:val="000000"/>
                <w:spacing w:val="0"/>
                <w:w w:val="100"/>
                <w:position w:val="0"/>
              </w:rPr>
              <w:t>冯军、李岩、 深圳弘道天 瑞投资有限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避免同业竞 争的承诺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2020</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 末，公司上述 股东均遵守 以上承诺，未 发生违反上 述承诺的情 况，并已履行 完毕上述承 诺。</w:t>
            </w:r>
          </w:p>
        </w:tc>
      </w:tr>
      <w:tr>
        <w:trPr>
          <w:trHeight w:val="287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上市前股东、 共同实际控 制人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（一）公司股 票上市前股 东所持股份 的流通限制 和自愿锁定 股份的承诺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（二） 避免同业竞 争的承诺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533" w:val="left"/>
              </w:tabs>
              <w:bidi w:val="0"/>
              <w:spacing w:before="0" w:after="0" w:line="312" w:lineRule="exact"/>
              <w:ind w:left="0" w:right="0" w:firstLine="0"/>
              <w:jc w:val="left"/>
            </w:pPr>
            <w:r>
              <w:rPr>
                <w:color w:val="000000"/>
                <w:spacing w:val="0"/>
                <w:w w:val="100"/>
                <w:position w:val="0"/>
              </w:rPr>
              <w:t>（一）</w:t>
              <w:tab/>
              <w:t>公司股 票上市前股 东所持股份 的流通限制 和自愿锁定 股份的承诺： 三十六个月；</w:t>
            </w:r>
          </w:p>
          <w:p>
            <w:pPr>
              <w:pStyle w:val="Style29"/>
              <w:keepNext w:val="0"/>
              <w:keepLines w:val="0"/>
              <w:widowControl w:val="0"/>
              <w:shd w:val="clear" w:color="auto" w:fill="auto"/>
              <w:tabs>
                <w:tab w:pos="528" w:val="left"/>
              </w:tabs>
              <w:bidi w:val="0"/>
              <w:spacing w:before="0" w:after="0" w:line="312" w:lineRule="exact"/>
              <w:ind w:left="0" w:right="0" w:firstLine="0"/>
              <w:jc w:val="left"/>
            </w:pPr>
            <w:r>
              <w:rPr>
                <w:color w:val="000000"/>
                <w:spacing w:val="0"/>
                <w:w w:val="100"/>
                <w:position w:val="0"/>
              </w:rPr>
              <w:t>（二）</w:t>
              <w:tab/>
              <w:t>避免同 业竞争的承</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截止报告期 末，公司上述 股东均遵守 以上承诺，未 发生违反上 述承诺的情 况。</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23"/>
        <w:gridCol w:w="111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诺：长期。</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张学君、陈向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军、李军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关于干预公 司经营的承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公司共同控 制人张学君、 陈向军和李 军就非公开 发行股票的 相关事项承 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本人 承诺不越权 干预公司经 营管理活动， 不会侵占公 司利益。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截止报告期 末，公司上述 股东均遵守 以上承诺，未 发生违反上 述承诺的情 况。</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张学君、何 晔、陈向军、 李军、冯军、 刘奕、郑学 定、郭斐、何 剑、许秋江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关于非公开 发行股票摊 薄即期回报 采取填补措 施的承诺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非公开发行 股票相关事 项承诺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截止报告期 末，公司上述 人员均遵守 以上承诺，未 发生违反上 述承诺的情 况。</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7"/>
        <w:keepNext w:val="0"/>
        <w:keepLines w:val="0"/>
        <w:widowControl w:val="0"/>
        <w:shd w:val="clear" w:color="auto" w:fill="auto"/>
        <w:tabs>
          <w:tab w:pos="649" w:val="left"/>
        </w:tabs>
        <w:bidi w:val="0"/>
        <w:spacing w:before="0" w:after="0" w:line="469" w:lineRule="exact"/>
        <w:ind w:left="0" w:right="0"/>
        <w:jc w:val="both"/>
      </w:pPr>
      <w:bookmarkStart w:id="307" w:name="bookmark307"/>
      <w:r>
        <w:rPr>
          <w:rFonts w:ascii="Times New Roman" w:eastAsia="Times New Roman" w:hAnsi="Times New Roman" w:cs="Times New Roman"/>
          <w:color w:val="000000"/>
          <w:spacing w:val="0"/>
          <w:w w:val="100"/>
          <w:position w:val="0"/>
          <w:sz w:val="18"/>
          <w:szCs w:val="18"/>
        </w:rPr>
        <w:t>1</w:t>
      </w:r>
      <w:bookmarkEnd w:id="307"/>
      <w:r>
        <w:rPr>
          <w:color w:val="000000"/>
          <w:spacing w:val="0"/>
          <w:w w:val="100"/>
          <w:position w:val="0"/>
        </w:rPr>
        <w:t>、</w:t>
        <w:tab/>
        <w:t>本次交易完成后，本人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本公司对外投资的企业（包括但不限于直接持股、间接持股或委托持股）、 实际控制或担任董事、高级管理人员的企业将尽可能减少与银之杰及其下属公司（包括但不限于亿美软通）的关联交易，不 会利用自身作为银之杰股东之地位谋求与银之杰及其下属公司（包括但不限于亿美软通）在业务合作等方面给予优于市场第 三方的权利；不会利用自身作为银之杰股东之地位谋求与银之杰及其下属公司（包括但不限于亿美软通）达成交易的优先权 利。</w:t>
      </w:r>
    </w:p>
    <w:p>
      <w:pPr>
        <w:pStyle w:val="Style17"/>
        <w:keepNext w:val="0"/>
        <w:keepLines w:val="0"/>
        <w:widowControl w:val="0"/>
        <w:shd w:val="clear" w:color="auto" w:fill="auto"/>
        <w:bidi w:val="0"/>
        <w:spacing w:before="0" w:after="0" w:line="469" w:lineRule="exact"/>
        <w:ind w:left="0" w:right="0"/>
        <w:jc w:val="both"/>
      </w:pPr>
      <w:bookmarkStart w:id="308" w:name="bookmark308"/>
      <w:r>
        <w:rPr>
          <w:rFonts w:ascii="Times New Roman" w:eastAsia="Times New Roman" w:hAnsi="Times New Roman" w:cs="Times New Roman"/>
          <w:color w:val="000000"/>
          <w:spacing w:val="0"/>
          <w:w w:val="100"/>
          <w:position w:val="0"/>
          <w:sz w:val="18"/>
          <w:szCs w:val="18"/>
        </w:rPr>
        <w:t>2</w:t>
      </w:r>
      <w:bookmarkEnd w:id="308"/>
      <w:r>
        <w:rPr>
          <w:color w:val="000000"/>
          <w:spacing w:val="0"/>
          <w:w w:val="100"/>
          <w:position w:val="0"/>
        </w:rPr>
        <w:t>、 若发生必要且不可避免的关联交易，本人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本公司对外投资的企业（包括但不限于直接持股、间接持 股或委托持股）、实际控制或担任董事、高级管理人员的企业将与银之杰及其下属公司（包括但不限于亿美软通）按照公平、 公允、等价有偿等原则依法签订协议，履行合法程序，并将按照有关法律法规和公司规定履行信息披露义务及相关内部决策 程序和回避制度，关联交易价格依照与无关联关系的独立第三方进行相同或相似交易时的价格确定，保证关联交易价格具有 公允性，亦不利用该等交易从事任何损害银之杰及其股东的合法权益的行为。</w:t>
      </w:r>
    </w:p>
    <w:p>
      <w:pPr>
        <w:pStyle w:val="Style17"/>
        <w:keepNext w:val="0"/>
        <w:keepLines w:val="0"/>
        <w:widowControl w:val="0"/>
        <w:shd w:val="clear" w:color="auto" w:fill="auto"/>
        <w:bidi w:val="0"/>
        <w:spacing w:before="0" w:after="0" w:line="475" w:lineRule="exact"/>
        <w:ind w:left="0" w:right="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本公司保证将依照公司规定参加股东大会，平等地行使相应权利，承担相应义务，不利用股东地位谋取不正当利 益，不利用关联交易非法转移银之杰及其下属子公司（包括但不限于亿美软通）的资金、利润，保证不损害银之杰及其股东 的合法权益。若违反上述声明和保证，本人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本公司将对前述行为给银之杰造成的损失向银之杰进行赔偿。</w:t>
      </w:r>
    </w:p>
    <w:p>
      <w:pPr>
        <w:pStyle w:val="Style17"/>
        <w:keepNext w:val="0"/>
        <w:keepLines w:val="0"/>
        <w:widowControl w:val="0"/>
        <w:shd w:val="clear" w:color="auto" w:fill="auto"/>
        <w:bidi w:val="0"/>
        <w:spacing w:before="0" w:after="0" w:line="47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7"/>
        <w:keepNext w:val="0"/>
        <w:keepLines w:val="0"/>
        <w:widowControl w:val="0"/>
        <w:shd w:val="clear" w:color="auto" w:fill="auto"/>
        <w:bidi w:val="0"/>
        <w:spacing w:before="0" w:after="0" w:line="475" w:lineRule="exact"/>
        <w:ind w:left="0" w:right="0"/>
        <w:jc w:val="both"/>
      </w:pPr>
      <w:bookmarkStart w:id="309" w:name="bookmark309"/>
      <w:r>
        <w:rPr>
          <w:rFonts w:ascii="Times New Roman" w:eastAsia="Times New Roman" w:hAnsi="Times New Roman" w:cs="Times New Roman"/>
          <w:color w:val="000000"/>
          <w:spacing w:val="0"/>
          <w:w w:val="100"/>
          <w:position w:val="0"/>
          <w:sz w:val="18"/>
          <w:szCs w:val="18"/>
        </w:rPr>
        <w:t>1</w:t>
      </w:r>
      <w:bookmarkEnd w:id="309"/>
      <w:r>
        <w:rPr>
          <w:color w:val="000000"/>
          <w:spacing w:val="0"/>
          <w:w w:val="100"/>
          <w:position w:val="0"/>
        </w:rPr>
        <w:t>、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本公司（包括本人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本公司关联人，关联人定义同《深圳证券交易所创业板上市规则》）目前没有在中国境内 或境外单独或与其他自然人、法人、合伙企业或组织，以任何形式（包括但不限于通过独自经营、合资经营、联营、租赁经 营、承包经营、委托管理等方式拥有其他公司或企业的股权或权益等）直接或间接从事或参与任何对银之杰及亿美软通构成 竞争的业务及活动，或拥有与银之杰及亿美软通存在竞争关系的任何经济实体、机构、经济组织的权益。</w:t>
      </w:r>
    </w:p>
    <w:p>
      <w:pPr>
        <w:pStyle w:val="Style17"/>
        <w:keepNext w:val="0"/>
        <w:keepLines w:val="0"/>
        <w:widowControl w:val="0"/>
        <w:shd w:val="clear" w:color="auto" w:fill="auto"/>
        <w:bidi w:val="0"/>
        <w:spacing w:before="0" w:after="0" w:line="475" w:lineRule="exact"/>
        <w:ind w:left="0" w:right="0"/>
        <w:jc w:val="both"/>
      </w:pPr>
      <w:bookmarkStart w:id="310" w:name="bookmark310"/>
      <w:r>
        <w:rPr>
          <w:rFonts w:ascii="Times New Roman" w:eastAsia="Times New Roman" w:hAnsi="Times New Roman" w:cs="Times New Roman"/>
          <w:color w:val="000000"/>
          <w:spacing w:val="0"/>
          <w:w w:val="100"/>
          <w:position w:val="0"/>
          <w:sz w:val="18"/>
          <w:szCs w:val="18"/>
        </w:rPr>
        <w:t>2</w:t>
      </w:r>
      <w:bookmarkEnd w:id="310"/>
      <w:r>
        <w:rPr>
          <w:color w:val="000000"/>
          <w:spacing w:val="0"/>
          <w:w w:val="100"/>
          <w:position w:val="0"/>
        </w:rPr>
        <w:t>、 在今后的业务中，本人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本公司控制的其他企业不与银之杰及亿美软通业务产生同业竞争，即本人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公司及其控制的其他企业（包括本人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本公司及控制的其他企业全资、控股公司及本人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本公司控制的其他企业对其具有实际 控制权的公司）不会以任何形式直接或间接的从事与银之杰及亿美软通业务相同或相似的业务。</w:t>
      </w:r>
    </w:p>
    <w:p>
      <w:pPr>
        <w:pStyle w:val="Style17"/>
        <w:keepNext w:val="0"/>
        <w:keepLines w:val="0"/>
        <w:widowControl w:val="0"/>
        <w:shd w:val="clear" w:color="auto" w:fill="auto"/>
        <w:bidi w:val="0"/>
        <w:spacing w:before="0" w:after="0" w:line="475" w:lineRule="exact"/>
        <w:ind w:left="0" w:right="0"/>
        <w:jc w:val="both"/>
      </w:pPr>
      <w:bookmarkStart w:id="311" w:name="bookmark311"/>
      <w:r>
        <w:rPr>
          <w:rFonts w:ascii="Times New Roman" w:eastAsia="Times New Roman" w:hAnsi="Times New Roman" w:cs="Times New Roman"/>
          <w:color w:val="000000"/>
          <w:spacing w:val="0"/>
          <w:w w:val="100"/>
          <w:position w:val="0"/>
          <w:sz w:val="18"/>
          <w:szCs w:val="18"/>
        </w:rPr>
        <w:t>3</w:t>
      </w:r>
      <w:bookmarkEnd w:id="311"/>
      <w:r>
        <w:rPr>
          <w:color w:val="000000"/>
          <w:spacing w:val="0"/>
          <w:w w:val="100"/>
          <w:position w:val="0"/>
        </w:rPr>
        <w:t>、 如银之杰或亿美软通认定本人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本公司控制的其他企业现有业务或将来产生的业务与银之杰或亿美软 通业务存在同业竞争，则本人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本公司控制的其他企业将在银之杰或亿美软通提出异议后及时转让或终止该业 务。</w:t>
      </w:r>
    </w:p>
    <w:p>
      <w:pPr>
        <w:pStyle w:val="Style17"/>
        <w:keepNext w:val="0"/>
        <w:keepLines w:val="0"/>
        <w:widowControl w:val="0"/>
        <w:shd w:val="clear" w:color="auto" w:fill="auto"/>
        <w:tabs>
          <w:tab w:pos="650" w:val="left"/>
        </w:tabs>
        <w:bidi w:val="0"/>
        <w:spacing w:before="0" w:after="0" w:line="475" w:lineRule="exact"/>
        <w:ind w:left="0" w:right="0"/>
        <w:jc w:val="both"/>
      </w:pPr>
      <w:bookmarkStart w:id="312" w:name="bookmark312"/>
      <w:r>
        <w:rPr>
          <w:rFonts w:ascii="Times New Roman" w:eastAsia="Times New Roman" w:hAnsi="Times New Roman" w:cs="Times New Roman"/>
          <w:color w:val="000000"/>
          <w:spacing w:val="0"/>
          <w:w w:val="100"/>
          <w:position w:val="0"/>
          <w:sz w:val="18"/>
          <w:szCs w:val="18"/>
        </w:rPr>
        <w:t>4</w:t>
      </w:r>
      <w:bookmarkEnd w:id="312"/>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本公司控制的其他企业保证严格遵守公司章程的规定，不利用股东、实际控制人、董事、监事、 高级管理人员的地位谋求不当利益，不损害银之杰及亿美软通的合法权益。</w:t>
      </w:r>
    </w:p>
    <w:p>
      <w:pPr>
        <w:pStyle w:val="Style17"/>
        <w:keepNext w:val="0"/>
        <w:keepLines w:val="0"/>
        <w:widowControl w:val="0"/>
        <w:shd w:val="clear" w:color="auto" w:fill="auto"/>
        <w:tabs>
          <w:tab w:pos="664" w:val="left"/>
        </w:tabs>
        <w:bidi w:val="0"/>
        <w:spacing w:before="0" w:after="0" w:line="475" w:lineRule="exact"/>
        <w:ind w:left="0" w:right="0"/>
        <w:jc w:val="both"/>
      </w:pPr>
      <w:bookmarkStart w:id="313" w:name="bookmark313"/>
      <w:r>
        <w:rPr>
          <w:rFonts w:ascii="Times New Roman" w:eastAsia="Times New Roman" w:hAnsi="Times New Roman" w:cs="Times New Roman"/>
          <w:color w:val="000000"/>
          <w:spacing w:val="0"/>
          <w:w w:val="100"/>
          <w:position w:val="0"/>
          <w:sz w:val="18"/>
          <w:szCs w:val="18"/>
        </w:rPr>
        <w:t>5</w:t>
      </w:r>
      <w:bookmarkEnd w:id="313"/>
      <w:r>
        <w:rPr>
          <w:color w:val="000000"/>
          <w:spacing w:val="0"/>
          <w:w w:val="100"/>
          <w:position w:val="0"/>
        </w:rPr>
        <w:t>、</w:t>
        <w:tab/>
        <w:t>本承诺函自出具之日起至本人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本公司获得的银之杰股份全部解锁前及之后三年内具有法律效力，构成对本人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本公司控制的其他企业具有法律约束力的法律文件，如有违反，所得利益归银之杰所有，如给银之杰或亿美软通 造成损失，本人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本公司控制的其他企业承诺将承担相应的法律责任。</w:t>
      </w:r>
    </w:p>
    <w:p>
      <w:pPr>
        <w:pStyle w:val="Style17"/>
        <w:keepNext w:val="0"/>
        <w:keepLines w:val="0"/>
        <w:widowControl w:val="0"/>
        <w:shd w:val="clear" w:color="auto" w:fill="auto"/>
        <w:bidi w:val="0"/>
        <w:spacing w:before="0" w:after="0" w:line="47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7"/>
        <w:keepNext w:val="0"/>
        <w:keepLines w:val="0"/>
        <w:widowControl w:val="0"/>
        <w:numPr>
          <w:ilvl w:val="0"/>
          <w:numId w:val="11"/>
        </w:numPr>
        <w:shd w:val="clear" w:color="auto" w:fill="auto"/>
        <w:bidi w:val="0"/>
        <w:spacing w:before="0" w:after="0" w:line="475" w:lineRule="exact"/>
        <w:ind w:left="0" w:right="0"/>
        <w:jc w:val="both"/>
      </w:pPr>
      <w:bookmarkStart w:id="314" w:name="bookmark314"/>
      <w:bookmarkEnd w:id="314"/>
      <w:r>
        <w:rPr>
          <w:color w:val="000000"/>
          <w:spacing w:val="0"/>
          <w:w w:val="100"/>
          <w:position w:val="0"/>
        </w:rPr>
        <w:t xml:space="preserve"> 本公司持有公司股份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以上的股东作为公司董事或高级管理人员，张学君、陈向军、李军、何晔承诺：三十六个月 的锁定期满后，在本人任职期间，每年转让所持有的公司股份不超过本人所持公司股份数的百分之二十五；本人离职后半年 内，不转让所持有的公司股份。</w:t>
      </w:r>
    </w:p>
    <w:p>
      <w:pPr>
        <w:pStyle w:val="Style17"/>
        <w:keepNext w:val="0"/>
        <w:keepLines w:val="0"/>
        <w:widowControl w:val="0"/>
        <w:numPr>
          <w:ilvl w:val="0"/>
          <w:numId w:val="11"/>
        </w:numPr>
        <w:shd w:val="clear" w:color="auto" w:fill="auto"/>
        <w:tabs>
          <w:tab w:pos="640" w:val="left"/>
        </w:tabs>
        <w:bidi w:val="0"/>
        <w:spacing w:before="0" w:after="0" w:line="475" w:lineRule="exact"/>
        <w:ind w:left="0" w:right="0"/>
        <w:jc w:val="both"/>
      </w:pPr>
      <w:bookmarkStart w:id="315" w:name="bookmark315"/>
      <w:bookmarkEnd w:id="315"/>
      <w:r>
        <w:rPr>
          <w:color w:val="000000"/>
          <w:spacing w:val="0"/>
          <w:w w:val="100"/>
          <w:position w:val="0"/>
        </w:rPr>
        <w:t>本公司监事周峰和李玫臻，董事或高级管理人员冯军、刘奕、许秋江承诺：在本人任职期间每年转让所持有的公司 股份不超过本人所持公司股份总数的百分之二十五；本人离职后半年内，不转让所持有的公司股份。</w:t>
      </w:r>
    </w:p>
    <w:p>
      <w:pPr>
        <w:pStyle w:val="Style17"/>
        <w:keepNext w:val="0"/>
        <w:keepLines w:val="0"/>
        <w:widowControl w:val="0"/>
        <w:shd w:val="clear" w:color="auto" w:fill="auto"/>
        <w:bidi w:val="0"/>
        <w:spacing w:before="0" w:after="0" w:line="47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17"/>
        <w:keepNext w:val="0"/>
        <w:keepLines w:val="0"/>
        <w:widowControl w:val="0"/>
        <w:shd w:val="clear" w:color="auto" w:fill="auto"/>
        <w:bidi w:val="0"/>
        <w:spacing w:before="0" w:after="0" w:line="475" w:lineRule="exact"/>
        <w:ind w:left="0" w:right="0"/>
        <w:jc w:val="both"/>
      </w:pPr>
      <w:r>
        <w:rPr>
          <w:color w:val="000000"/>
          <w:spacing w:val="0"/>
          <w:w w:val="100"/>
          <w:position w:val="0"/>
        </w:rPr>
        <w:t>公司共同控制人张学君、陈向军和李军，以及持有公司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以上股份的股东何晔，就避免同业竞争作出了以下承诺：</w:t>
      </w:r>
    </w:p>
    <w:p>
      <w:pPr>
        <w:pStyle w:val="Style17"/>
        <w:keepNext w:val="0"/>
        <w:keepLines w:val="0"/>
        <w:widowControl w:val="0"/>
        <w:shd w:val="clear" w:color="auto" w:fill="auto"/>
        <w:bidi w:val="0"/>
        <w:spacing w:before="0" w:after="0" w:line="47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、本人目前没有在中国境内任何地方或中国境外，直接或间接发展、经营或协助经营或参与与公司业务存在竞争的 任何活动，亦没有在任何与公司业务有直接或间接竞争关系的公司或企业拥有任何直接或间接权益。</w:t>
      </w:r>
    </w:p>
    <w:p>
      <w:pPr>
        <w:pStyle w:val="Style17"/>
        <w:keepNext w:val="0"/>
        <w:keepLines w:val="0"/>
        <w:widowControl w:val="0"/>
        <w:shd w:val="clear" w:color="auto" w:fill="auto"/>
        <w:bidi w:val="0"/>
        <w:spacing w:before="0" w:after="260" w:line="475"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、自本承诺函签署之日起，本人将不直接或间接经营任何与股份公司经营的业务构成竞争或可能构成竞争的业务，也 </w:t>
      </w:r>
      <w:r>
        <w:rPr>
          <w:color w:val="000000"/>
          <w:spacing w:val="0"/>
          <w:w w:val="100"/>
          <w:position w:val="0"/>
        </w:rPr>
        <w:t>不参与投资任何与股份公司生产的产品或经营的业务构成竞争或可能构成竞争的其他企业。</w:t>
      </w:r>
    </w:p>
    <w:p>
      <w:pPr>
        <w:pStyle w:val="Style17"/>
        <w:keepNext w:val="0"/>
        <w:keepLines w:val="0"/>
        <w:widowControl w:val="0"/>
        <w:shd w:val="clear" w:color="auto" w:fill="auto"/>
        <w:tabs>
          <w:tab w:pos="824" w:val="left"/>
        </w:tabs>
        <w:bidi w:val="0"/>
        <w:spacing w:before="0" w:after="260" w:line="240" w:lineRule="auto"/>
        <w:ind w:left="0" w:right="0" w:firstLine="480"/>
        <w:jc w:val="left"/>
      </w:pPr>
      <w:bookmarkStart w:id="316" w:name="bookmark316"/>
      <w:r>
        <w:rPr>
          <w:rFonts w:ascii="Times New Roman" w:eastAsia="Times New Roman" w:hAnsi="Times New Roman" w:cs="Times New Roman"/>
          <w:color w:val="000000"/>
          <w:spacing w:val="0"/>
          <w:w w:val="100"/>
          <w:position w:val="0"/>
          <w:sz w:val="18"/>
          <w:szCs w:val="18"/>
        </w:rPr>
        <w:t>3</w:t>
      </w:r>
      <w:bookmarkEnd w:id="316"/>
      <w:r>
        <w:rPr>
          <w:color w:val="000000"/>
          <w:spacing w:val="0"/>
          <w:w w:val="100"/>
          <w:position w:val="0"/>
        </w:rPr>
        <w:t>、</w:t>
        <w:tab/>
        <w:t>自本承诺函签署之日起，本人将不会利用公司股东的身份进行损害公司及其它股东利益的经营活动。</w:t>
      </w:r>
    </w:p>
    <w:p>
      <w:pPr>
        <w:pStyle w:val="Style17"/>
        <w:keepNext w:val="0"/>
        <w:keepLines w:val="0"/>
        <w:widowControl w:val="0"/>
        <w:shd w:val="clear" w:color="auto" w:fill="auto"/>
        <w:tabs>
          <w:tab w:pos="834" w:val="left"/>
        </w:tabs>
        <w:bidi w:val="0"/>
        <w:spacing w:before="0" w:after="260" w:line="240" w:lineRule="auto"/>
        <w:ind w:left="0" w:right="0" w:firstLine="480"/>
        <w:jc w:val="left"/>
      </w:pPr>
      <w:bookmarkStart w:id="317" w:name="bookmark317"/>
      <w:r>
        <w:rPr>
          <w:rFonts w:ascii="Times New Roman" w:eastAsia="Times New Roman" w:hAnsi="Times New Roman" w:cs="Times New Roman"/>
          <w:color w:val="000000"/>
          <w:spacing w:val="0"/>
          <w:w w:val="100"/>
          <w:position w:val="0"/>
          <w:sz w:val="18"/>
          <w:szCs w:val="18"/>
        </w:rPr>
        <w:t>4</w:t>
      </w:r>
      <w:bookmarkEnd w:id="317"/>
      <w:r>
        <w:rPr>
          <w:color w:val="000000"/>
          <w:spacing w:val="0"/>
          <w:w w:val="100"/>
          <w:position w:val="0"/>
        </w:rPr>
        <w:t>、</w:t>
        <w:tab/>
        <w:t>如上述承诺被证明是不真实的或未被遵守，本人将向公司赔偿一切直接或间接的损失，并承担相应法律责任。”</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17"/>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公司的董事、高级管理人员就非公开发行股票的相关事项承诺如下：</w:t>
      </w:r>
    </w:p>
    <w:p>
      <w:pPr>
        <w:pStyle w:val="Style17"/>
        <w:keepNext w:val="0"/>
        <w:keepLines w:val="0"/>
        <w:widowControl w:val="0"/>
        <w:shd w:val="clear" w:color="auto" w:fill="auto"/>
        <w:bidi w:val="0"/>
        <w:spacing w:before="0" w:after="26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、承诺不无偿或以不公平条件向其他单位或者个人输送利益，也不采用其他方式损害公司利益；</w:t>
      </w:r>
    </w:p>
    <w:p>
      <w:pPr>
        <w:pStyle w:val="Style17"/>
        <w:keepNext w:val="0"/>
        <w:keepLines w:val="0"/>
        <w:widowControl w:val="0"/>
        <w:shd w:val="clear" w:color="auto" w:fill="auto"/>
        <w:tabs>
          <w:tab w:pos="834" w:val="left"/>
        </w:tabs>
        <w:bidi w:val="0"/>
        <w:spacing w:before="0" w:after="260" w:line="240" w:lineRule="auto"/>
        <w:ind w:left="0" w:right="0" w:firstLine="480"/>
        <w:jc w:val="left"/>
      </w:pPr>
      <w:bookmarkStart w:id="318" w:name="bookmark318"/>
      <w:r>
        <w:rPr>
          <w:rFonts w:ascii="Times New Roman" w:eastAsia="Times New Roman" w:hAnsi="Times New Roman" w:cs="Times New Roman"/>
          <w:color w:val="000000"/>
          <w:spacing w:val="0"/>
          <w:w w:val="100"/>
          <w:position w:val="0"/>
          <w:sz w:val="18"/>
          <w:szCs w:val="18"/>
        </w:rPr>
        <w:t>2</w:t>
      </w:r>
      <w:bookmarkEnd w:id="318"/>
      <w:r>
        <w:rPr>
          <w:color w:val="000000"/>
          <w:spacing w:val="0"/>
          <w:w w:val="100"/>
          <w:position w:val="0"/>
        </w:rPr>
        <w:t>、</w:t>
        <w:tab/>
        <w:t>承诺对本人的职务消费行为进行约束；</w:t>
      </w:r>
    </w:p>
    <w:p>
      <w:pPr>
        <w:pStyle w:val="Style17"/>
        <w:keepNext w:val="0"/>
        <w:keepLines w:val="0"/>
        <w:widowControl w:val="0"/>
        <w:shd w:val="clear" w:color="auto" w:fill="auto"/>
        <w:tabs>
          <w:tab w:pos="834" w:val="left"/>
        </w:tabs>
        <w:bidi w:val="0"/>
        <w:spacing w:before="0" w:after="260" w:line="240" w:lineRule="auto"/>
        <w:ind w:left="0" w:right="0" w:firstLine="480"/>
        <w:jc w:val="left"/>
      </w:pPr>
      <w:bookmarkStart w:id="319" w:name="bookmark319"/>
      <w:r>
        <w:rPr>
          <w:rFonts w:ascii="Times New Roman" w:eastAsia="Times New Roman" w:hAnsi="Times New Roman" w:cs="Times New Roman"/>
          <w:color w:val="000000"/>
          <w:spacing w:val="0"/>
          <w:w w:val="100"/>
          <w:position w:val="0"/>
          <w:sz w:val="18"/>
          <w:szCs w:val="18"/>
        </w:rPr>
        <w:t>3</w:t>
      </w:r>
      <w:bookmarkEnd w:id="319"/>
      <w:r>
        <w:rPr>
          <w:color w:val="000000"/>
          <w:spacing w:val="0"/>
          <w:w w:val="100"/>
          <w:position w:val="0"/>
        </w:rPr>
        <w:t>、</w:t>
        <w:tab/>
        <w:t>承诺不动用公司资产从事与其履行职责无关的投资、消费活动；</w:t>
      </w:r>
    </w:p>
    <w:p>
      <w:pPr>
        <w:pStyle w:val="Style17"/>
        <w:keepNext w:val="0"/>
        <w:keepLines w:val="0"/>
        <w:widowControl w:val="0"/>
        <w:shd w:val="clear" w:color="auto" w:fill="auto"/>
        <w:tabs>
          <w:tab w:pos="834" w:val="left"/>
        </w:tabs>
        <w:bidi w:val="0"/>
        <w:spacing w:before="0" w:after="260" w:line="240" w:lineRule="auto"/>
        <w:ind w:left="0" w:right="0" w:firstLine="480"/>
        <w:jc w:val="left"/>
      </w:pPr>
      <w:bookmarkStart w:id="320" w:name="bookmark320"/>
      <w:r>
        <w:rPr>
          <w:rFonts w:ascii="Times New Roman" w:eastAsia="Times New Roman" w:hAnsi="Times New Roman" w:cs="Times New Roman"/>
          <w:color w:val="000000"/>
          <w:spacing w:val="0"/>
          <w:w w:val="100"/>
          <w:position w:val="0"/>
          <w:sz w:val="18"/>
          <w:szCs w:val="18"/>
        </w:rPr>
        <w:t>4</w:t>
      </w:r>
      <w:bookmarkEnd w:id="320"/>
      <w:r>
        <w:rPr>
          <w:color w:val="000000"/>
          <w:spacing w:val="0"/>
          <w:w w:val="100"/>
          <w:position w:val="0"/>
        </w:rPr>
        <w:t>、</w:t>
        <w:tab/>
        <w:t>承诺由董事会或薪酬委员会制定的薪酬制度与公司填补回报措施的执行情况相挂钩；</w:t>
      </w:r>
    </w:p>
    <w:p>
      <w:pPr>
        <w:pStyle w:val="Style17"/>
        <w:keepNext w:val="0"/>
        <w:keepLines w:val="0"/>
        <w:widowControl w:val="0"/>
        <w:shd w:val="clear" w:color="auto" w:fill="auto"/>
        <w:tabs>
          <w:tab w:pos="834" w:val="left"/>
        </w:tabs>
        <w:bidi w:val="0"/>
        <w:spacing w:before="0" w:after="360" w:line="240" w:lineRule="auto"/>
        <w:ind w:left="0" w:right="0" w:firstLine="480"/>
        <w:jc w:val="left"/>
      </w:pPr>
      <w:bookmarkStart w:id="321" w:name="bookmark321"/>
      <w:r>
        <w:rPr>
          <w:rFonts w:ascii="Times New Roman" w:eastAsia="Times New Roman" w:hAnsi="Times New Roman" w:cs="Times New Roman"/>
          <w:color w:val="000000"/>
          <w:spacing w:val="0"/>
          <w:w w:val="100"/>
          <w:position w:val="0"/>
          <w:sz w:val="18"/>
          <w:szCs w:val="18"/>
        </w:rPr>
        <w:t>5</w:t>
      </w:r>
      <w:bookmarkEnd w:id="321"/>
      <w:r>
        <w:rPr>
          <w:color w:val="000000"/>
          <w:spacing w:val="0"/>
          <w:w w:val="100"/>
          <w:position w:val="0"/>
        </w:rPr>
        <w:t>、</w:t>
        <w:tab/>
        <w:t>承诺拟公布的公司股权激励的行权条件与公司填补回报措施的执行情况相挂钩。”</w:t>
      </w:r>
    </w:p>
    <w:p>
      <w:pPr>
        <w:pStyle w:val="Style36"/>
        <w:keepNext/>
        <w:keepLines/>
        <w:widowControl w:val="0"/>
        <w:shd w:val="clear" w:color="auto" w:fill="auto"/>
        <w:bidi w:val="0"/>
        <w:spacing w:before="0" w:after="360" w:line="322" w:lineRule="exact"/>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、公司资产或项目存在盈利预测，且报告期仍处在盈利预测期间，公司就资产或项目达到原盈利预测及 其原因做出说明</w:t>
      </w:r>
      <w:bookmarkEnd w:id="322"/>
      <w:bookmarkEnd w:id="323"/>
      <w:bookmarkEnd w:id="325"/>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7"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三</w:t>
      </w:r>
      <w:bookmarkEnd w:id="328"/>
      <w:r>
        <w:rPr>
          <w:color w:val="000000"/>
          <w:spacing w:val="0"/>
          <w:w w:val="100"/>
          <w:position w:val="0"/>
          <w:sz w:val="24"/>
          <w:szCs w:val="24"/>
        </w:rPr>
        <w:t>、</w:t>
        <w:tab/>
        <w:t>控股股东及其关联方对上市公司的非经营性占用资金情况</w:t>
      </w:r>
      <w:bookmarkEnd w:id="326"/>
      <w:bookmarkEnd w:id="327"/>
      <w:bookmarkEnd w:id="329"/>
    </w:p>
    <w:p>
      <w:pPr>
        <w:pStyle w:val="Style17"/>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firstLine="480"/>
        <w:jc w:val="left"/>
      </w:pPr>
      <w:r>
        <w:rPr>
          <w:color w:val="000000"/>
          <w:spacing w:val="0"/>
          <w:w w:val="100"/>
          <w:position w:val="0"/>
        </w:rPr>
        <w:t>公司报告期不存在控股股东及其关联方对上市公司的非经营性占用资金。</w:t>
      </w:r>
    </w:p>
    <w:p>
      <w:pPr>
        <w:pStyle w:val="Style32"/>
        <w:keepNext/>
        <w:keepLines/>
        <w:widowControl w:val="0"/>
        <w:shd w:val="clear" w:color="auto" w:fill="auto"/>
        <w:tabs>
          <w:tab w:pos="517" w:val="left"/>
        </w:tabs>
        <w:bidi w:val="0"/>
        <w:spacing w:before="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四</w:t>
      </w:r>
      <w:bookmarkEnd w:id="33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30"/>
      <w:bookmarkEnd w:id="331"/>
      <w:bookmarkEnd w:id="333"/>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7"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五</w:t>
      </w:r>
      <w:bookmarkEnd w:id="33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4"/>
      <w:bookmarkEnd w:id="335"/>
      <w:bookmarkEnd w:id="337"/>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7" w:val="left"/>
        </w:tabs>
        <w:bidi w:val="0"/>
        <w:spacing w:before="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六</w:t>
      </w:r>
      <w:bookmarkEnd w:id="340"/>
      <w:r>
        <w:rPr>
          <w:color w:val="000000"/>
          <w:spacing w:val="0"/>
          <w:w w:val="100"/>
          <w:position w:val="0"/>
          <w:sz w:val="24"/>
          <w:szCs w:val="24"/>
        </w:rPr>
        <w:t>、</w:t>
        <w:tab/>
        <w:t>董事会关于报告期会计政策、会计估计变更或重大会计差错更正的说明</w:t>
      </w:r>
      <w:bookmarkEnd w:id="338"/>
      <w:bookmarkEnd w:id="339"/>
      <w:bookmarkEnd w:id="341"/>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日发布《企业会 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财 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日起执行新收入准则。</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本次变更经公司第四届董事会第二十二 次会议审议通过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jc w:val="both"/>
            </w:pPr>
            <w:r>
              <w:rPr>
                <w:color w:val="000000"/>
                <w:spacing w:val="0"/>
                <w:w w:val="100"/>
                <w:position w:val="0"/>
              </w:rPr>
              <w:t>原收入准则下，公司以风险报酬转 移作为收入确认时点的判断标准。商品 销售收入同时满足下列条件时予以确 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公司已将商品所有权上的主要风</w:t>
            </w:r>
          </w:p>
        </w:tc>
      </w:tr>
    </w:tbl>
    <w:p>
      <w:pPr>
        <w:widowControl w:val="0"/>
        <w:spacing w:line="1" w:lineRule="exact"/>
      </w:pPr>
      <w:r>
        <w:br w:type="page"/>
      </w:r>
    </w:p>
    <w:tbl>
      <w:tblPr>
        <w:tblOverlap w:val="never"/>
        <w:jc w:val="center"/>
        <w:tblLayout w:type="fixed"/>
      </w:tblPr>
      <w:tblGrid>
        <w:gridCol w:w="3197"/>
        <w:gridCol w:w="3187"/>
        <w:gridCol w:w="3202"/>
      </w:tblGrid>
      <w:tr>
        <w:trPr>
          <w:trHeight w:val="75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险和报酬转移给购买方；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公司既没有 保留与所有权相联系的继续管理权，也 没有对已售出的商品实施有效控制；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收入的金额能够可靠地计量；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 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 发生或将发生的成本能够可靠地计量 时。</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新收入准则下，公司以控制权转移 作为收入确认时点的判断标准。公司在 履行了合同中的履约义务，即在客户取 得相关商品控制权时确认收入。在满足 一定条件时，公司属于在某一段时间内 履行履约义务，否则，属于在某一时点 履行履约义务。合同中包含两项或多项 履约义务的，公司在合同开始日，按照 各单项履约义务所承诺商品的单独售价 的相对比例，将交易价格分摊至各单项 履约义务，按照分摊至各单项履约义务 的交易价格计量收入。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新收入准则的实施未引起本公司收 入确认具体原则的实质性变化，仅根据 新收入准则规定中履行履约义务与客户 付款之间的关系在资产负债表中增加列 示合同资产或合同负债。</w:t>
            </w:r>
          </w:p>
        </w:tc>
      </w:tr>
    </w:tbl>
    <w:p>
      <w:pPr>
        <w:pStyle w:val="Style17"/>
        <w:keepNext w:val="0"/>
        <w:keepLines w:val="0"/>
        <w:widowControl w:val="0"/>
        <w:shd w:val="clear" w:color="auto" w:fill="auto"/>
        <w:tabs>
          <w:tab w:pos="734" w:val="left"/>
        </w:tabs>
        <w:bidi w:val="0"/>
        <w:spacing w:before="0" w:after="0" w:line="468" w:lineRule="exact"/>
        <w:ind w:left="0" w:right="0"/>
        <w:jc w:val="left"/>
      </w:pPr>
      <w:bookmarkStart w:id="342" w:name="bookmark342"/>
      <w:r>
        <w:rPr>
          <w:rFonts w:ascii="Times New Roman" w:eastAsia="Times New Roman" w:hAnsi="Times New Roman" w:cs="Times New Roman"/>
          <w:color w:val="000000"/>
          <w:spacing w:val="0"/>
          <w:w w:val="100"/>
          <w:position w:val="0"/>
          <w:sz w:val="18"/>
          <w:szCs w:val="18"/>
        </w:rPr>
        <w:t>2</w:t>
      </w:r>
      <w:bookmarkEnd w:id="342"/>
      <w:r>
        <w:rPr>
          <w:color w:val="000000"/>
          <w:spacing w:val="0"/>
          <w:w w:val="100"/>
          <w:position w:val="0"/>
        </w:rPr>
        <w:t>、</w:t>
        <w:tab/>
        <w:t>重要会计估计变更</w:t>
      </w:r>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本期无重要的会计估计变更。</w:t>
      </w:r>
    </w:p>
    <w:p>
      <w:pPr>
        <w:pStyle w:val="Style17"/>
        <w:keepNext w:val="0"/>
        <w:keepLines w:val="0"/>
        <w:widowControl w:val="0"/>
        <w:shd w:val="clear" w:color="auto" w:fill="auto"/>
        <w:tabs>
          <w:tab w:pos="724" w:val="left"/>
        </w:tabs>
        <w:bidi w:val="0"/>
        <w:spacing w:before="0" w:after="0" w:line="468" w:lineRule="exact"/>
        <w:ind w:left="0" w:right="0"/>
        <w:jc w:val="left"/>
      </w:pPr>
      <w:bookmarkStart w:id="343" w:name="bookmark343"/>
      <w:r>
        <w:rPr>
          <w:rFonts w:ascii="Times New Roman" w:eastAsia="Times New Roman" w:hAnsi="Times New Roman" w:cs="Times New Roman"/>
          <w:color w:val="000000"/>
          <w:spacing w:val="0"/>
          <w:w w:val="100"/>
          <w:position w:val="0"/>
          <w:sz w:val="18"/>
          <w:szCs w:val="18"/>
        </w:rPr>
        <w:t>3</w:t>
      </w:r>
      <w:bookmarkEnd w:id="343"/>
      <w:r>
        <w:rPr>
          <w:color w:val="000000"/>
          <w:spacing w:val="0"/>
          <w:w w:val="100"/>
          <w:position w:val="0"/>
        </w:rPr>
        <w:t>、</w:t>
        <w:tab/>
        <w:t>重大会计差错更正</w:t>
      </w:r>
    </w:p>
    <w:p>
      <w:pPr>
        <w:pStyle w:val="Style17"/>
        <w:keepNext w:val="0"/>
        <w:keepLines w:val="0"/>
        <w:widowControl w:val="0"/>
        <w:shd w:val="clear" w:color="auto" w:fill="auto"/>
        <w:bidi w:val="0"/>
        <w:spacing w:before="0" w:after="420" w:line="468" w:lineRule="exact"/>
        <w:ind w:left="0" w:right="0"/>
        <w:jc w:val="both"/>
      </w:pPr>
      <w:r>
        <w:rPr>
          <w:color w:val="000000"/>
          <w:spacing w:val="0"/>
          <w:w w:val="100"/>
          <w:position w:val="0"/>
        </w:rPr>
        <w:t>本期无重大会计差错变更。</w:t>
      </w:r>
    </w:p>
    <w:p>
      <w:pPr>
        <w:pStyle w:val="Style32"/>
        <w:keepNext/>
        <w:keepLines/>
        <w:widowControl w:val="0"/>
        <w:shd w:val="clear" w:color="auto" w:fill="auto"/>
        <w:tabs>
          <w:tab w:pos="568" w:val="left"/>
        </w:tabs>
        <w:bidi w:val="0"/>
        <w:spacing w:before="0" w:after="12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七</w:t>
      </w:r>
      <w:bookmarkEnd w:id="346"/>
      <w:r>
        <w:rPr>
          <w:color w:val="000000"/>
          <w:spacing w:val="0"/>
          <w:w w:val="100"/>
          <w:position w:val="0"/>
          <w:sz w:val="24"/>
          <w:szCs w:val="24"/>
        </w:rPr>
        <w:t>、</w:t>
        <w:tab/>
        <w:t>与上年度财务报告相比，合并报表范围发生变化的情况说明</w:t>
      </w:r>
      <w:bookmarkEnd w:id="344"/>
      <w:bookmarkEnd w:id="345"/>
      <w:bookmarkEnd w:id="347"/>
    </w:p>
    <w:p>
      <w:pPr>
        <w:pStyle w:val="Style17"/>
        <w:keepNext w:val="0"/>
        <w:keepLines w:val="0"/>
        <w:widowControl w:val="0"/>
        <w:shd w:val="clear" w:color="auto" w:fill="auto"/>
        <w:bidi w:val="0"/>
        <w:spacing w:before="0" w:after="0" w:line="46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420" w:line="468" w:lineRule="exact"/>
        <w:ind w:left="0" w:right="0"/>
        <w:jc w:val="left"/>
      </w:pPr>
      <w:r>
        <w:rPr>
          <w:color w:val="000000"/>
          <w:spacing w:val="0"/>
          <w:w w:val="100"/>
          <w:position w:val="0"/>
        </w:rPr>
        <w:t>报告期内，本公司全资孙公司深圳市银之杰金融设备有限公司的股东由全资子公司深圳银之杰智慧科技有限公司变更为 本公司，深圳市银之杰金融设备有限公司变更为公司全资子公司，合并报表范围子公司增加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户。本公司子公司北京杰智融 软件有限公司出资设立河南图柏创新信息科技有限公司，合并报表范围孙公司增加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w:t>
      </w:r>
    </w:p>
    <w:p>
      <w:pPr>
        <w:pStyle w:val="Style32"/>
        <w:keepNext/>
        <w:keepLines/>
        <w:widowControl w:val="0"/>
        <w:shd w:val="clear" w:color="auto" w:fill="auto"/>
        <w:tabs>
          <w:tab w:pos="568" w:val="left"/>
        </w:tabs>
        <w:bidi w:val="0"/>
        <w:spacing w:before="0" w:after="12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八</w:t>
      </w:r>
      <w:bookmarkEnd w:id="350"/>
      <w:r>
        <w:rPr>
          <w:color w:val="000000"/>
          <w:spacing w:val="0"/>
          <w:w w:val="100"/>
          <w:position w:val="0"/>
          <w:sz w:val="24"/>
          <w:szCs w:val="24"/>
        </w:rPr>
        <w:t>、</w:t>
        <w:tab/>
        <w:t>聘任、解聘会计师事务所情况</w:t>
      </w:r>
      <w:bookmarkEnd w:id="348"/>
      <w:bookmarkEnd w:id="349"/>
      <w:bookmarkEnd w:id="351"/>
    </w:p>
    <w:p>
      <w:pPr>
        <w:pStyle w:val="Style17"/>
        <w:keepNext w:val="0"/>
        <w:keepLines w:val="0"/>
        <w:widowControl w:val="0"/>
        <w:shd w:val="clear" w:color="auto" w:fill="auto"/>
        <w:bidi w:val="0"/>
        <w:spacing w:before="0" w:after="80" w:line="468" w:lineRule="exact"/>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bl>
    <w:p>
      <w:pPr>
        <w:widowControl w:val="0"/>
        <w:spacing w:line="1" w:lineRule="exact"/>
      </w:pP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章归鸿、王甫荣</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26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年，公司因向特定对象发行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股股票事项，聘请华英证券有限责任公司为公司保荐机构，期间共支付保荐费</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万</w:t>
      </w:r>
    </w:p>
    <w:p>
      <w:pPr>
        <w:pStyle w:val="Style17"/>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2"/>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九</w:t>
      </w:r>
      <w:bookmarkEnd w:id="354"/>
      <w:r>
        <w:rPr>
          <w:color w:val="000000"/>
          <w:spacing w:val="0"/>
          <w:w w:val="100"/>
          <w:position w:val="0"/>
          <w:sz w:val="24"/>
          <w:szCs w:val="24"/>
        </w:rPr>
        <w:t>、年度报告披露后面临退市情况</w:t>
      </w:r>
      <w:bookmarkEnd w:id="352"/>
      <w:bookmarkEnd w:id="353"/>
      <w:bookmarkEnd w:id="355"/>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十、破产重整相关事项</w:t>
      </w:r>
      <w:bookmarkEnd w:id="356"/>
      <w:bookmarkEnd w:id="357"/>
      <w:bookmarkEnd w:id="358"/>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公司报告期未发生破产重整相关事项。</w:t>
      </w:r>
    </w:p>
    <w:p>
      <w:pPr>
        <w:pStyle w:val="Style32"/>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十一、重大诉讼、仲裁事项</w:t>
      </w:r>
      <w:bookmarkEnd w:id="359"/>
      <w:bookmarkEnd w:id="360"/>
      <w:bookmarkEnd w:id="361"/>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本年度公司无重大诉讼、仲裁事项。</w:t>
      </w:r>
    </w:p>
    <w:p>
      <w:pPr>
        <w:pStyle w:val="Style32"/>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十二、处罚及整改情况</w:t>
      </w:r>
      <w:bookmarkEnd w:id="362"/>
      <w:bookmarkEnd w:id="363"/>
      <w:bookmarkEnd w:id="364"/>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公司报告期不存在处罚及整改情况。</w:t>
      </w:r>
    </w:p>
    <w:p>
      <w:pPr>
        <w:pStyle w:val="Style32"/>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r>
        <w:rPr>
          <w:color w:val="000000"/>
          <w:spacing w:val="0"/>
          <w:w w:val="100"/>
          <w:position w:val="0"/>
          <w:sz w:val="24"/>
          <w:szCs w:val="24"/>
        </w:rPr>
        <w:t>十三、公司及其控股股东、实际控制人的诚信状况</w:t>
      </w:r>
      <w:bookmarkEnd w:id="365"/>
      <w:bookmarkEnd w:id="366"/>
      <w:bookmarkEnd w:id="367"/>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368" w:name="bookmark368"/>
      <w:bookmarkStart w:id="369" w:name="bookmark369"/>
      <w:bookmarkStart w:id="370" w:name="bookmark370"/>
      <w:r>
        <w:rPr>
          <w:color w:val="000000"/>
          <w:spacing w:val="0"/>
          <w:w w:val="100"/>
          <w:position w:val="0"/>
          <w:sz w:val="24"/>
          <w:szCs w:val="24"/>
        </w:rPr>
        <w:t>十四、公司股权激励计划、员工持股计划或其他员工激励措施的实施情况</w:t>
      </w:r>
      <w:bookmarkEnd w:id="368"/>
      <w:bookmarkEnd w:id="369"/>
      <w:bookmarkEnd w:id="370"/>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公司报告期无股权激励计划、员工持股计划或其他员工激励措施及其实施情况。</w:t>
      </w:r>
    </w:p>
    <w:p>
      <w:pPr>
        <w:pStyle w:val="Style32"/>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十五、重大关联交易</w:t>
      </w:r>
      <w:bookmarkEnd w:id="371"/>
      <w:bookmarkEnd w:id="372"/>
      <w:bookmarkEnd w:id="373"/>
    </w:p>
    <w:p>
      <w:pPr>
        <w:pStyle w:val="Style36"/>
        <w:keepNext/>
        <w:keepLines/>
        <w:widowControl w:val="0"/>
        <w:shd w:val="clear" w:color="auto" w:fill="auto"/>
        <w:tabs>
          <w:tab w:pos="368" w:val="left"/>
        </w:tabs>
        <w:bidi w:val="0"/>
        <w:spacing w:before="0" w:after="38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w:t>
        <w:tab/>
        <w:t>与日常经营相关的关联交易</w:t>
      </w:r>
      <w:bookmarkEnd w:id="374"/>
      <w:bookmarkEnd w:id="375"/>
      <w:bookmarkEnd w:id="377"/>
    </w:p>
    <w:p>
      <w:pPr>
        <w:pStyle w:val="Style17"/>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60" w:line="470" w:lineRule="exact"/>
        <w:ind w:left="0" w:right="0"/>
        <w:jc w:val="both"/>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资产或股权收购、出售发生的关联交易</w:t>
      </w:r>
      <w:bookmarkEnd w:id="378"/>
      <w:bookmarkEnd w:id="379"/>
      <w:bookmarkEnd w:id="381"/>
    </w:p>
    <w:p>
      <w:pPr>
        <w:pStyle w:val="Style17"/>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60" w:line="470" w:lineRule="exact"/>
        <w:ind w:left="0" w:right="0"/>
        <w:jc w:val="both"/>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w:t>
        <w:tab/>
        <w:t>共同对外投资的关联交易</w:t>
      </w:r>
      <w:bookmarkEnd w:id="382"/>
      <w:bookmarkEnd w:id="383"/>
      <w:bookmarkEnd w:id="385"/>
    </w:p>
    <w:p>
      <w:pPr>
        <w:pStyle w:val="Style17"/>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60" w:line="470" w:lineRule="exact"/>
        <w:ind w:left="0" w:right="0"/>
        <w:jc w:val="both"/>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w:t>
        <w:tab/>
        <w:t>关联债权债务往来</w:t>
      </w:r>
      <w:bookmarkEnd w:id="386"/>
      <w:bookmarkEnd w:id="387"/>
      <w:bookmarkEnd w:id="389"/>
    </w:p>
    <w:p>
      <w:pPr>
        <w:pStyle w:val="Style17"/>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60" w:line="470" w:lineRule="exact"/>
        <w:ind w:left="0" w:right="0"/>
        <w:jc w:val="both"/>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after="38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5</w:t>
      </w:r>
      <w:bookmarkEnd w:id="392"/>
      <w:r>
        <w:rPr>
          <w:color w:val="000000"/>
          <w:spacing w:val="0"/>
          <w:w w:val="100"/>
          <w:position w:val="0"/>
        </w:rPr>
        <w:t>、</w:t>
        <w:tab/>
        <w:t>其他重大关联交易</w:t>
      </w:r>
      <w:bookmarkEnd w:id="390"/>
      <w:bookmarkEnd w:id="391"/>
      <w:bookmarkEnd w:id="393"/>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240" w:line="470"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日，公司第四届董事会第二十二次会议以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票同意，</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票反对，</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票弃权审议通过《关于日常关联交易确 认及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年度日常关联交易预计的议案》，关联董事陈向军、李军、冯军和刘奕对该议案回避表决。公司预计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 及子公司向关联方北京华道征信有限公司销售商品，预计总金额不超过</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w:t>
      </w:r>
    </w:p>
    <w:p>
      <w:pPr>
        <w:pStyle w:val="Style17"/>
        <w:keepNext w:val="0"/>
        <w:keepLines w:val="0"/>
        <w:widowControl w:val="0"/>
        <w:shd w:val="clear" w:color="auto" w:fill="auto"/>
        <w:bidi w:val="0"/>
        <w:spacing w:before="0" w:after="240" w:line="240" w:lineRule="auto"/>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年度，公司及子公司向上述关联方北京华道征信有限公司实际关联交易金额分别为</w:t>
      </w:r>
      <w:r>
        <w:rPr>
          <w:rFonts w:ascii="Times New Roman" w:eastAsia="Times New Roman" w:hAnsi="Times New Roman" w:cs="Times New Roman"/>
          <w:color w:val="000000"/>
          <w:spacing w:val="0"/>
          <w:w w:val="100"/>
          <w:position w:val="0"/>
          <w:sz w:val="18"/>
          <w:szCs w:val="18"/>
        </w:rPr>
        <w:t>3,254.21</w:t>
      </w:r>
      <w:r>
        <w:rPr>
          <w:color w:val="000000"/>
          <w:spacing w:val="0"/>
          <w:w w:val="100"/>
          <w:position w:val="0"/>
        </w:rPr>
        <w:t>万元，未超过年度预计</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rPr>
        <w:t>金额。</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关于日常关联交易确认及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 联交易预计的公告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巨潮资讯网 </w:t>
            </w:r>
            <w:r>
              <w:rPr>
                <w:rFonts w:ascii="Times New Roman" w:eastAsia="Times New Roman" w:hAnsi="Times New Roman" w:cs="Times New Roman"/>
                <w:color w:val="000000"/>
                <w:spacing w:val="0"/>
                <w:w w:val="100"/>
                <w:position w:val="0"/>
                <w:sz w:val="18"/>
                <w:szCs w:val="18"/>
              </w:rPr>
              <w:t>www. cninfo. com. cn</w:t>
            </w:r>
          </w:p>
        </w:tc>
      </w:tr>
    </w:tbl>
    <w:p>
      <w:pPr>
        <w:pStyle w:val="Style32"/>
        <w:keepNext/>
        <w:keepLines/>
        <w:widowControl w:val="0"/>
        <w:shd w:val="clear" w:color="auto" w:fill="auto"/>
        <w:bidi w:val="0"/>
        <w:spacing w:before="0" w:after="38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十六、重大合同及其履行情况</w:t>
      </w:r>
      <w:bookmarkEnd w:id="394"/>
      <w:bookmarkEnd w:id="395"/>
      <w:bookmarkEnd w:id="396"/>
    </w:p>
    <w:p>
      <w:pPr>
        <w:pStyle w:val="Style36"/>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、托管、承包、租赁事项情况</w:t>
      </w:r>
      <w:bookmarkEnd w:id="397"/>
      <w:bookmarkEnd w:id="398"/>
      <w:bookmarkEnd w:id="400"/>
    </w:p>
    <w:p>
      <w:pPr>
        <w:pStyle w:val="Style36"/>
        <w:keepNext/>
        <w:keepLines/>
        <w:widowControl w:val="0"/>
        <w:numPr>
          <w:ilvl w:val="0"/>
          <w:numId w:val="13"/>
        </w:numPr>
        <w:shd w:val="clear" w:color="auto" w:fill="auto"/>
        <w:tabs>
          <w:tab w:pos="482" w:val="left"/>
        </w:tabs>
        <w:bidi w:val="0"/>
        <w:spacing w:before="0" w:after="380" w:line="240" w:lineRule="auto"/>
        <w:ind w:left="0" w:right="0" w:firstLine="0"/>
        <w:jc w:val="left"/>
      </w:pPr>
      <w:bookmarkStart w:id="397" w:name="bookmark397"/>
      <w:bookmarkStart w:id="398" w:name="bookmark398"/>
      <w:bookmarkStart w:id="401" w:name="bookmark401"/>
      <w:bookmarkStart w:id="402" w:name="bookmark402"/>
      <w:bookmarkEnd w:id="401"/>
      <w:r>
        <w:rPr>
          <w:color w:val="000000"/>
          <w:spacing w:val="0"/>
          <w:w w:val="100"/>
          <w:position w:val="0"/>
        </w:rPr>
        <w:t>托管情况</w:t>
      </w:r>
      <w:bookmarkEnd w:id="397"/>
      <w:bookmarkEnd w:id="398"/>
      <w:bookmarkEnd w:id="402"/>
    </w:p>
    <w:p>
      <w:pPr>
        <w:pStyle w:val="Style17"/>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40" w:line="468" w:lineRule="exact"/>
        <w:ind w:left="0" w:right="0"/>
        <w:jc w:val="left"/>
      </w:pPr>
      <w:r>
        <w:rPr>
          <w:color w:val="000000"/>
          <w:spacing w:val="0"/>
          <w:w w:val="100"/>
          <w:position w:val="0"/>
        </w:rPr>
        <w:t>公司报告期不存在托管情况。</w:t>
      </w:r>
    </w:p>
    <w:p>
      <w:pPr>
        <w:pStyle w:val="Style15"/>
        <w:keepNext w:val="0"/>
        <w:keepLines w:val="0"/>
        <w:widowControl w:val="0"/>
        <w:numPr>
          <w:ilvl w:val="0"/>
          <w:numId w:val="13"/>
        </w:numPr>
        <w:shd w:val="clear" w:color="auto" w:fill="auto"/>
        <w:tabs>
          <w:tab w:pos="482" w:val="left"/>
        </w:tabs>
        <w:bidi w:val="0"/>
        <w:spacing w:before="0" w:after="380" w:line="240" w:lineRule="auto"/>
        <w:ind w:left="0" w:right="0" w:firstLine="0"/>
        <w:jc w:val="left"/>
      </w:pPr>
      <w:bookmarkStart w:id="403" w:name="bookmark403"/>
      <w:bookmarkStart w:id="404" w:name="bookmark404"/>
      <w:bookmarkEnd w:id="403"/>
      <w:r>
        <w:rPr>
          <w:color w:val="000000"/>
          <w:spacing w:val="0"/>
          <w:w w:val="100"/>
          <w:position w:val="0"/>
        </w:rPr>
        <w:t>承包情况</w:t>
      </w:r>
      <w:bookmarkEnd w:id="404"/>
    </w:p>
    <w:p>
      <w:pPr>
        <w:pStyle w:val="Style17"/>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40" w:line="468" w:lineRule="exact"/>
        <w:ind w:left="0" w:right="0"/>
        <w:jc w:val="left"/>
      </w:pPr>
      <w:r>
        <w:rPr>
          <w:color w:val="000000"/>
          <w:spacing w:val="0"/>
          <w:w w:val="100"/>
          <w:position w:val="0"/>
        </w:rPr>
        <w:t>公司报告期不存在承包情况。</w:t>
      </w:r>
    </w:p>
    <w:p>
      <w:pPr>
        <w:pStyle w:val="Style15"/>
        <w:keepNext w:val="0"/>
        <w:keepLines w:val="0"/>
        <w:widowControl w:val="0"/>
        <w:numPr>
          <w:ilvl w:val="0"/>
          <w:numId w:val="13"/>
        </w:numPr>
        <w:shd w:val="clear" w:color="auto" w:fill="auto"/>
        <w:tabs>
          <w:tab w:pos="482" w:val="left"/>
        </w:tabs>
        <w:bidi w:val="0"/>
        <w:spacing w:before="0" w:after="380" w:line="240" w:lineRule="auto"/>
        <w:ind w:left="0" w:right="0" w:firstLine="0"/>
        <w:jc w:val="left"/>
      </w:pPr>
      <w:bookmarkStart w:id="405" w:name="bookmark405"/>
      <w:bookmarkStart w:id="406" w:name="bookmark406"/>
      <w:bookmarkEnd w:id="405"/>
      <w:r>
        <w:rPr>
          <w:color w:val="000000"/>
          <w:spacing w:val="0"/>
          <w:w w:val="100"/>
          <w:position w:val="0"/>
        </w:rPr>
        <w:t>租赁情况</w:t>
      </w:r>
      <w:bookmarkEnd w:id="406"/>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17"/>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1.2019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月，公司与冯苏军、杨春葵续签了《房屋租赁合同》，约定将冯苏军、杨春葵位于深圳市福田区车公庙天安 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0A-2B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10A-2A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10A-2C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10A-1</w:t>
      </w:r>
      <w:r>
        <w:rPr>
          <w:color w:val="000000"/>
          <w:spacing w:val="0"/>
          <w:w w:val="100"/>
          <w:position w:val="0"/>
        </w:rPr>
        <w:t>的房屋出租给公司使用，租赁面积合计为</w:t>
      </w:r>
      <w:r>
        <w:rPr>
          <w:rFonts w:ascii="Times New Roman" w:eastAsia="Times New Roman" w:hAnsi="Times New Roman" w:cs="Times New Roman"/>
          <w:color w:val="000000"/>
          <w:spacing w:val="0"/>
          <w:w w:val="100"/>
          <w:position w:val="0"/>
          <w:sz w:val="18"/>
          <w:szCs w:val="18"/>
        </w:rPr>
        <w:t>1212.48</w:t>
      </w:r>
      <w:r>
        <w:rPr>
          <w:color w:val="000000"/>
          <w:spacing w:val="0"/>
          <w:w w:val="100"/>
          <w:position w:val="0"/>
        </w:rPr>
        <w:t xml:space="preserve">平米，月租金合计 </w:t>
      </w:r>
      <w:r>
        <w:rPr>
          <w:rFonts w:ascii="Times New Roman" w:eastAsia="Times New Roman" w:hAnsi="Times New Roman" w:cs="Times New Roman"/>
          <w:color w:val="000000"/>
          <w:spacing w:val="0"/>
          <w:w w:val="100"/>
          <w:position w:val="0"/>
          <w:sz w:val="18"/>
          <w:szCs w:val="18"/>
        </w:rPr>
        <w:t>161,259.84</w:t>
      </w:r>
      <w:r>
        <w:rPr>
          <w:color w:val="000000"/>
          <w:spacing w:val="0"/>
          <w:w w:val="100"/>
          <w:position w:val="0"/>
        </w:rPr>
        <w:t>元，租赁期自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日止。该房屋租赁合同已经深圳市福田区房屋租赁管理局备案，合同登 记备案号为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深房租福田</w:t>
      </w:r>
      <w:r>
        <w:rPr>
          <w:rFonts w:ascii="Times New Roman" w:eastAsia="Times New Roman" w:hAnsi="Times New Roman" w:cs="Times New Roman"/>
          <w:color w:val="000000"/>
          <w:spacing w:val="0"/>
          <w:w w:val="100"/>
          <w:position w:val="0"/>
          <w:sz w:val="18"/>
          <w:szCs w:val="18"/>
        </w:rPr>
        <w:t>2019056710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2019056708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2019056713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2019056705”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月，公司与深圳市明正科技有限公 司签署了房屋租赁合同，约定将深圳市福田区车公庙天祥大厦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4B2-401A</w:t>
      </w:r>
      <w:r>
        <w:rPr>
          <w:color w:val="000000"/>
          <w:spacing w:val="0"/>
          <w:w w:val="100"/>
          <w:position w:val="0"/>
        </w:rPr>
        <w:t>的房屋出租给公司使用，租赁面积为</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平方米, 月租金为</w:t>
      </w:r>
      <w:r>
        <w:rPr>
          <w:rFonts w:ascii="Times New Roman" w:eastAsia="Times New Roman" w:hAnsi="Times New Roman" w:cs="Times New Roman"/>
          <w:color w:val="000000"/>
          <w:spacing w:val="0"/>
          <w:w w:val="100"/>
          <w:position w:val="0"/>
          <w:sz w:val="18"/>
          <w:szCs w:val="18"/>
        </w:rPr>
        <w:t>47,500.00</w:t>
      </w:r>
      <w:r>
        <w:rPr>
          <w:color w:val="000000"/>
          <w:spacing w:val="0"/>
          <w:w w:val="100"/>
          <w:position w:val="0"/>
        </w:rPr>
        <w:t>元，租赁期自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日。该房屋租赁合同已经深圳市福田区房屋租赁管理局备案， 合同登记备案号分别为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深房租福田</w:t>
      </w:r>
      <w:r>
        <w:rPr>
          <w:rFonts w:ascii="Times New Roman" w:eastAsia="Times New Roman" w:hAnsi="Times New Roman" w:cs="Times New Roman"/>
          <w:color w:val="000000"/>
          <w:spacing w:val="0"/>
          <w:w w:val="100"/>
          <w:position w:val="0"/>
          <w:sz w:val="18"/>
          <w:szCs w:val="18"/>
        </w:rPr>
        <w:t>2020051682”</w:t>
      </w:r>
      <w:r>
        <w:rPr>
          <w:color w:val="000000"/>
          <w:spacing w:val="0"/>
          <w:w w:val="100"/>
          <w:position w:val="0"/>
        </w:rPr>
        <w:t>。</w:t>
      </w:r>
    </w:p>
    <w:p>
      <w:pPr>
        <w:pStyle w:val="Style17"/>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2.2018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月，公司全资子公司亿美软通与君天首业商贸有限公司签订了《续租协议》，约定将位于北京市朝阳区通惠 河畔文化创意产业园</w:t>
      </w:r>
      <w:r>
        <w:rPr>
          <w:rFonts w:ascii="Times New Roman" w:eastAsia="Times New Roman" w:hAnsi="Times New Roman" w:cs="Times New Roman"/>
          <w:color w:val="000000"/>
          <w:spacing w:val="0"/>
          <w:w w:val="100"/>
          <w:position w:val="0"/>
          <w:sz w:val="18"/>
          <w:szCs w:val="18"/>
        </w:rPr>
        <w:t>1131</w:t>
      </w:r>
      <w:r>
        <w:rPr>
          <w:color w:val="000000"/>
          <w:spacing w:val="0"/>
          <w:w w:val="100"/>
          <w:position w:val="0"/>
        </w:rPr>
        <w:t>号君天大厦六层出租给亿美软通，租赁面积为</w:t>
      </w:r>
      <w:r>
        <w:rPr>
          <w:rFonts w:ascii="Times New Roman" w:eastAsia="Times New Roman" w:hAnsi="Times New Roman" w:cs="Times New Roman"/>
          <w:color w:val="000000"/>
          <w:spacing w:val="0"/>
          <w:w w:val="100"/>
          <w:position w:val="0"/>
          <w:sz w:val="18"/>
          <w:szCs w:val="18"/>
        </w:rPr>
        <w:t>2,287</w:t>
      </w:r>
      <w:r>
        <w:rPr>
          <w:color w:val="000000"/>
          <w:spacing w:val="0"/>
          <w:w w:val="100"/>
          <w:position w:val="0"/>
        </w:rPr>
        <w:t>平方米，季度租金为</w:t>
      </w:r>
      <w:r>
        <w:rPr>
          <w:rFonts w:ascii="Times New Roman" w:eastAsia="Times New Roman" w:hAnsi="Times New Roman" w:cs="Times New Roman"/>
          <w:color w:val="000000"/>
          <w:spacing w:val="0"/>
          <w:w w:val="100"/>
          <w:position w:val="0"/>
          <w:sz w:val="18"/>
          <w:szCs w:val="18"/>
        </w:rPr>
        <w:t>1,085,182.00</w:t>
      </w:r>
      <w:r>
        <w:rPr>
          <w:color w:val="000000"/>
          <w:spacing w:val="0"/>
          <w:w w:val="100"/>
          <w:position w:val="0"/>
        </w:rPr>
        <w:t xml:space="preserve">元，租赁期自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w:t>
      </w:r>
    </w:p>
    <w:p>
      <w:pPr>
        <w:pStyle w:val="Style17"/>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3.2019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月，公司控股子公司安科创新与邹金山签订了《儒骏大厦房屋租赁合同》，约定将深圳市龙岗区坂田街道马 安堂社区中兴路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号儒骏大厦</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的房屋出租给安科创新办公，租赁面积为</w:t>
      </w:r>
      <w:r>
        <w:rPr>
          <w:rFonts w:ascii="Times New Roman" w:eastAsia="Times New Roman" w:hAnsi="Times New Roman" w:cs="Times New Roman"/>
          <w:color w:val="000000"/>
          <w:spacing w:val="0"/>
          <w:w w:val="100"/>
          <w:position w:val="0"/>
          <w:sz w:val="18"/>
          <w:szCs w:val="18"/>
        </w:rPr>
        <w:t>1,464.50</w:t>
      </w:r>
      <w:r>
        <w:rPr>
          <w:color w:val="000000"/>
          <w:spacing w:val="0"/>
          <w:w w:val="100"/>
          <w:position w:val="0"/>
        </w:rPr>
        <w:t>平方米，月租金</w:t>
      </w:r>
      <w:r>
        <w:rPr>
          <w:rFonts w:ascii="Times New Roman" w:eastAsia="Times New Roman" w:hAnsi="Times New Roman" w:cs="Times New Roman"/>
          <w:color w:val="000000"/>
          <w:spacing w:val="0"/>
          <w:w w:val="100"/>
          <w:position w:val="0"/>
          <w:sz w:val="18"/>
          <w:szCs w:val="18"/>
        </w:rPr>
        <w:t>128,144</w:t>
      </w:r>
      <w:r>
        <w:rPr>
          <w:color w:val="000000"/>
          <w:spacing w:val="0"/>
          <w:w w:val="100"/>
          <w:position w:val="0"/>
        </w:rPr>
        <w:t>元，并约定租 金自租赁期间第二年起每年递增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,租赁期自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日止。该房屋租赁合同已经深圳市龙岗区房屋租 赁管理局备案，合同登记备案号为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深房租龙岗</w:t>
      </w:r>
      <w:r>
        <w:rPr>
          <w:rFonts w:ascii="Times New Roman" w:eastAsia="Times New Roman" w:hAnsi="Times New Roman" w:cs="Times New Roman"/>
          <w:color w:val="000000"/>
          <w:spacing w:val="0"/>
          <w:w w:val="100"/>
          <w:position w:val="0"/>
          <w:sz w:val="18"/>
          <w:szCs w:val="18"/>
        </w:rPr>
        <w:t>2020004361”</w:t>
      </w:r>
      <w:r>
        <w:rPr>
          <w:color w:val="000000"/>
          <w:spacing w:val="0"/>
          <w:w w:val="100"/>
          <w:position w:val="0"/>
        </w:rPr>
        <w:t>。</w:t>
      </w:r>
    </w:p>
    <w:p>
      <w:pPr>
        <w:pStyle w:val="Style17"/>
        <w:keepNext w:val="0"/>
        <w:keepLines w:val="0"/>
        <w:widowControl w:val="0"/>
        <w:shd w:val="clear" w:color="auto" w:fill="auto"/>
        <w:bidi w:val="0"/>
        <w:spacing w:before="0" w:after="380" w:line="468" w:lineRule="exact"/>
        <w:ind w:left="0" w:right="0"/>
        <w:jc w:val="left"/>
      </w:pPr>
      <w:r>
        <w:rPr>
          <w:rFonts w:ascii="Times New Roman" w:eastAsia="Times New Roman" w:hAnsi="Times New Roman" w:cs="Times New Roman"/>
          <w:color w:val="000000"/>
          <w:spacing w:val="0"/>
          <w:w w:val="100"/>
          <w:position w:val="0"/>
          <w:sz w:val="18"/>
          <w:szCs w:val="18"/>
        </w:rPr>
        <w:t>4.2018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月，公司控股子公司杰智融与北京君天首业商贸有限公司签订了《房屋租赁协议》，约定将位于北京市海淀 区黑泉路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幢康健宝盛广场</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D</w:t>
      </w:r>
      <w:r>
        <w:rPr>
          <w:rFonts w:ascii="Times New Roman" w:eastAsia="Times New Roman" w:hAnsi="Times New Roman" w:cs="Times New Roman"/>
          <w:color w:val="000000"/>
          <w:spacing w:val="0"/>
          <w:w w:val="100"/>
          <w:position w:val="0"/>
          <w:sz w:val="18"/>
          <w:szCs w:val="18"/>
        </w:rPr>
        <w:t>7001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D7002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D7019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D7020</w:t>
      </w:r>
      <w:r>
        <w:rPr>
          <w:color w:val="000000"/>
          <w:spacing w:val="0"/>
          <w:w w:val="100"/>
          <w:position w:val="0"/>
        </w:rPr>
        <w:t>号房屋出租给杰智融办公，租赁面积共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平米，每季 度租金</w:t>
      </w:r>
      <w:r>
        <w:rPr>
          <w:rFonts w:ascii="Times New Roman" w:eastAsia="Times New Roman" w:hAnsi="Times New Roman" w:cs="Times New Roman"/>
          <w:color w:val="000000"/>
          <w:spacing w:val="0"/>
          <w:w w:val="100"/>
          <w:position w:val="0"/>
          <w:sz w:val="18"/>
          <w:szCs w:val="18"/>
        </w:rPr>
        <w:t>214,437.00</w:t>
      </w:r>
      <w:r>
        <w:rPr>
          <w:color w:val="000000"/>
          <w:spacing w:val="0"/>
          <w:w w:val="100"/>
          <w:position w:val="0"/>
        </w:rPr>
        <w:t>元，并约定自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日开始，租金逐年按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递增。租赁期自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w:t>
      </w:r>
    </w:p>
    <w:p>
      <w:pPr>
        <w:pStyle w:val="Style17"/>
        <w:keepNext w:val="0"/>
        <w:keepLines w:val="0"/>
        <w:widowControl w:val="0"/>
        <w:shd w:val="clear" w:color="auto" w:fill="auto"/>
        <w:bidi w:val="0"/>
        <w:spacing w:before="0" w:after="240" w:line="46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月，杰智融与北京君天首业商贸有限公司签订了《续租协议》，第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年季度租金为</w:t>
      </w:r>
      <w:r>
        <w:rPr>
          <w:rFonts w:ascii="Times New Roman" w:eastAsia="Times New Roman" w:hAnsi="Times New Roman" w:cs="Times New Roman"/>
          <w:color w:val="000000"/>
          <w:spacing w:val="0"/>
          <w:w w:val="100"/>
          <w:position w:val="0"/>
          <w:sz w:val="18"/>
          <w:szCs w:val="18"/>
        </w:rPr>
        <w:t>227,304.00</w:t>
      </w:r>
      <w:r>
        <w:rPr>
          <w:color w:val="000000"/>
          <w:spacing w:val="0"/>
          <w:w w:val="100"/>
          <w:position w:val="0"/>
        </w:rPr>
        <w:t>元，第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年起季度租金 为</w:t>
      </w:r>
      <w:r>
        <w:rPr>
          <w:rFonts w:ascii="Times New Roman" w:eastAsia="Times New Roman" w:hAnsi="Times New Roman" w:cs="Times New Roman"/>
          <w:color w:val="000000"/>
          <w:spacing w:val="0"/>
          <w:w w:val="100"/>
          <w:position w:val="0"/>
          <w:sz w:val="18"/>
          <w:szCs w:val="18"/>
        </w:rPr>
        <w:t>239,531.00</w:t>
      </w:r>
      <w:r>
        <w:rPr>
          <w:color w:val="000000"/>
          <w:spacing w:val="0"/>
          <w:w w:val="100"/>
          <w:position w:val="0"/>
        </w:rPr>
        <w:t>元，租赁期自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60" w:line="466" w:lineRule="exact"/>
        <w:ind w:left="0" w:right="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6"/>
        <w:keepNext/>
        <w:keepLines/>
        <w:widowControl w:val="0"/>
        <w:shd w:val="clear" w:color="auto" w:fill="auto"/>
        <w:bidi w:val="0"/>
        <w:spacing w:before="0" w:after="14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、重大担保</w:t>
      </w:r>
      <w:bookmarkEnd w:id="407"/>
      <w:bookmarkEnd w:id="408"/>
      <w:bookmarkEnd w:id="410"/>
    </w:p>
    <w:p>
      <w:pPr>
        <w:pStyle w:val="Style17"/>
        <w:keepNext w:val="0"/>
        <w:keepLines w:val="0"/>
        <w:widowControl w:val="0"/>
        <w:shd w:val="clear" w:color="auto" w:fill="auto"/>
        <w:bidi w:val="0"/>
        <w:spacing w:before="0" w:after="380" w:line="46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1"/>
      <w:bookmarkEnd w:id="412"/>
      <w:bookmarkEnd w:id="414"/>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14"/>
        <w:gridCol w:w="922"/>
        <w:gridCol w:w="926"/>
        <w:gridCol w:w="1296"/>
        <w:gridCol w:w="1066"/>
        <w:gridCol w:w="1037"/>
        <w:gridCol w:w="1042"/>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北京华道征信有限公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报告期末已审批的对外担保额度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深圳银之杰智慧科技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北京亿美软通科技有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北京杰智融软件有限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安科创新（深圳）有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安科创新（深圳）有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深圳市科安电子商务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14"/>
        <w:gridCol w:w="917"/>
        <w:gridCol w:w="917"/>
        <w:gridCol w:w="1310"/>
        <w:gridCol w:w="1046"/>
        <w:gridCol w:w="1056"/>
        <w:gridCol w:w="1042"/>
        <w:gridCol w:w="787"/>
        <w:gridCol w:w="797"/>
      </w:tblGrid>
      <w:tr>
        <w:trPr>
          <w:trHeight w:val="72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4,416.7</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北京亿美软通科技有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安科创新（深圳）有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深圳市科安电子商务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北京杰智融软件有限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报告期内审批对子公司担保额度</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报告期内审批担保额度合计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报告期内担保实际发生额</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报告期末已审批的担保额度合计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4,416.7</w:t>
            </w:r>
          </w:p>
        </w:tc>
      </w:tr>
      <w:tr>
        <w:trPr>
          <w:trHeight w:val="398"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w:t>
            </w:r>
          </w:p>
        </w:tc>
      </w:tr>
      <w:tr>
        <w:trPr>
          <w:trHeight w:val="398"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w:t>
            </w:r>
          </w:p>
        </w:tc>
      </w:tr>
      <w:tr>
        <w:trPr>
          <w:trHeight w:val="365"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对未到期担保，报告期内已发生担保责任或可能承担连带清偿</w:t>
            </w:r>
          </w:p>
        </w:tc>
        <w:tc>
          <w:tcPr>
            <w:gridSpan w:val="5"/>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0" w:hRule="exact"/>
        </w:trPr>
        <w:tc>
          <w:tcPr>
            <w:gridSpan w:val="2"/>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责任的情况说明（如有）</w:t>
            </w: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5"/>
            <w:vMerge/>
            <w:tcBorders>
              <w:left w:val="single" w:sz="4"/>
              <w:right w:val="single" w:sz="4"/>
            </w:tcBorders>
            <w:shd w:val="clear" w:color="auto" w:fill="FFFFFF"/>
            <w:vAlign w:val="center"/>
          </w:tcPr>
          <w:p>
            <w:pPr/>
          </w:p>
        </w:tc>
      </w:tr>
      <w:tr>
        <w:trPr>
          <w:trHeight w:val="413"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199" w:line="1" w:lineRule="exact"/>
      </w:pP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5"/>
      <w:bookmarkEnd w:id="416"/>
      <w:bookmarkEnd w:id="418"/>
    </w:p>
    <w:p>
      <w:pPr>
        <w:pStyle w:val="Style17"/>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公司报告期无违规对外担保情况。</w:t>
      </w:r>
    </w:p>
    <w:p>
      <w:pPr>
        <w:pStyle w:val="Style36"/>
        <w:keepNext/>
        <w:keepLines/>
        <w:widowControl w:val="0"/>
        <w:shd w:val="clear" w:color="auto" w:fill="auto"/>
        <w:tabs>
          <w:tab w:pos="378" w:val="left"/>
        </w:tabs>
        <w:bidi w:val="0"/>
        <w:spacing w:before="0" w:after="4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w:t>
        <w:tab/>
        <w:t>日常经营重大合同</w:t>
      </w:r>
      <w:bookmarkEnd w:id="419"/>
      <w:bookmarkEnd w:id="420"/>
      <w:bookmarkEnd w:id="422"/>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4</w:t>
      </w:r>
      <w:bookmarkEnd w:id="425"/>
      <w:r>
        <w:rPr>
          <w:color w:val="000000"/>
          <w:spacing w:val="0"/>
          <w:w w:val="100"/>
          <w:position w:val="0"/>
        </w:rPr>
        <w:t>、</w:t>
        <w:tab/>
        <w:t>委托他人进行现金资产管理情况</w:t>
      </w:r>
      <w:bookmarkEnd w:id="423"/>
      <w:bookmarkEnd w:id="424"/>
      <w:bookmarkEnd w:id="426"/>
    </w:p>
    <w:p>
      <w:pPr>
        <w:pStyle w:val="Style44"/>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7"/>
      <w:bookmarkEnd w:id="428"/>
      <w:bookmarkEnd w:id="430"/>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4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380" w:line="422" w:lineRule="exact"/>
        <w:ind w:left="0" w:right="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both"/>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1"/>
      <w:bookmarkEnd w:id="432"/>
      <w:bookmarkEnd w:id="434"/>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公司报告期不存在委托贷款。</w:t>
      </w:r>
    </w:p>
    <w:p>
      <w:pPr>
        <w:pStyle w:val="Style36"/>
        <w:keepNext/>
        <w:keepLines/>
        <w:widowControl w:val="0"/>
        <w:shd w:val="clear" w:color="auto" w:fill="auto"/>
        <w:bidi w:val="0"/>
        <w:spacing w:before="0" w:after="380" w:line="24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5</w:t>
      </w:r>
      <w:bookmarkEnd w:id="437"/>
      <w:r>
        <w:rPr>
          <w:color w:val="000000"/>
          <w:spacing w:val="0"/>
          <w:w w:val="100"/>
          <w:position w:val="0"/>
        </w:rPr>
        <w:t>、其他重大合同</w:t>
      </w:r>
      <w:bookmarkEnd w:id="435"/>
      <w:bookmarkEnd w:id="436"/>
      <w:bookmarkEnd w:id="438"/>
    </w:p>
    <w:p>
      <w:pPr>
        <w:pStyle w:val="Style1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38"/>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合同订 立对方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合同涉 及资产 的账面 价值</w:t>
            </w:r>
          </w:p>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合同涉 及资产 的评估 价值</w:t>
            </w:r>
          </w:p>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w:t>
            </w:r>
          </w:p>
        </w:tc>
      </w:tr>
    </w:tbl>
    <w:p>
      <w:pPr>
        <w:widowControl w:val="0"/>
        <w:spacing w:line="1" w:lineRule="exact"/>
      </w:pPr>
    </w:p>
    <w:tbl>
      <w:tblPr>
        <w:tblOverlap w:val="never"/>
        <w:jc w:val="center"/>
        <w:tblLayout w:type="fixed"/>
      </w:tblPr>
      <w:tblGrid>
        <w:gridCol w:w="643"/>
        <w:gridCol w:w="638"/>
        <w:gridCol w:w="638"/>
        <w:gridCol w:w="638"/>
        <w:gridCol w:w="638"/>
        <w:gridCol w:w="638"/>
        <w:gridCol w:w="638"/>
        <w:gridCol w:w="638"/>
        <w:gridCol w:w="638"/>
        <w:gridCol w:w="638"/>
        <w:gridCol w:w="638"/>
        <w:gridCol w:w="638"/>
        <w:gridCol w:w="638"/>
        <w:gridCol w:w="638"/>
        <w:gridCol w:w="643"/>
      </w:tblGrid>
      <w:tr>
        <w:trPr>
          <w:trHeight w:val="161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银之杰 科技股 份有限 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商银行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章用印 机设备 及相关 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售收入</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179.35</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万元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讯网</w:t>
            </w:r>
          </w:p>
          <w:p>
            <w:pPr>
              <w:pStyle w:val="Style29"/>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www</w:t>
            </w:r>
          </w:p>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 com.cn</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银之杰 科技股 份有限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中国建</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设银行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印控机 设备及 相关服 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市场定</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实现销 售收入 </w:t>
            </w:r>
            <w:r>
              <w:rPr>
                <w:rFonts w:ascii="Times New Roman" w:eastAsia="Times New Roman" w:hAnsi="Times New Roman" w:cs="Times New Roman"/>
                <w:color w:val="000000"/>
                <w:spacing w:val="0"/>
                <w:w w:val="100"/>
                <w:position w:val="0"/>
                <w:sz w:val="18"/>
                <w:szCs w:val="18"/>
              </w:rPr>
              <w:t xml:space="preserve">4,614.8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 基本实 施完毕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w:t>
            </w:r>
          </w:p>
          <w:p>
            <w:pPr>
              <w:pStyle w:val="Style29"/>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www</w:t>
            </w:r>
          </w:p>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 com.cn</w:t>
            </w:r>
          </w:p>
          <w:p>
            <w:pPr>
              <w:pStyle w:val="Style29"/>
              <w:keepNext w:val="0"/>
              <w:keepLines w:val="0"/>
              <w:widowControl w:val="0"/>
              <w:shd w:val="clear" w:color="auto" w:fill="auto"/>
              <w:bidi w:val="0"/>
              <w:spacing w:before="0" w:after="60" w:line="310" w:lineRule="exact"/>
              <w:ind w:left="0" w:right="0" w:firstLine="0"/>
              <w:jc w:val="both"/>
            </w:pP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十七、社会责任情况</w:t>
      </w:r>
      <w:bookmarkEnd w:id="439"/>
      <w:bookmarkEnd w:id="440"/>
      <w:bookmarkEnd w:id="441"/>
    </w:p>
    <w:p>
      <w:pPr>
        <w:pStyle w:val="Style36"/>
        <w:keepNext/>
        <w:keepLines/>
        <w:widowControl w:val="0"/>
        <w:shd w:val="clear" w:color="auto" w:fill="auto"/>
        <w:tabs>
          <w:tab w:pos="368" w:val="left"/>
        </w:tabs>
        <w:bidi w:val="0"/>
        <w:spacing w:before="0" w:after="1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w:t>
        <w:tab/>
        <w:t>履行社会责任情况</w:t>
      </w:r>
      <w:bookmarkEnd w:id="442"/>
      <w:bookmarkEnd w:id="443"/>
      <w:bookmarkEnd w:id="445"/>
    </w:p>
    <w:p>
      <w:pPr>
        <w:pStyle w:val="Style17"/>
        <w:keepNext w:val="0"/>
        <w:keepLines w:val="0"/>
        <w:widowControl w:val="0"/>
        <w:shd w:val="clear" w:color="auto" w:fill="auto"/>
        <w:bidi w:val="0"/>
        <w:spacing w:before="0" w:after="0" w:line="470" w:lineRule="exact"/>
        <w:ind w:left="0" w:right="0"/>
        <w:jc w:val="left"/>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17"/>
        <w:keepNext w:val="0"/>
        <w:keepLines w:val="0"/>
        <w:widowControl w:val="0"/>
        <w:shd w:val="clear" w:color="auto" w:fill="auto"/>
        <w:bidi w:val="0"/>
        <w:spacing w:before="0" w:after="0" w:line="470" w:lineRule="exact"/>
        <w:ind w:left="0" w:right="0"/>
        <w:jc w:val="left"/>
      </w:pPr>
      <w:r>
        <w:rPr>
          <w:color w:val="000000"/>
          <w:spacing w:val="0"/>
          <w:w w:val="100"/>
          <w:position w:val="0"/>
        </w:rPr>
        <w:t>公司严格按照《公司法》、《深圳证券交易所创业板股票上市规则》、《上市公司信息披露管理办法》等相关法律法规 的要求，及时、准确、真实、完整地进行信息披露，通过投资者电话、电子邮箱、投资者关系互动平台和实地调研等多种方 式与投资者进行沟通交流，提高了公司的透明度和诚信度。公司非常重视对投资者的合理回报，制定了相对稳定的利润分配 政策和分红方案以回报股东。公司一直坚持以人为本的人才理念，实施企业人才战略，严格遵守《劳动法》、《劳动合同法》 等相关法律法规，尊重和维护员工的个人权益，切实关注员工健康、安全和满意度；通过知识技能的理论培训及实践操作技 能培训等方式使员工得到切实的提高和发展，维护员工权益。</w:t>
      </w:r>
    </w:p>
    <w:p>
      <w:pPr>
        <w:pStyle w:val="Style17"/>
        <w:keepNext w:val="0"/>
        <w:keepLines w:val="0"/>
        <w:widowControl w:val="0"/>
        <w:shd w:val="clear" w:color="auto" w:fill="auto"/>
        <w:bidi w:val="0"/>
        <w:spacing w:before="0" w:after="460" w:line="470" w:lineRule="exact"/>
        <w:ind w:left="0" w:right="0"/>
        <w:jc w:val="left"/>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36"/>
        <w:keepNext/>
        <w:keepLines/>
        <w:widowControl w:val="0"/>
        <w:shd w:val="clear" w:color="auto" w:fill="auto"/>
        <w:tabs>
          <w:tab w:pos="378" w:val="left"/>
        </w:tabs>
        <w:bidi w:val="0"/>
        <w:spacing w:before="0" w:after="20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履行精准扶贫社会责任情况</w:t>
      </w:r>
      <w:bookmarkEnd w:id="446"/>
      <w:bookmarkEnd w:id="447"/>
      <w:bookmarkEnd w:id="449"/>
    </w:p>
    <w:p>
      <w:pPr>
        <w:pStyle w:val="Style17"/>
        <w:keepNext w:val="0"/>
        <w:keepLines w:val="0"/>
        <w:widowControl w:val="0"/>
        <w:shd w:val="clear" w:color="auto" w:fill="auto"/>
        <w:bidi w:val="0"/>
        <w:spacing w:before="0" w:after="460" w:line="470" w:lineRule="exact"/>
        <w:ind w:left="0" w:right="0"/>
        <w:jc w:val="both"/>
      </w:pPr>
      <w:r>
        <w:rPr>
          <w:color w:val="000000"/>
          <w:spacing w:val="0"/>
          <w:w w:val="100"/>
          <w:position w:val="0"/>
        </w:rPr>
        <w:t>公司报告年度暂未开展精准扶贫工作，也暂无后续精准扶贫计划。</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3</w:t>
      </w:r>
      <w:bookmarkEnd w:id="452"/>
      <w:r>
        <w:rPr>
          <w:color w:val="000000"/>
          <w:spacing w:val="0"/>
          <w:w w:val="100"/>
          <w:position w:val="0"/>
        </w:rPr>
        <w:t>、</w:t>
        <w:tab/>
        <w:t>环境保护相关的情况</w:t>
      </w:r>
      <w:bookmarkEnd w:id="450"/>
      <w:bookmarkEnd w:id="451"/>
      <w:bookmarkEnd w:id="453"/>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40" w:line="470" w:lineRule="exact"/>
        <w:ind w:left="0" w:right="0"/>
        <w:jc w:val="both"/>
      </w:pPr>
      <w:r>
        <w:rPr>
          <w:color w:val="000000"/>
          <w:spacing w:val="0"/>
          <w:w w:val="100"/>
          <w:position w:val="0"/>
        </w:rPr>
        <w:t>公司及子公司均不属于环境保护部门公布的重点排污单位。</w:t>
      </w:r>
    </w:p>
    <w:p>
      <w:pPr>
        <w:pStyle w:val="Style32"/>
        <w:keepNext/>
        <w:keepLines/>
        <w:widowControl w:val="0"/>
        <w:shd w:val="clear" w:color="auto" w:fill="auto"/>
        <w:bidi w:val="0"/>
        <w:spacing w:before="0" w:line="240" w:lineRule="auto"/>
        <w:ind w:left="0" w:right="0" w:firstLine="0"/>
        <w:jc w:val="both"/>
      </w:pPr>
      <w:bookmarkStart w:id="454" w:name="bookmark454"/>
      <w:bookmarkStart w:id="455" w:name="bookmark455"/>
      <w:bookmarkStart w:id="456" w:name="bookmark456"/>
      <w:r>
        <w:rPr>
          <w:color w:val="000000"/>
          <w:spacing w:val="0"/>
          <w:w w:val="100"/>
          <w:position w:val="0"/>
          <w:sz w:val="24"/>
          <w:szCs w:val="24"/>
        </w:rPr>
        <w:t>十八、其他重大事项的说明</w:t>
      </w:r>
      <w:bookmarkEnd w:id="454"/>
      <w:bookmarkEnd w:id="455"/>
      <w:bookmarkEnd w:id="456"/>
    </w:p>
    <w:p>
      <w:pPr>
        <w:pStyle w:val="Style17"/>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tabs>
          <w:tab w:pos="684" w:val="left"/>
        </w:tabs>
        <w:bidi w:val="0"/>
        <w:spacing w:before="0" w:after="0" w:line="469" w:lineRule="exact"/>
        <w:ind w:left="0" w:right="0"/>
        <w:jc w:val="both"/>
      </w:pPr>
      <w:bookmarkStart w:id="457" w:name="bookmark457"/>
      <w:r>
        <w:rPr>
          <w:rFonts w:ascii="Times New Roman" w:eastAsia="Times New Roman" w:hAnsi="Times New Roman" w:cs="Times New Roman"/>
          <w:color w:val="000000"/>
          <w:spacing w:val="0"/>
          <w:w w:val="100"/>
          <w:position w:val="0"/>
          <w:sz w:val="18"/>
          <w:szCs w:val="18"/>
        </w:rPr>
        <w:t>1</w:t>
      </w:r>
      <w:bookmarkEnd w:id="457"/>
      <w:r>
        <w:rPr>
          <w:color w:val="000000"/>
          <w:spacing w:val="0"/>
          <w:w w:val="100"/>
          <w:position w:val="0"/>
        </w:rPr>
        <w:t>、</w:t>
        <w:tab/>
        <w:t>向特定对象发行股票募集资金的有关事项</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股股票事项分别经第四届董事会第二十一次会议、第五届董事会第一次会议、第五届董 事会第二次会议以及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年第一次临时股东大会审议通过,公司拟向特定对象发行股票募集资金总额不超过</w:t>
      </w:r>
      <w:r>
        <w:rPr>
          <w:rFonts w:ascii="Times New Roman" w:eastAsia="Times New Roman" w:hAnsi="Times New Roman" w:cs="Times New Roman"/>
          <w:color w:val="000000"/>
          <w:spacing w:val="0"/>
          <w:w w:val="100"/>
          <w:position w:val="0"/>
          <w:sz w:val="18"/>
          <w:szCs w:val="18"/>
        </w:rPr>
        <w:t>135,297.50</w:t>
      </w:r>
      <w:r>
        <w:rPr>
          <w:color w:val="000000"/>
          <w:spacing w:val="0"/>
          <w:w w:val="100"/>
          <w:position w:val="0"/>
        </w:rPr>
        <w:t>万元, 扣除发行费用后拟用于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银行数字化转型解决方案项目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银行智能设备产业化项目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偿还银行贷款匚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日，深交所受理公司向特定对象发行股票申请文件。</w:t>
      </w:r>
    </w:p>
    <w:p>
      <w:pPr>
        <w:pStyle w:val="Style17"/>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日，公司召开第五届董事会第四次会议，审议通过了《关于终止向特定对象发行股票事项并撤回申请文件 的议案》。经与中介机构审慎研究，综合考虑资本市场政策及环境的变化、公司目前的实际情况等因素，公司决定终止本次 向特定对象发行股票事项，并向深交所申请撤回相关申请文件。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日，公司收到深交所《关于终止对深圳市银之 杰科技股份有限公司申请向特定对象发行股票审核的决定》（深证上审〔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594</w:t>
      </w:r>
      <w:r>
        <w:rPr>
          <w:color w:val="000000"/>
          <w:spacing w:val="0"/>
          <w:w w:val="100"/>
          <w:position w:val="0"/>
        </w:rPr>
        <w:t>号）。公司将结合资本市场政策环境、 未来业务发展需求等因素调整发行方案并择机重新申报。</w:t>
      </w:r>
    </w:p>
    <w:p>
      <w:pPr>
        <w:pStyle w:val="Style17"/>
        <w:keepNext w:val="0"/>
        <w:keepLines w:val="0"/>
        <w:widowControl w:val="0"/>
        <w:shd w:val="clear" w:color="auto" w:fill="auto"/>
        <w:tabs>
          <w:tab w:pos="703" w:val="left"/>
        </w:tabs>
        <w:bidi w:val="0"/>
        <w:spacing w:before="0" w:after="0" w:line="469" w:lineRule="exact"/>
        <w:ind w:left="0" w:right="0"/>
        <w:jc w:val="both"/>
      </w:pPr>
      <w:bookmarkStart w:id="458" w:name="bookmark458"/>
      <w:r>
        <w:rPr>
          <w:rFonts w:ascii="Times New Roman" w:eastAsia="Times New Roman" w:hAnsi="Times New Roman" w:cs="Times New Roman"/>
          <w:color w:val="000000"/>
          <w:spacing w:val="0"/>
          <w:w w:val="100"/>
          <w:position w:val="0"/>
          <w:sz w:val="18"/>
          <w:szCs w:val="18"/>
        </w:rPr>
        <w:t>2</w:t>
      </w:r>
      <w:bookmarkEnd w:id="458"/>
      <w:r>
        <w:rPr>
          <w:color w:val="000000"/>
          <w:spacing w:val="0"/>
          <w:w w:val="100"/>
          <w:position w:val="0"/>
        </w:rPr>
        <w:t>、</w:t>
        <w:tab/>
        <w:t>收购安科创新（深圳）有限公司少数股权的相关情况</w:t>
      </w:r>
    </w:p>
    <w:p>
      <w:pPr>
        <w:pStyle w:val="Style17"/>
        <w:keepNext w:val="0"/>
        <w:keepLines w:val="0"/>
        <w:widowControl w:val="0"/>
        <w:shd w:val="clear" w:color="auto" w:fill="auto"/>
        <w:bidi w:val="0"/>
        <w:spacing w:before="0" w:after="440" w:line="46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月，公司与深圳市弘顺投资咨询合伙企业（有限合伙）（简称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弘顺投资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）、李俊签署《股权转让协议》，公 司拟以现金方式购买弘顺投资持有的安科创新</w:t>
      </w:r>
      <w:r>
        <w:rPr>
          <w:rFonts w:ascii="Times New Roman" w:eastAsia="Times New Roman" w:hAnsi="Times New Roman" w:cs="Times New Roman"/>
          <w:color w:val="000000"/>
          <w:spacing w:val="0"/>
          <w:w w:val="100"/>
          <w:position w:val="0"/>
          <w:sz w:val="18"/>
          <w:szCs w:val="18"/>
        </w:rPr>
        <w:t>6.67%</w:t>
      </w:r>
      <w:r>
        <w:rPr>
          <w:color w:val="000000"/>
          <w:spacing w:val="0"/>
          <w:w w:val="100"/>
          <w:position w:val="0"/>
        </w:rPr>
        <w:t>的股权，交易对价</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万元，该协议于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月经安科创新召开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年第三次临时股东会审议通过本次股权转让事项后实施。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月，弘顺投资将所持有的安科创新</w:t>
      </w:r>
      <w:r>
        <w:rPr>
          <w:rFonts w:ascii="Times New Roman" w:eastAsia="Times New Roman" w:hAnsi="Times New Roman" w:cs="Times New Roman"/>
          <w:color w:val="000000"/>
          <w:spacing w:val="0"/>
          <w:w w:val="100"/>
          <w:position w:val="0"/>
          <w:sz w:val="18"/>
          <w:szCs w:val="18"/>
        </w:rPr>
        <w:t>6.67%</w:t>
      </w:r>
      <w:r>
        <w:rPr>
          <w:color w:val="000000"/>
          <w:spacing w:val="0"/>
          <w:w w:val="100"/>
          <w:position w:val="0"/>
        </w:rPr>
        <w:t>的股权转让给公 司，并完成了工商变更登记，公司持有安科创新的股权比例增至</w:t>
      </w:r>
      <w:r>
        <w:rPr>
          <w:rFonts w:ascii="Times New Roman" w:eastAsia="Times New Roman" w:hAnsi="Times New Roman" w:cs="Times New Roman"/>
          <w:color w:val="000000"/>
          <w:spacing w:val="0"/>
          <w:w w:val="100"/>
          <w:position w:val="0"/>
          <w:sz w:val="18"/>
          <w:szCs w:val="18"/>
        </w:rPr>
        <w:t>57.67%</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both"/>
      </w:pPr>
      <w:bookmarkStart w:id="459" w:name="bookmark459"/>
      <w:bookmarkStart w:id="460" w:name="bookmark460"/>
      <w:bookmarkStart w:id="461" w:name="bookmark461"/>
      <w:r>
        <w:rPr>
          <w:color w:val="000000"/>
          <w:spacing w:val="0"/>
          <w:w w:val="100"/>
          <w:position w:val="0"/>
          <w:sz w:val="24"/>
          <w:szCs w:val="24"/>
        </w:rPr>
        <w:t>十九、公司子公司重大事项</w:t>
      </w:r>
      <w:bookmarkEnd w:id="459"/>
      <w:bookmarkEnd w:id="460"/>
      <w:bookmarkEnd w:id="461"/>
    </w:p>
    <w:p>
      <w:pPr>
        <w:pStyle w:val="Style17"/>
        <w:keepNext w:val="0"/>
        <w:keepLines w:val="0"/>
        <w:widowControl w:val="0"/>
        <w:shd w:val="clear" w:color="auto" w:fill="auto"/>
        <w:bidi w:val="0"/>
        <w:spacing w:before="0" w:after="36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after="520" w:line="240" w:lineRule="auto"/>
        <w:ind w:left="0" w:right="0" w:firstLine="0"/>
        <w:jc w:val="center"/>
      </w:pPr>
      <w:bookmarkStart w:id="462" w:name="bookmark462"/>
      <w:bookmarkStart w:id="463" w:name="bookmark463"/>
      <w:bookmarkStart w:id="464" w:name="bookmark464"/>
      <w:r>
        <w:rPr>
          <w:color w:val="000000"/>
          <w:spacing w:val="0"/>
          <w:w w:val="100"/>
          <w:position w:val="0"/>
        </w:rPr>
        <w:t>第六节股份变动及股东情况</w:t>
      </w:r>
      <w:bookmarkEnd w:id="462"/>
      <w:bookmarkEnd w:id="463"/>
      <w:bookmarkEnd w:id="464"/>
    </w:p>
    <w:p>
      <w:pPr>
        <w:pStyle w:val="Style32"/>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bookmarkStart w:id="468" w:name="bookmark468"/>
      <w:bookmarkStart w:id="469" w:name="bookmark469"/>
      <w:r>
        <w:rPr>
          <w:color w:val="000000"/>
          <w:spacing w:val="0"/>
          <w:w w:val="100"/>
          <w:position w:val="0"/>
          <w:sz w:val="24"/>
          <w:szCs w:val="24"/>
        </w:rPr>
        <w:t>一</w:t>
      </w:r>
      <w:bookmarkEnd w:id="468"/>
      <w:r>
        <w:rPr>
          <w:color w:val="000000"/>
          <w:spacing w:val="0"/>
          <w:w w:val="100"/>
          <w:position w:val="0"/>
          <w:sz w:val="24"/>
          <w:szCs w:val="24"/>
        </w:rPr>
        <w:t>、股份变动情况</w:t>
      </w:r>
      <w:bookmarkEnd w:id="466"/>
      <w:bookmarkEnd w:id="467"/>
      <w:bookmarkEnd w:id="469"/>
      <w:bookmarkEnd w:id="465"/>
    </w:p>
    <w:p>
      <w:pPr>
        <w:pStyle w:val="Style36"/>
        <w:keepNext/>
        <w:keepLines/>
        <w:widowControl w:val="0"/>
        <w:shd w:val="clear" w:color="auto" w:fill="auto"/>
        <w:bidi w:val="0"/>
        <w:spacing w:before="0" w:after="360" w:line="240" w:lineRule="auto"/>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、股份变动情况</w:t>
      </w:r>
      <w:bookmarkEnd w:id="470"/>
      <w:bookmarkEnd w:id="471"/>
      <w:bookmarkEnd w:id="47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291,578,9</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-97,516,9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-97,516,9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194,062,0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291,578,9</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-97,516,9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-97,516,9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194,062,0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291,578,9</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-97,516,9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-97,516,9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194,062,0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415,061,6</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97,516,90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97,516,90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512,578,5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415,061,6</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97,516,90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97,516,90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512,578,5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72.54%</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706,640,5</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tabs>
          <w:tab w:pos="709" w:val="left"/>
        </w:tabs>
        <w:bidi w:val="0"/>
        <w:spacing w:before="0" w:after="0" w:line="464" w:lineRule="exact"/>
        <w:ind w:left="0" w:right="0"/>
        <w:jc w:val="both"/>
      </w:pPr>
      <w:bookmarkStart w:id="474" w:name="bookmark474"/>
      <w:r>
        <w:rPr>
          <w:rFonts w:ascii="Times New Roman" w:eastAsia="Times New Roman" w:hAnsi="Times New Roman" w:cs="Times New Roman"/>
          <w:color w:val="000000"/>
          <w:spacing w:val="0"/>
          <w:w w:val="100"/>
          <w:position w:val="0"/>
          <w:sz w:val="18"/>
          <w:szCs w:val="18"/>
        </w:rPr>
        <w:t>1</w:t>
      </w:r>
      <w:bookmarkEnd w:id="474"/>
      <w:r>
        <w:rPr>
          <w:color w:val="000000"/>
          <w:spacing w:val="0"/>
          <w:w w:val="100"/>
          <w:position w:val="0"/>
        </w:rPr>
        <w:t>、</w:t>
        <w:tab/>
        <w:t>报告期内，公司进行了董事会、监事会换届选举，部分原董事、监事、高级管理人员任期届满离任。依照《深圳证 券交易所创业板上市公司规范运作指引》的相关规定，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日增加离任高管锁定股</w:t>
      </w:r>
      <w:r>
        <w:rPr>
          <w:rFonts w:ascii="Times New Roman" w:eastAsia="Times New Roman" w:hAnsi="Times New Roman" w:cs="Times New Roman"/>
          <w:color w:val="000000"/>
          <w:spacing w:val="0"/>
          <w:w w:val="100"/>
          <w:position w:val="0"/>
          <w:sz w:val="18"/>
          <w:szCs w:val="18"/>
        </w:rPr>
        <w:t>34,987,700</w:t>
      </w:r>
      <w:r>
        <w:rPr>
          <w:color w:val="000000"/>
          <w:spacing w:val="0"/>
          <w:w w:val="100"/>
          <w:position w:val="0"/>
        </w:rPr>
        <w:t>股。</w:t>
      </w:r>
    </w:p>
    <w:p>
      <w:pPr>
        <w:pStyle w:val="Style17"/>
        <w:keepNext w:val="0"/>
        <w:keepLines w:val="0"/>
        <w:widowControl w:val="0"/>
        <w:shd w:val="clear" w:color="auto" w:fill="auto"/>
        <w:tabs>
          <w:tab w:pos="699" w:val="left"/>
        </w:tabs>
        <w:bidi w:val="0"/>
        <w:spacing w:before="0" w:after="0" w:line="464" w:lineRule="exact"/>
        <w:ind w:left="0" w:right="0"/>
        <w:jc w:val="both"/>
      </w:pPr>
      <w:bookmarkStart w:id="475" w:name="bookmark475"/>
      <w:r>
        <w:rPr>
          <w:rFonts w:ascii="Times New Roman" w:eastAsia="Times New Roman" w:hAnsi="Times New Roman" w:cs="Times New Roman"/>
          <w:color w:val="000000"/>
          <w:spacing w:val="0"/>
          <w:w w:val="100"/>
          <w:position w:val="0"/>
          <w:sz w:val="18"/>
          <w:szCs w:val="18"/>
        </w:rPr>
        <w:t>2</w:t>
      </w:r>
      <w:bookmarkEnd w:id="4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月，依照《深圳证券交易所创业板上市公司规范运作指引》的相关规定，解除已离任半年董事、高管的高 管锁定股</w:t>
      </w:r>
      <w:r>
        <w:rPr>
          <w:rFonts w:ascii="Times New Roman" w:eastAsia="Times New Roman" w:hAnsi="Times New Roman" w:cs="Times New Roman"/>
          <w:color w:val="000000"/>
          <w:spacing w:val="0"/>
          <w:w w:val="100"/>
          <w:position w:val="0"/>
          <w:sz w:val="18"/>
          <w:szCs w:val="18"/>
        </w:rPr>
        <w:t>139,950,800</w:t>
      </w:r>
      <w:r>
        <w:rPr>
          <w:color w:val="000000"/>
          <w:spacing w:val="0"/>
          <w:w w:val="100"/>
          <w:position w:val="0"/>
        </w:rPr>
        <w:t>股。</w:t>
      </w:r>
    </w:p>
    <w:p>
      <w:pPr>
        <w:pStyle w:val="Style17"/>
        <w:keepNext w:val="0"/>
        <w:keepLines w:val="0"/>
        <w:widowControl w:val="0"/>
        <w:shd w:val="clear" w:color="auto" w:fill="auto"/>
        <w:bidi w:val="0"/>
        <w:spacing w:before="0" w:after="240" w:line="464" w:lineRule="exact"/>
        <w:ind w:left="0" w:right="0"/>
        <w:jc w:val="both"/>
      </w:pPr>
      <w:bookmarkStart w:id="476" w:name="bookmark476"/>
      <w:r>
        <w:rPr>
          <w:rFonts w:ascii="Times New Roman" w:eastAsia="Times New Roman" w:hAnsi="Times New Roman" w:cs="Times New Roman"/>
          <w:color w:val="000000"/>
          <w:spacing w:val="0"/>
          <w:w w:val="100"/>
          <w:position w:val="0"/>
          <w:sz w:val="18"/>
          <w:szCs w:val="18"/>
        </w:rPr>
        <w:t>3</w:t>
      </w:r>
      <w:bookmarkEnd w:id="476"/>
      <w:r>
        <w:rPr>
          <w:color w:val="000000"/>
          <w:spacing w:val="0"/>
          <w:w w:val="100"/>
          <w:position w:val="0"/>
        </w:rPr>
        <w:t>、 公司董事何晔女士于报告期内办理了股份转托管手续，可转让额度</w:t>
      </w:r>
      <w:r>
        <w:rPr>
          <w:rFonts w:ascii="Times New Roman" w:eastAsia="Times New Roman" w:hAnsi="Times New Roman" w:cs="Times New Roman"/>
          <w:color w:val="000000"/>
          <w:spacing w:val="0"/>
          <w:w w:val="100"/>
          <w:position w:val="0"/>
          <w:sz w:val="18"/>
          <w:szCs w:val="18"/>
        </w:rPr>
        <w:t>7,446,200</w:t>
      </w:r>
      <w:r>
        <w:rPr>
          <w:color w:val="000000"/>
          <w:spacing w:val="0"/>
          <w:w w:val="100"/>
          <w:position w:val="0"/>
        </w:rPr>
        <w:t>股未相应划转，致使中国证券登记结算 公司登记的报告期末公司限售股股数增加</w:t>
      </w:r>
      <w:r>
        <w:rPr>
          <w:rFonts w:ascii="Times New Roman" w:eastAsia="Times New Roman" w:hAnsi="Times New Roman" w:cs="Times New Roman"/>
          <w:color w:val="000000"/>
          <w:spacing w:val="0"/>
          <w:w w:val="100"/>
          <w:position w:val="0"/>
          <w:sz w:val="18"/>
          <w:szCs w:val="18"/>
        </w:rPr>
        <w:t>7,446,200</w:t>
      </w:r>
      <w:r>
        <w:rPr>
          <w:color w:val="000000"/>
          <w:spacing w:val="0"/>
          <w:w w:val="100"/>
          <w:position w:val="0"/>
        </w:rPr>
        <w:t>股。上述限售股份数量变动已于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年年初调整至正常状态。</w:t>
      </w: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tabs>
          <w:tab w:pos="699" w:val="left"/>
        </w:tabs>
        <w:bidi w:val="0"/>
        <w:spacing w:before="0" w:after="0" w:line="466" w:lineRule="exact"/>
        <w:ind w:left="0" w:right="0"/>
        <w:jc w:val="both"/>
      </w:pPr>
      <w:bookmarkStart w:id="477" w:name="bookmark477"/>
      <w:r>
        <w:rPr>
          <w:rFonts w:ascii="Times New Roman" w:eastAsia="Times New Roman" w:hAnsi="Times New Roman" w:cs="Times New Roman"/>
          <w:color w:val="000000"/>
          <w:spacing w:val="0"/>
          <w:w w:val="100"/>
          <w:position w:val="0"/>
          <w:sz w:val="18"/>
          <w:szCs w:val="18"/>
        </w:rPr>
        <w:t>1</w:t>
      </w:r>
      <w:bookmarkEnd w:id="47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日，第四届董事会第二十二次会议审议通过了《关于董事会换届选举暨第五届董事会董事候选人提名的 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年度股东大会审议通过了《关于董事会换届选举的议案》。</w:t>
      </w:r>
    </w:p>
    <w:p>
      <w:pPr>
        <w:pStyle w:val="Style17"/>
        <w:keepNext w:val="0"/>
        <w:keepLines w:val="0"/>
        <w:widowControl w:val="0"/>
        <w:shd w:val="clear" w:color="auto" w:fill="auto"/>
        <w:tabs>
          <w:tab w:pos="734" w:val="left"/>
        </w:tabs>
        <w:bidi w:val="0"/>
        <w:spacing w:before="0" w:after="140" w:line="466" w:lineRule="exact"/>
        <w:ind w:left="0" w:right="0"/>
        <w:jc w:val="left"/>
      </w:pPr>
      <w:bookmarkStart w:id="478" w:name="bookmark478"/>
      <w:r>
        <w:rPr>
          <w:rFonts w:ascii="Times New Roman" w:eastAsia="Times New Roman" w:hAnsi="Times New Roman" w:cs="Times New Roman"/>
          <w:color w:val="000000"/>
          <w:spacing w:val="0"/>
          <w:w w:val="100"/>
          <w:position w:val="0"/>
          <w:sz w:val="18"/>
          <w:szCs w:val="18"/>
        </w:rPr>
        <w:t>2</w:t>
      </w:r>
      <w:bookmarkEnd w:id="47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日，第五届董事会第一次会议审议通过了《关于聘任公司高级管理人员的议案》。</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、限售股份变动情况</w:t>
      </w:r>
      <w:bookmarkEnd w:id="479"/>
      <w:bookmarkEnd w:id="480"/>
      <w:bookmarkEnd w:id="482"/>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22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100,595,100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33,531,700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134,126,800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日届满离 任，所持股份 自离任申报日 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 六个月后已全 部解除限售。</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86,245,800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93,692,000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高管锁定股； 因托管单元变 化可转让额度 未相应划转</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售；在可转让 额度相应划转 后解除限售。</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43,238,025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43,238,025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43,233,150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43,233,150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99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日届满离 任，所持股份</w:t>
            </w:r>
          </w:p>
        </w:tc>
      </w:tr>
    </w:tbl>
    <w:p>
      <w:pPr>
        <w:widowControl w:val="0"/>
        <w:spacing w:line="1" w:lineRule="exact"/>
      </w:pPr>
      <w:r>
        <w:br w:type="page"/>
      </w:r>
    </w:p>
    <w:tbl>
      <w:tblPr>
        <w:tblOverlap w:val="never"/>
        <w:jc w:val="center"/>
        <w:tblLayout w:type="fixed"/>
      </w:tblPr>
      <w:tblGrid>
        <w:gridCol w:w="1210"/>
        <w:gridCol w:w="1488"/>
        <w:gridCol w:w="1488"/>
        <w:gridCol w:w="1488"/>
        <w:gridCol w:w="1488"/>
        <w:gridCol w:w="1205"/>
        <w:gridCol w:w="121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自离任申报日 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 六个月后已全 部解除限售。</w:t>
            </w: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日届满离 任，所持股份 自离任申报日 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 六个月后已全 部解除限售。</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 售</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291,578,928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42,433,900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139,950,800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194,062,028</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二</w:t>
      </w:r>
      <w:bookmarkEnd w:id="485"/>
      <w:r>
        <w:rPr>
          <w:color w:val="000000"/>
          <w:spacing w:val="0"/>
          <w:w w:val="100"/>
          <w:position w:val="0"/>
          <w:sz w:val="24"/>
          <w:szCs w:val="24"/>
        </w:rPr>
        <w:t>、证券发行与上市情况</w:t>
      </w:r>
      <w:bookmarkEnd w:id="483"/>
      <w:bookmarkEnd w:id="484"/>
      <w:bookmarkEnd w:id="486"/>
    </w:p>
    <w:p>
      <w:pPr>
        <w:pStyle w:val="Style36"/>
        <w:keepNext/>
        <w:keepLines/>
        <w:widowControl w:val="0"/>
        <w:shd w:val="clear" w:color="auto" w:fill="auto"/>
        <w:tabs>
          <w:tab w:pos="368" w:val="left"/>
        </w:tabs>
        <w:bidi w:val="0"/>
        <w:spacing w:before="0" w:after="36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w:t>
        <w:tab/>
        <w:t>报告期内证券发行（不含优先股）情况</w:t>
      </w:r>
      <w:bookmarkEnd w:id="487"/>
      <w:bookmarkEnd w:id="488"/>
      <w:bookmarkEnd w:id="490"/>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w:t>
        <w:tab/>
        <w:t>公司股份总数及股东结构的变动、公司资产和负债结构的变动情况说明</w:t>
      </w:r>
      <w:bookmarkEnd w:id="491"/>
      <w:bookmarkEnd w:id="492"/>
      <w:bookmarkEnd w:id="494"/>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3</w:t>
      </w:r>
      <w:bookmarkEnd w:id="497"/>
      <w:r>
        <w:rPr>
          <w:color w:val="000000"/>
          <w:spacing w:val="0"/>
          <w:w w:val="100"/>
          <w:position w:val="0"/>
        </w:rPr>
        <w:t>、</w:t>
        <w:tab/>
        <w:t>现存的内部职工股情况</w:t>
      </w:r>
      <w:bookmarkEnd w:id="495"/>
      <w:bookmarkEnd w:id="496"/>
      <w:bookmarkEnd w:id="498"/>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三</w:t>
      </w:r>
      <w:bookmarkEnd w:id="501"/>
      <w:r>
        <w:rPr>
          <w:color w:val="000000"/>
          <w:spacing w:val="0"/>
          <w:w w:val="100"/>
          <w:position w:val="0"/>
          <w:sz w:val="24"/>
          <w:szCs w:val="24"/>
        </w:rPr>
        <w:t>、股东和实际控制人情况</w:t>
      </w:r>
      <w:bookmarkEnd w:id="499"/>
      <w:bookmarkEnd w:id="500"/>
      <w:bookmarkEnd w:id="502"/>
    </w:p>
    <w:p>
      <w:pPr>
        <w:pStyle w:val="Style36"/>
        <w:keepNext/>
        <w:keepLines/>
        <w:widowControl w:val="0"/>
        <w:shd w:val="clear" w:color="auto" w:fill="auto"/>
        <w:bidi w:val="0"/>
        <w:spacing w:before="0" w:after="36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、公司股东数量及持股情况</w:t>
      </w:r>
      <w:bookmarkEnd w:id="503"/>
      <w:bookmarkEnd w:id="504"/>
      <w:bookmarkEnd w:id="50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66"/>
        <w:gridCol w:w="922"/>
        <w:gridCol w:w="1070"/>
        <w:gridCol w:w="1070"/>
      </w:tblGrid>
      <w:tr>
        <w:trPr>
          <w:trHeight w:val="912"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64,256</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上_月末 普通股股 东总数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61,313</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总数（如有）</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年度报告披露日前上_ 月末表决权恢复的优先</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3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D3D3D3"/>
            <w:vAlign w:val="top"/>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股股东总数</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（如有）（参</w:t>
            </w:r>
          </w:p>
        </w:tc>
        <w:tc>
          <w:tcPr>
            <w:vMerge/>
            <w:tcBorders>
              <w:left w:val="single" w:sz="4"/>
              <w:right w:val="single" w:sz="4"/>
            </w:tcBorders>
            <w:shd w:val="clear" w:color="auto" w:fill="FFFFFF"/>
            <w:vAlign w:val="center"/>
          </w:tcPr>
          <w:p>
            <w:pP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持有有限售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持有无限</w:t>
            </w:r>
          </w:p>
        </w:tc>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bl>
    <w:p>
      <w:pPr>
        <w:widowControl w:val="0"/>
        <w:spacing w:line="1" w:lineRule="exact"/>
      </w:pPr>
      <w:r>
        <w:br w:type="page"/>
      </w:r>
    </w:p>
    <w:tbl>
      <w:tblPr>
        <w:tblOverlap w:val="never"/>
        <w:jc w:val="center"/>
        <w:tblLayout w:type="fixed"/>
      </w:tblPr>
      <w:tblGrid>
        <w:gridCol w:w="1205"/>
        <w:gridCol w:w="1195"/>
        <w:gridCol w:w="931"/>
        <w:gridCol w:w="1066"/>
        <w:gridCol w:w="1061"/>
        <w:gridCol w:w="1066"/>
        <w:gridCol w:w="922"/>
        <w:gridCol w:w="1070"/>
        <w:gridCol w:w="107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股数量</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条件的股份 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售条件的 股份数量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134,126,800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134,126,80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114,994,400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93,692,000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56,017,700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43,238,025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12,779,675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56,011,200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43,233,150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12,778,050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18,531,804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4,632,951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深圳弘道天瑞 投资有限责任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9,135,635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9,135,635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9,135,627</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left"/>
            </w:pPr>
            <w:r>
              <w:rPr>
                <w:color w:val="000000"/>
                <w:spacing w:val="0"/>
                <w:w w:val="100"/>
                <w:position w:val="0"/>
              </w:rPr>
              <w:t>武汉春天和谐 物业管理有限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3,292,583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-614,748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3,292,583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深圳前海安信 投资管理有限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3,268,039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3,268,039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深圳万物创想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3,165,528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-109,700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3,165,528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公司前十名股东之间，张学君、陈向军、李军三人为公司共同实际控制人、一致行动人。除 此之外，公司未知前十名股东之间是否存在关联关系，也未知是否属于一致行动人。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134,126,800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134,126,800</w:t>
            </w:r>
          </w:p>
        </w:tc>
      </w:tr>
      <w:tr>
        <w:trPr>
          <w:trHeight w:val="71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21,302,400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21,302,400</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12,779,675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12,779,675</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12,778,050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12,778,050</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深圳弘道天瑞投资有限责任公 司</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9,135,635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9,135,635</w:t>
            </w:r>
          </w:p>
        </w:tc>
      </w:tr>
      <w:tr>
        <w:trPr>
          <w:trHeight w:val="71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4,632,951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4,632,951</w:t>
            </w:r>
          </w:p>
        </w:tc>
      </w:tr>
      <w:tr>
        <w:trPr>
          <w:trHeight w:val="413"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武汉春天和谐物业管理有限公</w:t>
            </w:r>
          </w:p>
        </w:tc>
        <w:tc>
          <w:tcPr>
            <w:gridSpan w:val="5"/>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3,292,583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3,292,583</w:t>
            </w:r>
          </w:p>
        </w:tc>
      </w:tr>
    </w:tbl>
    <w:p>
      <w:pPr>
        <w:widowControl w:val="0"/>
        <w:spacing w:line="1" w:lineRule="exact"/>
      </w:pPr>
      <w:r>
        <w:br w:type="page"/>
      </w:r>
    </w:p>
    <w:tbl>
      <w:tblPr>
        <w:tblOverlap w:val="never"/>
        <w:jc w:val="center"/>
        <w:tblLayout w:type="fixed"/>
      </w:tblPr>
      <w:tblGrid>
        <w:gridCol w:w="2400"/>
        <w:gridCol w:w="5045"/>
        <w:gridCol w:w="1070"/>
        <w:gridCol w:w="1070"/>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深圳前海安信投资管理有限公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3,268,039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3,268,039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深圳万物创想科技有限公司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3,165,528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3,165,528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2,836,000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2,836,000</w:t>
            </w:r>
          </w:p>
        </w:tc>
      </w:tr>
      <w:tr>
        <w:trPr>
          <w:trHeight w:val="13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公司前十名股东之间，张学君、陈向军、李军三人为公司共同实际控制人、一致行动人。除 此以外，公司未知前十名股东之间是否存在关联关系，也未知是否属于一致行动人。</w:t>
            </w:r>
          </w:p>
        </w:tc>
      </w:tr>
      <w:tr>
        <w:trPr>
          <w:trHeight w:val="299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公司股东武汉春天和谐物业管理有限公司除通过普通证券账户持有公司股份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 中国银河证券股份有限公司客户信用交易担保证券账户持有公司股份</w:t>
            </w:r>
            <w:r>
              <w:rPr>
                <w:rFonts w:ascii="Times New Roman" w:eastAsia="Times New Roman" w:hAnsi="Times New Roman" w:cs="Times New Roman"/>
                <w:color w:val="000000"/>
                <w:spacing w:val="0"/>
                <w:w w:val="100"/>
                <w:position w:val="0"/>
                <w:sz w:val="18"/>
                <w:szCs w:val="18"/>
              </w:rPr>
              <w:t>3,292,583</w:t>
            </w:r>
            <w:r>
              <w:rPr>
                <w:color w:val="000000"/>
                <w:spacing w:val="0"/>
                <w:w w:val="100"/>
                <w:position w:val="0"/>
              </w:rPr>
              <w:t>股，实际合 计持有公司股份</w:t>
            </w:r>
            <w:r>
              <w:rPr>
                <w:rFonts w:ascii="Times New Roman" w:eastAsia="Times New Roman" w:hAnsi="Times New Roman" w:cs="Times New Roman"/>
                <w:color w:val="000000"/>
                <w:spacing w:val="0"/>
                <w:w w:val="100"/>
                <w:position w:val="0"/>
                <w:sz w:val="18"/>
                <w:szCs w:val="18"/>
              </w:rPr>
              <w:t>3,292,583</w:t>
            </w:r>
            <w:r>
              <w:rPr>
                <w:color w:val="000000"/>
                <w:spacing w:val="0"/>
                <w:w w:val="100"/>
                <w:position w:val="0"/>
              </w:rPr>
              <w:t>股。</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公司股东深圳前海安信投资管理有限公司除通过普通证券账户持有公司股份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 中国银河证券股份有限公司客户信用交易担保证券账户持有公司股份</w:t>
            </w:r>
            <w:r>
              <w:rPr>
                <w:rFonts w:ascii="Times New Roman" w:eastAsia="Times New Roman" w:hAnsi="Times New Roman" w:cs="Times New Roman"/>
                <w:color w:val="000000"/>
                <w:spacing w:val="0"/>
                <w:w w:val="100"/>
                <w:position w:val="0"/>
                <w:sz w:val="18"/>
                <w:szCs w:val="18"/>
              </w:rPr>
              <w:t>3,268,039</w:t>
            </w:r>
            <w:r>
              <w:rPr>
                <w:color w:val="000000"/>
                <w:spacing w:val="0"/>
                <w:w w:val="100"/>
                <w:position w:val="0"/>
              </w:rPr>
              <w:t>股，实际合 计持有公司股份</w:t>
            </w:r>
            <w:r>
              <w:rPr>
                <w:rFonts w:ascii="Times New Roman" w:eastAsia="Times New Roman" w:hAnsi="Times New Roman" w:cs="Times New Roman"/>
                <w:color w:val="000000"/>
                <w:spacing w:val="0"/>
                <w:w w:val="100"/>
                <w:position w:val="0"/>
                <w:sz w:val="18"/>
                <w:szCs w:val="18"/>
              </w:rPr>
              <w:t>3,268,039</w:t>
            </w:r>
            <w:r>
              <w:rPr>
                <w:color w:val="000000"/>
                <w:spacing w:val="0"/>
                <w:w w:val="100"/>
                <w:position w:val="0"/>
              </w:rPr>
              <w:t>股。</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公司股东深圳万物创想科技有限公司除通过普通证券账户持有公司股份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股外，还通过招商 证券股份有限公司客户信用交易担保证券账户持有公司股份</w:t>
            </w:r>
            <w:r>
              <w:rPr>
                <w:rFonts w:ascii="Times New Roman" w:eastAsia="Times New Roman" w:hAnsi="Times New Roman" w:cs="Times New Roman"/>
                <w:color w:val="000000"/>
                <w:spacing w:val="0"/>
                <w:w w:val="100"/>
                <w:position w:val="0"/>
                <w:sz w:val="18"/>
                <w:szCs w:val="18"/>
              </w:rPr>
              <w:t>3,165,528</w:t>
            </w:r>
            <w:r>
              <w:rPr>
                <w:color w:val="000000"/>
                <w:spacing w:val="0"/>
                <w:w w:val="100"/>
                <w:position w:val="0"/>
              </w:rPr>
              <w:t>股，实际合计持有公 司股份</w:t>
            </w:r>
            <w:r>
              <w:rPr>
                <w:rFonts w:ascii="Times New Roman" w:eastAsia="Times New Roman" w:hAnsi="Times New Roman" w:cs="Times New Roman"/>
                <w:color w:val="000000"/>
                <w:spacing w:val="0"/>
                <w:w w:val="100"/>
                <w:position w:val="0"/>
                <w:sz w:val="18"/>
                <w:szCs w:val="18"/>
              </w:rPr>
              <w:t>3,165,528</w:t>
            </w:r>
            <w:r>
              <w:rPr>
                <w:color w:val="000000"/>
                <w:spacing w:val="0"/>
                <w:w w:val="100"/>
                <w:position w:val="0"/>
              </w:rPr>
              <w:t>股。</w:t>
            </w:r>
          </w:p>
        </w:tc>
      </w:tr>
    </w:tbl>
    <w:p>
      <w:pPr>
        <w:pStyle w:val="Style17"/>
        <w:keepNext w:val="0"/>
        <w:keepLines w:val="0"/>
        <w:widowControl w:val="0"/>
        <w:shd w:val="clear" w:color="auto" w:fill="auto"/>
        <w:bidi w:val="0"/>
        <w:spacing w:before="0" w:after="20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40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、公司控股股东情况</w:t>
      </w:r>
      <w:bookmarkEnd w:id="507"/>
      <w:bookmarkEnd w:id="508"/>
      <w:bookmarkEnd w:id="51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5"/>
        <w:gridCol w:w="412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陈向军先生现任本公司董事长。李军先生现任本公司董事、总经理。</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公司报告期控股股东未发生变更。</w:t>
      </w:r>
      <w:r>
        <w:br w:type="page"/>
      </w:r>
    </w:p>
    <w:p>
      <w:pPr>
        <w:pStyle w:val="Style36"/>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、公司实际控制人及其一致行动人</w:t>
      </w:r>
      <w:bookmarkEnd w:id="511"/>
      <w:bookmarkEnd w:id="512"/>
      <w:bookmarkEnd w:id="51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陈向军先生现任本公司董事长。 李军先生现任本公司董事、总经理。</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220" w:line="240" w:lineRule="auto"/>
        <w:ind w:left="0" w:right="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255010" cy="124968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3255010" cy="1249680"/>
                    </a:xfrm>
                    <a:prstGeom prst="rect"/>
                  </pic:spPr>
                </pic:pic>
              </a:graphicData>
            </a:graphic>
          </wp:inline>
        </w:drawing>
      </w:r>
    </w:p>
    <w:p>
      <w:pPr>
        <w:widowControl w:val="0"/>
        <w:spacing w:after="3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4</w:t>
      </w:r>
      <w:bookmarkEnd w:id="51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5"/>
      <w:bookmarkEnd w:id="516"/>
      <w:bookmarkEnd w:id="518"/>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5</w:t>
      </w:r>
      <w:bookmarkEnd w:id="521"/>
      <w:r>
        <w:rPr>
          <w:color w:val="000000"/>
          <w:spacing w:val="0"/>
          <w:w w:val="100"/>
          <w:position w:val="0"/>
        </w:rPr>
        <w:t>、</w:t>
        <w:tab/>
        <w:t>控股股东、实际控制人、重组方及其他承诺主体股份限制减持情况</w:t>
      </w:r>
      <w:bookmarkEnd w:id="519"/>
      <w:bookmarkEnd w:id="520"/>
      <w:bookmarkEnd w:id="522"/>
    </w:p>
    <w:p>
      <w:pPr>
        <w:pStyle w:val="Style1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2726690</wp:posOffset>
                </wp:positionH>
                <wp:positionV relativeFrom="paragraph">
                  <wp:posOffset>0</wp:posOffset>
                </wp:positionV>
                <wp:extent cx="2170430" cy="247015"/>
                <wp:wrapTopAndBottom/>
                <wp:docPr id="8" name="Shape 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108" w:name="bookmark108"/>
                            <w:bookmarkStart w:id="109" w:name="bookmark109"/>
                            <w:bookmarkStart w:id="110" w:name="bookmark110"/>
                            <w:r>
                              <w:rPr>
                                <w:color w:val="000000"/>
                                <w:spacing w:val="0"/>
                                <w:w w:val="100"/>
                                <w:position w:val="0"/>
                              </w:rPr>
                              <w:t>第七节优先股相关情况</w:t>
                            </w:r>
                            <w:bookmarkEnd w:id="108"/>
                            <w:bookmarkEnd w:id="109"/>
                            <w:bookmarkEnd w:id="110"/>
                          </w:p>
                        </w:txbxContent>
                      </wps:txbx>
                      <wps:bodyPr wrap="none" lIns="0" tIns="0" rIns="0" bIns="0">
                        <a:noAutoFit/>
                      </wps:bodyPr>
                    </wps:wsp>
                  </a:graphicData>
                </a:graphic>
              </wp:anchor>
            </w:drawing>
          </mc:Choice>
          <mc:Fallback>
            <w:pict>
              <v:shape id="_x0000_s1034" type="#_x0000_t202" style="position:absolute;margin-left:214.70000000000002pt;margin-top:0;width:170.90000000000001pt;height:19.44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108" w:name="bookmark108"/>
                      <w:bookmarkStart w:id="109" w:name="bookmark109"/>
                      <w:bookmarkStart w:id="110" w:name="bookmark110"/>
                      <w:r>
                        <w:rPr>
                          <w:color w:val="000000"/>
                          <w:spacing w:val="0"/>
                          <w:w w:val="100"/>
                          <w:position w:val="0"/>
                        </w:rPr>
                        <w:t>第七节优先股相关情况</w:t>
                      </w:r>
                      <w:bookmarkEnd w:id="108"/>
                      <w:bookmarkEnd w:id="109"/>
                      <w:bookmarkEnd w:id="110"/>
                    </w:p>
                  </w:txbxContent>
                </v:textbox>
                <w10:wrap type="topAndBottom" anchorx="page"/>
              </v:shape>
            </w:pict>
          </mc:Fallback>
        </mc:AlternateContent>
      </w:r>
    </w:p>
    <w:p>
      <w:pPr>
        <w:pStyle w:val="Style17"/>
        <w:keepNext w:val="0"/>
        <w:keepLines w:val="0"/>
        <w:widowControl w:val="0"/>
        <w:shd w:val="clear" w:color="auto" w:fill="auto"/>
        <w:bidi w:val="0"/>
        <w:spacing w:before="0" w:after="220" w:line="240" w:lineRule="auto"/>
        <w:ind w:left="0" w:right="0" w:firstLine="0"/>
        <w:jc w:val="left"/>
      </w:pPr>
      <w:bookmarkStart w:id="523" w:name="bookmark52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3"/>
    </w:p>
    <w:p>
      <w:pPr>
        <w:pStyle w:val="Style17"/>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287" w:right="1047" w:bottom="1373" w:left="1066"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620" w:after="560" w:line="240" w:lineRule="auto"/>
        <w:ind w:left="0" w:right="0" w:firstLine="0"/>
        <w:jc w:val="center"/>
      </w:pPr>
      <w:bookmarkStart w:id="524" w:name="bookmark524"/>
      <w:bookmarkStart w:id="525" w:name="bookmark525"/>
      <w:bookmarkStart w:id="526" w:name="bookmark526"/>
      <w:r>
        <w:rPr>
          <w:color w:val="000000"/>
          <w:spacing w:val="0"/>
          <w:w w:val="100"/>
          <w:position w:val="0"/>
        </w:rPr>
        <w:t>第八节可转换公司债券相关情况</w:t>
      </w:r>
      <w:bookmarkEnd w:id="524"/>
      <w:bookmarkEnd w:id="525"/>
      <w:bookmarkEnd w:id="526"/>
    </w:p>
    <w:p>
      <w:pPr>
        <w:pStyle w:val="Style17"/>
        <w:keepNext w:val="0"/>
        <w:keepLines w:val="0"/>
        <w:widowControl w:val="0"/>
        <w:shd w:val="clear" w:color="auto" w:fill="auto"/>
        <w:bidi w:val="0"/>
        <w:spacing w:before="0" w:after="220" w:line="240" w:lineRule="auto"/>
        <w:ind w:left="0" w:right="0" w:firstLine="0"/>
        <w:jc w:val="left"/>
      </w:pPr>
      <w:bookmarkStart w:id="527" w:name="bookmark52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27"/>
    </w:p>
    <w:p>
      <w:pPr>
        <w:pStyle w:val="Style17"/>
        <w:keepNext w:val="0"/>
        <w:keepLines w:val="0"/>
        <w:widowControl w:val="0"/>
        <w:shd w:val="clear" w:color="auto" w:fill="auto"/>
        <w:bidi w:val="0"/>
        <w:spacing w:before="0" w:after="380" w:line="240" w:lineRule="auto"/>
        <w:ind w:left="0" w:right="0"/>
        <w:jc w:val="left"/>
      </w:pPr>
      <w:r>
        <w:rPr>
          <w:color w:val="000000"/>
          <w:spacing w:val="0"/>
          <w:w w:val="100"/>
          <w:position w:val="0"/>
        </w:rPr>
        <w:t>报告期公司不存在可转换公司债券。</w:t>
      </w:r>
      <w:r>
        <w:br w:type="page"/>
      </w:r>
    </w:p>
    <w:p>
      <w:pPr>
        <w:pStyle w:val="Style9"/>
        <w:keepNext/>
        <w:keepLines/>
        <w:widowControl w:val="0"/>
        <w:shd w:val="clear" w:color="auto" w:fill="auto"/>
        <w:bidi w:val="0"/>
        <w:spacing w:before="0" w:after="500" w:line="240" w:lineRule="auto"/>
        <w:ind w:left="0" w:right="0" w:firstLine="0"/>
        <w:jc w:val="center"/>
      </w:pPr>
      <w:bookmarkStart w:id="528" w:name="bookmark528"/>
      <w:bookmarkStart w:id="529" w:name="bookmark529"/>
      <w:bookmarkStart w:id="530" w:name="bookmark530"/>
      <w:r>
        <w:rPr>
          <w:color w:val="000000"/>
          <w:spacing w:val="0"/>
          <w:w w:val="100"/>
          <w:position w:val="0"/>
        </w:rPr>
        <w:t>第九节 董事、监事、高级管理人员和员工情况</w:t>
      </w:r>
      <w:bookmarkEnd w:id="528"/>
      <w:bookmarkEnd w:id="529"/>
      <w:bookmarkEnd w:id="530"/>
    </w:p>
    <w:p>
      <w:pPr>
        <w:pStyle w:val="Style32"/>
        <w:keepNext/>
        <w:keepLines/>
        <w:widowControl w:val="0"/>
        <w:shd w:val="clear" w:color="auto" w:fill="auto"/>
        <w:bidi w:val="0"/>
        <w:spacing w:before="0" w:after="320" w:line="240" w:lineRule="auto"/>
        <w:ind w:left="0" w:right="0" w:firstLine="0"/>
        <w:jc w:val="left"/>
      </w:pPr>
      <w:bookmarkStart w:id="531" w:name="bookmark531"/>
      <w:bookmarkStart w:id="532" w:name="bookmark532"/>
      <w:bookmarkStart w:id="533" w:name="bookmark533"/>
      <w:bookmarkStart w:id="534" w:name="bookmark534"/>
      <w:bookmarkStart w:id="535" w:name="bookmark535"/>
      <w:r>
        <w:rPr>
          <w:color w:val="000000"/>
          <w:spacing w:val="0"/>
          <w:w w:val="100"/>
          <w:position w:val="0"/>
          <w:sz w:val="24"/>
          <w:szCs w:val="24"/>
        </w:rPr>
        <w:t>一</w:t>
      </w:r>
      <w:bookmarkEnd w:id="534"/>
      <w:r>
        <w:rPr>
          <w:color w:val="000000"/>
          <w:spacing w:val="0"/>
          <w:w w:val="100"/>
          <w:position w:val="0"/>
          <w:sz w:val="24"/>
          <w:szCs w:val="24"/>
        </w:rPr>
        <w:t>、董事、监事和高级管理人员持股变动</w:t>
      </w:r>
      <w:bookmarkEnd w:id="532"/>
      <w:bookmarkEnd w:id="533"/>
      <w:bookmarkEnd w:id="535"/>
      <w:bookmarkEnd w:id="531"/>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9"/>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9"/>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57,650,70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56,017,70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董事、总</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57,644,20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56,011,20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114,994,4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114,994,4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18,531,80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18,531,80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董事、副 总经理、 董事会秘 书、财务 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安丰森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134,126,8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134,126,8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 总经理、 董事会秘 书、财务 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2,836,000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388,772,0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383,348,0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二</w:t>
      </w:r>
      <w:bookmarkEnd w:id="538"/>
      <w:r>
        <w:rPr>
          <w:color w:val="000000"/>
          <w:spacing w:val="0"/>
          <w:w w:val="100"/>
          <w:position w:val="0"/>
          <w:sz w:val="24"/>
          <w:szCs w:val="24"/>
        </w:rPr>
        <w:t>、公司董事、监事、高级管理人员变动情况</w:t>
      </w:r>
      <w:bookmarkEnd w:id="536"/>
      <w:bookmarkEnd w:id="537"/>
      <w:bookmarkEnd w:id="539"/>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董事会秘书、财 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年度股东大会审议通过了《关于董事会换届选举 的议案》</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年度股东大会审议通过了《关于董事会换届选举 的议案》</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年度股东大会审议通过了《关于董事会换届选举 的议案》</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年度股东大会审议通过了《关于董事会换届选举 的议案》</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年第一次职工代表大会选举 出公司第五届监事会职工代表监事，与公司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股东大会选举产生的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名股东代表监事共同组成第五 届监事会，任期自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年度股东大会决议生效日起三 年</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副总经理、董事 会秘书、财务总 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日，公司第五届董事会第一次会议审议 通过了《关于聘任公司高级管理人员的议案》</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三</w:t>
      </w:r>
      <w:bookmarkEnd w:id="542"/>
      <w:r>
        <w:rPr>
          <w:color w:val="000000"/>
          <w:spacing w:val="0"/>
          <w:w w:val="100"/>
          <w:position w:val="0"/>
          <w:sz w:val="24"/>
          <w:szCs w:val="24"/>
        </w:rPr>
        <w:t>、任职情况</w:t>
      </w:r>
      <w:bookmarkEnd w:id="540"/>
      <w:bookmarkEnd w:id="541"/>
      <w:bookmarkEnd w:id="543"/>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numPr>
          <w:ilvl w:val="0"/>
          <w:numId w:val="15"/>
        </w:numPr>
        <w:shd w:val="clear" w:color="auto" w:fill="auto"/>
        <w:bidi w:val="0"/>
        <w:spacing w:before="0" w:after="0" w:line="240" w:lineRule="auto"/>
        <w:ind w:left="0" w:right="0"/>
        <w:jc w:val="both"/>
      </w:pPr>
      <w:bookmarkStart w:id="544" w:name="bookmark544"/>
      <w:bookmarkEnd w:id="544"/>
      <w:r>
        <w:rPr>
          <w:color w:val="000000"/>
          <w:spacing w:val="0"/>
          <w:w w:val="100"/>
          <w:position w:val="0"/>
        </w:rPr>
        <w:t>董事</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公司董事会由</w:t>
      </w:r>
      <w:r>
        <w:rPr>
          <w:rFonts w:ascii="Arial" w:eastAsia="Arial" w:hAnsi="Arial" w:cs="Arial"/>
          <w:color w:val="000000"/>
          <w:spacing w:val="0"/>
          <w:w w:val="100"/>
          <w:position w:val="0"/>
          <w:sz w:val="17"/>
          <w:szCs w:val="17"/>
        </w:rPr>
        <w:t>8</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名，具体如下：</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陈向军先生，公司董事长，中国籍，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月起任公司参 股公司华道征信董事长，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月至今任百行征信董事。</w:t>
      </w:r>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李军先生，公司董事、总经理，中国籍，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月任公司参股公司华道征信董事，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月任公司参股公司易安保险董事长。</w:t>
      </w:r>
    </w:p>
    <w:p>
      <w:pPr>
        <w:pStyle w:val="Style17"/>
        <w:keepNext w:val="0"/>
        <w:keepLines w:val="0"/>
        <w:widowControl w:val="0"/>
        <w:shd w:val="clear" w:color="auto" w:fill="auto"/>
        <w:bidi w:val="0"/>
        <w:spacing w:before="0" w:after="240" w:line="474" w:lineRule="exact"/>
        <w:ind w:left="0" w:right="0"/>
        <w:jc w:val="both"/>
      </w:pPr>
      <w:r>
        <w:rPr>
          <w:color w:val="000000"/>
          <w:spacing w:val="0"/>
          <w:w w:val="100"/>
          <w:position w:val="0"/>
        </w:rPr>
        <w:t>何晔女士，公司董事，中国籍，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月在联合证券有限责任公司（华泰联合证 券有限责任公司）工作，历任计划财务部职员、基金业务小组组长助理、销售交易部总经理助理、销售交易部副总经理。</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宋卢亮先生，公司董事，中国籍，有美国永久居留权，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月任国信证券 股份有限公司总经理助理。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月任公司参股公司易安财产保险股份有限公司副总经理。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 公司参股公司东亚前海证券有限责任公司董事。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月至今任公司全资子公司深圳银之杰资产管理有限公司总经理，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月至今任公司副总经理、董事会秘书、财务总监。</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冯军先生，公司董事，中国籍，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月至今在亿美软通工作，历任董事长、董事，现任执 行董事兼总经理。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月至今任公司参股公司华道征信总经理，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月至今任华道征信 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月任公司参股公司百可录（北京）科技有限公司董事。</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朱厚佳先生，公司独立董事，中国籍，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月，曾先后在蛇口中华会计师事 务所任经理、蛇口信德会计师事务所任经理、深圳同人会计师事务所任合伙人、天健会计师事务所深圳分所任副主任会计师。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月至今任深圳市宝利泰投资有限公司及其下属控股子公司福州扎布耶锂业有限公司董事长兼总经理。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月任公司独立董事。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月任深圳华强实业股份有限公司独立董事。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年至今任深圳中法会计师 事务所副所长。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月至今任万向德农股份有限公司独立董事。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月至今任四川美丰化工股份有限公司独立董事。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月至今任公司独立董事。</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刘宏先生，公司独立董事，中国籍，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年出生，本科学历。曾任中兴通讯股份有限公司销售经理，深圳中兴力维技术 有限公司大区经理、销售体系副总经理，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月任北京世纪瑞尔技术股份有限公司董事、总经理。</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月至今任北京瑞祺皓迪技术股份有限公司董事长。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月至今任深圳市麦斯杰网络有限公司董事。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 公司独立董事。</w:t>
      </w:r>
    </w:p>
    <w:p>
      <w:pPr>
        <w:pStyle w:val="Style17"/>
        <w:keepNext w:val="0"/>
        <w:keepLines w:val="0"/>
        <w:widowControl w:val="0"/>
        <w:shd w:val="clear" w:color="auto" w:fill="auto"/>
        <w:bidi w:val="0"/>
        <w:spacing w:before="0" w:after="260" w:line="467" w:lineRule="exact"/>
        <w:ind w:left="0" w:right="0"/>
        <w:jc w:val="both"/>
      </w:pPr>
      <w:r>
        <w:rPr>
          <w:color w:val="000000"/>
          <w:spacing w:val="0"/>
          <w:w w:val="100"/>
          <w:position w:val="0"/>
        </w:rPr>
        <w:t>陈歆玮先生，公司独立董事，中国籍，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月曾先后任中国国际金融有限 公司副总裁、瑞士银行（香港）执行董事、美林证券（远东）副总裁、野村证券（香港）董事兼总经理。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 中联国际金融控股有限公司董事长。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月至今任公司独立董事。</w:t>
      </w:r>
    </w:p>
    <w:p>
      <w:pPr>
        <w:pStyle w:val="Style17"/>
        <w:keepNext w:val="0"/>
        <w:keepLines w:val="0"/>
        <w:widowControl w:val="0"/>
        <w:numPr>
          <w:ilvl w:val="0"/>
          <w:numId w:val="15"/>
        </w:numPr>
        <w:shd w:val="clear" w:color="auto" w:fill="auto"/>
        <w:bidi w:val="0"/>
        <w:spacing w:before="0" w:after="0" w:line="542" w:lineRule="auto"/>
        <w:ind w:left="0" w:right="0"/>
        <w:jc w:val="both"/>
      </w:pPr>
      <w:bookmarkStart w:id="545" w:name="bookmark545"/>
      <w:bookmarkEnd w:id="545"/>
      <w:r>
        <w:rPr>
          <w:color w:val="000000"/>
          <w:spacing w:val="0"/>
          <w:w w:val="100"/>
          <w:position w:val="0"/>
        </w:rPr>
        <w:t>监事</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人，具体如下：</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汪婉欣女士，公司监事会主席，中国籍，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月至今任本公司监事会主席。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月任辉瑞制药有限公司中国合规经理。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月任公司参股公司票联金服监事。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月任瓦里安医疗器械贸易（北京）有限公司亚太区区域合规经理。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月任齐鲁制药有限公司合规 总监。</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安丰森先生，公司监事，中国籍，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年出生，研究生学历。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月任北京外国语大学国际交流与合作 处亚非事务主管、港澳台事务专员。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月至今在本公司工作，现任总经理办公室负责人。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月至今任公司监事。</w:t>
      </w:r>
    </w:p>
    <w:p>
      <w:pPr>
        <w:pStyle w:val="Style17"/>
        <w:keepNext w:val="0"/>
        <w:keepLines w:val="0"/>
        <w:widowControl w:val="0"/>
        <w:shd w:val="clear" w:color="auto" w:fill="auto"/>
        <w:bidi w:val="0"/>
        <w:spacing w:before="0" w:after="160" w:line="467" w:lineRule="exact"/>
        <w:ind w:left="0" w:right="0"/>
        <w:jc w:val="both"/>
      </w:pPr>
      <w:r>
        <w:rPr>
          <w:color w:val="000000"/>
          <w:spacing w:val="0"/>
          <w:w w:val="100"/>
          <w:position w:val="0"/>
        </w:rPr>
        <w:t>周峰先生，公司职工代表监事，中国籍，</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月起在本公司工作，曾任行政人事部经理， 现任综合管理部经理。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月任公司职工代表监事，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月起任公司全资子公司深圳市银之杰金融设 </w:t>
      </w:r>
      <w:r>
        <w:rPr>
          <w:color w:val="000000"/>
          <w:spacing w:val="0"/>
          <w:w w:val="100"/>
          <w:position w:val="0"/>
        </w:rPr>
        <w:t>备有限公司监事，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月起任公司全资子公司深圳银之杰智慧科技有限公司监事，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月起任公司全资子公司深圳银 之杰拓扑技术有限公司监事。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月起任公司全资子公司深圳银之杰资产管理有限公司监事。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月起任公司职工代 表监事。</w:t>
      </w:r>
    </w:p>
    <w:p>
      <w:pPr>
        <w:pStyle w:val="Style17"/>
        <w:keepNext w:val="0"/>
        <w:keepLines w:val="0"/>
        <w:widowControl w:val="0"/>
        <w:numPr>
          <w:ilvl w:val="0"/>
          <w:numId w:val="15"/>
        </w:numPr>
        <w:shd w:val="clear" w:color="auto" w:fill="auto"/>
        <w:bidi w:val="0"/>
        <w:spacing w:before="0" w:after="160" w:line="240" w:lineRule="auto"/>
        <w:ind w:left="0" w:right="0"/>
        <w:jc w:val="left"/>
      </w:pPr>
      <w:bookmarkStart w:id="546" w:name="bookmark546"/>
      <w:bookmarkEnd w:id="546"/>
      <w:r>
        <w:rPr>
          <w:color w:val="000000"/>
          <w:spacing w:val="0"/>
          <w:w w:val="100"/>
          <w:position w:val="0"/>
        </w:rPr>
        <w:t>高级管理人员</w:t>
      </w:r>
    </w:p>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李军先生，总经理，简历详见本节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董事七</w:t>
      </w:r>
    </w:p>
    <w:p>
      <w:pPr>
        <w:pStyle w:val="Style17"/>
        <w:keepNext w:val="0"/>
        <w:keepLines w:val="0"/>
        <w:widowControl w:val="0"/>
        <w:shd w:val="clear" w:color="auto" w:fill="auto"/>
        <w:bidi w:val="0"/>
        <w:spacing w:before="0" w:after="240" w:line="473" w:lineRule="exact"/>
        <w:ind w:left="0" w:right="0"/>
        <w:jc w:val="left"/>
      </w:pPr>
      <w:r>
        <w:rPr>
          <w:color w:val="000000"/>
          <w:spacing w:val="0"/>
          <w:w w:val="100"/>
          <w:position w:val="0"/>
        </w:rPr>
        <w:t>宋卢亮先生，副总经理，简历详见本节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董事七</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在股东单位任职情况</w:t>
      </w:r>
    </w:p>
    <w:p>
      <w:pPr>
        <w:pStyle w:val="Style1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百行征信有限公司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北京君言信息技术有限公司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北京微智全景信息技术有限公司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北京全景网联信息技术有限公司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北京海鲸科技有限公司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北京大画科技有限公司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福州扎布耶锂业有限公司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深圳市宝利泰投资有限公司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深圳中法会计师事务所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深圳市联嘉祥科技股份有限公司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万向德农股份有限公司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四川美丰化工股份有限公司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北京瑞祺皓迪技术股份有限公司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深圳市麦斯杰网络有限公司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中联国际金融控股有限公司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7"/>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四</w:t>
      </w:r>
      <w:bookmarkEnd w:id="549"/>
      <w:r>
        <w:rPr>
          <w:color w:val="000000"/>
          <w:spacing w:val="0"/>
          <w:w w:val="100"/>
          <w:position w:val="0"/>
          <w:sz w:val="24"/>
          <w:szCs w:val="24"/>
        </w:rPr>
        <w:t>、董事、监事、高级管理人员报酬情况</w:t>
      </w:r>
      <w:bookmarkEnd w:id="547"/>
      <w:bookmarkEnd w:id="548"/>
      <w:bookmarkEnd w:id="550"/>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840"/>
        <w:gridCol w:w="5746"/>
      </w:tblGrid>
      <w:tr>
        <w:trPr>
          <w:trHeight w:val="1291"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公司董事、监事报酬由股东大会决定，高级管理人员报酬由董事会决定； 在公司承担职务的董事、监事、高级管理人员报酬由公司支付，董事、监 事不另外支付津贴。独立董事津贴依据股东大会决议支付，独立董事会务 费据实报销。</w:t>
            </w:r>
          </w:p>
        </w:tc>
      </w:tr>
      <w:tr>
        <w:trPr>
          <w:trHeight w:val="34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依据公司盈利水平及各董事、监事、高级管理人员的分工及履行情况确定。</w:t>
            </w:r>
          </w:p>
        </w:tc>
      </w:tr>
      <w:tr>
        <w:trPr>
          <w:trHeight w:val="672"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公司现有董事、监事、高级管理人员共</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年实际支付董事、监事 和高级管理人员报酬</w:t>
            </w:r>
            <w:r>
              <w:rPr>
                <w:rFonts w:ascii="Times New Roman" w:eastAsia="Times New Roman" w:hAnsi="Times New Roman" w:cs="Times New Roman"/>
                <w:color w:val="000000"/>
                <w:spacing w:val="0"/>
                <w:w w:val="100"/>
                <w:position w:val="0"/>
                <w:sz w:val="18"/>
                <w:szCs w:val="18"/>
              </w:rPr>
              <w:t>290.67</w:t>
            </w:r>
            <w:r>
              <w:rPr>
                <w:color w:val="000000"/>
                <w:spacing w:val="0"/>
                <w:w w:val="100"/>
                <w:position w:val="0"/>
              </w:rPr>
              <w:t>万元。</w:t>
            </w:r>
          </w:p>
        </w:tc>
      </w:tr>
    </w:tbl>
    <w:p>
      <w:pPr>
        <w:widowControl w:val="0"/>
        <w:spacing w:after="39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宋卢亮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董事会秘书、财 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安丰森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董事会秘书、财 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290.67</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1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五</w:t>
      </w:r>
      <w:bookmarkEnd w:id="553"/>
      <w:r>
        <w:rPr>
          <w:color w:val="000000"/>
          <w:spacing w:val="0"/>
          <w:w w:val="100"/>
          <w:position w:val="0"/>
          <w:sz w:val="24"/>
          <w:szCs w:val="24"/>
        </w:rPr>
        <w:t>、公司员工情况</w:t>
      </w:r>
      <w:bookmarkEnd w:id="551"/>
      <w:bookmarkEnd w:id="552"/>
      <w:bookmarkEnd w:id="554"/>
    </w:p>
    <w:p>
      <w:pPr>
        <w:pStyle w:val="Style36"/>
        <w:keepNext/>
        <w:keepLines/>
        <w:widowControl w:val="0"/>
        <w:shd w:val="clear" w:color="auto" w:fill="auto"/>
        <w:bidi w:val="0"/>
        <w:spacing w:before="0" w:after="32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color w:val="000000"/>
          <w:spacing w:val="0"/>
          <w:w w:val="100"/>
          <w:position w:val="0"/>
        </w:rPr>
        <w:t>、员工数量、专业构成及教育程度</w:t>
      </w:r>
      <w:bookmarkEnd w:id="555"/>
      <w:bookmarkEnd w:id="556"/>
      <w:bookmarkEnd w:id="55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其他管理人员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r>
        <w:trPr>
          <w:trHeight w:val="39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r>
    </w:tbl>
    <w:p>
      <w:pPr>
        <w:widowControl w:val="0"/>
        <w:spacing w:after="319" w:line="1" w:lineRule="exact"/>
      </w:pPr>
    </w:p>
    <w:p>
      <w:pPr>
        <w:pStyle w:val="Style36"/>
        <w:keepNext/>
        <w:keepLines/>
        <w:widowControl w:val="0"/>
        <w:shd w:val="clear" w:color="auto" w:fill="auto"/>
        <w:tabs>
          <w:tab w:pos="321" w:val="left"/>
        </w:tabs>
        <w:bidi w:val="0"/>
        <w:spacing w:before="0" w:after="20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t>薪酬政策</w:t>
      </w:r>
      <w:bookmarkEnd w:id="559"/>
      <w:bookmarkEnd w:id="560"/>
      <w:bookmarkEnd w:id="562"/>
    </w:p>
    <w:p>
      <w:pPr>
        <w:pStyle w:val="Style17"/>
        <w:keepNext w:val="0"/>
        <w:keepLines w:val="0"/>
        <w:widowControl w:val="0"/>
        <w:shd w:val="clear" w:color="auto" w:fill="auto"/>
        <w:bidi w:val="0"/>
        <w:spacing w:before="0" w:after="460" w:line="467" w:lineRule="exact"/>
        <w:ind w:left="0" w:right="0"/>
        <w:jc w:val="left"/>
      </w:pPr>
      <w:r>
        <w:rPr>
          <w:color w:val="000000"/>
          <w:spacing w:val="0"/>
          <w:w w:val="100"/>
          <w:position w:val="0"/>
        </w:rPr>
        <w:t>公司在遵守国家相关法律法规的基础上，不断完善和健全薪酬体系。员工薪酬由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两部分组成，基本 工资与员工岗位职级、出勤率、绩效考核等因素关联，年终奖的测算方式为基本工资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个人年度绩效系数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公司年度经营系数。 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效率优先、兼顾公平、突出绩效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的薪酬分配原则的基础上，公司凸显人文关怀，为员工提供年度带薪假期、年度健康 体检、免费商业保险等福利政策，保障员工劳逸结合、身心健康；同时，公司还增设多元的福利活动，如结婚、生子、生日、 节日福利，部门活动经费，定期体育活动等，调动员工积极性，增强公司凝聚力，提升公司综合竞争力。</w:t>
      </w:r>
    </w:p>
    <w:p>
      <w:pPr>
        <w:pStyle w:val="Style36"/>
        <w:keepNext/>
        <w:keepLines/>
        <w:widowControl w:val="0"/>
        <w:shd w:val="clear" w:color="auto" w:fill="auto"/>
        <w:tabs>
          <w:tab w:pos="321" w:val="left"/>
        </w:tabs>
        <w:bidi w:val="0"/>
        <w:spacing w:before="0" w:after="200" w:line="240" w:lineRule="auto"/>
        <w:ind w:left="0" w:right="0" w:firstLine="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培训计划</w:t>
      </w:r>
      <w:bookmarkEnd w:id="563"/>
      <w:bookmarkEnd w:id="564"/>
      <w:bookmarkEnd w:id="566"/>
    </w:p>
    <w:p>
      <w:pPr>
        <w:pStyle w:val="Style17"/>
        <w:keepNext w:val="0"/>
        <w:keepLines w:val="0"/>
        <w:widowControl w:val="0"/>
        <w:shd w:val="clear" w:color="auto" w:fill="auto"/>
        <w:bidi w:val="0"/>
        <w:spacing w:before="0" w:after="460" w:line="468" w:lineRule="exact"/>
        <w:ind w:left="0" w:right="0"/>
        <w:jc w:val="both"/>
      </w:pPr>
      <w:r>
        <w:rPr>
          <w:color w:val="000000"/>
          <w:spacing w:val="0"/>
          <w:w w:val="100"/>
          <w:position w:val="0"/>
        </w:rPr>
        <w:t>员工培训作为现代企业人力资源管理的重要内容备受公司关注，为加强人才队伍建设，提升公司核心竞争力，保证公司 可持续发展，公司结合发展战略布局、人才需求，制定了科学、系统、规范的培训计划。公司现有的培训体系包括，对新员 工进行的一年多期培训，以企业文化、运作流程、规章制度介绍为主，结合实地参观体验；对客服体系全方位培训，提升产 品技术认知，沟通交流技巧等；对技术体进行系统宣导，与时俱进探讨新技术发展，进行重难点技术问题答疑及常见问题排 查，热点分析等。对不同阶段不同工作性质的员工进行多元化针对性的培训，有的放矢，提升员工企业认知，职业技能，增 强公司活力。</w:t>
      </w:r>
    </w:p>
    <w:p>
      <w:pPr>
        <w:pStyle w:val="Style36"/>
        <w:keepNext/>
        <w:keepLines/>
        <w:widowControl w:val="0"/>
        <w:shd w:val="clear" w:color="auto" w:fill="auto"/>
        <w:tabs>
          <w:tab w:pos="321" w:val="left"/>
        </w:tabs>
        <w:bidi w:val="0"/>
        <w:spacing w:before="0" w:after="12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4</w:t>
      </w:r>
      <w:bookmarkEnd w:id="569"/>
      <w:r>
        <w:rPr>
          <w:color w:val="000000"/>
          <w:spacing w:val="0"/>
          <w:w w:val="100"/>
          <w:position w:val="0"/>
        </w:rPr>
        <w:t>、</w:t>
        <w:tab/>
        <w:t>劳务外包情况</w:t>
      </w:r>
      <w:bookmarkEnd w:id="567"/>
      <w:bookmarkEnd w:id="568"/>
      <w:bookmarkEnd w:id="570"/>
    </w:p>
    <w:p>
      <w:pPr>
        <w:pStyle w:val="Style17"/>
        <w:keepNext w:val="0"/>
        <w:keepLines w:val="0"/>
        <w:widowControl w:val="0"/>
        <w:shd w:val="clear" w:color="auto" w:fill="auto"/>
        <w:bidi w:val="0"/>
        <w:spacing w:before="0" w:after="26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keepLines/>
        <w:widowControl w:val="0"/>
        <w:shd w:val="clear" w:color="auto" w:fill="auto"/>
        <w:bidi w:val="0"/>
        <w:spacing w:before="0" w:after="540" w:line="240" w:lineRule="auto"/>
        <w:ind w:left="0" w:right="0" w:firstLine="0"/>
        <w:jc w:val="center"/>
      </w:pPr>
      <w:bookmarkStart w:id="571" w:name="bookmark571"/>
      <w:bookmarkStart w:id="572" w:name="bookmark572"/>
      <w:bookmarkStart w:id="573" w:name="bookmark573"/>
      <w:r>
        <w:rPr>
          <w:color w:val="000000"/>
          <w:spacing w:val="0"/>
          <w:w w:val="100"/>
          <w:position w:val="0"/>
        </w:rPr>
        <w:t>第十节公司治理</w:t>
      </w:r>
      <w:bookmarkEnd w:id="571"/>
      <w:bookmarkEnd w:id="572"/>
      <w:bookmarkEnd w:id="573"/>
    </w:p>
    <w:p>
      <w:pPr>
        <w:pStyle w:val="Style32"/>
        <w:keepNext/>
        <w:keepLines/>
        <w:widowControl w:val="0"/>
        <w:shd w:val="clear" w:color="auto" w:fill="auto"/>
        <w:bidi w:val="0"/>
        <w:spacing w:before="0" w:after="200" w:line="240" w:lineRule="auto"/>
        <w:ind w:left="0" w:right="0" w:firstLine="0"/>
        <w:jc w:val="left"/>
      </w:pPr>
      <w:bookmarkStart w:id="574" w:name="bookmark574"/>
      <w:bookmarkStart w:id="575" w:name="bookmark575"/>
      <w:bookmarkStart w:id="576" w:name="bookmark576"/>
      <w:bookmarkStart w:id="577" w:name="bookmark577"/>
      <w:bookmarkStart w:id="578" w:name="bookmark578"/>
      <w:r>
        <w:rPr>
          <w:color w:val="000000"/>
          <w:spacing w:val="0"/>
          <w:w w:val="100"/>
          <w:position w:val="0"/>
          <w:sz w:val="24"/>
          <w:szCs w:val="24"/>
        </w:rPr>
        <w:t>一</w:t>
      </w:r>
      <w:bookmarkEnd w:id="577"/>
      <w:r>
        <w:rPr>
          <w:color w:val="000000"/>
          <w:spacing w:val="0"/>
          <w:w w:val="100"/>
          <w:position w:val="0"/>
          <w:sz w:val="24"/>
          <w:szCs w:val="24"/>
        </w:rPr>
        <w:t>、公司治理的基本状况</w:t>
      </w:r>
      <w:bookmarkEnd w:id="575"/>
      <w:bookmarkEnd w:id="576"/>
      <w:bookmarkEnd w:id="578"/>
      <w:bookmarkEnd w:id="574"/>
    </w:p>
    <w:p>
      <w:pPr>
        <w:pStyle w:val="Style17"/>
        <w:keepNext w:val="0"/>
        <w:keepLines w:val="0"/>
        <w:widowControl w:val="0"/>
        <w:numPr>
          <w:ilvl w:val="0"/>
          <w:numId w:val="17"/>
        </w:numPr>
        <w:shd w:val="clear" w:color="auto" w:fill="auto"/>
        <w:tabs>
          <w:tab w:pos="680" w:val="left"/>
        </w:tabs>
        <w:bidi w:val="0"/>
        <w:spacing w:before="0" w:after="0" w:line="471" w:lineRule="exact"/>
        <w:ind w:left="0" w:right="0" w:firstLine="360"/>
        <w:jc w:val="left"/>
      </w:pPr>
      <w:bookmarkStart w:id="579" w:name="bookmark579"/>
      <w:bookmarkEnd w:id="579"/>
      <w:r>
        <w:rPr>
          <w:color w:val="000000"/>
          <w:spacing w:val="0"/>
          <w:w w:val="100"/>
          <w:position w:val="0"/>
        </w:rPr>
        <w:t>关于股东与股东大会</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公司严格按照《上市公司股东大会规则》、《公司章程》、《股东大会议事规则》等规定和要求召集、召开股东大会， 平等对待所有股东，并尽可能为股东参加股东大会提供便利，使其充分行使股东权利。</w:t>
      </w:r>
    </w:p>
    <w:p>
      <w:pPr>
        <w:pStyle w:val="Style17"/>
        <w:keepNext w:val="0"/>
        <w:keepLines w:val="0"/>
        <w:widowControl w:val="0"/>
        <w:numPr>
          <w:ilvl w:val="0"/>
          <w:numId w:val="17"/>
        </w:numPr>
        <w:shd w:val="clear" w:color="auto" w:fill="auto"/>
        <w:tabs>
          <w:tab w:pos="699" w:val="left"/>
        </w:tabs>
        <w:bidi w:val="0"/>
        <w:spacing w:before="0" w:after="0" w:line="471" w:lineRule="exact"/>
        <w:ind w:left="0" w:right="0" w:firstLine="360"/>
        <w:jc w:val="left"/>
      </w:pPr>
      <w:bookmarkStart w:id="580" w:name="bookmark580"/>
      <w:bookmarkEnd w:id="580"/>
      <w:r>
        <w:rPr>
          <w:color w:val="000000"/>
          <w:spacing w:val="0"/>
          <w:w w:val="100"/>
          <w:position w:val="0"/>
        </w:rPr>
        <w:t>关于公司与控股股东</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17"/>
        <w:keepNext w:val="0"/>
        <w:keepLines w:val="0"/>
        <w:widowControl w:val="0"/>
        <w:numPr>
          <w:ilvl w:val="0"/>
          <w:numId w:val="17"/>
        </w:numPr>
        <w:shd w:val="clear" w:color="auto" w:fill="auto"/>
        <w:tabs>
          <w:tab w:pos="699" w:val="left"/>
        </w:tabs>
        <w:bidi w:val="0"/>
        <w:spacing w:before="0" w:after="0" w:line="471" w:lineRule="exact"/>
        <w:ind w:left="0" w:right="0" w:firstLine="360"/>
        <w:jc w:val="left"/>
      </w:pPr>
      <w:bookmarkStart w:id="581" w:name="bookmark581"/>
      <w:bookmarkEnd w:id="581"/>
      <w:r>
        <w:rPr>
          <w:color w:val="000000"/>
          <w:spacing w:val="0"/>
          <w:w w:val="100"/>
          <w:position w:val="0"/>
        </w:rPr>
        <w:t>关于董事和董事会</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名，董事会的人数及人员构成符合法律、法规和《公司章程》的要求。公司董事 能够依据《董事会议事规则》、《独立董事工作制度》、《深圳证券交易所创业板上市公司规范运作指引》等开展工作，出 席董事会和股东大会，勤勉尽责地履行职责和义务，同时积极参加相关培训，熟悉相关法律法规。</w:t>
      </w:r>
    </w:p>
    <w:p>
      <w:pPr>
        <w:pStyle w:val="Style17"/>
        <w:keepNext w:val="0"/>
        <w:keepLines w:val="0"/>
        <w:widowControl w:val="0"/>
        <w:numPr>
          <w:ilvl w:val="0"/>
          <w:numId w:val="17"/>
        </w:numPr>
        <w:shd w:val="clear" w:color="auto" w:fill="auto"/>
        <w:tabs>
          <w:tab w:pos="699" w:val="left"/>
        </w:tabs>
        <w:bidi w:val="0"/>
        <w:spacing w:before="0" w:after="0" w:line="471" w:lineRule="exact"/>
        <w:ind w:left="0" w:right="0" w:firstLine="360"/>
        <w:jc w:val="left"/>
      </w:pPr>
      <w:bookmarkStart w:id="582" w:name="bookmark582"/>
      <w:bookmarkEnd w:id="582"/>
      <w:r>
        <w:rPr>
          <w:color w:val="000000"/>
          <w:spacing w:val="0"/>
          <w:w w:val="100"/>
          <w:position w:val="0"/>
        </w:rPr>
        <w:t>关于监事和监事会</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名，监事会的人数和构成符合法律、法规的要求。公司监事能够按照《监事会议 事规则》的要求，认真履行自己的职责，对公司重大事项、关联交易、财务状况以及董事、高管人员履行职责的合法合规性 进行监督。</w:t>
      </w:r>
    </w:p>
    <w:p>
      <w:pPr>
        <w:pStyle w:val="Style17"/>
        <w:keepNext w:val="0"/>
        <w:keepLines w:val="0"/>
        <w:widowControl w:val="0"/>
        <w:numPr>
          <w:ilvl w:val="0"/>
          <w:numId w:val="17"/>
        </w:numPr>
        <w:shd w:val="clear" w:color="auto" w:fill="auto"/>
        <w:tabs>
          <w:tab w:pos="699" w:val="left"/>
        </w:tabs>
        <w:bidi w:val="0"/>
        <w:spacing w:before="0" w:after="0" w:line="471" w:lineRule="exact"/>
        <w:ind w:left="0" w:right="0" w:firstLine="360"/>
        <w:jc w:val="left"/>
      </w:pPr>
      <w:bookmarkStart w:id="583" w:name="bookmark583"/>
      <w:bookmarkEnd w:id="583"/>
      <w:r>
        <w:rPr>
          <w:color w:val="000000"/>
          <w:spacing w:val="0"/>
          <w:w w:val="100"/>
          <w:position w:val="0"/>
        </w:rPr>
        <w:t>关于绩效评价与激励约束机制</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公司正逐步建立和完善公正、透明的董事、监事和经理人员的绩效评价标准和激励约束机制，高层管理人员的聘任公开、 透明，符合法律法规的规定。</w:t>
      </w:r>
    </w:p>
    <w:p>
      <w:pPr>
        <w:pStyle w:val="Style17"/>
        <w:keepNext w:val="0"/>
        <w:keepLines w:val="0"/>
        <w:widowControl w:val="0"/>
        <w:numPr>
          <w:ilvl w:val="0"/>
          <w:numId w:val="17"/>
        </w:numPr>
        <w:shd w:val="clear" w:color="auto" w:fill="auto"/>
        <w:tabs>
          <w:tab w:pos="699" w:val="left"/>
        </w:tabs>
        <w:bidi w:val="0"/>
        <w:spacing w:before="0" w:after="0" w:line="471" w:lineRule="exact"/>
        <w:ind w:left="0" w:right="0" w:firstLine="360"/>
        <w:jc w:val="left"/>
      </w:pPr>
      <w:bookmarkStart w:id="584" w:name="bookmark584"/>
      <w:bookmarkEnd w:id="584"/>
      <w:r>
        <w:rPr>
          <w:color w:val="000000"/>
          <w:spacing w:val="0"/>
          <w:w w:val="100"/>
          <w:position w:val="0"/>
        </w:rPr>
        <w:t>关于信息披露与透明度</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完整地披露有关信息；并指定公司董事会秘书负责信息披露工作，协调公司与投资者的关系，接待股东来访，回答投资者咨 询；并指定《证券时报》、《上海证券报》、《中国证券报》和巨潮资讯网(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)为公司信息披露的指定 报纸和网站，确保公司所有股东能够以平等的机会获得信息。</w:t>
      </w:r>
    </w:p>
    <w:p>
      <w:pPr>
        <w:pStyle w:val="Style17"/>
        <w:keepNext w:val="0"/>
        <w:keepLines w:val="0"/>
        <w:widowControl w:val="0"/>
        <w:numPr>
          <w:ilvl w:val="0"/>
          <w:numId w:val="17"/>
        </w:numPr>
        <w:shd w:val="clear" w:color="auto" w:fill="auto"/>
        <w:tabs>
          <w:tab w:pos="699" w:val="left"/>
        </w:tabs>
        <w:bidi w:val="0"/>
        <w:spacing w:before="0" w:after="0" w:line="471" w:lineRule="exact"/>
        <w:ind w:left="0" w:right="0" w:firstLine="360"/>
        <w:jc w:val="both"/>
      </w:pPr>
      <w:bookmarkStart w:id="585" w:name="bookmark585"/>
      <w:bookmarkEnd w:id="585"/>
      <w:r>
        <w:rPr>
          <w:color w:val="000000"/>
          <w:spacing w:val="0"/>
          <w:w w:val="100"/>
          <w:position w:val="0"/>
        </w:rPr>
        <w:t>关于相关利益者</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420" w:line="470" w:lineRule="exact"/>
        <w:ind w:left="0" w:right="0" w:firstLine="360"/>
        <w:jc w:val="both"/>
      </w:pPr>
      <w:r>
        <w:rPr>
          <w:color w:val="000000"/>
          <w:spacing w:val="0"/>
          <w:w w:val="100"/>
          <w:position w:val="0"/>
        </w:rPr>
        <w:t>公司治理的实际状况与中国证监会发布的有关上市公司治理的规范性文件不存在重大差异。</w:t>
      </w:r>
    </w:p>
    <w:p>
      <w:pPr>
        <w:pStyle w:val="Style32"/>
        <w:keepNext/>
        <w:keepLines/>
        <w:widowControl w:val="0"/>
        <w:shd w:val="clear" w:color="auto" w:fill="auto"/>
        <w:tabs>
          <w:tab w:pos="596" w:val="left"/>
        </w:tabs>
        <w:bidi w:val="0"/>
        <w:spacing w:before="0" w:after="18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二</w:t>
      </w:r>
      <w:bookmarkEnd w:id="588"/>
      <w:r>
        <w:rPr>
          <w:color w:val="000000"/>
          <w:spacing w:val="0"/>
          <w:w w:val="100"/>
          <w:position w:val="0"/>
          <w:sz w:val="24"/>
          <w:szCs w:val="24"/>
        </w:rPr>
        <w:t>、</w:t>
        <w:tab/>
        <w:t>公司相对于控股股东在业务、人员、资产、机构、财务等方面的独立情况</w:t>
      </w:r>
      <w:bookmarkEnd w:id="586"/>
      <w:bookmarkEnd w:id="587"/>
      <w:bookmarkEnd w:id="589"/>
    </w:p>
    <w:p>
      <w:pPr>
        <w:pStyle w:val="Style17"/>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报告期内，公司严格按照《公司法》、《证券法》等有关法律、法规和《公司章程》的要求规范运作，建立、健全公司 法人治理结构。公司与控股股东、实际控制人在业务、人员、资产、机构、财务等方面完全分开，具有独立完整的业务及自 主经营能力。</w:t>
      </w:r>
    </w:p>
    <w:p>
      <w:pPr>
        <w:pStyle w:val="Style17"/>
        <w:keepNext w:val="0"/>
        <w:keepLines w:val="0"/>
        <w:widowControl w:val="0"/>
        <w:numPr>
          <w:ilvl w:val="0"/>
          <w:numId w:val="19"/>
        </w:numPr>
        <w:shd w:val="clear" w:color="auto" w:fill="auto"/>
        <w:tabs>
          <w:tab w:pos="680" w:val="left"/>
        </w:tabs>
        <w:bidi w:val="0"/>
        <w:spacing w:before="0" w:after="0" w:line="545" w:lineRule="auto"/>
        <w:ind w:left="0" w:right="0" w:firstLine="360"/>
        <w:jc w:val="both"/>
      </w:pPr>
      <w:bookmarkStart w:id="590" w:name="bookmark590"/>
      <w:bookmarkEnd w:id="590"/>
      <w:r>
        <w:rPr>
          <w:color w:val="000000"/>
          <w:spacing w:val="0"/>
          <w:w w:val="100"/>
          <w:position w:val="0"/>
        </w:rPr>
        <w:t>业务独立</w:t>
      </w:r>
    </w:p>
    <w:p>
      <w:pPr>
        <w:pStyle w:val="Style17"/>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公司拥有完整独立的研发、运营、采购和销售系统，具有独立完整的业务体系及面向市场独立经营的能力，不依赖于股 东或其它任何关联方，也不存在与控股股东、实际控制人之间的同业竞争。</w:t>
      </w:r>
    </w:p>
    <w:p>
      <w:pPr>
        <w:pStyle w:val="Style17"/>
        <w:keepNext w:val="0"/>
        <w:keepLines w:val="0"/>
        <w:widowControl w:val="0"/>
        <w:numPr>
          <w:ilvl w:val="0"/>
          <w:numId w:val="19"/>
        </w:numPr>
        <w:shd w:val="clear" w:color="auto" w:fill="auto"/>
        <w:tabs>
          <w:tab w:pos="699" w:val="left"/>
        </w:tabs>
        <w:bidi w:val="0"/>
        <w:spacing w:before="0" w:after="0" w:line="545" w:lineRule="auto"/>
        <w:ind w:left="0" w:right="0" w:firstLine="360"/>
        <w:jc w:val="both"/>
      </w:pPr>
      <w:bookmarkStart w:id="591" w:name="bookmark591"/>
      <w:bookmarkEnd w:id="591"/>
      <w:r>
        <w:rPr>
          <w:color w:val="000000"/>
          <w:spacing w:val="0"/>
          <w:w w:val="100"/>
          <w:position w:val="0"/>
        </w:rPr>
        <w:t>人员独立</w:t>
      </w:r>
    </w:p>
    <w:p>
      <w:pPr>
        <w:pStyle w:val="Style17"/>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公司人员、劳动、人事及工资完全独立。公司的董事、监事、高级管理人员的任职，均按照《公司法》及其他法律、法 规、规范性文件、《公司章程》规定的程序进行。公司董事、监事及高级管理人员等均在公司工作并领取薪酬；公司财务人 员没有在控股股东、实际控制人及其控制的其他企业兼职。</w:t>
      </w:r>
    </w:p>
    <w:p>
      <w:pPr>
        <w:pStyle w:val="Style17"/>
        <w:keepNext w:val="0"/>
        <w:keepLines w:val="0"/>
        <w:widowControl w:val="0"/>
        <w:numPr>
          <w:ilvl w:val="0"/>
          <w:numId w:val="19"/>
        </w:numPr>
        <w:shd w:val="clear" w:color="auto" w:fill="auto"/>
        <w:tabs>
          <w:tab w:pos="699" w:val="left"/>
        </w:tabs>
        <w:bidi w:val="0"/>
        <w:spacing w:before="0" w:after="0" w:line="545" w:lineRule="auto"/>
        <w:ind w:left="0" w:right="0" w:firstLine="360"/>
        <w:jc w:val="both"/>
      </w:pPr>
      <w:bookmarkStart w:id="592" w:name="bookmark592"/>
      <w:bookmarkEnd w:id="592"/>
      <w:r>
        <w:rPr>
          <w:color w:val="000000"/>
          <w:spacing w:val="0"/>
          <w:w w:val="100"/>
          <w:position w:val="0"/>
        </w:rPr>
        <w:t>资产完整</w:t>
      </w:r>
    </w:p>
    <w:p>
      <w:pPr>
        <w:pStyle w:val="Style17"/>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公司资产完整，与控股股东产权关系界定清晰，拥有独立的经营系统和配套设施以及商标（商标申请权）、专利、专有 技术、计算机软件著作权等资产。公司对全部资产拥有完整的控制支配权，不存在货币资金或其他资产被股东占用而损害公 司利益的情况，公司资产完整且独立。</w:t>
      </w:r>
    </w:p>
    <w:p>
      <w:pPr>
        <w:pStyle w:val="Style17"/>
        <w:keepNext w:val="0"/>
        <w:keepLines w:val="0"/>
        <w:widowControl w:val="0"/>
        <w:numPr>
          <w:ilvl w:val="0"/>
          <w:numId w:val="19"/>
        </w:numPr>
        <w:shd w:val="clear" w:color="auto" w:fill="auto"/>
        <w:tabs>
          <w:tab w:pos="699" w:val="left"/>
        </w:tabs>
        <w:bidi w:val="0"/>
        <w:spacing w:before="0" w:after="0" w:line="545" w:lineRule="auto"/>
        <w:ind w:left="0" w:right="0" w:firstLine="360"/>
        <w:jc w:val="both"/>
      </w:pPr>
      <w:bookmarkStart w:id="593" w:name="bookmark593"/>
      <w:bookmarkEnd w:id="593"/>
      <w:r>
        <w:rPr>
          <w:color w:val="000000"/>
          <w:spacing w:val="0"/>
          <w:w w:val="100"/>
          <w:position w:val="0"/>
        </w:rPr>
        <w:t>机构独立</w:t>
      </w:r>
    </w:p>
    <w:p>
      <w:pPr>
        <w:pStyle w:val="Style17"/>
        <w:keepNext w:val="0"/>
        <w:keepLines w:val="0"/>
        <w:widowControl w:val="0"/>
        <w:shd w:val="clear" w:color="auto" w:fill="auto"/>
        <w:bidi w:val="0"/>
        <w:spacing w:before="0" w:after="260" w:line="470" w:lineRule="exact"/>
        <w:ind w:left="0" w:right="0" w:firstLine="360"/>
        <w:jc w:val="both"/>
      </w:pPr>
      <w:r>
        <w:rPr>
          <w:color w:val="000000"/>
          <w:spacing w:val="0"/>
          <w:w w:val="100"/>
          <w:position w:val="0"/>
        </w:rPr>
        <w:t>本公司具有独立健全的法人治理结构，董事会、监事会等内部机构独立运作，不存在与控股股东及其职能部门之间的从 属关系。各部门独立履行其职责，负责公司的生产经营活动，其履行职能不受控股股东、其他有关部门或单位、个人的干预。</w:t>
      </w:r>
    </w:p>
    <w:p>
      <w:pPr>
        <w:pStyle w:val="Style17"/>
        <w:keepNext w:val="0"/>
        <w:keepLines w:val="0"/>
        <w:widowControl w:val="0"/>
        <w:numPr>
          <w:ilvl w:val="0"/>
          <w:numId w:val="19"/>
        </w:numPr>
        <w:shd w:val="clear" w:color="auto" w:fill="auto"/>
        <w:tabs>
          <w:tab w:pos="699" w:val="left"/>
        </w:tabs>
        <w:bidi w:val="0"/>
        <w:spacing w:before="0" w:after="0" w:line="545" w:lineRule="auto"/>
        <w:ind w:left="0" w:right="0" w:firstLine="360"/>
        <w:jc w:val="both"/>
      </w:pPr>
      <w:bookmarkStart w:id="594" w:name="bookmark594"/>
      <w:bookmarkEnd w:id="594"/>
      <w:r>
        <w:rPr>
          <w:color w:val="000000"/>
          <w:spacing w:val="0"/>
          <w:w w:val="100"/>
          <w:position w:val="0"/>
        </w:rPr>
        <w:t>财务独立</w:t>
      </w:r>
    </w:p>
    <w:p>
      <w:pPr>
        <w:pStyle w:val="Style17"/>
        <w:keepNext w:val="0"/>
        <w:keepLines w:val="0"/>
        <w:widowControl w:val="0"/>
        <w:shd w:val="clear" w:color="auto" w:fill="auto"/>
        <w:bidi w:val="0"/>
        <w:spacing w:before="0" w:after="420" w:line="470" w:lineRule="exact"/>
        <w:ind w:left="0" w:right="0" w:firstLine="360"/>
        <w:jc w:val="both"/>
      </w:pPr>
      <w:r>
        <w:rPr>
          <w:color w:val="000000"/>
          <w:spacing w:val="0"/>
          <w:w w:val="100"/>
          <w:position w:val="0"/>
        </w:rPr>
        <w:t>本公司设有独立的财务部门、财务负责人和财务会计工作人员，建立了独立的财务规章制度和财务核算体系，独立进行 财务决策。公司开设了独立的银行账户，依法独立纳税，不存在与股东单位及其关联方共用银行账户的情况，也不存在资金、 资产被股东单位及其关联方非法占用的情况。</w:t>
      </w:r>
    </w:p>
    <w:p>
      <w:pPr>
        <w:pStyle w:val="Style32"/>
        <w:keepNext/>
        <w:keepLines/>
        <w:widowControl w:val="0"/>
        <w:shd w:val="clear" w:color="auto" w:fill="auto"/>
        <w:tabs>
          <w:tab w:pos="596" w:val="left"/>
        </w:tabs>
        <w:bidi w:val="0"/>
        <w:spacing w:before="0" w:after="380" w:line="240" w:lineRule="auto"/>
        <w:ind w:left="0" w:right="0" w:firstLine="0"/>
        <w:jc w:val="both"/>
      </w:pPr>
      <w:bookmarkStart w:id="595" w:name="bookmark595"/>
      <w:bookmarkStart w:id="596" w:name="bookmark596"/>
      <w:bookmarkStart w:id="597" w:name="bookmark597"/>
      <w:bookmarkStart w:id="598" w:name="bookmark598"/>
      <w:r>
        <w:rPr>
          <w:color w:val="000000"/>
          <w:spacing w:val="0"/>
          <w:w w:val="100"/>
          <w:position w:val="0"/>
          <w:sz w:val="24"/>
          <w:szCs w:val="24"/>
        </w:rPr>
        <w:t>三</w:t>
      </w:r>
      <w:bookmarkEnd w:id="597"/>
      <w:r>
        <w:rPr>
          <w:color w:val="000000"/>
          <w:spacing w:val="0"/>
          <w:w w:val="100"/>
          <w:position w:val="0"/>
          <w:sz w:val="24"/>
          <w:szCs w:val="24"/>
        </w:rPr>
        <w:t>、</w:t>
        <w:tab/>
        <w:t>同业竞争情况</w:t>
      </w:r>
      <w:bookmarkEnd w:id="595"/>
      <w:bookmarkEnd w:id="596"/>
      <w:bookmarkEnd w:id="598"/>
    </w:p>
    <w:p>
      <w:pPr>
        <w:pStyle w:val="Style17"/>
        <w:keepNext w:val="0"/>
        <w:keepLines w:val="0"/>
        <w:widowControl w:val="0"/>
        <w:shd w:val="clear" w:color="auto" w:fill="auto"/>
        <w:bidi w:val="0"/>
        <w:spacing w:before="0" w:after="26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80" w:line="240" w:lineRule="auto"/>
        <w:ind w:left="0" w:right="0" w:firstLine="0"/>
        <w:jc w:val="both"/>
      </w:pPr>
      <w:bookmarkStart w:id="599" w:name="bookmark599"/>
      <w:bookmarkStart w:id="600" w:name="bookmark600"/>
      <w:bookmarkStart w:id="601" w:name="bookmark601"/>
      <w:bookmarkStart w:id="602" w:name="bookmark602"/>
      <w:r>
        <w:rPr>
          <w:color w:val="000000"/>
          <w:spacing w:val="0"/>
          <w:w w:val="100"/>
          <w:position w:val="0"/>
          <w:sz w:val="24"/>
          <w:szCs w:val="24"/>
        </w:rPr>
        <w:t>四</w:t>
      </w:r>
      <w:bookmarkEnd w:id="601"/>
      <w:r>
        <w:rPr>
          <w:color w:val="000000"/>
          <w:spacing w:val="0"/>
          <w:w w:val="100"/>
          <w:position w:val="0"/>
          <w:sz w:val="24"/>
          <w:szCs w:val="24"/>
        </w:rPr>
        <w:t>、报告期内召开的年度股东大会和临时股东大会的有关情况</w:t>
      </w:r>
      <w:bookmarkEnd w:id="599"/>
      <w:bookmarkEnd w:id="600"/>
      <w:bookmarkEnd w:id="602"/>
    </w:p>
    <w:p>
      <w:pPr>
        <w:pStyle w:val="Style36"/>
        <w:keepNext/>
        <w:keepLines/>
        <w:widowControl w:val="0"/>
        <w:shd w:val="clear" w:color="auto" w:fill="auto"/>
        <w:bidi w:val="0"/>
        <w:spacing w:before="0" w:after="32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bookmarkEnd w:id="605"/>
      <w:r>
        <w:rPr>
          <w:color w:val="000000"/>
          <w:spacing w:val="0"/>
          <w:w w:val="100"/>
          <w:position w:val="0"/>
        </w:rPr>
        <w:t>、本报告期股东大会情况</w:t>
      </w:r>
      <w:bookmarkEnd w:id="603"/>
      <w:bookmarkEnd w:id="604"/>
      <w:bookmarkEnd w:id="606"/>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、表决权恢复的优先股股东请求召开临时股东大会</w:t>
      </w:r>
      <w:bookmarkEnd w:id="607"/>
      <w:bookmarkEnd w:id="608"/>
      <w:bookmarkEnd w:id="610"/>
    </w:p>
    <w:p>
      <w:pPr>
        <w:pStyle w:val="Style17"/>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611" w:name="bookmark611"/>
      <w:bookmarkStart w:id="612" w:name="bookmark612"/>
      <w:bookmarkStart w:id="613" w:name="bookmark613"/>
      <w:bookmarkStart w:id="614" w:name="bookmark614"/>
      <w:r>
        <w:rPr>
          <w:color w:val="000000"/>
          <w:spacing w:val="0"/>
          <w:w w:val="100"/>
          <w:position w:val="0"/>
          <w:sz w:val="24"/>
          <w:szCs w:val="24"/>
        </w:rPr>
        <w:t>五</w:t>
      </w:r>
      <w:bookmarkEnd w:id="613"/>
      <w:r>
        <w:rPr>
          <w:color w:val="000000"/>
          <w:spacing w:val="0"/>
          <w:w w:val="100"/>
          <w:position w:val="0"/>
          <w:sz w:val="24"/>
          <w:szCs w:val="24"/>
        </w:rPr>
        <w:t>、报告期内独立董事履行职责的情况</w:t>
      </w:r>
      <w:bookmarkEnd w:id="611"/>
      <w:bookmarkEnd w:id="612"/>
      <w:bookmarkEnd w:id="614"/>
    </w:p>
    <w:p>
      <w:pPr>
        <w:pStyle w:val="Style36"/>
        <w:keepNext/>
        <w:keepLines/>
        <w:widowControl w:val="0"/>
        <w:shd w:val="clear" w:color="auto" w:fill="auto"/>
        <w:bidi w:val="0"/>
        <w:spacing w:before="0" w:after="320" w:line="240" w:lineRule="auto"/>
        <w:ind w:left="0" w:right="0" w:firstLine="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、独立董事出席董事会及股东大会的情况</w:t>
      </w:r>
      <w:bookmarkEnd w:id="615"/>
      <w:bookmarkEnd w:id="616"/>
      <w:bookmarkEnd w:id="618"/>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陈歆玮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19" w:line="1" w:lineRule="exact"/>
      </w:pPr>
    </w:p>
    <w:p>
      <w:pPr>
        <w:pStyle w:val="Style17"/>
        <w:keepNext w:val="0"/>
        <w:keepLines w:val="0"/>
        <w:widowControl w:val="0"/>
        <w:shd w:val="clear" w:color="auto" w:fill="auto"/>
        <w:bidi w:val="0"/>
        <w:spacing w:before="0" w:after="480" w:line="240" w:lineRule="auto"/>
        <w:ind w:left="0" w:right="0"/>
        <w:jc w:val="both"/>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、独立董事对公司有关事项提出异议的情况</w:t>
      </w:r>
      <w:bookmarkEnd w:id="619"/>
      <w:bookmarkEnd w:id="620"/>
      <w:bookmarkEnd w:id="622"/>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17"/>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320" w:line="240" w:lineRule="auto"/>
        <w:ind w:left="0" w:right="0"/>
        <w:jc w:val="both"/>
      </w:pPr>
      <w:r>
        <w:rPr>
          <w:color w:val="000000"/>
          <w:spacing w:val="0"/>
          <w:w w:val="100"/>
          <w:position w:val="0"/>
        </w:rPr>
        <w:t>报告期内独立董事对公司有关事项未提出异议。</w:t>
      </w:r>
    </w:p>
    <w:p>
      <w:pPr>
        <w:pStyle w:val="Style36"/>
        <w:keepNext/>
        <w:keepLines/>
        <w:widowControl w:val="0"/>
        <w:shd w:val="clear" w:color="auto" w:fill="auto"/>
        <w:bidi w:val="0"/>
        <w:spacing w:before="0" w:after="40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3</w:t>
      </w:r>
      <w:bookmarkEnd w:id="625"/>
      <w:r>
        <w:rPr>
          <w:color w:val="000000"/>
          <w:spacing w:val="0"/>
          <w:w w:val="100"/>
          <w:position w:val="0"/>
        </w:rPr>
        <w:t>、独立董事履行职责的其他说明</w:t>
      </w:r>
      <w:bookmarkEnd w:id="623"/>
      <w:bookmarkEnd w:id="624"/>
      <w:bookmarkEnd w:id="626"/>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独立董事对公司有关建议是否被采纳</w:t>
      </w:r>
    </w:p>
    <w:p>
      <w:pPr>
        <w:pStyle w:val="Style1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17"/>
        <w:keepNext w:val="0"/>
        <w:keepLines w:val="0"/>
        <w:widowControl w:val="0"/>
        <w:shd w:val="clear" w:color="auto" w:fill="auto"/>
        <w:bidi w:val="0"/>
        <w:spacing w:before="0" w:after="440" w:line="467" w:lineRule="exact"/>
        <w:ind w:left="0" w:right="0"/>
        <w:jc w:val="both"/>
      </w:pPr>
      <w:r>
        <w:rPr>
          <w:color w:val="000000"/>
          <w:spacing w:val="0"/>
          <w:w w:val="100"/>
          <w:position w:val="0"/>
        </w:rPr>
        <w:t>报告期内，独立董事认真履行职责，本着诚信勤勉义务，利用各自专业上的优势对公司向特定对象发行股票、关联交易、 对外担保、募集资金存放与使用、利润分配、董事会换届、会计政策变更、聘任高管、高管薪酬等重要事项作出独立、客观、 公正的判断，发表了独立意见，并根据公司实际情况，科学审慎决策，给公司的经营管理、规范运作提出了合理的建议并均 被得以采纳；为公司未来的健康发展出谋划策，切实维护了公司和股东尤其是社会公众股东的利益。</w:t>
      </w:r>
    </w:p>
    <w:p>
      <w:pPr>
        <w:pStyle w:val="Style32"/>
        <w:keepNext/>
        <w:keepLines/>
        <w:widowControl w:val="0"/>
        <w:shd w:val="clear" w:color="auto" w:fill="auto"/>
        <w:bidi w:val="0"/>
        <w:spacing w:before="0" w:after="1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六</w:t>
      </w:r>
      <w:bookmarkEnd w:id="629"/>
      <w:r>
        <w:rPr>
          <w:color w:val="000000"/>
          <w:spacing w:val="0"/>
          <w:w w:val="100"/>
          <w:position w:val="0"/>
          <w:sz w:val="24"/>
          <w:szCs w:val="24"/>
        </w:rPr>
        <w:t>、董事会下设专门委员会在报告期内履行职责情况</w:t>
      </w:r>
      <w:bookmarkEnd w:id="627"/>
      <w:bookmarkEnd w:id="628"/>
      <w:bookmarkEnd w:id="630"/>
    </w:p>
    <w:p>
      <w:pPr>
        <w:pStyle w:val="Style17"/>
        <w:keepNext w:val="0"/>
        <w:keepLines w:val="0"/>
        <w:widowControl w:val="0"/>
        <w:shd w:val="clear" w:color="auto" w:fill="auto"/>
        <w:bidi w:val="0"/>
        <w:spacing w:before="0" w:after="260" w:line="473" w:lineRule="exact"/>
        <w:ind w:left="0" w:right="0"/>
        <w:jc w:val="both"/>
      </w:pPr>
      <w:r>
        <w:rPr>
          <w:color w:val="000000"/>
          <w:spacing w:val="0"/>
          <w:w w:val="100"/>
          <w:position w:val="0"/>
        </w:rPr>
        <w:t>董事会下设审计委员会、薪酬与考核委员会。报告期内，各专业委员会在《公司章程》及工作条例范围内，充分发挥专 业性，科学决策，审慎监督，切实履行职责，为董事会决策提供专业支持。</w:t>
      </w:r>
    </w:p>
    <w:p>
      <w:pPr>
        <w:pStyle w:val="Style17"/>
        <w:keepNext w:val="0"/>
        <w:keepLines w:val="0"/>
        <w:widowControl w:val="0"/>
        <w:numPr>
          <w:ilvl w:val="0"/>
          <w:numId w:val="21"/>
        </w:numPr>
        <w:shd w:val="clear" w:color="auto" w:fill="auto"/>
        <w:bidi w:val="0"/>
        <w:spacing w:before="0" w:after="0" w:line="550" w:lineRule="auto"/>
        <w:ind w:left="0" w:right="0"/>
        <w:jc w:val="both"/>
      </w:pPr>
      <w:bookmarkStart w:id="631" w:name="bookmark631"/>
      <w:bookmarkEnd w:id="631"/>
      <w:r>
        <w:rPr>
          <w:color w:val="000000"/>
          <w:spacing w:val="0"/>
          <w:w w:val="100"/>
          <w:position w:val="0"/>
        </w:rPr>
        <w:t>审计委员会</w:t>
      </w:r>
    </w:p>
    <w:p>
      <w:pPr>
        <w:pStyle w:val="Style17"/>
        <w:keepNext w:val="0"/>
        <w:keepLines w:val="0"/>
        <w:widowControl w:val="0"/>
        <w:shd w:val="clear" w:color="auto" w:fill="auto"/>
        <w:bidi w:val="0"/>
        <w:spacing w:before="0" w:after="0" w:line="473" w:lineRule="exact"/>
        <w:ind w:left="0" w:right="0"/>
        <w:jc w:val="both"/>
      </w:pPr>
      <w:r>
        <w:rPr>
          <w:color w:val="000000"/>
          <w:spacing w:val="0"/>
          <w:w w:val="100"/>
          <w:position w:val="0"/>
        </w:rPr>
        <w:t>公司第四届董事会审计委员会由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名董事组成，分别为郑学定、郭斐、陈向军，其中郑学定、郭斐为独立董事，会计专 业的独立董事郑学定担任主任。公司第五届董事会审计委员会由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名董事组成，分别为朱厚佳、刘宏、陈向军，其中朱厚佳、 刘宏为独立董事，会计专业的独立董事朱厚佳担任主任。报告期内，审计委员会严格按照相关法律法规和《公司章程》的规 定积极履行职责，定期召开会议，就公司年度审计报告与会计师进行沟通，对公司的年度审计计划及内部控制制度提出建议， 审核公司的财务信息，对重大关联交易进行审计，监督募集资金的存放及使用情况，并对既往年度审计工作做出总结。</w:t>
      </w:r>
    </w:p>
    <w:p>
      <w:pPr>
        <w:pStyle w:val="Style17"/>
        <w:keepNext w:val="0"/>
        <w:keepLines w:val="0"/>
        <w:widowControl w:val="0"/>
        <w:shd w:val="clear" w:color="auto" w:fill="auto"/>
        <w:bidi w:val="0"/>
        <w:spacing w:before="0" w:after="0" w:line="47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)本年度审计委员会会议召开情况</w:t>
      </w:r>
    </w:p>
    <w:p>
      <w:pPr>
        <w:pStyle w:val="Style17"/>
        <w:keepNext w:val="0"/>
        <w:keepLines w:val="0"/>
        <w:widowControl w:val="0"/>
        <w:shd w:val="clear" w:color="auto" w:fill="auto"/>
        <w:bidi w:val="0"/>
        <w:spacing w:before="0" w:after="0" w:line="473" w:lineRule="exact"/>
        <w:ind w:left="0" w:right="0"/>
        <w:jc w:val="both"/>
      </w:pPr>
      <w:r>
        <w:rPr>
          <w:color w:val="000000"/>
          <w:spacing w:val="0"/>
          <w:w w:val="100"/>
          <w:position w:val="0"/>
        </w:rPr>
        <w:t xml:space="preserve">报告期内，审计委员会共召开了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次审计委员会会议，具体情况如下：</w:t>
      </w:r>
    </w:p>
    <w:p>
      <w:pPr>
        <w:pStyle w:val="Style17"/>
        <w:keepNext w:val="0"/>
        <w:keepLines w:val="0"/>
        <w:widowControl w:val="0"/>
        <w:numPr>
          <w:ilvl w:val="0"/>
          <w:numId w:val="23"/>
        </w:numPr>
        <w:shd w:val="clear" w:color="auto" w:fill="auto"/>
        <w:bidi w:val="0"/>
        <w:spacing w:before="0" w:after="0" w:line="473" w:lineRule="exact"/>
        <w:ind w:left="0" w:right="0"/>
        <w:jc w:val="both"/>
      </w:pPr>
      <w:bookmarkStart w:id="632" w:name="bookmark632"/>
      <w:bookmarkEnd w:id="63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年度审计工作与治理层的事前沟通会，对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年年度报告中财务报告及相关专项报告 进行沟通交流。</w:t>
      </w:r>
    </w:p>
    <w:p>
      <w:pPr>
        <w:pStyle w:val="Style17"/>
        <w:keepNext w:val="0"/>
        <w:keepLines w:val="0"/>
        <w:widowControl w:val="0"/>
        <w:numPr>
          <w:ilvl w:val="0"/>
          <w:numId w:val="23"/>
        </w:numPr>
        <w:shd w:val="clear" w:color="auto" w:fill="auto"/>
        <w:bidi w:val="0"/>
        <w:spacing w:before="0" w:after="0" w:line="473" w:lineRule="exact"/>
        <w:ind w:left="0" w:right="0"/>
        <w:jc w:val="both"/>
      </w:pPr>
      <w:bookmarkStart w:id="633" w:name="bookmark633"/>
      <w:bookmarkEnd w:id="63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日，召开第四届审计委员会第十一次会议，审议通过了公司《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年财务报表》、《关于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年度控股 股东及其他关联方占用资金情况、公司对外担保事项的审计报告》、《关于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年度募集资金的存放与使用情况的专项报告》、</w:t>
      </w:r>
    </w:p>
    <w:p>
      <w:pPr>
        <w:pStyle w:val="Style17"/>
        <w:keepNext w:val="0"/>
        <w:keepLines w:val="0"/>
        <w:widowControl w:val="0"/>
        <w:shd w:val="clear" w:color="auto" w:fill="auto"/>
        <w:bidi w:val="0"/>
        <w:spacing w:before="0" w:after="0" w:line="47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年度货币资金的专项检查报告》、《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年度内部审计工作总结》、《</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年度内部控制自我评价报告》、《关于续 聘会计师事务所的审核意见》、《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年度内部审计工作计划》、《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年一季度财务报表》、《关于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年一季度控股股 东及其他关联方占用资金情况、公司对外担保事项的审计报告》、《关于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年一季度募集资金的存放与使用情况的专项报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年一季度货币资金的专项审计报告》、《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年一季度内部审计工作总结》。</w:t>
      </w:r>
    </w:p>
    <w:p>
      <w:pPr>
        <w:pStyle w:val="Style17"/>
        <w:keepNext w:val="0"/>
        <w:keepLines w:val="0"/>
        <w:widowControl w:val="0"/>
        <w:numPr>
          <w:ilvl w:val="0"/>
          <w:numId w:val="23"/>
        </w:numPr>
        <w:shd w:val="clear" w:color="auto" w:fill="auto"/>
        <w:bidi w:val="0"/>
        <w:spacing w:before="0" w:after="0" w:line="473" w:lineRule="exact"/>
        <w:ind w:left="0" w:right="0"/>
        <w:jc w:val="both"/>
      </w:pPr>
      <w:bookmarkStart w:id="634" w:name="bookmark634"/>
      <w:bookmarkEnd w:id="63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日，召开第五届审计委员会第一次会议，审议通过了《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年半年度财务报表》、《关于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 控股股东及其他关联方占用资金情况、公司对外担保事项的审计报告》《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年半年度募集资金存放与使用情况专项报告》、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年半年度货币资金的专项审计报告》、《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年半年度内部审计工作总结》。</w:t>
      </w:r>
    </w:p>
    <w:p>
      <w:pPr>
        <w:pStyle w:val="Style17"/>
        <w:keepNext w:val="0"/>
        <w:keepLines w:val="0"/>
        <w:widowControl w:val="0"/>
        <w:shd w:val="clear" w:color="auto" w:fill="auto"/>
        <w:tabs>
          <w:tab w:pos="665" w:val="left"/>
        </w:tabs>
        <w:bidi w:val="0"/>
        <w:spacing w:before="0" w:after="0" w:line="451" w:lineRule="exact"/>
        <w:ind w:left="0" w:right="0"/>
        <w:jc w:val="both"/>
      </w:pPr>
      <w:bookmarkStart w:id="635" w:name="bookmark635"/>
      <w:r>
        <w:rPr>
          <w:rFonts w:ascii="Times New Roman" w:eastAsia="Times New Roman" w:hAnsi="Times New Roman" w:cs="Times New Roman"/>
          <w:color w:val="000000"/>
          <w:spacing w:val="0"/>
          <w:w w:val="100"/>
          <w:position w:val="0"/>
          <w:sz w:val="18"/>
          <w:szCs w:val="18"/>
          <w:shd w:val="clear" w:color="auto" w:fill="FFFFFF"/>
        </w:rPr>
        <w:t>4</w:t>
      </w:r>
      <w:bookmarkEnd w:id="635"/>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日，召开第五届审计委员会第二次会议，审议通过了《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年三季度财务报告》、《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年三季度内 部审计工作汇报》。</w:t>
      </w:r>
    </w:p>
    <w:p>
      <w:pPr>
        <w:pStyle w:val="Style17"/>
        <w:keepNext w:val="0"/>
        <w:keepLines w:val="0"/>
        <w:widowControl w:val="0"/>
        <w:shd w:val="clear" w:color="auto" w:fill="auto"/>
        <w:bidi w:val="0"/>
        <w:spacing w:before="0" w:after="0" w:line="47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年度财务报告审计的工作情况</w:t>
      </w:r>
    </w:p>
    <w:p>
      <w:pPr>
        <w:pStyle w:val="Style17"/>
        <w:keepNext w:val="0"/>
        <w:keepLines w:val="0"/>
        <w:widowControl w:val="0"/>
        <w:shd w:val="clear" w:color="auto" w:fill="auto"/>
        <w:tabs>
          <w:tab w:pos="680" w:val="left"/>
        </w:tabs>
        <w:bidi w:val="0"/>
        <w:spacing w:before="0" w:after="0" w:line="473" w:lineRule="exact"/>
        <w:ind w:left="0" w:right="0"/>
        <w:jc w:val="both"/>
      </w:pPr>
      <w:bookmarkStart w:id="636" w:name="bookmark636"/>
      <w:r>
        <w:rPr>
          <w:rFonts w:ascii="Times New Roman" w:eastAsia="Times New Roman" w:hAnsi="Times New Roman" w:cs="Times New Roman"/>
          <w:color w:val="000000"/>
          <w:spacing w:val="0"/>
          <w:w w:val="100"/>
          <w:position w:val="0"/>
          <w:sz w:val="18"/>
          <w:szCs w:val="18"/>
        </w:rPr>
        <w:t>1</w:t>
      </w:r>
      <w:bookmarkEnd w:id="636"/>
      <w:r>
        <w:rPr>
          <w:color w:val="000000"/>
          <w:spacing w:val="0"/>
          <w:w w:val="100"/>
          <w:position w:val="0"/>
        </w:rPr>
        <w:t>）</w:t>
        <w:tab/>
        <w:t>确定总体审计计划</w:t>
      </w:r>
    </w:p>
    <w:p>
      <w:pPr>
        <w:pStyle w:val="Style17"/>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日，审计委员会组织公司内部审计部门与中汇会计师事务所（特殊普通合伙），对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年年度报告中财务报 告及相关专项报告进行沟通交流，中汇会计师事务所的会计师介绍了公司年度审计工作安排，确定了与治理层、管理层的沟 通时间安排，本次审计范围及时间安排，对公司及子公司的财务规范运作提出了相应的建议。审计委员会与中汇会计师事务 所会计师就预审事项进行了沟通，确定了本次审计工作的重点，对审计报告的具体内容提出建议，并初步沟通了关键审计事 项。</w:t>
      </w:r>
    </w:p>
    <w:p>
      <w:pPr>
        <w:pStyle w:val="Style17"/>
        <w:keepNext w:val="0"/>
        <w:keepLines w:val="0"/>
        <w:widowControl w:val="0"/>
        <w:shd w:val="clear" w:color="auto" w:fill="auto"/>
        <w:tabs>
          <w:tab w:pos="699" w:val="left"/>
        </w:tabs>
        <w:bidi w:val="0"/>
        <w:spacing w:before="0" w:after="0" w:line="473" w:lineRule="exact"/>
        <w:ind w:left="0" w:right="0"/>
        <w:jc w:val="both"/>
      </w:pPr>
      <w:bookmarkStart w:id="637" w:name="bookmark637"/>
      <w:r>
        <w:rPr>
          <w:rFonts w:ascii="Times New Roman" w:eastAsia="Times New Roman" w:hAnsi="Times New Roman" w:cs="Times New Roman"/>
          <w:color w:val="000000"/>
          <w:spacing w:val="0"/>
          <w:w w:val="100"/>
          <w:position w:val="0"/>
          <w:sz w:val="18"/>
          <w:szCs w:val="18"/>
        </w:rPr>
        <w:t>2</w:t>
      </w:r>
      <w:bookmarkEnd w:id="637"/>
      <w:r>
        <w:rPr>
          <w:color w:val="000000"/>
          <w:spacing w:val="0"/>
          <w:w w:val="100"/>
          <w:position w:val="0"/>
        </w:rPr>
        <w:t>）</w:t>
        <w:tab/>
        <w:t>审核公司财务信息</w:t>
      </w:r>
    </w:p>
    <w:p>
      <w:pPr>
        <w:pStyle w:val="Style17"/>
        <w:keepNext w:val="0"/>
        <w:keepLines w:val="0"/>
        <w:widowControl w:val="0"/>
        <w:shd w:val="clear" w:color="auto" w:fill="auto"/>
        <w:bidi w:val="0"/>
        <w:spacing w:before="0" w:after="0" w:line="473" w:lineRule="exact"/>
        <w:ind w:left="0" w:right="0"/>
        <w:jc w:val="both"/>
      </w:pPr>
      <w:r>
        <w:rPr>
          <w:color w:val="000000"/>
          <w:spacing w:val="0"/>
          <w:w w:val="100"/>
          <w:position w:val="0"/>
        </w:rPr>
        <w:t>报告期内，审计委员会召开的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次会议分别审议通过了公司《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年一季度财务报表》、《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年半年度财务报表》、《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年三季度财务报告》及募集资金存放及使用情况、控股股东及其他关联方占用资金情况、公司 对外担保事项等的专项报告，认为：公司财务报表依照公司会计政策编制、会计政策运用恰当，会计估计合理，符合新企业 会计准则及财政部发布的有关规定要求。</w:t>
      </w:r>
    </w:p>
    <w:p>
      <w:pPr>
        <w:pStyle w:val="Style17"/>
        <w:keepNext w:val="0"/>
        <w:keepLines w:val="0"/>
        <w:widowControl w:val="0"/>
        <w:shd w:val="clear" w:color="auto" w:fill="auto"/>
        <w:tabs>
          <w:tab w:pos="699" w:val="left"/>
        </w:tabs>
        <w:bidi w:val="0"/>
        <w:spacing w:before="0" w:after="0" w:line="470" w:lineRule="exact"/>
        <w:ind w:left="0" w:right="0"/>
        <w:jc w:val="both"/>
      </w:pPr>
      <w:bookmarkStart w:id="638" w:name="bookmark638"/>
      <w:r>
        <w:rPr>
          <w:rFonts w:ascii="Times New Roman" w:eastAsia="Times New Roman" w:hAnsi="Times New Roman" w:cs="Times New Roman"/>
          <w:color w:val="000000"/>
          <w:spacing w:val="0"/>
          <w:w w:val="100"/>
          <w:position w:val="0"/>
          <w:sz w:val="18"/>
          <w:szCs w:val="18"/>
        </w:rPr>
        <w:t>3</w:t>
      </w:r>
      <w:bookmarkEnd w:id="638"/>
      <w:r>
        <w:rPr>
          <w:color w:val="000000"/>
          <w:spacing w:val="0"/>
          <w:w w:val="100"/>
          <w:position w:val="0"/>
        </w:rPr>
        <w:t>）</w:t>
        <w:tab/>
        <w:t>监督公司的内部审计制度及其实施</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报告期内，董事会审计委员会对公司内部控制制度进行检查和评估后，认为：公司现有的内部控制制度较为完善、合理 及有效，基本符合我国有关法规和证券监管部门的要求和公司内部控制的设定与执行，符合目前公司经营实际情况需要，在 企业管理的关键环节发挥了较好的控制与防范作用。公司的内部控制在整体上是有效的，为公司防范风险、规范运作提供了 强有力的保障，推动公司稳健发展。</w:t>
      </w:r>
    </w:p>
    <w:p>
      <w:pPr>
        <w:pStyle w:val="Style17"/>
        <w:keepNext w:val="0"/>
        <w:keepLines w:val="0"/>
        <w:widowControl w:val="0"/>
        <w:shd w:val="clear" w:color="auto" w:fill="auto"/>
        <w:tabs>
          <w:tab w:pos="699" w:val="left"/>
        </w:tabs>
        <w:bidi w:val="0"/>
        <w:spacing w:before="0" w:after="0" w:line="470" w:lineRule="exact"/>
        <w:ind w:left="0" w:right="0"/>
        <w:jc w:val="both"/>
      </w:pPr>
      <w:bookmarkStart w:id="639" w:name="bookmark639"/>
      <w:r>
        <w:rPr>
          <w:rFonts w:ascii="Times New Roman" w:eastAsia="Times New Roman" w:hAnsi="Times New Roman" w:cs="Times New Roman"/>
          <w:color w:val="000000"/>
          <w:spacing w:val="0"/>
          <w:w w:val="100"/>
          <w:position w:val="0"/>
          <w:sz w:val="18"/>
          <w:szCs w:val="18"/>
        </w:rPr>
        <w:t>4</w:t>
      </w:r>
      <w:bookmarkEnd w:id="639"/>
      <w:r>
        <w:rPr>
          <w:color w:val="000000"/>
          <w:spacing w:val="0"/>
          <w:w w:val="100"/>
          <w:position w:val="0"/>
        </w:rPr>
        <w:t>）</w:t>
        <w:tab/>
        <w:t>对外部审计机构的工作进行评价</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对中汇会计师事务所（特殊普通合伙）在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年度对公司提供的审计服务进行评估，认为：中汇会计师事务所（特殊普 通合伙）在对公司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年度会计报表审计过程中尽职、尽责，按照中国注册会计师审计准则要求，按时完成了公司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报审计工作，表现了良好的职业规范和精神，客观、公正的对公司会计报表发表了意见。</w:t>
      </w:r>
    </w:p>
    <w:p>
      <w:pPr>
        <w:pStyle w:val="Style17"/>
        <w:keepNext w:val="0"/>
        <w:keepLines w:val="0"/>
        <w:widowControl w:val="0"/>
        <w:numPr>
          <w:ilvl w:val="0"/>
          <w:numId w:val="21"/>
        </w:numPr>
        <w:shd w:val="clear" w:color="auto" w:fill="auto"/>
        <w:bidi w:val="0"/>
        <w:spacing w:before="0" w:after="0" w:line="470" w:lineRule="exact"/>
        <w:ind w:left="0" w:right="0"/>
        <w:jc w:val="both"/>
      </w:pPr>
      <w:bookmarkStart w:id="640" w:name="bookmark640"/>
      <w:bookmarkEnd w:id="640"/>
      <w:r>
        <w:rPr>
          <w:color w:val="000000"/>
          <w:spacing w:val="0"/>
          <w:w w:val="100"/>
          <w:position w:val="0"/>
        </w:rPr>
        <w:t>薪酬与考核委员会</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公司第四届董事会薪酬与考核委员会由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名董事组成，分别为郭斐、何剑、张学君，其中郭斐、何剑为独立董事，法律 专业的独立董事郭斐担任主任。公司第五届董事会薪酬与考核委员会由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名董事组成，分别为刘宏、陈歆玮、何晔，其中刘 宏、陈歆玮为独立董事，独立董事刘宏担任主任。</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薪酬与考核委员会严格遵照根据中国证监会、深圳证券交易所的有关规定及公司《薪酬与考核委员会工作细则》，切实 履行职责，主要负责制定公司董事及高级管理人员的考核标准并进行考核，制定、审查公司董事及高级管理人员的薪酬政策 </w:t>
      </w:r>
      <w:r>
        <w:rPr>
          <w:color w:val="000000"/>
          <w:spacing w:val="0"/>
          <w:w w:val="100"/>
          <w:position w:val="0"/>
        </w:rPr>
        <w:t>与方案，并指导董事会完善公司薪酬体系。</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报告期内，薪酬与考核委员会共召开了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次薪酬与考核委员会会议，具体情况如下：</w:t>
      </w:r>
    </w:p>
    <w:p>
      <w:pPr>
        <w:pStyle w:val="Style17"/>
        <w:keepNext w:val="0"/>
        <w:keepLines w:val="0"/>
        <w:widowControl w:val="0"/>
        <w:shd w:val="clear" w:color="auto" w:fill="auto"/>
        <w:bidi w:val="0"/>
        <w:spacing w:before="0" w:after="440" w:line="470" w:lineRule="exact"/>
        <w:ind w:left="0" w:right="0"/>
        <w:jc w:val="both"/>
      </w:pPr>
      <w:r>
        <w:rPr>
          <w:rFonts w:ascii="Times New Roman" w:eastAsia="Times New Roman" w:hAnsi="Times New Roman" w:cs="Times New Roman"/>
          <w:color w:val="000000"/>
          <w:spacing w:val="0"/>
          <w:w w:val="100"/>
          <w:position w:val="0"/>
          <w:sz w:val="18"/>
          <w:szCs w:val="18"/>
        </w:rPr>
        <w:t>1.202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日，在第五届董事会薪酬与考核委员会第一次会议上，审议通过了《关于确定第五届董事会董事薪酬及 独立董事津贴的议案》、《关于公司高级管理人员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年度薪酬的议案》。</w:t>
      </w:r>
    </w:p>
    <w:p>
      <w:pPr>
        <w:pStyle w:val="Style32"/>
        <w:keepNext/>
        <w:keepLines/>
        <w:widowControl w:val="0"/>
        <w:shd w:val="clear" w:color="auto" w:fill="auto"/>
        <w:tabs>
          <w:tab w:pos="522" w:val="left"/>
        </w:tabs>
        <w:bidi w:val="0"/>
        <w:spacing w:before="0" w:after="38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sz w:val="24"/>
          <w:szCs w:val="24"/>
        </w:rPr>
        <w:t>七</w:t>
      </w:r>
      <w:bookmarkEnd w:id="643"/>
      <w:r>
        <w:rPr>
          <w:color w:val="000000"/>
          <w:spacing w:val="0"/>
          <w:w w:val="100"/>
          <w:position w:val="0"/>
          <w:sz w:val="24"/>
          <w:szCs w:val="24"/>
        </w:rPr>
        <w:t>、</w:t>
        <w:tab/>
        <w:t>监事会工作情况</w:t>
      </w:r>
      <w:bookmarkEnd w:id="641"/>
      <w:bookmarkEnd w:id="642"/>
      <w:bookmarkEnd w:id="644"/>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440" w:line="470" w:lineRule="exact"/>
        <w:ind w:left="0" w:right="0"/>
        <w:jc w:val="both"/>
      </w:pPr>
      <w:r>
        <w:rPr>
          <w:color w:val="000000"/>
          <w:spacing w:val="0"/>
          <w:w w:val="100"/>
          <w:position w:val="0"/>
        </w:rPr>
        <w:t>公司监事会对报告期内的监督事项无异议。</w:t>
      </w:r>
    </w:p>
    <w:p>
      <w:pPr>
        <w:pStyle w:val="Style32"/>
        <w:keepNext/>
        <w:keepLines/>
        <w:widowControl w:val="0"/>
        <w:shd w:val="clear" w:color="auto" w:fill="auto"/>
        <w:tabs>
          <w:tab w:pos="522" w:val="left"/>
        </w:tabs>
        <w:bidi w:val="0"/>
        <w:spacing w:before="0" w:after="18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八</w:t>
      </w:r>
      <w:bookmarkEnd w:id="647"/>
      <w:r>
        <w:rPr>
          <w:color w:val="000000"/>
          <w:spacing w:val="0"/>
          <w:w w:val="100"/>
          <w:position w:val="0"/>
          <w:sz w:val="24"/>
          <w:szCs w:val="24"/>
        </w:rPr>
        <w:t>、</w:t>
        <w:tab/>
        <w:t>高级管理人员的考评及激励情况</w:t>
      </w:r>
      <w:bookmarkEnd w:id="645"/>
      <w:bookmarkEnd w:id="646"/>
      <w:bookmarkEnd w:id="648"/>
    </w:p>
    <w:p>
      <w:pPr>
        <w:pStyle w:val="Style17"/>
        <w:keepNext w:val="0"/>
        <w:keepLines w:val="0"/>
        <w:widowControl w:val="0"/>
        <w:shd w:val="clear" w:color="auto" w:fill="auto"/>
        <w:bidi w:val="0"/>
        <w:spacing w:before="0" w:after="440" w:line="470" w:lineRule="exact"/>
        <w:ind w:left="0" w:right="0"/>
        <w:jc w:val="both"/>
      </w:pPr>
      <w:r>
        <w:rPr>
          <w:color w:val="000000"/>
          <w:spacing w:val="0"/>
          <w:w w:val="100"/>
          <w:position w:val="0"/>
        </w:rPr>
        <w:t>根据《公司法》、公司《董事、监事和高级管理人员薪酬管理制度》的有关规定，结合公司实际经营情况及同行业整体 薪酬水平，经公司董事会薪酬与考核委员会提议，公司于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日第五届董事会第一次会议审议通过了《关于确定第 五届董事会董事薪酬及独立董事津贴的议案》、《关于公司高级管理人员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年度薪酬的议案》。其中，《关于确定第五届 董事会董事薪酬及独立董事津贴的议案》于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年第二次临时股东大会审议通过。公司高级管理人员 的年薪分为基本年薪和绩效奖金两部分，基本年薪按照月度发放，绩效奖金在次年发放。薪酬与考核委员会负责监督薪酬制 度的执行情况，并审查高级管理人员的年度履职情况。公司建立了与现代企业制度相适应的激励约束机制，积极调动高级管 理人员的积极性、主动性和创造性。报告期内，公司高级管理人员积极落实公司股东大会和董事会相关决议，认真履行职责。</w:t>
      </w:r>
    </w:p>
    <w:p>
      <w:pPr>
        <w:pStyle w:val="Style32"/>
        <w:keepNext/>
        <w:keepLines/>
        <w:widowControl w:val="0"/>
        <w:shd w:val="clear" w:color="auto" w:fill="auto"/>
        <w:tabs>
          <w:tab w:pos="522" w:val="left"/>
        </w:tabs>
        <w:bidi w:val="0"/>
        <w:spacing w:before="0" w:after="380" w:line="240" w:lineRule="auto"/>
        <w:ind w:left="0" w:right="0" w:firstLine="0"/>
        <w:jc w:val="both"/>
      </w:pPr>
      <w:bookmarkStart w:id="649" w:name="bookmark649"/>
      <w:bookmarkStart w:id="650" w:name="bookmark650"/>
      <w:bookmarkStart w:id="651" w:name="bookmark651"/>
      <w:bookmarkStart w:id="652" w:name="bookmark652"/>
      <w:r>
        <w:rPr>
          <w:color w:val="000000"/>
          <w:spacing w:val="0"/>
          <w:w w:val="100"/>
          <w:position w:val="0"/>
          <w:sz w:val="24"/>
          <w:szCs w:val="24"/>
        </w:rPr>
        <w:t>九</w:t>
      </w:r>
      <w:bookmarkEnd w:id="651"/>
      <w:r>
        <w:rPr>
          <w:color w:val="000000"/>
          <w:spacing w:val="0"/>
          <w:w w:val="100"/>
          <w:position w:val="0"/>
          <w:sz w:val="24"/>
          <w:szCs w:val="24"/>
        </w:rPr>
        <w:t>、</w:t>
        <w:tab/>
        <w:t>内部控制评价报告</w:t>
      </w:r>
      <w:bookmarkEnd w:id="649"/>
      <w:bookmarkEnd w:id="650"/>
      <w:bookmarkEnd w:id="652"/>
    </w:p>
    <w:p>
      <w:pPr>
        <w:pStyle w:val="Style36"/>
        <w:keepNext/>
        <w:keepLines/>
        <w:widowControl w:val="0"/>
        <w:shd w:val="clear" w:color="auto" w:fill="auto"/>
        <w:tabs>
          <w:tab w:pos="428" w:val="left"/>
        </w:tabs>
        <w:bidi w:val="0"/>
        <w:spacing w:before="0" w:after="380" w:line="240" w:lineRule="auto"/>
        <w:ind w:left="0" w:right="0" w:firstLine="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bookmarkEnd w:id="655"/>
      <w:r>
        <w:rPr>
          <w:color w:val="000000"/>
          <w:spacing w:val="0"/>
          <w:w w:val="100"/>
          <w:position w:val="0"/>
        </w:rPr>
        <w:t>、</w:t>
        <w:tab/>
        <w:t>报告期内发现的内部控制重大缺陷的具体情况</w:t>
      </w:r>
      <w:bookmarkEnd w:id="653"/>
      <w:bookmarkEnd w:id="654"/>
      <w:bookmarkEnd w:id="656"/>
    </w:p>
    <w:p>
      <w:pPr>
        <w:pStyle w:val="Style17"/>
        <w:keepNext w:val="0"/>
        <w:keepLines w:val="0"/>
        <w:widowControl w:val="0"/>
        <w:shd w:val="clear" w:color="auto" w:fill="auto"/>
        <w:bidi w:val="0"/>
        <w:spacing w:before="0" w:after="12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28" w:val="left"/>
        </w:tabs>
        <w:bidi w:val="0"/>
        <w:spacing w:before="0" w:after="320" w:line="240" w:lineRule="auto"/>
        <w:ind w:left="0" w:right="0" w:firstLine="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2</w:t>
      </w:r>
      <w:bookmarkEnd w:id="659"/>
      <w:r>
        <w:rPr>
          <w:color w:val="000000"/>
          <w:spacing w:val="0"/>
          <w:w w:val="100"/>
          <w:position w:val="0"/>
        </w:rPr>
        <w:t>、</w:t>
        <w:tab/>
        <w:t>内控自我评价报告</w:t>
      </w:r>
      <w:bookmarkEnd w:id="657"/>
      <w:bookmarkEnd w:id="658"/>
      <w:bookmarkEnd w:id="660"/>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53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一、</w:t>
              <w:tab/>
              <w:t>重大缺陷</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董事、监事和高级管理人员舞弊；对已经 公告的财务报告出现的重大差错进行错报 更正；监管部门责令公司对以前年度财务 报告存在的差错进行改正；注册会计师发 现财务报告存在重大错报，而内部控制在 运行过程中未能发现该错报；审计委员会 以及内部审计部门对财务报告内部控制监 督无效。</w:t>
            </w:r>
          </w:p>
          <w:p>
            <w:pPr>
              <w:pStyle w:val="Style29"/>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二、</w:t>
              <w:tab/>
              <w:t>重要缺陷</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未依照公认会计准则选择和应用会计政 策；对于非常规或特殊交易的账务处理没 有建立相应的控制机制或没有实施且没有 相应的补偿性控制；对于期末财务报告过 程的控制存在一项或多项缺陷且不能合理 保证编制的财务报表达到真实、准确的目 标。</w:t>
            </w:r>
          </w:p>
          <w:p>
            <w:pPr>
              <w:pStyle w:val="Style29"/>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三、</w:t>
              <w:tab/>
              <w:t>一般缺陷</w:t>
            </w:r>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除上述重大缺陷、重要缺陷之外的其他控 制缺陷。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非财务报告缺陷认定主要以缺陷对业 务流程有效性的影响程度、发生的可能 性作判断：</w:t>
            </w:r>
          </w:p>
          <w:p>
            <w:pPr>
              <w:pStyle w:val="Style29"/>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一、</w:t>
              <w:tab/>
              <w:t>重大缺陷</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如果缺陷发生的可能性高，会严重降低 工作效率或效果、或严重加大效果的不 确定性、或使之严重偏离预期目标为重 大缺陷。</w:t>
            </w:r>
          </w:p>
          <w:p>
            <w:pPr>
              <w:pStyle w:val="Style29"/>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二、</w:t>
              <w:tab/>
              <w:t>重要缺陷</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如果缺陷发生的可能性较高，会显著降 低工作效率或效果、或显著加大效果的 不确定性、或使之显著偏离预期目标为 重要缺陷。</w:t>
            </w:r>
          </w:p>
          <w:p>
            <w:pPr>
              <w:pStyle w:val="Style29"/>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三、</w:t>
              <w:tab/>
              <w:t>一般缺陷</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如果缺陷发生的可能性较小，会降低工 作效率或效果、或加大效果的不确定 性、或使之偏离预期目标为一般缺陷。</w:t>
            </w:r>
          </w:p>
        </w:tc>
      </w:tr>
      <w:tr>
        <w:trPr>
          <w:trHeight w:val="528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一、</w:t>
              <w:tab/>
              <w:t>重大缺陷</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错报金额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color w:val="000000"/>
                <w:spacing w:val="0"/>
                <w:w w:val="100"/>
                <w:position w:val="0"/>
                <w:sz w:val="18"/>
                <w:szCs w:val="18"/>
              </w:rPr>
              <w:t>〉</w:t>
            </w:r>
            <w:r>
              <w:rPr>
                <w:color w:val="000000"/>
                <w:spacing w:val="0"/>
                <w:w w:val="100"/>
                <w:position w:val="0"/>
              </w:rPr>
              <w:t>收 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9"/>
              <w:keepNext w:val="0"/>
              <w:keepLines w:val="0"/>
              <w:widowControl w:val="0"/>
              <w:shd w:val="clear" w:color="auto" w:fill="auto"/>
              <w:tabs>
                <w:tab w:pos="360" w:val="left"/>
              </w:tabs>
              <w:bidi w:val="0"/>
              <w:spacing w:before="0" w:after="0" w:line="312" w:lineRule="exact"/>
              <w:ind w:left="0" w:right="0" w:firstLine="0"/>
              <w:jc w:val="both"/>
            </w:pPr>
            <w:r>
              <w:rPr>
                <w:color w:val="000000"/>
                <w:spacing w:val="0"/>
                <w:w w:val="100"/>
                <w:position w:val="0"/>
              </w:rPr>
              <w:t>二、</w:t>
              <w:tab/>
              <w:t>重要缺陷</w:t>
            </w:r>
          </w:p>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错报金额@攵入总额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29"/>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三、</w:t>
              <w:tab/>
              <w:t>一般缺陷</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color w:val="000000"/>
                <w:spacing w:val="0"/>
                <w:w w:val="100"/>
                <w:position w:val="0"/>
                <w:sz w:val="18"/>
                <w:szCs w:val="18"/>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color w:val="000000"/>
                <w:spacing w:val="0"/>
                <w:w w:val="100"/>
                <w:position w:val="0"/>
                <w:sz w:val="18"/>
                <w:szCs w:val="18"/>
              </w:rPr>
              <w:t>〈</w:t>
            </w:r>
            <w:r>
              <w:rPr>
                <w:color w:val="000000"/>
                <w:spacing w:val="0"/>
                <w:w w:val="100"/>
                <w:position w:val="0"/>
              </w:rPr>
              <w:t>收入总额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一、</w:t>
              <w:tab/>
              <w:t>重大缺陷</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错报金额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；错报金额</w:t>
            </w:r>
            <w:r>
              <w:rPr>
                <w:color w:val="000000"/>
                <w:spacing w:val="0"/>
                <w:w w:val="100"/>
                <w:position w:val="0"/>
                <w:sz w:val="18"/>
                <w:szCs w:val="18"/>
              </w:rPr>
              <w:t>〉</w:t>
            </w:r>
            <w:r>
              <w:rPr>
                <w:color w:val="000000"/>
                <w:spacing w:val="0"/>
                <w:w w:val="100"/>
                <w:position w:val="0"/>
              </w:rPr>
              <w:t>利润总额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9"/>
              <w:keepNext w:val="0"/>
              <w:keepLines w:val="0"/>
              <w:widowControl w:val="0"/>
              <w:shd w:val="clear" w:color="auto" w:fill="auto"/>
              <w:tabs>
                <w:tab w:pos="360" w:val="left"/>
              </w:tabs>
              <w:bidi w:val="0"/>
              <w:spacing w:before="0" w:after="0" w:line="314" w:lineRule="exact"/>
              <w:ind w:left="0" w:right="0" w:firstLine="0"/>
              <w:jc w:val="both"/>
            </w:pPr>
            <w:r>
              <w:rPr>
                <w:color w:val="000000"/>
                <w:spacing w:val="0"/>
                <w:w w:val="100"/>
                <w:position w:val="0"/>
              </w:rPr>
              <w:t>二、</w:t>
              <w:tab/>
              <w:t>重要缺陷</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攵入总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 xml:space="preserve">W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万元。</w:t>
            </w:r>
          </w:p>
          <w:p>
            <w:pPr>
              <w:pStyle w:val="Style29"/>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三、</w:t>
              <w:tab/>
              <w:t>一般缺陷</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color w:val="000000"/>
                <w:spacing w:val="0"/>
                <w:w w:val="100"/>
                <w:position w:val="0"/>
                <w:sz w:val="18"/>
                <w:szCs w:val="18"/>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color w:val="000000"/>
                <w:spacing w:val="0"/>
                <w:w w:val="100"/>
                <w:position w:val="0"/>
                <w:sz w:val="18"/>
                <w:szCs w:val="18"/>
              </w:rPr>
              <w:t>〈</w:t>
            </w:r>
            <w:r>
              <w:rPr>
                <w:color w:val="000000"/>
                <w:spacing w:val="0"/>
                <w:w w:val="100"/>
                <w:position w:val="0"/>
              </w:rPr>
              <w:t>收入总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,且绝对金额超过</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2"/>
        <w:keepNext/>
        <w:keepLines/>
        <w:widowControl w:val="0"/>
        <w:shd w:val="clear" w:color="auto" w:fill="auto"/>
        <w:bidi w:val="0"/>
        <w:spacing w:before="0" w:after="460" w:line="240" w:lineRule="auto"/>
        <w:ind w:left="0" w:right="0" w:firstLine="0"/>
        <w:jc w:val="left"/>
      </w:pPr>
      <w:bookmarkStart w:id="661" w:name="bookmark661"/>
      <w:bookmarkStart w:id="662" w:name="bookmark662"/>
      <w:bookmarkStart w:id="663" w:name="bookmark663"/>
      <w:r>
        <w:rPr>
          <w:color w:val="000000"/>
          <w:spacing w:val="0"/>
          <w:w w:val="100"/>
          <w:position w:val="0"/>
          <w:sz w:val="24"/>
          <w:szCs w:val="24"/>
        </w:rPr>
        <w:t>十、内部控制审计报告或鉴证报告</w:t>
      </w:r>
      <w:bookmarkEnd w:id="661"/>
      <w:bookmarkEnd w:id="662"/>
      <w:bookmarkEnd w:id="663"/>
    </w:p>
    <w:p>
      <w:pPr>
        <w:pStyle w:val="Style17"/>
        <w:keepNext w:val="0"/>
        <w:keepLines w:val="0"/>
        <w:widowControl w:val="0"/>
        <w:shd w:val="clear" w:color="auto" w:fill="auto"/>
        <w:bidi w:val="0"/>
        <w:spacing w:before="0" w:after="0" w:line="240" w:lineRule="auto"/>
        <w:ind w:left="0" w:right="0" w:firstLine="360"/>
        <w:jc w:val="left"/>
        <w:sectPr>
          <w:footnotePr>
            <w:pos w:val="pageBottom"/>
            <w:numFmt w:val="decimal"/>
            <w:numRestart w:val="continuous"/>
          </w:footnotePr>
          <w:pgSz w:w="11900" w:h="16840"/>
          <w:pgMar w:top="1311" w:right="1084" w:bottom="1445" w:left="1034" w:header="0" w:footer="3" w:gutter="0"/>
          <w:cols w:space="720"/>
          <w:noEndnote/>
          <w:rtlGutter w:val="0"/>
          <w:docGrid w:linePitch="360"/>
        </w:sectPr>
      </w:pPr>
      <w:r>
        <w:rPr>
          <w:color w:val="000000"/>
          <w:spacing w:val="0"/>
          <w:w w:val="100"/>
          <w:position w:val="0"/>
        </w:rPr>
        <w:t>不适用</w:t>
      </w:r>
    </w:p>
    <w:p>
      <w:pPr>
        <w:pStyle w:val="Style9"/>
        <w:keepNext/>
        <w:keepLines/>
        <w:widowControl w:val="0"/>
        <w:shd w:val="clear" w:color="auto" w:fill="auto"/>
        <w:bidi w:val="0"/>
        <w:spacing w:before="0" w:after="600" w:line="240" w:lineRule="auto"/>
        <w:ind w:left="0" w:right="0" w:firstLine="0"/>
        <w:jc w:val="center"/>
      </w:pPr>
      <w:bookmarkStart w:id="664" w:name="bookmark664"/>
      <w:bookmarkStart w:id="665" w:name="bookmark665"/>
      <w:bookmarkStart w:id="666" w:name="bookmark666"/>
      <w:r>
        <w:rPr>
          <w:color w:val="000000"/>
          <w:spacing w:val="0"/>
          <w:w w:val="100"/>
          <w:position w:val="0"/>
        </w:rPr>
        <w:t>第十一节公司债券相关情况</w:t>
      </w:r>
      <w:bookmarkEnd w:id="664"/>
      <w:bookmarkEnd w:id="665"/>
      <w:bookmarkEnd w:id="666"/>
    </w:p>
    <w:p>
      <w:pPr>
        <w:pStyle w:val="Style17"/>
        <w:keepNext w:val="0"/>
        <w:keepLines w:val="0"/>
        <w:widowControl w:val="0"/>
        <w:shd w:val="clear" w:color="auto" w:fill="auto"/>
        <w:bidi w:val="0"/>
        <w:spacing w:before="0" w:after="220" w:line="240" w:lineRule="auto"/>
        <w:ind w:left="0" w:right="0" w:firstLine="0"/>
        <w:jc w:val="left"/>
      </w:pPr>
      <w:bookmarkStart w:id="667" w:name="bookmark667"/>
      <w:r>
        <w:rPr>
          <w:color w:val="000000"/>
          <w:spacing w:val="0"/>
          <w:w w:val="100"/>
          <w:position w:val="0"/>
        </w:rPr>
        <w:t>公司是否存在公开发行并在证券交易所上市，且在年度报告批准报出日未到期或到期未能全额兑付的公司债券</w:t>
      </w:r>
      <w:bookmarkEnd w:id="667"/>
    </w:p>
    <w:p>
      <w:pPr>
        <w:pStyle w:val="Style17"/>
        <w:keepNext w:val="0"/>
        <w:keepLines w:val="0"/>
        <w:widowControl w:val="0"/>
        <w:shd w:val="clear" w:color="auto" w:fill="auto"/>
        <w:bidi w:val="0"/>
        <w:spacing w:before="0" w:after="400" w:line="240" w:lineRule="auto"/>
        <w:ind w:left="0" w:right="0" w:firstLine="360"/>
        <w:jc w:val="left"/>
        <w:sectPr>
          <w:footnotePr>
            <w:pos w:val="pageBottom"/>
            <w:numFmt w:val="decimal"/>
            <w:numRestart w:val="continuous"/>
          </w:footnotePr>
          <w:pgSz w:w="11900" w:h="16840"/>
          <w:pgMar w:top="1969" w:right="1011" w:bottom="1969" w:left="1112" w:header="0" w:footer="3" w:gutter="0"/>
          <w:cols w:space="720"/>
          <w:noEndnote/>
          <w:rtlGutter w:val="0"/>
          <w:docGrid w:linePitch="360"/>
        </w:sectPr>
      </w:pPr>
      <w:r>
        <w:rPr>
          <w:color w:val="000000"/>
          <w:spacing w:val="0"/>
          <w:w w:val="100"/>
          <w:position w:val="0"/>
        </w:rPr>
        <w:t>否</w:t>
      </w:r>
    </w:p>
    <w:p>
      <w:pPr>
        <w:pStyle w:val="Style9"/>
        <w:keepNext/>
        <w:keepLines/>
        <w:widowControl w:val="0"/>
        <w:shd w:val="clear" w:color="auto" w:fill="auto"/>
        <w:bidi w:val="0"/>
        <w:spacing w:before="620" w:after="520" w:line="240" w:lineRule="auto"/>
        <w:ind w:left="0" w:right="0" w:firstLine="0"/>
        <w:jc w:val="center"/>
      </w:pPr>
      <w:bookmarkStart w:id="668" w:name="bookmark668"/>
      <w:bookmarkStart w:id="669" w:name="bookmark669"/>
      <w:bookmarkStart w:id="670" w:name="bookmark670"/>
      <w:r>
        <w:rPr>
          <w:color w:val="000000"/>
          <w:spacing w:val="0"/>
          <w:w w:val="100"/>
          <w:position w:val="0"/>
        </w:rPr>
        <w:t>第十二节财务报告</w:t>
      </w:r>
      <w:bookmarkEnd w:id="668"/>
      <w:bookmarkEnd w:id="669"/>
      <w:bookmarkEnd w:id="670"/>
    </w:p>
    <w:p>
      <w:pPr>
        <w:pStyle w:val="Style32"/>
        <w:keepNext/>
        <w:keepLines/>
        <w:widowControl w:val="0"/>
        <w:shd w:val="clear" w:color="auto" w:fill="auto"/>
        <w:bidi w:val="0"/>
        <w:spacing w:before="0" w:after="300" w:line="240" w:lineRule="auto"/>
        <w:ind w:left="0" w:right="0" w:firstLine="240"/>
        <w:jc w:val="left"/>
      </w:pPr>
      <w:bookmarkStart w:id="671" w:name="bookmark671"/>
      <w:bookmarkStart w:id="672" w:name="bookmark672"/>
      <w:bookmarkStart w:id="673" w:name="bookmark673"/>
      <w:bookmarkStart w:id="674" w:name="bookmark674"/>
      <w:r>
        <w:rPr>
          <w:color w:val="000000"/>
          <w:spacing w:val="0"/>
          <w:w w:val="100"/>
          <w:position w:val="0"/>
          <w:sz w:val="24"/>
          <w:szCs w:val="24"/>
        </w:rPr>
        <w:t>、审计报告</w:t>
      </w:r>
      <w:bookmarkEnd w:id="672"/>
      <w:bookmarkEnd w:id="673"/>
      <w:bookmarkEnd w:id="674"/>
      <w:bookmarkEnd w:id="671"/>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中汇会审</w:t>
            </w:r>
            <w:r>
              <w:rPr>
                <w:rFonts w:ascii="Times New Roman" w:eastAsia="Times New Roman" w:hAnsi="Times New Roman" w:cs="Times New Roman"/>
                <w:color w:val="000000"/>
                <w:spacing w:val="0"/>
                <w:w w:val="100"/>
                <w:position w:val="0"/>
                <w:sz w:val="18"/>
                <w:szCs w:val="18"/>
              </w:rPr>
              <w:t>[2021]2780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章归鸿、王甫荣</w:t>
            </w:r>
          </w:p>
        </w:tc>
      </w:tr>
    </w:tbl>
    <w:p>
      <w:pPr>
        <w:pStyle w:val="Style4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7"/>
        <w:keepNext w:val="0"/>
        <w:keepLines w:val="0"/>
        <w:widowControl w:val="0"/>
        <w:shd w:val="clear" w:color="auto" w:fill="auto"/>
        <w:bidi w:val="0"/>
        <w:spacing w:before="0" w:after="300" w:line="468" w:lineRule="exact"/>
        <w:ind w:left="0" w:right="0" w:firstLine="360"/>
        <w:jc w:val="left"/>
      </w:pPr>
      <w:r>
        <w:rPr>
          <w:color w:val="000000"/>
          <w:spacing w:val="0"/>
          <w:w w:val="100"/>
          <w:position w:val="0"/>
        </w:rPr>
        <w:t>深圳市银之杰科技股份有限公司全体股东：</w:t>
      </w:r>
    </w:p>
    <w:p>
      <w:pPr>
        <w:pStyle w:val="Style17"/>
        <w:keepNext w:val="0"/>
        <w:keepLines w:val="0"/>
        <w:widowControl w:val="0"/>
        <w:shd w:val="clear" w:color="auto" w:fill="auto"/>
        <w:tabs>
          <w:tab w:pos="795" w:val="left"/>
        </w:tabs>
        <w:bidi w:val="0"/>
        <w:spacing w:before="0" w:after="0" w:line="468" w:lineRule="exact"/>
        <w:ind w:left="0" w:right="0" w:firstLine="360"/>
        <w:jc w:val="both"/>
      </w:pPr>
      <w:bookmarkStart w:id="675" w:name="bookmark675"/>
      <w:r>
        <w:rPr>
          <w:color w:val="000000"/>
          <w:spacing w:val="0"/>
          <w:w w:val="100"/>
          <w:position w:val="0"/>
        </w:rPr>
        <w:t>一</w:t>
      </w:r>
      <w:bookmarkEnd w:id="675"/>
      <w:r>
        <w:rPr>
          <w:color w:val="000000"/>
          <w:spacing w:val="0"/>
          <w:w w:val="100"/>
          <w:position w:val="0"/>
        </w:rPr>
        <w:t>、</w:t>
        <w:tab/>
        <w:t>审计意见</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我们审计了深圳市银之杰科技股份有限公司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银之杰公司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年度的合并及母公司利润表、合并及母公司现金流量表、合并及母公司所有者权益变动表以及财务报表附注。</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我们认为，后附的财务报表在所有重大方面按照企业会计准则的规定编制，公允反映了银之杰公司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17"/>
        <w:keepNext w:val="0"/>
        <w:keepLines w:val="0"/>
        <w:widowControl w:val="0"/>
        <w:shd w:val="clear" w:color="auto" w:fill="auto"/>
        <w:tabs>
          <w:tab w:pos="795" w:val="left"/>
        </w:tabs>
        <w:bidi w:val="0"/>
        <w:spacing w:before="0" w:after="0" w:line="468" w:lineRule="exact"/>
        <w:ind w:left="0" w:right="0" w:firstLine="360"/>
        <w:jc w:val="both"/>
      </w:pPr>
      <w:bookmarkStart w:id="676" w:name="bookmark676"/>
      <w:r>
        <w:rPr>
          <w:color w:val="000000"/>
          <w:spacing w:val="0"/>
          <w:w w:val="100"/>
          <w:position w:val="0"/>
        </w:rPr>
        <w:t>二</w:t>
      </w:r>
      <w:bookmarkEnd w:id="676"/>
      <w:r>
        <w:rPr>
          <w:color w:val="000000"/>
          <w:spacing w:val="0"/>
          <w:w w:val="100"/>
          <w:position w:val="0"/>
        </w:rPr>
        <w:t>、</w:t>
        <w:tab/>
        <w:t>形成审计意见的基础</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阐述了我们在这些准则下的责任。按照中国注册会计师职业道德守则，我们独立于银之杰公司，并履行了职业道德方面的其 他责任。我们相信，我们获取的审计证据是充分、适当的，为发表审计意见提供了基础。</w:t>
      </w:r>
    </w:p>
    <w:p>
      <w:pPr>
        <w:pStyle w:val="Style17"/>
        <w:keepNext w:val="0"/>
        <w:keepLines w:val="0"/>
        <w:widowControl w:val="0"/>
        <w:shd w:val="clear" w:color="auto" w:fill="auto"/>
        <w:tabs>
          <w:tab w:pos="795" w:val="left"/>
        </w:tabs>
        <w:bidi w:val="0"/>
        <w:spacing w:before="0" w:after="0" w:line="468" w:lineRule="exact"/>
        <w:ind w:left="0" w:right="0" w:firstLine="360"/>
        <w:jc w:val="both"/>
      </w:pPr>
      <w:bookmarkStart w:id="677" w:name="bookmark677"/>
      <w:r>
        <w:rPr>
          <w:color w:val="000000"/>
          <w:spacing w:val="0"/>
          <w:w w:val="100"/>
          <w:position w:val="0"/>
        </w:rPr>
        <w:t>三</w:t>
      </w:r>
      <w:bookmarkEnd w:id="677"/>
      <w:r>
        <w:rPr>
          <w:color w:val="000000"/>
          <w:spacing w:val="0"/>
          <w:w w:val="100"/>
          <w:position w:val="0"/>
        </w:rPr>
        <w:t>、</w:t>
        <w:tab/>
        <w:t>关键审计事项</w:t>
      </w:r>
    </w:p>
    <w:p>
      <w:pPr>
        <w:pStyle w:val="Style17"/>
        <w:keepNext w:val="0"/>
        <w:keepLines w:val="0"/>
        <w:widowControl w:val="0"/>
        <w:shd w:val="clear" w:color="auto" w:fill="auto"/>
        <w:bidi w:val="0"/>
        <w:spacing w:before="0" w:after="300" w:line="468"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17"/>
        <w:keepNext w:val="0"/>
        <w:keepLines w:val="0"/>
        <w:widowControl w:val="0"/>
        <w:shd w:val="clear" w:color="auto" w:fill="auto"/>
        <w:bidi w:val="0"/>
        <w:spacing w:before="0" w:after="0" w:line="542" w:lineRule="auto"/>
        <w:ind w:left="0" w:right="0" w:firstLine="360"/>
        <w:jc w:val="both"/>
      </w:pPr>
      <w:bookmarkStart w:id="678" w:name="bookmark678"/>
      <w:r>
        <w:rPr>
          <w:rFonts w:ascii="Times New Roman" w:eastAsia="Times New Roman" w:hAnsi="Times New Roman" w:cs="Times New Roman"/>
          <w:color w:val="000000"/>
          <w:spacing w:val="0"/>
          <w:w w:val="100"/>
          <w:position w:val="0"/>
          <w:sz w:val="18"/>
          <w:szCs w:val="18"/>
        </w:rPr>
        <w:t>（</w:t>
      </w:r>
      <w:bookmarkEnd w:id="678"/>
      <w:r>
        <w:rPr>
          <w:color w:val="000000"/>
          <w:spacing w:val="0"/>
          <w:w w:val="100"/>
          <w:position w:val="0"/>
        </w:rPr>
        <w:t>一</w:t>
      </w:r>
      <w:r>
        <w:rPr>
          <w:color w:val="000000"/>
          <w:spacing w:val="0"/>
          <w:w w:val="100"/>
          <w:position w:val="0"/>
          <w:sz w:val="18"/>
          <w:szCs w:val="18"/>
        </w:rPr>
        <w:t>）</w:t>
      </w:r>
      <w:r>
        <w:rPr>
          <w:color w:val="000000"/>
          <w:spacing w:val="0"/>
          <w:w w:val="100"/>
          <w:position w:val="0"/>
        </w:rPr>
        <w:t>收入确认</w:t>
      </w:r>
    </w:p>
    <w:p>
      <w:pPr>
        <w:pStyle w:val="Style17"/>
        <w:keepNext w:val="0"/>
        <w:keepLines w:val="0"/>
        <w:widowControl w:val="0"/>
        <w:numPr>
          <w:ilvl w:val="0"/>
          <w:numId w:val="25"/>
        </w:numPr>
        <w:shd w:val="clear" w:color="auto" w:fill="auto"/>
        <w:bidi w:val="0"/>
        <w:spacing w:before="0" w:after="0" w:line="542" w:lineRule="auto"/>
        <w:ind w:left="0" w:right="0" w:firstLine="360"/>
        <w:jc w:val="both"/>
      </w:pPr>
      <w:bookmarkStart w:id="679" w:name="bookmark679"/>
      <w:bookmarkEnd w:id="679"/>
      <w:r>
        <w:rPr>
          <w:color w:val="000000"/>
          <w:spacing w:val="0"/>
          <w:w w:val="100"/>
          <w:position w:val="0"/>
        </w:rPr>
        <w:t>事项描述</w:t>
      </w:r>
    </w:p>
    <w:p>
      <w:pPr>
        <w:pStyle w:val="Style17"/>
        <w:keepNext w:val="0"/>
        <w:keepLines w:val="0"/>
        <w:widowControl w:val="0"/>
        <w:shd w:val="clear" w:color="auto" w:fill="auto"/>
        <w:bidi w:val="0"/>
        <w:spacing w:before="0" w:after="240" w:line="468" w:lineRule="exact"/>
        <w:ind w:left="0" w:right="0" w:firstLine="360"/>
        <w:jc w:val="both"/>
      </w:pPr>
      <w:r>
        <w:rPr>
          <w:color w:val="000000"/>
          <w:spacing w:val="0"/>
          <w:w w:val="100"/>
          <w:position w:val="0"/>
        </w:rPr>
        <w:t>银之杰公司主要从事包括金融信息化服务、移动信息服务、电子商务三大业务。如财务报告附注五、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,附注七、</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所述，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年度银之杰公司营业收入</w:t>
      </w:r>
      <w:r>
        <w:rPr>
          <w:rFonts w:ascii="Times New Roman" w:eastAsia="Times New Roman" w:hAnsi="Times New Roman" w:cs="Times New Roman"/>
          <w:color w:val="000000"/>
          <w:spacing w:val="0"/>
          <w:w w:val="100"/>
          <w:position w:val="0"/>
          <w:sz w:val="18"/>
          <w:szCs w:val="18"/>
        </w:rPr>
        <w:t>139,046.02</w:t>
      </w:r>
      <w:r>
        <w:rPr>
          <w:color w:val="000000"/>
          <w:spacing w:val="0"/>
          <w:w w:val="100"/>
          <w:position w:val="0"/>
        </w:rPr>
        <w:t>万元，其中移动信息服务收入</w:t>
      </w:r>
      <w:r>
        <w:rPr>
          <w:rFonts w:ascii="Times New Roman" w:eastAsia="Times New Roman" w:hAnsi="Times New Roman" w:cs="Times New Roman"/>
          <w:color w:val="000000"/>
          <w:spacing w:val="0"/>
          <w:w w:val="100"/>
          <w:position w:val="0"/>
          <w:sz w:val="18"/>
          <w:szCs w:val="18"/>
        </w:rPr>
        <w:t>74,378.82</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53.49%</w:t>
      </w:r>
      <w:r>
        <w:rPr>
          <w:color w:val="000000"/>
          <w:spacing w:val="0"/>
          <w:w w:val="100"/>
          <w:position w:val="0"/>
        </w:rPr>
        <w:t>，电子商 务收入</w:t>
      </w:r>
      <w:r>
        <w:rPr>
          <w:rFonts w:ascii="Times New Roman" w:eastAsia="Times New Roman" w:hAnsi="Times New Roman" w:cs="Times New Roman"/>
          <w:color w:val="000000"/>
          <w:spacing w:val="0"/>
          <w:w w:val="100"/>
          <w:position w:val="0"/>
          <w:sz w:val="18"/>
          <w:szCs w:val="18"/>
        </w:rPr>
        <w:t>43,084.53</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，金融信息收入</w:t>
      </w:r>
      <w:r>
        <w:rPr>
          <w:rFonts w:ascii="Times New Roman" w:eastAsia="Times New Roman" w:hAnsi="Times New Roman" w:cs="Times New Roman"/>
          <w:color w:val="000000"/>
          <w:spacing w:val="0"/>
          <w:w w:val="100"/>
          <w:position w:val="0"/>
          <w:sz w:val="18"/>
          <w:szCs w:val="18"/>
        </w:rPr>
        <w:t>21,582.68</w:t>
      </w:r>
      <w:r>
        <w:rPr>
          <w:color w:val="000000"/>
          <w:spacing w:val="0"/>
          <w:w w:val="100"/>
          <w:position w:val="0"/>
        </w:rPr>
        <w:t>万元，占营业收入</w:t>
      </w:r>
      <w:r>
        <w:rPr>
          <w:rFonts w:ascii="Times New Roman" w:eastAsia="Times New Roman" w:hAnsi="Times New Roman" w:cs="Times New Roman"/>
          <w:color w:val="000000"/>
          <w:spacing w:val="0"/>
          <w:w w:val="100"/>
          <w:position w:val="0"/>
          <w:sz w:val="18"/>
          <w:szCs w:val="18"/>
        </w:rPr>
        <w:t>15.52%</w:t>
      </w:r>
      <w:r>
        <w:rPr>
          <w:color w:val="000000"/>
          <w:spacing w:val="0"/>
          <w:w w:val="100"/>
          <w:position w:val="0"/>
        </w:rPr>
        <w:t xml:space="preserve">。营业收入确认是否准确对 银之杰公司经营成果产生重大影响，不同业务模式收入确认具体方式不同，鉴于对财务报表的重要性，我们将收入确认识别 </w:t>
      </w:r>
      <w:r>
        <w:rPr>
          <w:color w:val="000000"/>
          <w:spacing w:val="0"/>
          <w:w w:val="100"/>
          <w:position w:val="0"/>
        </w:rPr>
        <w:t>为关键审计事项。</w:t>
      </w:r>
    </w:p>
    <w:p>
      <w:pPr>
        <w:pStyle w:val="Style17"/>
        <w:keepNext w:val="0"/>
        <w:keepLines w:val="0"/>
        <w:widowControl w:val="0"/>
        <w:numPr>
          <w:ilvl w:val="0"/>
          <w:numId w:val="25"/>
        </w:numPr>
        <w:shd w:val="clear" w:color="auto" w:fill="auto"/>
        <w:bidi w:val="0"/>
        <w:spacing w:before="0" w:after="0" w:line="550" w:lineRule="auto"/>
        <w:ind w:left="0" w:right="0" w:firstLine="360"/>
        <w:jc w:val="both"/>
      </w:pPr>
      <w:bookmarkStart w:id="680" w:name="bookmark680"/>
      <w:bookmarkEnd w:id="680"/>
      <w:r>
        <w:rPr>
          <w:color w:val="000000"/>
          <w:spacing w:val="0"/>
          <w:w w:val="100"/>
          <w:position w:val="0"/>
        </w:rPr>
        <w:t>审计应对</w:t>
      </w:r>
    </w:p>
    <w:p>
      <w:pPr>
        <w:pStyle w:val="Style17"/>
        <w:keepNext w:val="0"/>
        <w:keepLines w:val="0"/>
        <w:widowControl w:val="0"/>
        <w:numPr>
          <w:ilvl w:val="0"/>
          <w:numId w:val="27"/>
        </w:numPr>
        <w:shd w:val="clear" w:color="auto" w:fill="auto"/>
        <w:tabs>
          <w:tab w:pos="762" w:val="left"/>
        </w:tabs>
        <w:bidi w:val="0"/>
        <w:spacing w:before="0" w:after="0" w:line="473" w:lineRule="exact"/>
        <w:ind w:left="0" w:right="0" w:firstLine="360"/>
        <w:jc w:val="both"/>
      </w:pPr>
      <w:bookmarkStart w:id="681" w:name="bookmark681"/>
      <w:bookmarkEnd w:id="681"/>
      <w:r>
        <w:rPr>
          <w:color w:val="000000"/>
          <w:spacing w:val="0"/>
          <w:w w:val="100"/>
          <w:position w:val="0"/>
        </w:rPr>
        <w:t>了解并评价与公司收入确认相关的内部控制制度的设计是否健全，测试与收入确认相关的内部控制制度的执行是否 有效；</w:t>
      </w:r>
    </w:p>
    <w:p>
      <w:pPr>
        <w:pStyle w:val="Style17"/>
        <w:keepNext w:val="0"/>
        <w:keepLines w:val="0"/>
        <w:widowControl w:val="0"/>
        <w:numPr>
          <w:ilvl w:val="0"/>
          <w:numId w:val="27"/>
        </w:numPr>
        <w:shd w:val="clear" w:color="auto" w:fill="auto"/>
        <w:tabs>
          <w:tab w:pos="766" w:val="left"/>
        </w:tabs>
        <w:bidi w:val="0"/>
        <w:spacing w:before="0" w:after="0" w:line="473" w:lineRule="exact"/>
        <w:ind w:left="0" w:right="0" w:firstLine="360"/>
        <w:jc w:val="both"/>
      </w:pPr>
      <w:bookmarkStart w:id="682" w:name="bookmark682"/>
      <w:bookmarkEnd w:id="682"/>
      <w:r>
        <w:rPr>
          <w:color w:val="000000"/>
          <w:spacing w:val="0"/>
          <w:w w:val="100"/>
          <w:position w:val="0"/>
        </w:rPr>
        <w:t>了解并评价公司移动信息服务收入相关</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系统的控制环境，并测试了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系统运行情况；</w:t>
      </w:r>
    </w:p>
    <w:p>
      <w:pPr>
        <w:pStyle w:val="Style17"/>
        <w:keepNext w:val="0"/>
        <w:keepLines w:val="0"/>
        <w:widowControl w:val="0"/>
        <w:numPr>
          <w:ilvl w:val="0"/>
          <w:numId w:val="27"/>
        </w:numPr>
        <w:shd w:val="clear" w:color="auto" w:fill="auto"/>
        <w:tabs>
          <w:tab w:pos="766" w:val="left"/>
        </w:tabs>
        <w:bidi w:val="0"/>
        <w:spacing w:before="0" w:after="0" w:line="473" w:lineRule="exact"/>
        <w:ind w:left="0" w:right="0" w:firstLine="360"/>
        <w:jc w:val="both"/>
      </w:pPr>
      <w:bookmarkStart w:id="683" w:name="bookmark683"/>
      <w:bookmarkEnd w:id="683"/>
      <w:r>
        <w:rPr>
          <w:color w:val="000000"/>
          <w:spacing w:val="0"/>
          <w:w w:val="100"/>
          <w:position w:val="0"/>
        </w:rPr>
        <w:t>了解营业收入确认的会计政策是否发生重大变化，检查营业收入确认是否符合相关会计政策；</w:t>
      </w:r>
    </w:p>
    <w:p>
      <w:pPr>
        <w:pStyle w:val="Style17"/>
        <w:keepNext w:val="0"/>
        <w:keepLines w:val="0"/>
        <w:widowControl w:val="0"/>
        <w:numPr>
          <w:ilvl w:val="0"/>
          <w:numId w:val="27"/>
        </w:numPr>
        <w:shd w:val="clear" w:color="auto" w:fill="auto"/>
        <w:tabs>
          <w:tab w:pos="766" w:val="left"/>
        </w:tabs>
        <w:bidi w:val="0"/>
        <w:spacing w:before="0" w:after="0" w:line="473" w:lineRule="exact"/>
        <w:ind w:left="0" w:right="0" w:firstLine="360"/>
        <w:jc w:val="both"/>
      </w:pPr>
      <w:bookmarkStart w:id="684" w:name="bookmark684"/>
      <w:bookmarkEnd w:id="684"/>
      <w:r>
        <w:rPr>
          <w:color w:val="000000"/>
          <w:spacing w:val="0"/>
          <w:w w:val="100"/>
          <w:position w:val="0"/>
        </w:rPr>
        <w:t>执行分析性复核程序，判断营业收入和毛利变动的合理性；</w:t>
      </w:r>
    </w:p>
    <w:p>
      <w:pPr>
        <w:pStyle w:val="Style17"/>
        <w:keepNext w:val="0"/>
        <w:keepLines w:val="0"/>
        <w:widowControl w:val="0"/>
        <w:numPr>
          <w:ilvl w:val="0"/>
          <w:numId w:val="27"/>
        </w:numPr>
        <w:shd w:val="clear" w:color="auto" w:fill="auto"/>
        <w:tabs>
          <w:tab w:pos="762" w:val="left"/>
        </w:tabs>
        <w:bidi w:val="0"/>
        <w:spacing w:before="0" w:after="0" w:line="473" w:lineRule="exact"/>
        <w:ind w:left="0" w:right="0" w:firstLine="360"/>
        <w:jc w:val="both"/>
      </w:pPr>
      <w:bookmarkStart w:id="685" w:name="bookmark685"/>
      <w:bookmarkEnd w:id="685"/>
      <w:r>
        <w:rPr>
          <w:color w:val="000000"/>
          <w:spacing w:val="0"/>
          <w:w w:val="100"/>
          <w:position w:val="0"/>
        </w:rPr>
        <w:t>对移动信息服务收入重要客户销售合同进行抽样检查，并将系统数据与客户确认对账单等进行核对；对电子商务收 入核对电商平台提供的销售订单，随机抽取销售订单样本与第三方发货记录、收款记录等进行核对；</w:t>
      </w:r>
    </w:p>
    <w:p>
      <w:pPr>
        <w:pStyle w:val="Style17"/>
        <w:keepNext w:val="0"/>
        <w:keepLines w:val="0"/>
        <w:widowControl w:val="0"/>
        <w:numPr>
          <w:ilvl w:val="0"/>
          <w:numId w:val="27"/>
        </w:numPr>
        <w:shd w:val="clear" w:color="auto" w:fill="auto"/>
        <w:tabs>
          <w:tab w:pos="766" w:val="left"/>
        </w:tabs>
        <w:bidi w:val="0"/>
        <w:spacing w:before="0" w:after="0" w:line="473" w:lineRule="exact"/>
        <w:ind w:left="0" w:right="0" w:firstLine="360"/>
        <w:jc w:val="left"/>
      </w:pPr>
      <w:bookmarkStart w:id="686" w:name="bookmark686"/>
      <w:bookmarkEnd w:id="686"/>
      <w:r>
        <w:rPr>
          <w:color w:val="000000"/>
          <w:spacing w:val="0"/>
          <w:w w:val="100"/>
          <w:position w:val="0"/>
        </w:rPr>
        <w:t>向重要客户实施函证程序，向客户函证期末余额及当期销售金额；</w:t>
      </w:r>
    </w:p>
    <w:p>
      <w:pPr>
        <w:pStyle w:val="Style17"/>
        <w:keepNext w:val="0"/>
        <w:keepLines w:val="0"/>
        <w:widowControl w:val="0"/>
        <w:numPr>
          <w:ilvl w:val="0"/>
          <w:numId w:val="27"/>
        </w:numPr>
        <w:shd w:val="clear" w:color="auto" w:fill="auto"/>
        <w:tabs>
          <w:tab w:pos="766" w:val="left"/>
        </w:tabs>
        <w:bidi w:val="0"/>
        <w:spacing w:before="0" w:after="0" w:line="473" w:lineRule="exact"/>
        <w:ind w:left="0" w:right="0" w:firstLine="360"/>
        <w:jc w:val="left"/>
      </w:pPr>
      <w:bookmarkStart w:id="687" w:name="bookmark687"/>
      <w:bookmarkEnd w:id="687"/>
      <w:r>
        <w:rPr>
          <w:color w:val="000000"/>
          <w:spacing w:val="0"/>
          <w:w w:val="100"/>
          <w:position w:val="0"/>
        </w:rPr>
        <w:t>检查重要客户期后收款情况；</w:t>
      </w:r>
    </w:p>
    <w:p>
      <w:pPr>
        <w:pStyle w:val="Style17"/>
        <w:keepNext w:val="0"/>
        <w:keepLines w:val="0"/>
        <w:widowControl w:val="0"/>
        <w:numPr>
          <w:ilvl w:val="0"/>
          <w:numId w:val="27"/>
        </w:numPr>
        <w:shd w:val="clear" w:color="auto" w:fill="auto"/>
        <w:tabs>
          <w:tab w:pos="766" w:val="left"/>
        </w:tabs>
        <w:bidi w:val="0"/>
        <w:spacing w:before="0" w:after="240" w:line="473" w:lineRule="exact"/>
        <w:ind w:left="0" w:right="0" w:firstLine="360"/>
        <w:jc w:val="left"/>
      </w:pPr>
      <w:bookmarkStart w:id="688" w:name="bookmark688"/>
      <w:bookmarkEnd w:id="688"/>
      <w:r>
        <w:rPr>
          <w:color w:val="000000"/>
          <w:spacing w:val="0"/>
          <w:w w:val="100"/>
          <w:position w:val="0"/>
        </w:rPr>
        <w:t>对营业收入执行截止测试，检查营业收入是否在恰当的期间确认。</w:t>
      </w:r>
    </w:p>
    <w:p>
      <w:pPr>
        <w:pStyle w:val="Style17"/>
        <w:keepNext w:val="0"/>
        <w:keepLines w:val="0"/>
        <w:widowControl w:val="0"/>
        <w:numPr>
          <w:ilvl w:val="0"/>
          <w:numId w:val="29"/>
        </w:numPr>
        <w:shd w:val="clear" w:color="auto" w:fill="auto"/>
        <w:bidi w:val="0"/>
        <w:spacing w:before="0" w:after="0" w:line="550" w:lineRule="auto"/>
        <w:ind w:left="0" w:right="0" w:firstLine="360"/>
        <w:jc w:val="both"/>
      </w:pPr>
      <w:bookmarkStart w:id="689" w:name="bookmark689"/>
      <w:bookmarkEnd w:id="689"/>
      <w:r>
        <w:rPr>
          <w:color w:val="000000"/>
          <w:spacing w:val="0"/>
          <w:w w:val="100"/>
          <w:position w:val="0"/>
        </w:rPr>
        <w:t>商誉的减值</w:t>
      </w:r>
    </w:p>
    <w:p>
      <w:pPr>
        <w:pStyle w:val="Style17"/>
        <w:keepNext w:val="0"/>
        <w:keepLines w:val="0"/>
        <w:widowControl w:val="0"/>
        <w:numPr>
          <w:ilvl w:val="0"/>
          <w:numId w:val="31"/>
        </w:numPr>
        <w:shd w:val="clear" w:color="auto" w:fill="auto"/>
        <w:tabs>
          <w:tab w:pos="680" w:val="left"/>
        </w:tabs>
        <w:bidi w:val="0"/>
        <w:spacing w:before="0" w:after="0" w:line="550" w:lineRule="auto"/>
        <w:ind w:left="0" w:right="0" w:firstLine="360"/>
        <w:jc w:val="both"/>
      </w:pPr>
      <w:bookmarkStart w:id="690" w:name="bookmark690"/>
      <w:bookmarkEnd w:id="690"/>
      <w:r>
        <w:rPr>
          <w:color w:val="000000"/>
          <w:spacing w:val="0"/>
          <w:w w:val="100"/>
          <w:position w:val="0"/>
        </w:rPr>
        <w:t>事项描述</w:t>
      </w:r>
    </w:p>
    <w:p>
      <w:pPr>
        <w:pStyle w:val="Style1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如财务报告附注五、</w:t>
      </w:r>
      <w:r>
        <w:rPr>
          <w:color w:val="000000"/>
          <w:spacing w:val="0"/>
          <w:w w:val="100"/>
          <w:position w:val="0"/>
          <w:sz w:val="18"/>
          <w:szCs w:val="18"/>
        </w:rPr>
        <w:t>25</w:t>
      </w:r>
      <w:r>
        <w:rPr>
          <w:color w:val="000000"/>
          <w:spacing w:val="0"/>
          <w:w w:val="100"/>
          <w:position w:val="0"/>
        </w:rPr>
        <w:t>和附注七、</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所述，截至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日，银之杰公司商誉的账面价值合计为</w:t>
      </w:r>
      <w:r>
        <w:rPr>
          <w:rFonts w:ascii="Times New Roman" w:eastAsia="Times New Roman" w:hAnsi="Times New Roman" w:cs="Times New Roman"/>
          <w:color w:val="000000"/>
          <w:spacing w:val="0"/>
          <w:w w:val="100"/>
          <w:position w:val="0"/>
          <w:sz w:val="18"/>
          <w:szCs w:val="18"/>
        </w:rPr>
        <w:t>15,561.79</w:t>
      </w:r>
      <w:r>
        <w:rPr>
          <w:color w:val="000000"/>
          <w:spacing w:val="0"/>
          <w:w w:val="100"/>
          <w:position w:val="0"/>
        </w:rPr>
        <w:t>万元，其 中对相应的减值准备余额为零元。</w:t>
      </w:r>
    </w:p>
    <w:p>
      <w:pPr>
        <w:pStyle w:val="Style1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管理层在每年年度终了对商誉进行减值测试，并依据减值测试的结果调整商誉的账面价值。由于商誉减值测试的结果很 大程度上依赖于管理层所做的估计和采用的假设，特别是在预测相关资产组的未来收入增长率、毛利率、经营费用、折现率 等涉及管理层的重大判断。该等估计均存在重大不确定性，受管理层对未来市场以及对经济环境判断的影响，采用不同的估 计和假设会对评估的商誉可收回价值有很大的影响。</w:t>
      </w:r>
    </w:p>
    <w:p>
      <w:pPr>
        <w:pStyle w:val="Style17"/>
        <w:keepNext w:val="0"/>
        <w:keepLines w:val="0"/>
        <w:widowControl w:val="0"/>
        <w:shd w:val="clear" w:color="auto" w:fill="auto"/>
        <w:bidi w:val="0"/>
        <w:spacing w:before="0" w:after="240" w:line="473" w:lineRule="exact"/>
        <w:ind w:left="0" w:right="0" w:firstLine="360"/>
        <w:jc w:val="both"/>
      </w:pPr>
      <w:r>
        <w:rPr>
          <w:color w:val="000000"/>
          <w:spacing w:val="0"/>
          <w:w w:val="100"/>
          <w:position w:val="0"/>
        </w:rPr>
        <w:t>由于相关减值评估与测试需要管理层作出重大判断，因此我们将该类资产的减值评估识别为关键审计事项。</w:t>
      </w:r>
    </w:p>
    <w:p>
      <w:pPr>
        <w:pStyle w:val="Style17"/>
        <w:keepNext w:val="0"/>
        <w:keepLines w:val="0"/>
        <w:widowControl w:val="0"/>
        <w:numPr>
          <w:ilvl w:val="0"/>
          <w:numId w:val="31"/>
        </w:numPr>
        <w:shd w:val="clear" w:color="auto" w:fill="auto"/>
        <w:tabs>
          <w:tab w:pos="699" w:val="left"/>
        </w:tabs>
        <w:bidi w:val="0"/>
        <w:spacing w:before="0" w:after="0" w:line="550" w:lineRule="auto"/>
        <w:ind w:left="0" w:right="0" w:firstLine="360"/>
        <w:jc w:val="both"/>
      </w:pPr>
      <w:bookmarkStart w:id="691" w:name="bookmark691"/>
      <w:bookmarkEnd w:id="691"/>
      <w:r>
        <w:rPr>
          <w:color w:val="000000"/>
          <w:spacing w:val="0"/>
          <w:w w:val="100"/>
          <w:position w:val="0"/>
        </w:rPr>
        <w:t>审计应对</w:t>
      </w:r>
    </w:p>
    <w:p>
      <w:pPr>
        <w:pStyle w:val="Style17"/>
        <w:keepNext w:val="0"/>
        <w:keepLines w:val="0"/>
        <w:widowControl w:val="0"/>
        <w:numPr>
          <w:ilvl w:val="0"/>
          <w:numId w:val="33"/>
        </w:numPr>
        <w:shd w:val="clear" w:color="auto" w:fill="auto"/>
        <w:tabs>
          <w:tab w:pos="766" w:val="left"/>
        </w:tabs>
        <w:bidi w:val="0"/>
        <w:spacing w:before="0" w:after="0" w:line="473" w:lineRule="exact"/>
        <w:ind w:left="0" w:right="0" w:firstLine="360"/>
        <w:jc w:val="both"/>
      </w:pPr>
      <w:bookmarkStart w:id="692" w:name="bookmark692"/>
      <w:bookmarkEnd w:id="692"/>
      <w:r>
        <w:rPr>
          <w:color w:val="000000"/>
          <w:spacing w:val="0"/>
          <w:w w:val="100"/>
          <w:position w:val="0"/>
        </w:rPr>
        <w:t>了解并评价与商誉减值相关的关键内部控制；</w:t>
      </w:r>
    </w:p>
    <w:p>
      <w:pPr>
        <w:pStyle w:val="Style17"/>
        <w:keepNext w:val="0"/>
        <w:keepLines w:val="0"/>
        <w:widowControl w:val="0"/>
        <w:numPr>
          <w:ilvl w:val="0"/>
          <w:numId w:val="33"/>
        </w:numPr>
        <w:shd w:val="clear" w:color="auto" w:fill="auto"/>
        <w:tabs>
          <w:tab w:pos="762" w:val="left"/>
        </w:tabs>
        <w:bidi w:val="0"/>
        <w:spacing w:before="0" w:after="0" w:line="473" w:lineRule="exact"/>
        <w:ind w:left="0" w:right="0" w:firstLine="360"/>
        <w:jc w:val="both"/>
      </w:pPr>
      <w:bookmarkStart w:id="693" w:name="bookmark693"/>
      <w:bookmarkEnd w:id="693"/>
      <w:r>
        <w:rPr>
          <w:color w:val="000000"/>
          <w:spacing w:val="0"/>
          <w:w w:val="100"/>
          <w:position w:val="0"/>
        </w:rPr>
        <w:t>复核管理层对资产组的认定和商誉的分摊方法，评价公司管理层聘请的外部评估机构的胜任能力、专业素质和客观 性；</w:t>
      </w:r>
    </w:p>
    <w:p>
      <w:pPr>
        <w:pStyle w:val="Style17"/>
        <w:keepNext w:val="0"/>
        <w:keepLines w:val="0"/>
        <w:widowControl w:val="0"/>
        <w:numPr>
          <w:ilvl w:val="0"/>
          <w:numId w:val="33"/>
        </w:numPr>
        <w:shd w:val="clear" w:color="auto" w:fill="auto"/>
        <w:tabs>
          <w:tab w:pos="762" w:val="left"/>
        </w:tabs>
        <w:bidi w:val="0"/>
        <w:spacing w:before="0" w:after="0" w:line="473" w:lineRule="exact"/>
        <w:ind w:left="0" w:right="0" w:firstLine="360"/>
        <w:jc w:val="both"/>
      </w:pPr>
      <w:bookmarkStart w:id="694" w:name="bookmark694"/>
      <w:bookmarkEnd w:id="694"/>
      <w:r>
        <w:rPr>
          <w:color w:val="000000"/>
          <w:spacing w:val="0"/>
          <w:w w:val="100"/>
          <w:position w:val="0"/>
        </w:rPr>
        <w:t>与公司管理层及聘请的外部评估机构专家等讨论商誉减值测试过程中所使用的方法、关键评估的假设、参数的选择、 预测未来收入及现金流折现率等的合理性；</w:t>
      </w:r>
    </w:p>
    <w:p>
      <w:pPr>
        <w:pStyle w:val="Style17"/>
        <w:keepNext w:val="0"/>
        <w:keepLines w:val="0"/>
        <w:widowControl w:val="0"/>
        <w:numPr>
          <w:ilvl w:val="0"/>
          <w:numId w:val="33"/>
        </w:numPr>
        <w:shd w:val="clear" w:color="auto" w:fill="auto"/>
        <w:tabs>
          <w:tab w:pos="766" w:val="left"/>
        </w:tabs>
        <w:bidi w:val="0"/>
        <w:spacing w:before="0" w:after="0" w:line="473" w:lineRule="exact"/>
        <w:ind w:left="0" w:right="0" w:firstLine="360"/>
        <w:jc w:val="both"/>
      </w:pPr>
      <w:bookmarkStart w:id="695" w:name="bookmark695"/>
      <w:bookmarkEnd w:id="695"/>
      <w:r>
        <w:rPr>
          <w:color w:val="000000"/>
          <w:spacing w:val="0"/>
          <w:w w:val="100"/>
          <w:position w:val="0"/>
        </w:rPr>
        <w:t>我们引入了内部评估专家协助复核了评估方法、评估假设及关键参数。</w:t>
      </w:r>
    </w:p>
    <w:p>
      <w:pPr>
        <w:pStyle w:val="Style17"/>
        <w:keepNext w:val="0"/>
        <w:keepLines w:val="0"/>
        <w:widowControl w:val="0"/>
        <w:shd w:val="clear" w:color="auto" w:fill="auto"/>
        <w:bidi w:val="0"/>
        <w:spacing w:before="0" w:after="0" w:line="473" w:lineRule="exact"/>
        <w:ind w:left="0" w:right="0" w:firstLine="360"/>
        <w:jc w:val="both"/>
      </w:pPr>
      <w:bookmarkStart w:id="696" w:name="bookmark696"/>
      <w:r>
        <w:rPr>
          <w:color w:val="000000"/>
          <w:spacing w:val="0"/>
          <w:w w:val="100"/>
          <w:position w:val="0"/>
        </w:rPr>
        <w:t>四</w:t>
      </w:r>
      <w:bookmarkEnd w:id="696"/>
      <w:r>
        <w:rPr>
          <w:color w:val="000000"/>
          <w:spacing w:val="0"/>
          <w:w w:val="100"/>
          <w:position w:val="0"/>
        </w:rPr>
        <w:t>、其他信息</w:t>
      </w:r>
    </w:p>
    <w:p>
      <w:pPr>
        <w:pStyle w:val="Style1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银之杰公司管理层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年年度报告中涵盖的信息，但不包括财务报表 </w:t>
      </w:r>
      <w:r>
        <w:rPr>
          <w:color w:val="000000"/>
          <w:spacing w:val="0"/>
          <w:w w:val="100"/>
          <w:position w:val="0"/>
        </w:rPr>
        <w:t>和我们的审计报告。</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7"/>
        <w:keepNext w:val="0"/>
        <w:keepLines w:val="0"/>
        <w:widowControl w:val="0"/>
        <w:shd w:val="clear" w:color="auto" w:fill="auto"/>
        <w:tabs>
          <w:tab w:pos="795" w:val="left"/>
        </w:tabs>
        <w:bidi w:val="0"/>
        <w:spacing w:before="0" w:after="0" w:line="469" w:lineRule="exact"/>
        <w:ind w:left="0" w:right="0" w:firstLine="360"/>
        <w:jc w:val="both"/>
      </w:pPr>
      <w:bookmarkStart w:id="697" w:name="bookmark697"/>
      <w:r>
        <w:rPr>
          <w:color w:val="000000"/>
          <w:spacing w:val="0"/>
          <w:w w:val="100"/>
          <w:position w:val="0"/>
        </w:rPr>
        <w:t>五</w:t>
      </w:r>
      <w:bookmarkEnd w:id="697"/>
      <w:r>
        <w:rPr>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在编制财务报表时，管理层负责评估银之杰公司的持续经营能力，披露与持续经营相关的事项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，并运用持续经 营假设，除非管理层计划清算银之杰公司、终止运营或别无其他现实的选择。</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银之杰公司治理层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以下简称治理层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负责监督银之杰公司的财务报告过程。</w:t>
      </w:r>
    </w:p>
    <w:p>
      <w:pPr>
        <w:pStyle w:val="Style17"/>
        <w:keepNext w:val="0"/>
        <w:keepLines w:val="0"/>
        <w:widowControl w:val="0"/>
        <w:shd w:val="clear" w:color="auto" w:fill="auto"/>
        <w:tabs>
          <w:tab w:pos="795" w:val="left"/>
        </w:tabs>
        <w:bidi w:val="0"/>
        <w:spacing w:before="0" w:after="0" w:line="469" w:lineRule="exact"/>
        <w:ind w:left="0" w:right="0" w:firstLine="360"/>
        <w:jc w:val="both"/>
      </w:pPr>
      <w:bookmarkStart w:id="698" w:name="bookmark698"/>
      <w:r>
        <w:rPr>
          <w:color w:val="000000"/>
          <w:spacing w:val="0"/>
          <w:w w:val="100"/>
          <w:position w:val="0"/>
        </w:rPr>
        <w:t>六</w:t>
      </w:r>
      <w:bookmarkEnd w:id="698"/>
      <w:r>
        <w:rPr>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7"/>
        <w:keepNext w:val="0"/>
        <w:keepLines w:val="0"/>
        <w:widowControl w:val="0"/>
        <w:shd w:val="clear" w:color="auto" w:fill="auto"/>
        <w:bidi w:val="0"/>
        <w:spacing w:before="0" w:after="260" w:line="469" w:lineRule="exact"/>
        <w:ind w:left="0" w:right="0" w:firstLine="360"/>
        <w:jc w:val="both"/>
      </w:pPr>
      <w:bookmarkStart w:id="699" w:name="bookmark699"/>
      <w:r>
        <w:rPr>
          <w:rFonts w:ascii="Times New Roman" w:eastAsia="Times New Roman" w:hAnsi="Times New Roman" w:cs="Times New Roman"/>
          <w:color w:val="000000"/>
          <w:spacing w:val="0"/>
          <w:w w:val="100"/>
          <w:position w:val="0"/>
          <w:sz w:val="18"/>
          <w:szCs w:val="18"/>
        </w:rPr>
        <w:t>（</w:t>
      </w:r>
      <w:bookmarkEnd w:id="699"/>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7"/>
        <w:keepNext w:val="0"/>
        <w:keepLines w:val="0"/>
        <w:widowControl w:val="0"/>
        <w:shd w:val="clear" w:color="auto" w:fill="auto"/>
        <w:tabs>
          <w:tab w:pos="858" w:val="left"/>
        </w:tabs>
        <w:bidi w:val="0"/>
        <w:spacing w:before="0" w:after="0" w:line="545" w:lineRule="auto"/>
        <w:ind w:left="0" w:right="0" w:firstLine="360"/>
        <w:jc w:val="both"/>
      </w:pPr>
      <w:bookmarkStart w:id="700" w:name="bookmark700"/>
      <w:r>
        <w:rPr>
          <w:rFonts w:ascii="Times New Roman" w:eastAsia="Times New Roman" w:hAnsi="Times New Roman" w:cs="Times New Roman"/>
          <w:color w:val="000000"/>
          <w:spacing w:val="0"/>
          <w:w w:val="100"/>
          <w:position w:val="0"/>
          <w:sz w:val="18"/>
          <w:szCs w:val="18"/>
        </w:rPr>
        <w:t>（</w:t>
      </w:r>
      <w:bookmarkEnd w:id="700"/>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了解与审计相关的内部控制，以设计恰当的审计程序，但目的并非对内部控制的有效性发表意见。</w:t>
      </w:r>
    </w:p>
    <w:p>
      <w:pPr>
        <w:pStyle w:val="Style17"/>
        <w:keepNext w:val="0"/>
        <w:keepLines w:val="0"/>
        <w:widowControl w:val="0"/>
        <w:shd w:val="clear" w:color="auto" w:fill="auto"/>
        <w:tabs>
          <w:tab w:pos="858" w:val="left"/>
        </w:tabs>
        <w:bidi w:val="0"/>
        <w:spacing w:before="0" w:after="0" w:line="545" w:lineRule="auto"/>
        <w:ind w:left="0" w:right="0" w:firstLine="360"/>
        <w:jc w:val="both"/>
      </w:pPr>
      <w:bookmarkStart w:id="701" w:name="bookmark701"/>
      <w:r>
        <w:rPr>
          <w:rFonts w:ascii="Times New Roman" w:eastAsia="Times New Roman" w:hAnsi="Times New Roman" w:cs="Times New Roman"/>
          <w:color w:val="000000"/>
          <w:spacing w:val="0"/>
          <w:w w:val="100"/>
          <w:position w:val="0"/>
          <w:sz w:val="18"/>
          <w:szCs w:val="18"/>
        </w:rPr>
        <w:t>（</w:t>
      </w:r>
      <w:bookmarkEnd w:id="701"/>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评价管理层选用会计政策的恰当性和作出会计估计及相关披露的合理性。</w:t>
      </w:r>
    </w:p>
    <w:p>
      <w:pPr>
        <w:pStyle w:val="Style17"/>
        <w:keepNext w:val="0"/>
        <w:keepLines w:val="0"/>
        <w:widowControl w:val="0"/>
        <w:shd w:val="clear" w:color="auto" w:fill="auto"/>
        <w:tabs>
          <w:tab w:pos="853" w:val="left"/>
        </w:tabs>
        <w:bidi w:val="0"/>
        <w:spacing w:before="0" w:after="260" w:line="469" w:lineRule="exact"/>
        <w:ind w:left="0" w:right="0" w:firstLine="360"/>
        <w:jc w:val="both"/>
      </w:pPr>
      <w:bookmarkStart w:id="702" w:name="bookmark702"/>
      <w:r>
        <w:rPr>
          <w:rFonts w:ascii="Times New Roman" w:eastAsia="Times New Roman" w:hAnsi="Times New Roman" w:cs="Times New Roman"/>
          <w:color w:val="000000"/>
          <w:spacing w:val="0"/>
          <w:w w:val="100"/>
          <w:position w:val="0"/>
          <w:sz w:val="18"/>
          <w:szCs w:val="18"/>
        </w:rPr>
        <w:t>（</w:t>
      </w:r>
      <w:bookmarkEnd w:id="702"/>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对管理层使用持续经营假设的恰当性得出结论。同时，根据获取的审计证据，就可能导致对银之杰公司持续经营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基于截至审计报告日可获得的信息。然而，未来的事项或情况可能导致银之杰公司不能持续经营。</w:t>
      </w:r>
    </w:p>
    <w:p>
      <w:pPr>
        <w:pStyle w:val="Style17"/>
        <w:keepNext w:val="0"/>
        <w:keepLines w:val="0"/>
        <w:widowControl w:val="0"/>
        <w:shd w:val="clear" w:color="auto" w:fill="auto"/>
        <w:tabs>
          <w:tab w:pos="858" w:val="left"/>
        </w:tabs>
        <w:bidi w:val="0"/>
        <w:spacing w:before="0" w:after="0" w:line="545" w:lineRule="auto"/>
        <w:ind w:left="0" w:right="0" w:firstLine="360"/>
        <w:jc w:val="both"/>
      </w:pPr>
      <w:bookmarkStart w:id="703" w:name="bookmark703"/>
      <w:r>
        <w:rPr>
          <w:rFonts w:ascii="Times New Roman" w:eastAsia="Times New Roman" w:hAnsi="Times New Roman" w:cs="Times New Roman"/>
          <w:color w:val="000000"/>
          <w:spacing w:val="0"/>
          <w:w w:val="100"/>
          <w:position w:val="0"/>
          <w:sz w:val="18"/>
          <w:szCs w:val="18"/>
        </w:rPr>
        <w:t>（</w:t>
      </w:r>
      <w:bookmarkEnd w:id="703"/>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评价财务报表的总体列报、结构和内容，并评价财务报表是否公允反映相关交易和事项。</w:t>
      </w:r>
    </w:p>
    <w:p>
      <w:pPr>
        <w:pStyle w:val="Style17"/>
        <w:keepNext w:val="0"/>
        <w:keepLines w:val="0"/>
        <w:widowControl w:val="0"/>
        <w:shd w:val="clear" w:color="auto" w:fill="auto"/>
        <w:bidi w:val="0"/>
        <w:spacing w:before="0" w:after="260" w:line="545" w:lineRule="auto"/>
        <w:ind w:left="0" w:right="0" w:firstLine="360"/>
        <w:jc w:val="both"/>
      </w:pPr>
      <w:bookmarkStart w:id="704" w:name="bookmark704"/>
      <w:r>
        <w:rPr>
          <w:rFonts w:ascii="Times New Roman" w:eastAsia="Times New Roman" w:hAnsi="Times New Roman" w:cs="Times New Roman"/>
          <w:color w:val="000000"/>
          <w:spacing w:val="0"/>
          <w:w w:val="100"/>
          <w:position w:val="0"/>
          <w:sz w:val="18"/>
          <w:szCs w:val="18"/>
        </w:rPr>
        <w:t>（</w:t>
      </w:r>
      <w:bookmarkEnd w:id="704"/>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就银之杰公司中实体或业务活动的财务信息获取充分、适当的审计证据，以对财务报表发表审计意见。我们负责 </w:t>
      </w:r>
      <w:r>
        <w:rPr>
          <w:color w:val="000000"/>
          <w:spacing w:val="0"/>
          <w:w w:val="100"/>
          <w:position w:val="0"/>
        </w:rPr>
        <w:t>指导、监督和执行集团审计，并对审计意见承担全部责任。</w:t>
      </w:r>
      <w:r>
        <w:br w:type="page"/>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1460" w:line="468"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7"/>
        <w:keepNext w:val="0"/>
        <w:keepLines w:val="0"/>
        <w:widowControl w:val="0"/>
        <w:shd w:val="clear" w:color="auto" w:fill="auto"/>
        <w:tabs>
          <w:tab w:pos="3250" w:val="left"/>
        </w:tabs>
        <w:bidi w:val="0"/>
        <w:spacing w:before="0" w:after="140" w:line="240" w:lineRule="auto"/>
        <w:ind w:left="0" w:right="0" w:firstLine="0"/>
        <w:jc w:val="center"/>
      </w:pPr>
      <w:r>
        <w:rPr>
          <w:color w:val="000000"/>
          <w:spacing w:val="0"/>
          <w:w w:val="100"/>
          <w:position w:val="0"/>
        </w:rPr>
        <w:t>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中国注册会计师：章归鸿</w:t>
      </w:r>
    </w:p>
    <w:p>
      <w:pPr>
        <w:pStyle w:val="Style17"/>
        <w:keepNext w:val="0"/>
        <w:keepLines w:val="0"/>
        <w:widowControl w:val="0"/>
        <w:shd w:val="clear" w:color="auto" w:fill="auto"/>
        <w:bidi w:val="0"/>
        <w:spacing w:before="0" w:after="140" w:line="240" w:lineRule="auto"/>
        <w:ind w:left="0" w:right="122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项目合伙人</w:t>
      </w:r>
      <w:r>
        <w:rPr>
          <w:color w:val="000000"/>
          <w:spacing w:val="0"/>
          <w:w w:val="100"/>
          <w:position w:val="0"/>
          <w:sz w:val="18"/>
          <w:szCs w:val="18"/>
        </w:rPr>
        <w:t>）</w:t>
      </w:r>
    </w:p>
    <w:p>
      <w:pPr>
        <w:pStyle w:val="Style17"/>
        <w:keepNext w:val="0"/>
        <w:keepLines w:val="0"/>
        <w:widowControl w:val="0"/>
        <w:shd w:val="clear" w:color="auto" w:fill="auto"/>
        <w:tabs>
          <w:tab w:pos="7349" w:val="left"/>
        </w:tabs>
        <w:bidi w:val="0"/>
        <w:spacing w:before="0" w:after="500" w:line="240" w:lineRule="auto"/>
        <w:ind w:left="4920" w:right="0" w:firstLine="0"/>
        <w:jc w:val="left"/>
      </w:pPr>
      <w:r>
        <w:rPr>
          <w:color w:val="000000"/>
          <w:spacing w:val="0"/>
          <w:w w:val="100"/>
          <w:position w:val="0"/>
        </w:rPr>
        <w:t>中国•杭州</w:t>
        <w:tab/>
        <w:t>中国注册会计师：王甫荣</w:t>
      </w:r>
    </w:p>
    <w:p>
      <w:pPr>
        <w:pStyle w:val="Style17"/>
        <w:keepNext w:val="0"/>
        <w:keepLines w:val="0"/>
        <w:widowControl w:val="0"/>
        <w:shd w:val="clear" w:color="auto" w:fill="auto"/>
        <w:bidi w:val="0"/>
        <w:spacing w:before="0" w:after="380" w:line="240" w:lineRule="auto"/>
        <w:ind w:left="6080" w:right="0" w:firstLine="0"/>
        <w:jc w:val="left"/>
      </w:pPr>
      <w:r>
        <w:rPr>
          <w:color w:val="000000"/>
          <w:spacing w:val="0"/>
          <w:w w:val="100"/>
          <w:position w:val="0"/>
        </w:rPr>
        <w:t>报告日期：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32"/>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r>
        <w:rPr>
          <w:color w:val="000000"/>
          <w:spacing w:val="0"/>
          <w:w w:val="100"/>
          <w:position w:val="0"/>
          <w:sz w:val="24"/>
          <w:szCs w:val="24"/>
        </w:rPr>
        <w:t>二、财务报表</w:t>
      </w:r>
      <w:bookmarkEnd w:id="705"/>
      <w:bookmarkEnd w:id="706"/>
      <w:bookmarkEnd w:id="70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、合并资产负债表</w:t>
      </w:r>
      <w:bookmarkEnd w:id="708"/>
      <w:bookmarkEnd w:id="709"/>
      <w:bookmarkEnd w:id="711"/>
    </w:p>
    <w:p>
      <w:pPr>
        <w:pStyle w:val="Style17"/>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6369685</wp:posOffset>
                </wp:positionH>
                <wp:positionV relativeFrom="paragraph">
                  <wp:posOffset>431800</wp:posOffset>
                </wp:positionV>
                <wp:extent cx="481330" cy="146050"/>
                <wp:wrapSquare wrapText="bothSides"/>
                <wp:docPr id="10" name="Shape 10"/>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6" type="#_x0000_t202" style="position:absolute;margin-left:501.55000000000001pt;margin-top:34.pt;width:37.899999999999999pt;height:11.5pt;z-index:-125829373;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编制单位：深圳市银之杰科技股份有限公司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4435" w:hSpace="14" w:vSpace="624" w:wrap="notBeside" w:vAnchor="text" w:hAnchor="text" w:x="106" w:y="625"/>
              <w:widowControl w:val="0"/>
              <w:rPr>
                <w:sz w:val="10"/>
                <w:szCs w:val="10"/>
              </w:rPr>
            </w:pPr>
          </w:p>
        </w:tc>
        <w:tc>
          <w:tcPr>
            <w:tcBorders>
              <w:top w:val="single" w:sz="4"/>
              <w:left w:val="single" w:sz="4"/>
              <w:right w:val="single" w:sz="4"/>
            </w:tcBorders>
            <w:shd w:val="clear" w:color="auto" w:fill="D3D3D3"/>
            <w:vAlign w:val="top"/>
          </w:tcPr>
          <w:p>
            <w:pPr>
              <w:framePr w:w="9581" w:h="4435" w:hSpace="14" w:vSpace="624" w:wrap="notBeside" w:vAnchor="text" w:hAnchor="text" w:x="106"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562,391,953.61</w:t>
            </w:r>
          </w:p>
        </w:tc>
        <w:tc>
          <w:tcPr>
            <w:tcBorders>
              <w:top w:val="single" w:sz="4"/>
              <w:left w:val="single" w:sz="4"/>
              <w:right w:val="single" w:sz="4"/>
            </w:tcBorders>
            <w:shd w:val="clear" w:color="auto" w:fill="FFFFFF"/>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282,192,104.71</w:t>
            </w:r>
          </w:p>
        </w:tc>
      </w:tr>
      <w:tr>
        <w:trPr>
          <w:trHeight w:val="403"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4435" w:hSpace="14" w:vSpace="624" w:wrap="notBeside" w:vAnchor="text" w:hAnchor="text" w:x="106" w:y="625"/>
              <w:widowControl w:val="0"/>
              <w:rPr>
                <w:sz w:val="10"/>
                <w:szCs w:val="10"/>
              </w:rPr>
            </w:pPr>
          </w:p>
        </w:tc>
        <w:tc>
          <w:tcPr>
            <w:tcBorders>
              <w:top w:val="single" w:sz="4"/>
              <w:left w:val="single" w:sz="4"/>
              <w:right w:val="single" w:sz="4"/>
            </w:tcBorders>
            <w:shd w:val="clear" w:color="auto" w:fill="FFFFFF"/>
            <w:vAlign w:val="top"/>
          </w:tcPr>
          <w:p>
            <w:pPr>
              <w:framePr w:w="9581" w:h="4435" w:hSpace="14" w:vSpace="624" w:wrap="notBeside" w:vAnchor="text" w:hAnchor="text" w:x="106"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4435" w:hSpace="14" w:vSpace="624" w:wrap="notBeside" w:vAnchor="text" w:hAnchor="text" w:x="106" w:y="625"/>
              <w:widowControl w:val="0"/>
              <w:rPr>
                <w:sz w:val="10"/>
                <w:szCs w:val="10"/>
              </w:rPr>
            </w:pPr>
          </w:p>
        </w:tc>
        <w:tc>
          <w:tcPr>
            <w:tcBorders>
              <w:top w:val="single" w:sz="4"/>
              <w:left w:val="single" w:sz="4"/>
              <w:right w:val="single" w:sz="4"/>
            </w:tcBorders>
            <w:shd w:val="clear" w:color="auto" w:fill="FFFFFF"/>
            <w:vAlign w:val="top"/>
          </w:tcPr>
          <w:p>
            <w:pPr>
              <w:framePr w:w="9581" w:h="4435" w:hSpace="14" w:vSpace="624" w:wrap="notBeside" w:vAnchor="text" w:hAnchor="text" w:x="106"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4435" w:hSpace="14" w:vSpace="624" w:wrap="notBeside" w:vAnchor="text" w:hAnchor="text" w:x="106" w:y="625"/>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4435" w:hSpace="14" w:vSpace="624" w:wrap="notBeside" w:vAnchor="text" w:hAnchor="text" w:x="106" w:y="625"/>
              <w:widowControl w:val="0"/>
              <w:rPr>
                <w:sz w:val="10"/>
                <w:szCs w:val="10"/>
              </w:rPr>
            </w:pPr>
          </w:p>
        </w:tc>
        <w:tc>
          <w:tcPr>
            <w:tcBorders>
              <w:top w:val="single" w:sz="4"/>
              <w:left w:val="single" w:sz="4"/>
              <w:right w:val="single" w:sz="4"/>
            </w:tcBorders>
            <w:shd w:val="clear" w:color="auto" w:fill="FFFFFF"/>
            <w:vAlign w:val="top"/>
          </w:tcPr>
          <w:p>
            <w:pPr>
              <w:framePr w:w="9581" w:h="4435" w:hSpace="14" w:vSpace="624" w:wrap="notBeside" w:vAnchor="text" w:hAnchor="text" w:x="106"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4435" w:hSpace="14" w:vSpace="624" w:wrap="notBeside" w:vAnchor="text" w:hAnchor="text" w:x="106" w:y="625"/>
              <w:widowControl w:val="0"/>
              <w:rPr>
                <w:sz w:val="10"/>
                <w:szCs w:val="10"/>
              </w:rPr>
            </w:pPr>
          </w:p>
        </w:tc>
        <w:tc>
          <w:tcPr>
            <w:tcBorders>
              <w:top w:val="single" w:sz="4"/>
              <w:left w:val="single" w:sz="4"/>
              <w:right w:val="single" w:sz="4"/>
            </w:tcBorders>
            <w:shd w:val="clear" w:color="auto" w:fill="FFFFFF"/>
            <w:vAlign w:val="top"/>
          </w:tcPr>
          <w:p>
            <w:pPr>
              <w:framePr w:w="9581" w:h="4435" w:hSpace="14" w:vSpace="624" w:wrap="notBeside" w:vAnchor="text" w:hAnchor="text" w:x="106"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361,533,980.53</w:t>
            </w:r>
          </w:p>
        </w:tc>
        <w:tc>
          <w:tcPr>
            <w:tcBorders>
              <w:top w:val="single" w:sz="4"/>
              <w:left w:val="single" w:sz="4"/>
              <w:right w:val="single" w:sz="4"/>
            </w:tcBorders>
            <w:shd w:val="clear" w:color="auto" w:fill="FFFFFF"/>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406,195,706.46</w:t>
            </w:r>
          </w:p>
        </w:tc>
      </w:tr>
      <w:tr>
        <w:trPr>
          <w:trHeight w:val="403" w:hRule="exact"/>
        </w:trPr>
        <w:tc>
          <w:tcPr>
            <w:tcBorders>
              <w:top w:val="single" w:sz="4"/>
              <w:left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1" w:h="4435" w:hSpace="14" w:vSpace="624" w:wrap="notBeside" w:vAnchor="text" w:hAnchor="text" w:x="106" w:y="625"/>
              <w:widowControl w:val="0"/>
              <w:rPr>
                <w:sz w:val="10"/>
                <w:szCs w:val="10"/>
              </w:rPr>
            </w:pPr>
          </w:p>
        </w:tc>
        <w:tc>
          <w:tcPr>
            <w:tcBorders>
              <w:top w:val="single" w:sz="4"/>
              <w:left w:val="single" w:sz="4"/>
              <w:right w:val="single" w:sz="4"/>
            </w:tcBorders>
            <w:shd w:val="clear" w:color="auto" w:fill="FFFFFF"/>
            <w:vAlign w:val="top"/>
          </w:tcPr>
          <w:p>
            <w:pPr>
              <w:framePr w:w="9581" w:h="4435" w:hSpace="14" w:vSpace="624" w:wrap="notBeside" w:vAnchor="text" w:hAnchor="text" w:x="106" w:y="62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141,218,041.74</w:t>
            </w:r>
          </w:p>
        </w:tc>
        <w:tc>
          <w:tcPr>
            <w:tcBorders>
              <w:top w:val="single" w:sz="4"/>
              <w:left w:val="single" w:sz="4"/>
              <w:bottom w:val="single" w:sz="4"/>
              <w:right w:val="single" w:sz="4"/>
            </w:tcBorders>
            <w:shd w:val="clear" w:color="auto" w:fill="FFFFFF"/>
            <w:vAlign w:val="center"/>
          </w:tcPr>
          <w:p>
            <w:pPr>
              <w:pStyle w:val="Style29"/>
              <w:keepNext w:val="0"/>
              <w:keepLines w:val="0"/>
              <w:framePr w:w="9581" w:h="4435" w:hSpace="14" w:vSpace="624" w:wrap="notBeside" w:vAnchor="text" w:hAnchor="text" w:x="106" w:y="625"/>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191,369,361.13</w:t>
            </w:r>
          </w:p>
        </w:tc>
      </w:tr>
    </w:tbl>
    <w:p>
      <w:pPr>
        <w:pStyle w:val="Style41"/>
        <w:keepNext w:val="0"/>
        <w:keepLines w:val="0"/>
        <w:framePr w:w="9365" w:h="206" w:hSpace="91" w:wrap="notBeside" w:vAnchor="text" w:hAnchor="text" w:x="92"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42,511,292.48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47,794,136.39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118,914,300.63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100,871,874.99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49,134,821.34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161,140,756.94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1,275,704,390.33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1,249,563,940.62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380,887,542.31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481,429,465.01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168,278,587.19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72,250,014.54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16,037,501.36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17,315,049.28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52,423,206.37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55,483,496.17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15,424,139.02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12,759,968.70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155,617,924.66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5,120,846.41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5,472,231.76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36,539,531.22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45,008,942.71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830,447,992.31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845,337,092.83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2,106,152,382.64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2,094,901,033.45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465,563,195.60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330,456,086.25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46,769,379.06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25,159,856.89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63,447,422.64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58,497,226.90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92,180,724.63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57,759,343.41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13,170,778.28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15,365,076.46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51,695,989.80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76,298,939.41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3,235,208.22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4,023,030.58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110,169,897.26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3,556,823.78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705,198,140.79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712,201,293.88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2,985,529.94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4,370,890.19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2,958,625.75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3,860,693.19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9,629,110.28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8,231,583.38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714,827,251.07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720,432,877.26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380,384,170.38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389,366,482.10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29,860,118.08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28,766,052.06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247,849,106.53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228,084,840.87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1,365,500,811.38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1,353,168,385.28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25,824,320.19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21,299,770.91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1,391,325,131.57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1,374,468,156.19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2,106,152,382.64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2,094,901,033.45</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701675</wp:posOffset>
                </wp:positionH>
                <wp:positionV relativeFrom="margin">
                  <wp:posOffset>6184265</wp:posOffset>
                </wp:positionV>
                <wp:extent cx="1054735" cy="149225"/>
                <wp:wrapTopAndBottom/>
                <wp:docPr id="12" name="Shape 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38" type="#_x0000_t202" style="position:absolute;margin-left:55.25pt;margin-top:486.94999999999999pt;width:83.049999999999997pt;height:11.75pt;z-index:-125829371;mso-wrap-distance-left:9.pt;mso-wrap-distance-top:12.pt;mso-wrap-distance-right:405.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2877820</wp:posOffset>
                </wp:positionH>
                <wp:positionV relativeFrom="margin">
                  <wp:posOffset>6184265</wp:posOffset>
                </wp:positionV>
                <wp:extent cx="1508760" cy="146050"/>
                <wp:wrapTopAndBottom/>
                <wp:docPr id="14" name="Shape 1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主管会计工作负责人：宋卢亮</w:t>
                            </w:r>
                          </w:p>
                        </w:txbxContent>
                      </wps:txbx>
                      <wps:bodyPr wrap="none" lIns="0" tIns="0" rIns="0" bIns="0">
                        <a:noAutoFit/>
                      </wps:bodyPr>
                    </wps:wsp>
                  </a:graphicData>
                </a:graphic>
              </wp:anchor>
            </w:drawing>
          </mc:Choice>
          <mc:Fallback>
            <w:pict>
              <v:shape id="_x0000_s1040" type="#_x0000_t202" style="position:absolute;margin-left:226.59999999999999pt;margin-top:486.94999999999999pt;width:118.8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主管会计工作负责人：宋卢亮</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5502275</wp:posOffset>
                </wp:positionH>
                <wp:positionV relativeFrom="margin">
                  <wp:posOffset>6184265</wp:posOffset>
                </wp:positionV>
                <wp:extent cx="1286510" cy="149225"/>
                <wp:wrapTopAndBottom/>
                <wp:docPr id="16" name="Shape 1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42" type="#_x0000_t202" style="position:absolute;margin-left:433.25pt;margin-top:486.94999999999999pt;width:101.3pt;height:11.75pt;z-index:-125829367;mso-wrap-distance-left:387.pt;mso-wrap-distance-top:12.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、母公司资产负债表</w:t>
      </w:r>
      <w:bookmarkEnd w:id="712"/>
      <w:bookmarkEnd w:id="713"/>
      <w:bookmarkEnd w:id="715"/>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444,052,265.28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155,557,350.59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163,994,070.36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177,291,770.36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4,283,848.73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15,003,429.49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38,994,577.00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122,231,918.77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24,674,180.65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13,633,875.91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4,044,302.32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105,587,687.15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680,043,244.34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649,306,032.27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780,846,314.72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846,414,032.41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120,894,286.94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42,250,000.00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10,974,510.72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11,922,030.26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26,790,742.20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23,401,436.55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14,535,161.11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10,631,966.85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4,501,696.40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4,344,013.94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25,523,193.65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23,609,513.45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984,065,905.74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962,572,993.46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1,664,109,150.08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1,611,879,025.73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231,036,295.33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210,321,840.41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137,084,042.27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9,370,000.00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9,221,407.81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33,817,644.41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2,040,030.06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3,365,348.00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3,235,688.04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3,813,651.25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8,520,221.13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9,530,800.96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31,017,123.97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3,265,020.62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110,169,897.26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367,752.08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423,847,878.63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382,328,884.97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4,370,890.19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4,370,890.19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427,532,833.22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386,699,775.16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389,366,482.10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27,773,402.55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26,679,336.53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112,029,015.82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102,182,421.69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1,236,576,316.86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1,225,179,250.57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1,664,109,150.08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1,611,879,025.73</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3</w:t>
      </w:r>
      <w:bookmarkEnd w:id="718"/>
      <w:r>
        <w:rPr>
          <w:color w:val="000000"/>
          <w:spacing w:val="0"/>
          <w:w w:val="100"/>
          <w:position w:val="0"/>
        </w:rPr>
        <w:t>、合并利润表</w:t>
      </w:r>
      <w:bookmarkEnd w:id="716"/>
      <w:bookmarkEnd w:id="717"/>
      <w:bookmarkEnd w:id="71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1,181,006,553.61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1,181,006,553.61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1,356,832,237.44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1,150,891,123.37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1,037,751,280.09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809,406,939.98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2,298,651.17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1,379,402.26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168,431,893.10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192,201,122.27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60,784,125.08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62,058,606.69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74,028,411.51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68,812,204.30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13,537,876.49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17,032,847.87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21,687,368.93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25,658,645.54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6,777,194.75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9,478,079.31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12,468,031.26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8,176,569.93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-2,636,603.43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-17,004,282.14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-4,969,756.19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-18,234,278.03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-12,253,825.54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-15,542,518.98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-801,245.61</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-15,688.52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30,254,328.70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4,877,809.42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110,328.84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123,111.14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89,801.58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599,928.97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30,274,855.96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4,400,991.59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-5,225,713.28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-3,000,607.43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35,500,569.24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7,401,599.02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35,500,569.24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7,401,599.02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20,858,331.68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4,917,894.10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14,642,237.56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2,483,704.92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456,406.14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-102,449.33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456,406.14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-102,449.33</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06" w:right="1065" w:bottom="1436" w:left="1057" w:header="0" w:footer="3" w:gutter="0"/>
          <w:cols w:space="720"/>
          <w:noEndnote/>
          <w:rtlGutter w:val="0"/>
          <w:docGrid w:linePitch="360"/>
        </w:sectPr>
      </w:pP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456,406.14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-102,449.33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456,406.14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-102,449.33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35,956,975.38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7,299,149.69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21,314,737.82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4,815,444.77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14,642,237.56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2,483,704.92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0.0295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0.0295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17"/>
        <w:keepNext w:val="0"/>
        <w:keepLines w:val="0"/>
        <w:widowControl w:val="0"/>
        <w:shd w:val="clear" w:color="auto" w:fill="auto"/>
        <w:tabs>
          <w:tab w:pos="3422" w:val="left"/>
          <w:tab w:pos="7555" w:val="left"/>
        </w:tabs>
        <w:bidi w:val="0"/>
        <w:spacing w:before="0" w:after="380" w:line="240" w:lineRule="auto"/>
        <w:ind w:left="0" w:right="0" w:firstLine="0"/>
        <w:jc w:val="left"/>
      </w:pPr>
      <w:r>
        <w:rPr>
          <w:color w:val="000000"/>
          <w:spacing w:val="0"/>
          <w:w w:val="100"/>
          <w:position w:val="0"/>
        </w:rPr>
        <w:t>法定代表人：陈向军</w:t>
        <w:tab/>
        <w:t>主管会计工作负责人：宋卢亮</w:t>
        <w:tab/>
        <w:t>会计机构负责人：张春雷</w:t>
      </w:r>
    </w:p>
    <w:p>
      <w:pPr>
        <w:pStyle w:val="Style36"/>
        <w:keepNext/>
        <w:keepLines/>
        <w:widowControl w:val="0"/>
        <w:shd w:val="clear" w:color="auto" w:fill="auto"/>
        <w:bidi w:val="0"/>
        <w:spacing w:before="0" w:after="38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41" w:right="1102" w:bottom="1959" w:left="1107" w:header="0" w:footer="3" w:gutter="0"/>
          <w:cols w:space="720"/>
          <w:noEndnote/>
          <w:rtlGutter w:val="0"/>
          <w:docGrid w:linePitch="360"/>
        </w:sectPr>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4</w:t>
      </w:r>
      <w:bookmarkEnd w:id="722"/>
      <w:r>
        <w:rPr>
          <w:color w:val="000000"/>
          <w:spacing w:val="0"/>
          <w:w w:val="100"/>
          <w:position w:val="0"/>
        </w:rPr>
        <w:t>、母公司利润表</w:t>
      </w:r>
      <w:bookmarkEnd w:id="720"/>
      <w:bookmarkEnd w:id="721"/>
      <w:bookmarkEnd w:id="723"/>
    </w:p>
    <w:p>
      <w:pPr>
        <w:widowControl w:val="0"/>
        <w:spacing w:after="119" w:line="1" w:lineRule="exact"/>
      </w:pP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208,792,786.44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170,450,465.69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136,788,538.62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116,986,961.33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932,145.09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501,188.54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15,420,166.60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13,861,190.95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21,360,539.50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23,702,789.01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26,899,625.97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33,741,007.41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6,273,925.27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9,167,266.54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14,383,136.44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19,317,005.75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6,351,394.89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10,236,035.52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3,211,066.22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2,450,841.69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14,802,860.37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30,617,481.76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-3,129,836.89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-20,612,514.13</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-10,097,678.82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-2,749,194.41</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-14,538.10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9,034,093.16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2,794,652.85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40,742.91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9,026,979.95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2,753,909.94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-1,913,680.20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-6,692,578.09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10,940,660.15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9,446,488.03</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59"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10,940,660.15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9,446,488.03</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-102,449.33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-102,449.33</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-102,449.33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11,397,066.29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9,344,038.70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0.0134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0.0134</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5</w:t>
      </w:r>
      <w:bookmarkEnd w:id="726"/>
      <w:r>
        <w:rPr>
          <w:color w:val="000000"/>
          <w:spacing w:val="0"/>
          <w:w w:val="100"/>
          <w:position w:val="0"/>
        </w:rPr>
        <w:t>、合并现金流量表</w:t>
      </w:r>
      <w:bookmarkEnd w:id="724"/>
      <w:bookmarkEnd w:id="725"/>
      <w:bookmarkEnd w:id="72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1,452,504,374.49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1,139,449,088.78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24,582,135.31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19,198,234.13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12,366,689.28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45,572,821.11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1,489,453,199.08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1,204,220,144.02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993,602,917.67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896,097,174.81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126,997,420.24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105,224,960.15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35,122,244.25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34,583,590.86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189,067,130.39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221,740,091.99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1,344,789,712.55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1,257,645,817.81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144,663,486.53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-53,425,673.79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136,490,024.05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2,282,697.26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1,229,995.89</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122,735.00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119,710.00</w:t>
            </w:r>
          </w:p>
        </w:tc>
      </w:tr>
    </w:tbl>
    <w:p>
      <w:pPr>
        <w:sectPr>
          <w:headerReference w:type="default" r:id="rId15"/>
          <w:footerReference w:type="default" r:id="rId16"/>
          <w:footnotePr>
            <w:pos w:val="pageBottom"/>
            <w:numFmt w:val="decimal"/>
            <w:numRestart w:val="continuous"/>
          </w:footnotePr>
          <w:pgSz w:w="11900" w:h="16840"/>
          <w:pgMar w:top="1299" w:right="1010" w:bottom="1343" w:left="1011" w:header="0" w:footer="3" w:gutter="0"/>
          <w:cols w:space="720"/>
          <w:noEndnote/>
          <w:rtlGutter w:val="0"/>
          <w:docGrid w:linePitch="360"/>
        </w:sectPr>
      </w:pP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处置子公司及其他营业单位收到 的现金净额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102,969,000.00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405,967,012.89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433,374,432.26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543,806,742.83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22,623,693.98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18,105,647.73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2,102,250.00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403,104,000.00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292,725,943.98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541,209,647.73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140,648,488.28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2,597,095.10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524,357,368.32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30,012,815.83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31,950,000.00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554,620,184.15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425,950,000.00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409,900,000.00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26,413,506.90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39,834,803.52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126,798,069.83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32,022,465.30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657,211,576.73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481,757,268.82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-102,591,392.58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-55,807,268.82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-969,172.29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-99,474.97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181,751,409.94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-106,735,322.48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270,664,139.41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377,399,461.89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452,415,549.35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270,664,139.41</w:t>
            </w:r>
          </w:p>
        </w:tc>
      </w:tr>
    </w:tbl>
    <w:p>
      <w:pPr>
        <w:widowControl w:val="0"/>
        <w:spacing w:after="319" w:line="1" w:lineRule="exact"/>
      </w:pPr>
    </w:p>
    <w:p>
      <w:pPr>
        <w:pStyle w:val="Style36"/>
        <w:keepNext/>
        <w:keepLines/>
        <w:widowControl w:val="0"/>
        <w:shd w:val="clear" w:color="auto" w:fill="auto"/>
        <w:bidi w:val="0"/>
        <w:spacing w:before="0" w:after="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6</w:t>
      </w:r>
      <w:bookmarkEnd w:id="730"/>
      <w:r>
        <w:rPr>
          <w:color w:val="000000"/>
          <w:spacing w:val="0"/>
          <w:w w:val="100"/>
          <w:position w:val="0"/>
        </w:rPr>
        <w:t>、母公司现金流量表</w:t>
      </w:r>
      <w:bookmarkEnd w:id="728"/>
      <w:bookmarkEnd w:id="729"/>
      <w:bookmarkEnd w:id="731"/>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234,573,966.67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163,591,133.61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392,672.48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132,355,989.37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15,849,850.64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367,045,843.85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179,833,656.73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103,467,885.31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143,057,488.29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27,041,298.49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31,862,578.73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6,284,868.23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8,940,555.42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38,226,890.20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101,542,010.71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175,020,942.23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285,402,633.15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192,024,901.62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-105,568,976.42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59,932,697.26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21,229,995.89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102,969,000.00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462,615,063.86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490,903,647.26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611,865,459.75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18,618,627.59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13,312,711.42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4,852,250.00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2,750,000.00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403,104,000.00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291,470,877.59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539,166,711.42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199,432,769.67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72,698,748.33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289,967,360.00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3,458,098.05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31,950,000.00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293,425,458.05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303,950,000.00</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381,000,000.00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314,000,000.00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13,388,422.15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33,551,913.49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98,292,372.69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22,294,000.00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492,680,794.84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369,845,913.49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-199,255,336.79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-65,895,913.49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192,202,334.50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-98,766,141.58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153,283,350.59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252,049,492.17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345,485,685.09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153,283,350.59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7</w:t>
      </w:r>
      <w:bookmarkEnd w:id="734"/>
      <w:r>
        <w:rPr>
          <w:color w:val="000000"/>
          <w:spacing w:val="0"/>
          <w:w w:val="100"/>
          <w:position w:val="0"/>
        </w:rPr>
        <w:t>、合并所有者权益变动表</w:t>
      </w:r>
      <w:bookmarkEnd w:id="732"/>
      <w:bookmarkEnd w:id="733"/>
      <w:bookmarkEnd w:id="73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158" w:hRule="exact"/>
        </w:trPr>
        <w:tc>
          <w:tcPr>
            <w:vMerge w:val="restart"/>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,770.9</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468,15</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r>
      <w:tr>
        <w:trPr>
          <w:trHeight w:val="158" w:hRule="exact"/>
        </w:trPr>
        <w:tc>
          <w:tcPr>
            <w:vMerge w:val="restart"/>
            <w:tcBorders>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168,38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,770.9</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468,15</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5.28</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5"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12,332</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4,524,</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066.02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549.28</w:t>
            </w:r>
          </w:p>
        </w:tc>
        <w:tc>
          <w:tcPr>
            <w:vMerge/>
            <w:tcBorders>
              <w:left w:val="single" w:sz="4"/>
              <w:right w:val="single" w:sz="4"/>
            </w:tcBorders>
            <w:shd w:val="clear" w:color="auto" w:fill="FFFFFF"/>
            <w:vAlign w:val="center"/>
          </w:tcPr>
          <w:p>
            <w:pPr/>
          </w:p>
        </w:tc>
      </w:tr>
      <w:tr>
        <w:trPr>
          <w:trHeight w:val="288" w:hRule="exact"/>
        </w:trPr>
        <w:tc>
          <w:tcPr>
            <w:tcBorders>
              <w:left w:val="single" w:sz="4"/>
              <w:bottom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21,314</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14,642</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-2,767,</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-3,017,</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-7,350,</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划变动额结转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p>
            <w:pPr>
              <w:pStyle w:val="Style2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380,38</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247,84</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25,824</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325,13</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所有者</w:t>
            </w:r>
          </w:p>
          <w:p>
            <w:pPr>
              <w:pStyle w:val="Style29"/>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权益合</w:t>
            </w:r>
          </w:p>
          <w:p>
            <w:pPr>
              <w:pStyle w:val="Style29"/>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1,351,</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w:t>
            </w:r>
          </w:p>
        </w:tc>
      </w:tr>
      <w:tr>
        <w:trPr>
          <w:trHeight w:val="158" w:hRule="exact"/>
        </w:trPr>
        <w:tc>
          <w:tcPr>
            <w:vMerge w:val="restart"/>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94,415.</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302" w:hRule="exact"/>
        </w:trPr>
        <w:tc>
          <w:tcPr>
            <w:vMerge w:val="restart"/>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-2,167,</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-62,049</w:t>
            </w:r>
          </w:p>
        </w:tc>
        <w:tc>
          <w:tcPr>
            <w:vMerge w:val="restart"/>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w:t>
            </w:r>
          </w:p>
        </w:tc>
      </w:tr>
      <w:tr>
        <w:trPr>
          <w:trHeight w:val="139" w:hRule="exact"/>
        </w:trPr>
        <w:tc>
          <w:tcPr>
            <w:vMerge w:val="restart"/>
            <w:tcBorders>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1,363,6</w:t>
            </w:r>
          </w:p>
        </w:tc>
      </w:tr>
      <w:tr>
        <w:trPr>
          <w:trHeight w:val="158" w:hRule="exact"/>
        </w:trPr>
        <w:tc>
          <w:tcPr>
            <w:vMerge w:val="restart"/>
            <w:tcBorders>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099,02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65,086.</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0.32</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065.99</w:t>
            </w:r>
          </w:p>
        </w:tc>
        <w:tc>
          <w:tcPr>
            <w:vMerge w:val="restart"/>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w:t>
            </w:r>
          </w:p>
        </w:tc>
      </w:tr>
      <w:tr>
        <w:trPr>
          <w:trHeight w:val="298"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364.96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04.92</w:t>
            </w:r>
          </w:p>
        </w:tc>
        <w:tc>
          <w:tcPr>
            <w:tcBorders>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069.88</w:t>
            </w:r>
          </w:p>
        </w:tc>
      </w:tr>
      <w:tr>
        <w:trPr>
          <w:trHeight w:val="278" w:hRule="exact"/>
        </w:trPr>
        <w:tc>
          <w:tcPr>
            <w:tcBorders>
              <w:left w:val="single" w:sz="4"/>
              <w:bottom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4,815,</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2,483,7</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13,386</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13,386</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17,636,</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730.89</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16,918</w:t>
            </w:r>
          </w:p>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w:t>
            </w:r>
          </w:p>
          <w:p>
            <w:pPr>
              <w:pStyle w:val="Style2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16,918</w:t>
            </w:r>
          </w:p>
          <w:p>
            <w:pPr>
              <w:pStyle w:val="Style29"/>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,304.0</w:t>
            </w:r>
          </w:p>
          <w:p>
            <w:pPr>
              <w:pStyle w:val="Style2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4,250,0</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304.01</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573.12</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944,64</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-15,07</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7,459.</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,810.70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944,64</w:t>
            </w:r>
          </w:p>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40,53</w:t>
            </w:r>
          </w:p>
          <w:p>
            <w:pPr>
              <w:pStyle w:val="Style2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8</w:t>
      </w:r>
      <w:bookmarkEnd w:id="738"/>
      <w:r>
        <w:rPr>
          <w:color w:val="000000"/>
          <w:spacing w:val="0"/>
          <w:w w:val="100"/>
          <w:position w:val="0"/>
        </w:rPr>
        <w:t>、母公司所有者权益变动表</w:t>
      </w:r>
      <w:bookmarkEnd w:id="736"/>
      <w:bookmarkEnd w:id="737"/>
      <w:bookmarkEnd w:id="73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0,535.0</w:t>
            </w:r>
          </w:p>
          <w:p>
            <w:pPr>
              <w:pStyle w:val="Style29"/>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389,366,</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w:t>
            </w:r>
          </w:p>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26,679,3</w:t>
            </w:r>
          </w:p>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102,18</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2,421.6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1,225,179,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0,535.0</w:t>
            </w:r>
          </w:p>
          <w:p>
            <w:pPr>
              <w:pStyle w:val="Style29"/>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389,366,</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w:t>
            </w:r>
          </w:p>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26,679,3</w:t>
            </w:r>
          </w:p>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102,18</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2,421.6</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1,225,179,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250.57</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w:t>
            </w:r>
          </w:p>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9,846,5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11,397,066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11,397,066</w:t>
            </w:r>
          </w:p>
        </w:tc>
      </w:tr>
    </w:tbl>
    <w:p>
      <w:pPr>
        <w:spacing w:lineRule="exact" w:line="1"/>
        <w:rPr>
          <w:sz w:val="2"/>
          <w:szCs w:val="2"/>
        </w:rPr>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1,094,06</w:t>
            </w:r>
          </w:p>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1,094,06</w:t>
            </w:r>
          </w:p>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0,535.0</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389,366,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112,02</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9,015.8</w:t>
            </w:r>
          </w:p>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1,236,576,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w:t>
            </w:r>
          </w:p>
          <w:p>
            <w:pPr>
              <w:pStyle w:val="Style29"/>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375,979</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123,229,6</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1,218,996,3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-15,416,2</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-2,415,033.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w:t>
            </w:r>
          </w:p>
          <w:p>
            <w:pPr>
              <w:pStyle w:val="Style29"/>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375,979</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412,924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107,813,3</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1,216,581,2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36" w:lineRule="exact"/>
              <w:ind w:left="0" w:right="0" w:firstLine="0"/>
              <w:jc w:val="both"/>
            </w:pPr>
            <w:r>
              <w:rPr>
                <w:color w:val="000000"/>
                <w:spacing w:val="0"/>
                <w:w w:val="100"/>
                <w:position w:val="0"/>
              </w:rPr>
              <w:t>三、本期增减变 动金额（减少以</w:t>
            </w:r>
          </w:p>
          <w:p>
            <w:pPr>
              <w:pStyle w:val="Style29"/>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13,386,</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944,648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-5,630,97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8,597,958.8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9,446,488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9,344,038.7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13,386,</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13,386,730.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16,918,</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16,918,304.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-3,531,5</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-3,531,573.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944,648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-14,132,810</w:t>
            </w:r>
          </w:p>
        </w:tc>
      </w:tr>
    </w:tbl>
    <w:p>
      <w:pPr>
        <w:spacing w:lineRule="exact" w:line="1"/>
        <w:rPr>
          <w:sz w:val="2"/>
          <w:szCs w:val="2"/>
        </w:rPr>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944,648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-944,648.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-14,132,8</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-14,132,810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0,535.</w:t>
            </w:r>
          </w:p>
          <w:p>
            <w:pPr>
              <w:pStyle w:val="Style29"/>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389,366</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102,182,4</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1,225,179,2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w:t>
            </w:r>
          </w:p>
        </w:tc>
      </w:tr>
    </w:tbl>
    <w:p>
      <w:pPr>
        <w:widowControl w:val="0"/>
        <w:spacing w:after="279" w:line="1" w:lineRule="exact"/>
      </w:pPr>
    </w:p>
    <w:p>
      <w:pPr>
        <w:pStyle w:val="Style32"/>
        <w:keepNext/>
        <w:keepLines/>
        <w:widowControl w:val="0"/>
        <w:shd w:val="clear" w:color="auto" w:fill="auto"/>
        <w:bidi w:val="0"/>
        <w:spacing w:before="0" w:after="220" w:line="240" w:lineRule="auto"/>
        <w:ind w:left="0" w:right="0" w:firstLine="0"/>
        <w:jc w:val="left"/>
      </w:pPr>
      <w:bookmarkStart w:id="740" w:name="bookmark740"/>
      <w:bookmarkStart w:id="741" w:name="bookmark741"/>
      <w:bookmarkStart w:id="742" w:name="bookmark742"/>
      <w:r>
        <w:rPr>
          <w:color w:val="000000"/>
          <w:spacing w:val="0"/>
          <w:w w:val="100"/>
          <w:position w:val="0"/>
          <w:sz w:val="24"/>
          <w:szCs w:val="24"/>
        </w:rPr>
        <w:t>三、公司基本情况</w:t>
      </w:r>
      <w:bookmarkEnd w:id="740"/>
      <w:bookmarkEnd w:id="741"/>
      <w:bookmarkEnd w:id="742"/>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深圳市银之杰科技股份有限公司（以下简称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）前身为深圳市银之杰科技有限公司。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经公司临时股东会决议，公司整体变更为股份有限公司，于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日在深圳市市场监督管理局登记注册。</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[2010]548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文核准和深圳证券交易所《关于深圳市银之杰科技股份有限公司人 民币普通股股票在创业板上市的通知》（深证上</w:t>
      </w:r>
      <w:r>
        <w:rPr>
          <w:rFonts w:ascii="Times New Roman" w:eastAsia="Times New Roman" w:hAnsi="Times New Roman" w:cs="Times New Roman"/>
          <w:color w:val="000000"/>
          <w:spacing w:val="0"/>
          <w:w w:val="100"/>
          <w:position w:val="0"/>
          <w:sz w:val="18"/>
          <w:szCs w:val="18"/>
        </w:rPr>
        <w:t>[2010]165</w:t>
      </w:r>
      <w:r>
        <w:rPr>
          <w:color w:val="000000"/>
          <w:spacing w:val="0"/>
          <w:w w:val="100"/>
          <w:position w:val="0"/>
        </w:rPr>
        <w:t>号）同意，本公司发行的人民币普通股股票于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日在深 圳证券交易所上市，股票简称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银之杰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“300085”</w:t>
      </w:r>
      <w:r>
        <w:rPr>
          <w:color w:val="000000"/>
          <w:spacing w:val="0"/>
          <w:w w:val="100"/>
          <w:position w:val="0"/>
        </w:rPr>
        <w:t xml:space="preserve">。公司总部位于广东省深圳市福田区沙头街道天安社区泰然五路 </w:t>
      </w:r>
      <w:r>
        <w:rPr>
          <w:color w:val="000000"/>
          <w:spacing w:val="0"/>
          <w:w w:val="100"/>
          <w:position w:val="0"/>
        </w:rPr>
        <w:t>天安数码城天祥大厦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0A-1</w:t>
      </w:r>
      <w:r>
        <w:rPr>
          <w:color w:val="000000"/>
          <w:spacing w:val="0"/>
          <w:w w:val="100"/>
          <w:position w:val="0"/>
        </w:rPr>
        <w:t>,</w:t>
      </w:r>
      <w:r>
        <w:rPr>
          <w:color w:val="000000"/>
          <w:spacing w:val="0"/>
          <w:w w:val="100"/>
          <w:position w:val="0"/>
        </w:rPr>
        <w:t>企业统一社会信用代码为</w:t>
      </w:r>
      <w:r>
        <w:rPr>
          <w:rFonts w:ascii="Times New Roman" w:eastAsia="Times New Roman" w:hAnsi="Times New Roman" w:cs="Times New Roman"/>
          <w:color w:val="000000"/>
          <w:spacing w:val="0"/>
          <w:w w:val="100"/>
          <w:position w:val="0"/>
          <w:sz w:val="18"/>
          <w:szCs w:val="18"/>
        </w:rPr>
        <w:t>91440300708458455M</w:t>
      </w:r>
      <w:r>
        <w:rPr>
          <w:color w:val="000000"/>
          <w:spacing w:val="0"/>
          <w:w w:val="100"/>
          <w:position w:val="0"/>
        </w:rPr>
        <w:t>。</w:t>
      </w:r>
    </w:p>
    <w:p>
      <w:pPr>
        <w:pStyle w:val="Style17"/>
        <w:keepNext w:val="0"/>
        <w:keepLines w:val="0"/>
        <w:widowControl w:val="0"/>
        <w:shd w:val="clear" w:color="auto" w:fill="auto"/>
        <w:bidi w:val="0"/>
        <w:spacing w:before="0" w:after="0" w:line="471"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日止，公司总股本为</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股。其中，有限售条件的流通股</w:t>
      </w:r>
      <w:r>
        <w:rPr>
          <w:rFonts w:ascii="Times New Roman" w:eastAsia="Times New Roman" w:hAnsi="Times New Roman" w:cs="Times New Roman"/>
          <w:color w:val="000000"/>
          <w:spacing w:val="0"/>
          <w:w w:val="100"/>
          <w:position w:val="0"/>
          <w:sz w:val="18"/>
          <w:szCs w:val="18"/>
        </w:rPr>
        <w:t>194,062,028</w:t>
      </w:r>
      <w:r>
        <w:rPr>
          <w:color w:val="000000"/>
          <w:spacing w:val="0"/>
          <w:w w:val="100"/>
          <w:position w:val="0"/>
        </w:rPr>
        <w:t>股；无限售条件的流通股 份</w:t>
      </w:r>
      <w:r>
        <w:rPr>
          <w:rFonts w:ascii="Times New Roman" w:eastAsia="Times New Roman" w:hAnsi="Times New Roman" w:cs="Times New Roman"/>
          <w:color w:val="000000"/>
          <w:spacing w:val="0"/>
          <w:w w:val="100"/>
          <w:position w:val="0"/>
          <w:sz w:val="18"/>
          <w:szCs w:val="18"/>
        </w:rPr>
        <w:t>512,578,507</w:t>
      </w:r>
      <w:r>
        <w:rPr>
          <w:color w:val="000000"/>
          <w:spacing w:val="0"/>
          <w:w w:val="100"/>
          <w:position w:val="0"/>
        </w:rPr>
        <w:t>股。</w:t>
      </w:r>
    </w:p>
    <w:p>
      <w:pPr>
        <w:pStyle w:val="Style17"/>
        <w:keepNext w:val="0"/>
        <w:keepLines w:val="0"/>
        <w:widowControl w:val="0"/>
        <w:shd w:val="clear" w:color="auto" w:fill="auto"/>
        <w:bidi w:val="0"/>
        <w:spacing w:before="0" w:after="0" w:line="471" w:lineRule="exact"/>
        <w:ind w:left="0" w:right="0"/>
        <w:jc w:val="both"/>
      </w:pPr>
      <w:r>
        <w:rPr>
          <w:color w:val="000000"/>
          <w:spacing w:val="0"/>
          <w:w w:val="100"/>
          <w:position w:val="0"/>
        </w:rPr>
        <w:t>本公司的基本组织架构：根据国家法律法规和公司章程的规定，建立了由股东大会、董事会、监事会及经营管理层组成 的规范的多层次治理结构；董事会下设审计委员会、薪酬与考核委员会。</w:t>
      </w:r>
    </w:p>
    <w:p>
      <w:pPr>
        <w:pStyle w:val="Style17"/>
        <w:keepNext w:val="0"/>
        <w:keepLines w:val="0"/>
        <w:widowControl w:val="0"/>
        <w:shd w:val="clear" w:color="auto" w:fill="auto"/>
        <w:bidi w:val="0"/>
        <w:spacing w:before="0" w:after="0" w:line="471" w:lineRule="exact"/>
        <w:ind w:left="0" w:right="0"/>
        <w:jc w:val="both"/>
      </w:pPr>
      <w:r>
        <w:rPr>
          <w:color w:val="000000"/>
          <w:spacing w:val="0"/>
          <w:w w:val="100"/>
          <w:position w:val="0"/>
        </w:rPr>
        <w:t>本公司属于软件和信息技术服务业。公司及各子公司主营业务是为银行等金融机构提供软件产品、软件开发、数字金融 解决方案、金融专用设备和技术服务；为企业提供移动信息服务、移动商务解决方案，以及基于大数据的风险控制服务；电 子商务；投资发展个人征信、互联网保险、证券业务等。</w:t>
      </w:r>
    </w:p>
    <w:p>
      <w:pPr>
        <w:pStyle w:val="Style17"/>
        <w:keepNext w:val="0"/>
        <w:keepLines w:val="0"/>
        <w:widowControl w:val="0"/>
        <w:shd w:val="clear" w:color="auto" w:fill="auto"/>
        <w:bidi w:val="0"/>
        <w:spacing w:before="0" w:after="0" w:line="471" w:lineRule="exact"/>
        <w:ind w:left="0" w:right="0"/>
        <w:jc w:val="both"/>
      </w:pPr>
      <w:r>
        <w:rPr>
          <w:color w:val="000000"/>
          <w:spacing w:val="0"/>
          <w:w w:val="100"/>
          <w:position w:val="0"/>
        </w:rPr>
        <w:t>本公司财务报表及财务报表附注于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日经公司第五届董事会第七次会议审议批准报出。</w:t>
      </w:r>
    </w:p>
    <w:p>
      <w:pPr>
        <w:pStyle w:val="Style17"/>
        <w:keepNext w:val="0"/>
        <w:keepLines w:val="0"/>
        <w:widowControl w:val="0"/>
        <w:shd w:val="clear" w:color="auto" w:fill="auto"/>
        <w:bidi w:val="0"/>
        <w:spacing w:before="0" w:after="460" w:line="471"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家，详见附注九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在其他主体中的权益匚与上年度相比，本公司本年度合并 范围增加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家，注销和转让</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家，详见附注八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98" w:val="left"/>
        </w:tabs>
        <w:bidi w:val="0"/>
        <w:spacing w:before="0" w:after="380" w:line="240" w:lineRule="auto"/>
        <w:ind w:left="0" w:right="0" w:firstLine="0"/>
        <w:jc w:val="both"/>
      </w:pPr>
      <w:bookmarkStart w:id="743" w:name="bookmark743"/>
      <w:bookmarkStart w:id="744" w:name="bookmark744"/>
      <w:bookmarkStart w:id="745" w:name="bookmark745"/>
      <w:bookmarkStart w:id="746" w:name="bookmark746"/>
      <w:r>
        <w:rPr>
          <w:color w:val="000000"/>
          <w:spacing w:val="0"/>
          <w:w w:val="100"/>
          <w:position w:val="0"/>
          <w:sz w:val="24"/>
          <w:szCs w:val="24"/>
        </w:rPr>
        <w:t>四</w:t>
      </w:r>
      <w:bookmarkEnd w:id="745"/>
      <w:r>
        <w:rPr>
          <w:color w:val="000000"/>
          <w:spacing w:val="0"/>
          <w:w w:val="100"/>
          <w:position w:val="0"/>
          <w:sz w:val="24"/>
          <w:szCs w:val="24"/>
        </w:rPr>
        <w:t>、</w:t>
        <w:tab/>
        <w:t>财务报表的编制基础</w:t>
      </w:r>
      <w:bookmarkEnd w:id="743"/>
      <w:bookmarkEnd w:id="744"/>
      <w:bookmarkEnd w:id="746"/>
    </w:p>
    <w:p>
      <w:pPr>
        <w:pStyle w:val="Style36"/>
        <w:keepNext/>
        <w:keepLines/>
        <w:widowControl w:val="0"/>
        <w:shd w:val="clear" w:color="auto" w:fill="auto"/>
        <w:tabs>
          <w:tab w:pos="396" w:val="left"/>
        </w:tabs>
        <w:bidi w:val="0"/>
        <w:spacing w:before="0" w:after="18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w:t>
        <w:tab/>
        <w:t>编制基础</w:t>
      </w:r>
      <w:bookmarkEnd w:id="747"/>
      <w:bookmarkEnd w:id="748"/>
      <w:bookmarkEnd w:id="750"/>
    </w:p>
    <w:p>
      <w:pPr>
        <w:pStyle w:val="Style17"/>
        <w:keepNext w:val="0"/>
        <w:keepLines w:val="0"/>
        <w:widowControl w:val="0"/>
        <w:shd w:val="clear" w:color="auto" w:fill="auto"/>
        <w:bidi w:val="0"/>
        <w:spacing w:before="0" w:after="460" w:line="463" w:lineRule="exact"/>
        <w:ind w:left="0" w:right="0"/>
        <w:jc w:val="both"/>
      </w:pPr>
      <w:r>
        <w:rPr>
          <w:color w:val="000000"/>
          <w:spacing w:val="0"/>
          <w:w w:val="100"/>
          <w:position w:val="0"/>
        </w:rPr>
        <w:t>本公司以持续经营为基础，根据实际发生的交易和事项，按照财政部颁布的《企业会计准则一基本准则》和各项具体 会计准则、企业会计准则应用指南、企业会计准则解释及其他相关规定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 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的披露规定编制财务报表。</w:t>
      </w:r>
    </w:p>
    <w:p>
      <w:pPr>
        <w:pStyle w:val="Style36"/>
        <w:keepNext/>
        <w:keepLines/>
        <w:widowControl w:val="0"/>
        <w:shd w:val="clear" w:color="auto" w:fill="auto"/>
        <w:tabs>
          <w:tab w:pos="396" w:val="left"/>
        </w:tabs>
        <w:bidi w:val="0"/>
        <w:spacing w:before="0" w:after="18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持续经营</w:t>
      </w:r>
      <w:bookmarkEnd w:id="751"/>
      <w:bookmarkEnd w:id="752"/>
      <w:bookmarkEnd w:id="754"/>
    </w:p>
    <w:p>
      <w:pPr>
        <w:pStyle w:val="Style17"/>
        <w:keepNext w:val="0"/>
        <w:keepLines w:val="0"/>
        <w:widowControl w:val="0"/>
        <w:shd w:val="clear" w:color="auto" w:fill="auto"/>
        <w:bidi w:val="0"/>
        <w:spacing w:before="0" w:after="460" w:line="471" w:lineRule="exact"/>
        <w:ind w:left="0" w:right="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个月内的持续经营假设产生重大疑虑的事项或情况。</w:t>
      </w:r>
    </w:p>
    <w:p>
      <w:pPr>
        <w:pStyle w:val="Style32"/>
        <w:keepNext/>
        <w:keepLines/>
        <w:widowControl w:val="0"/>
        <w:shd w:val="clear" w:color="auto" w:fill="auto"/>
        <w:tabs>
          <w:tab w:pos="517" w:val="left"/>
        </w:tabs>
        <w:bidi w:val="0"/>
        <w:spacing w:before="0" w:after="38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sz w:val="24"/>
          <w:szCs w:val="24"/>
        </w:rPr>
        <w:t>五</w:t>
      </w:r>
      <w:bookmarkEnd w:id="757"/>
      <w:r>
        <w:rPr>
          <w:color w:val="000000"/>
          <w:spacing w:val="0"/>
          <w:w w:val="100"/>
          <w:position w:val="0"/>
          <w:sz w:val="24"/>
          <w:szCs w:val="24"/>
        </w:rPr>
        <w:t>、</w:t>
        <w:tab/>
        <w:t>重要会计政策及会计估计</w:t>
      </w:r>
      <w:bookmarkEnd w:id="755"/>
      <w:bookmarkEnd w:id="756"/>
      <w:bookmarkEnd w:id="758"/>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460" w:line="463" w:lineRule="exact"/>
        <w:ind w:left="0" w:right="0"/>
        <w:jc w:val="both"/>
      </w:pPr>
      <w:r>
        <w:rPr>
          <w:color w:val="000000"/>
          <w:spacing w:val="0"/>
          <w:w w:val="100"/>
          <w:position w:val="0"/>
        </w:rPr>
        <w:t>本公司及各子公司根据实际生产经营特点，依据相关企业会计准则的规定，对收入确认、金融工具减值、固定资产折旧 等交易和事项指定了若干具体会计政策和会计估计，具体会计政策参详见本附注五、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w:t>
      </w:r>
    </w:p>
    <w:p>
      <w:pPr>
        <w:pStyle w:val="Style36"/>
        <w:keepNext/>
        <w:keepLines/>
        <w:widowControl w:val="0"/>
        <w:shd w:val="clear" w:color="auto" w:fill="auto"/>
        <w:bidi w:val="0"/>
        <w:spacing w:before="0" w:after="180" w:line="240" w:lineRule="auto"/>
        <w:ind w:left="0" w:right="0" w:firstLine="0"/>
        <w:jc w:val="left"/>
      </w:pPr>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59"/>
      <w:bookmarkEnd w:id="760"/>
      <w:bookmarkEnd w:id="761"/>
    </w:p>
    <w:p>
      <w:pPr>
        <w:pStyle w:val="Style17"/>
        <w:keepNext w:val="0"/>
        <w:keepLines w:val="0"/>
        <w:widowControl w:val="0"/>
        <w:shd w:val="clear" w:color="auto" w:fill="auto"/>
        <w:bidi w:val="0"/>
        <w:spacing w:before="0" w:after="380" w:line="471" w:lineRule="exact"/>
        <w:ind w:left="0" w:right="0"/>
        <w:jc w:val="both"/>
      </w:pPr>
      <w:r>
        <w:rPr>
          <w:color w:val="000000"/>
          <w:spacing w:val="0"/>
          <w:w w:val="100"/>
          <w:position w:val="0"/>
        </w:rPr>
        <w:t xml:space="preserve">本公司编制的财务报表符合企业会计准则的要求，真实、完整地反映了公司的财务状况、经营成果和现金流量等有关信 </w:t>
      </w:r>
      <w:r>
        <w:rPr>
          <w:color w:val="000000"/>
          <w:spacing w:val="0"/>
          <w:w w:val="100"/>
          <w:position w:val="0"/>
        </w:rPr>
        <w:t>息。</w:t>
      </w:r>
    </w:p>
    <w:p>
      <w:pPr>
        <w:pStyle w:val="Style36"/>
        <w:keepNext/>
        <w:keepLines/>
        <w:widowControl w:val="0"/>
        <w:shd w:val="clear" w:color="auto" w:fill="auto"/>
        <w:tabs>
          <w:tab w:pos="378" w:val="left"/>
        </w:tabs>
        <w:bidi w:val="0"/>
        <w:spacing w:before="0" w:after="20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color w:val="000000"/>
          <w:spacing w:val="0"/>
          <w:w w:val="100"/>
          <w:position w:val="0"/>
        </w:rPr>
        <w:t>、</w:t>
        <w:tab/>
        <w:t>会计期间</w:t>
      </w:r>
      <w:bookmarkEnd w:id="762"/>
      <w:bookmarkEnd w:id="763"/>
      <w:bookmarkEnd w:id="765"/>
    </w:p>
    <w:p>
      <w:pPr>
        <w:pStyle w:val="Style17"/>
        <w:keepNext w:val="0"/>
        <w:keepLines w:val="0"/>
        <w:widowControl w:val="0"/>
        <w:shd w:val="clear" w:color="auto" w:fill="auto"/>
        <w:bidi w:val="0"/>
        <w:spacing w:before="0" w:after="440" w:line="470" w:lineRule="exact"/>
        <w:ind w:left="0" w:right="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378" w:val="left"/>
        </w:tabs>
        <w:bidi w:val="0"/>
        <w:spacing w:before="0" w:after="20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3</w:t>
      </w:r>
      <w:bookmarkEnd w:id="768"/>
      <w:r>
        <w:rPr>
          <w:color w:val="000000"/>
          <w:spacing w:val="0"/>
          <w:w w:val="100"/>
          <w:position w:val="0"/>
        </w:rPr>
        <w:t>、</w:t>
        <w:tab/>
        <w:t>营业周期</w:t>
      </w:r>
      <w:bookmarkEnd w:id="766"/>
      <w:bookmarkEnd w:id="767"/>
      <w:bookmarkEnd w:id="769"/>
    </w:p>
    <w:p>
      <w:pPr>
        <w:pStyle w:val="Style17"/>
        <w:keepNext w:val="0"/>
        <w:keepLines w:val="0"/>
        <w:widowControl w:val="0"/>
        <w:shd w:val="clear" w:color="auto" w:fill="auto"/>
        <w:bidi w:val="0"/>
        <w:spacing w:before="0" w:after="440" w:line="475" w:lineRule="exact"/>
        <w:ind w:left="0" w:right="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6"/>
        <w:keepNext/>
        <w:keepLines/>
        <w:widowControl w:val="0"/>
        <w:shd w:val="clear" w:color="auto" w:fill="auto"/>
        <w:tabs>
          <w:tab w:pos="378" w:val="left"/>
        </w:tabs>
        <w:bidi w:val="0"/>
        <w:spacing w:before="0" w:after="20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4</w:t>
      </w:r>
      <w:bookmarkEnd w:id="772"/>
      <w:r>
        <w:rPr>
          <w:color w:val="000000"/>
          <w:spacing w:val="0"/>
          <w:w w:val="100"/>
          <w:position w:val="0"/>
        </w:rPr>
        <w:t>、</w:t>
        <w:tab/>
        <w:t>记账本位币</w:t>
      </w:r>
      <w:bookmarkEnd w:id="770"/>
      <w:bookmarkEnd w:id="771"/>
      <w:bookmarkEnd w:id="773"/>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本公司及境内子公司采用人民币为记账本位币。本公司境外子公司根据其经营所处的主要经济环境中的货币确定人民币 为其记账本位币。</w:t>
      </w:r>
    </w:p>
    <w:p>
      <w:pPr>
        <w:pStyle w:val="Style17"/>
        <w:keepNext w:val="0"/>
        <w:keepLines w:val="0"/>
        <w:widowControl w:val="0"/>
        <w:shd w:val="clear" w:color="auto" w:fill="auto"/>
        <w:bidi w:val="0"/>
        <w:spacing w:before="0" w:after="440" w:line="466" w:lineRule="exact"/>
        <w:ind w:left="0" w:right="0"/>
        <w:jc w:val="both"/>
      </w:pPr>
      <w:r>
        <w:rPr>
          <w:color w:val="000000"/>
          <w:spacing w:val="0"/>
          <w:w w:val="100"/>
          <w:position w:val="0"/>
        </w:rPr>
        <w:t>本公司编制本财务报表时所采用的货币为人民币。</w:t>
      </w:r>
    </w:p>
    <w:p>
      <w:pPr>
        <w:pStyle w:val="Style36"/>
        <w:keepNext/>
        <w:keepLines/>
        <w:widowControl w:val="0"/>
        <w:shd w:val="clear" w:color="auto" w:fill="auto"/>
        <w:tabs>
          <w:tab w:pos="378" w:val="left"/>
        </w:tabs>
        <w:bidi w:val="0"/>
        <w:spacing w:before="0" w:after="20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5</w:t>
      </w:r>
      <w:bookmarkEnd w:id="776"/>
      <w:r>
        <w:rPr>
          <w:color w:val="000000"/>
          <w:spacing w:val="0"/>
          <w:w w:val="100"/>
          <w:position w:val="0"/>
        </w:rPr>
        <w:t>、</w:t>
        <w:tab/>
        <w:t>同一控制下和非同一控制下企业合并的会计处理方法</w:t>
      </w:r>
      <w:bookmarkEnd w:id="774"/>
      <w:bookmarkEnd w:id="775"/>
      <w:bookmarkEnd w:id="777"/>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7"/>
        <w:keepNext w:val="0"/>
        <w:keepLines w:val="0"/>
        <w:widowControl w:val="0"/>
        <w:numPr>
          <w:ilvl w:val="0"/>
          <w:numId w:val="35"/>
        </w:numPr>
        <w:shd w:val="clear" w:color="auto" w:fill="auto"/>
        <w:tabs>
          <w:tab w:pos="786" w:val="left"/>
        </w:tabs>
        <w:bidi w:val="0"/>
        <w:spacing w:before="0" w:after="0" w:line="470" w:lineRule="exact"/>
        <w:ind w:left="0" w:right="0"/>
        <w:jc w:val="both"/>
      </w:pPr>
      <w:bookmarkStart w:id="778" w:name="bookmark778"/>
      <w:bookmarkEnd w:id="778"/>
      <w:r>
        <w:rPr>
          <w:color w:val="000000"/>
          <w:spacing w:val="0"/>
          <w:w w:val="100"/>
          <w:position w:val="0"/>
        </w:rPr>
        <w:t>同一控制下企业合并的会计处理</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参与合并的企业在合并前后均受同一方或相同的多方最终控制，且该控制并非暂时性的，为同一控制下的企业合并。</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公司在企业合并中取得的被合并方的资产、负债，除因会计政策不同而进行的调整以外，按照合并日被合并方在最终控 制方合并财务报表中的账面价值计量。公司取得的被合并方所有者权益在最终控制方合并财务报表中的账面价值的份额与支 付的合并对价账面价值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的差额，调整资本公积；资本公积不足冲减的，调整留存收益。</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通过多次交易分步实现同一控制下的企业合并，合并前持有投资的账面价值加上合并日新支付对价的账面价值之和，与 合并中取得的净资产账面价值的差额，调整资本公积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，资本公积不足冲减的，调整留存收益。合并方在取得被合 并方控制权之前持有的长期股权投资，在取得原股权之日与合并方与被合并方同处于同一方最终控制之日孰晚日起至合并日 之间已确认有关损益、其他综合收益和其他所有者权益变动，应分别冲减比较报表期间的期初留存收益或当期损益，由于被 投资方重新计量设定受益计划净负债或净资产变动而产生的其他综合收益除外。</w:t>
      </w:r>
    </w:p>
    <w:p>
      <w:pPr>
        <w:pStyle w:val="Style17"/>
        <w:keepNext w:val="0"/>
        <w:keepLines w:val="0"/>
        <w:widowControl w:val="0"/>
        <w:numPr>
          <w:ilvl w:val="0"/>
          <w:numId w:val="35"/>
        </w:numPr>
        <w:shd w:val="clear" w:color="auto" w:fill="auto"/>
        <w:tabs>
          <w:tab w:pos="786" w:val="left"/>
        </w:tabs>
        <w:bidi w:val="0"/>
        <w:spacing w:before="0" w:after="0" w:line="470" w:lineRule="exact"/>
        <w:ind w:left="0" w:right="0"/>
        <w:jc w:val="both"/>
      </w:pPr>
      <w:bookmarkStart w:id="779" w:name="bookmark779"/>
      <w:bookmarkEnd w:id="779"/>
      <w:r>
        <w:rPr>
          <w:color w:val="000000"/>
          <w:spacing w:val="0"/>
          <w:w w:val="100"/>
          <w:position w:val="0"/>
        </w:rPr>
        <w:t>非同一控制下企业合并的会计处理</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参与合并的企业在合并前后不受同一方或相同的多方最终控制的，为非同一控制下的企业合并。</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公司在购买日对合并成本大于合并中取得的被购买方可辨认净资产公允价值份额的差额，确认为商誉；对于合并成本小 于合并中取得的被购买方可辨认净资产公允价值份额，首先对取得的被购买方各项可辨认资产、负债及或有负债的公允价值 </w:t>
      </w:r>
      <w:r>
        <w:rPr>
          <w:color w:val="000000"/>
          <w:spacing w:val="0"/>
          <w:w w:val="100"/>
          <w:position w:val="0"/>
        </w:rPr>
        <w:t>以及合并成本的计量进行复核，经复核后合并成本仍小于合并中取得的被购买方可辨认净资产公允价值份额的，其差额计入 当期损益。</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如果在购买日或合并当期期末，因各种因素影响无法合理确定作为合并对价付出的各项资产的公允价值，或合并中取得 被购买方各项可辨认资产、负债的公允价值，合并当期期末，公司以暂时确定的价值为基础对企业合并进行核算。自购买日 算起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个月内取得进一步的信息表明需对原暂时确定的价值进行调整的，则视同在购买日发生，进行追溯调整，同时对以暂 时性价值为基础提供的比较报表信息进行相关的调整；自购买日算起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个月以后对企业合并成本或合并中取得的可辨认资 产、负债价值的调整，按照《企业会计准则第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号一计政策、会计估计变更和会计差错更正》的原则进行处理。</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公司在企业合并中取得的被购买方的可抵扣暂时性差异，在购买日不符合递延所得税资产确认条件的，不予以确认。购 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个月内，如取得新的或进一步的信息表明购买日的相关情况已经存在，预期被购买方在购买日可抵扣暂时性差异带 来的经济利益能够实现的，确认相关的递延所得税资产，同时减少商誉，商誉不足冲减的，差额部分确认为当期损益；除上 述情况以外，确认与企业合并相关的递延所得税资产，计入当期损益。</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。多次交易 的条款、条件以及经济影响符合以下一种或多种情况，通常表明应将多次交易事项作为一揽子交易进行会计处理：①这些交 易是同时或者在考虑了彼此影响的情况下订立的；②这些交易整体才能达成一项完整的商业结果；③一项交易的发生取决于 其他至少一项交易的发生；④一项交易单独看是不经济的，但是和其他交易一并考虑时是经济的。</w:t>
      </w:r>
    </w:p>
    <w:p>
      <w:pPr>
        <w:pStyle w:val="Style17"/>
        <w:keepNext w:val="0"/>
        <w:keepLines w:val="0"/>
        <w:widowControl w:val="0"/>
        <w:shd w:val="clear" w:color="auto" w:fill="auto"/>
        <w:bidi w:val="0"/>
        <w:spacing w:before="0" w:after="240" w:line="468" w:lineRule="exact"/>
        <w:ind w:left="0" w:right="0"/>
        <w:jc w:val="both"/>
      </w:pP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的，在合并财务报表 中，对于购买日之前持有的被购买方的股权，按照该股权在购买日的公允价值进行重新计量，公允价值与其账面价值的差额 计入当期投资收益；购买日之前已经持有的被购买方的股权涉及其他综合收益、其他所有者权益变动转为购买日当期收益， 由于被投资方重新计量设定受益计划净负债或净资产变动而产生的其他综合收益除外。</w:t>
      </w:r>
    </w:p>
    <w:p>
      <w:pPr>
        <w:pStyle w:val="Style17"/>
        <w:keepNext w:val="0"/>
        <w:keepLines w:val="0"/>
        <w:widowControl w:val="0"/>
        <w:numPr>
          <w:ilvl w:val="0"/>
          <w:numId w:val="35"/>
        </w:numPr>
        <w:shd w:val="clear" w:color="auto" w:fill="auto"/>
        <w:bidi w:val="0"/>
        <w:spacing w:before="0" w:after="0" w:line="542" w:lineRule="auto"/>
        <w:ind w:left="0" w:right="0"/>
        <w:jc w:val="both"/>
      </w:pPr>
      <w:bookmarkStart w:id="780" w:name="bookmark780"/>
      <w:bookmarkEnd w:id="780"/>
      <w:r>
        <w:rPr>
          <w:color w:val="000000"/>
          <w:spacing w:val="0"/>
          <w:w w:val="100"/>
          <w:position w:val="0"/>
        </w:rPr>
        <w:t>企业合并中有关交易费用的处理</w:t>
      </w:r>
    </w:p>
    <w:p>
      <w:pPr>
        <w:pStyle w:val="Style17"/>
        <w:keepNext w:val="0"/>
        <w:keepLines w:val="0"/>
        <w:widowControl w:val="0"/>
        <w:shd w:val="clear" w:color="auto" w:fill="auto"/>
        <w:bidi w:val="0"/>
        <w:spacing w:before="0" w:after="460" w:line="468"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6"/>
        <w:keepNext/>
        <w:keepLines/>
        <w:widowControl w:val="0"/>
        <w:shd w:val="clear" w:color="auto" w:fill="auto"/>
        <w:bidi w:val="0"/>
        <w:spacing w:before="0" w:after="46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6</w:t>
      </w:r>
      <w:bookmarkEnd w:id="783"/>
      <w:r>
        <w:rPr>
          <w:color w:val="000000"/>
          <w:spacing w:val="0"/>
          <w:w w:val="100"/>
          <w:position w:val="0"/>
        </w:rPr>
        <w:t>、合并财务报表的编制方法</w:t>
      </w:r>
      <w:bookmarkEnd w:id="781"/>
      <w:bookmarkEnd w:id="782"/>
      <w:bookmarkEnd w:id="784"/>
    </w:p>
    <w:p>
      <w:pPr>
        <w:pStyle w:val="Style17"/>
        <w:keepNext w:val="0"/>
        <w:keepLines w:val="0"/>
        <w:widowControl w:val="0"/>
        <w:numPr>
          <w:ilvl w:val="0"/>
          <w:numId w:val="37"/>
        </w:numPr>
        <w:shd w:val="clear" w:color="auto" w:fill="auto"/>
        <w:tabs>
          <w:tab w:pos="727" w:val="left"/>
        </w:tabs>
        <w:bidi w:val="0"/>
        <w:spacing w:before="0" w:after="0" w:line="540" w:lineRule="auto"/>
        <w:ind w:left="0" w:right="0"/>
        <w:jc w:val="both"/>
      </w:pPr>
      <w:bookmarkStart w:id="785" w:name="bookmark785"/>
      <w:bookmarkEnd w:id="785"/>
      <w:r>
        <w:rPr>
          <w:color w:val="000000"/>
          <w:spacing w:val="0"/>
          <w:w w:val="100"/>
          <w:position w:val="0"/>
        </w:rPr>
        <w:t>合并范围</w:t>
      </w:r>
    </w:p>
    <w:p>
      <w:pPr>
        <w:pStyle w:val="Style17"/>
        <w:keepNext w:val="0"/>
        <w:keepLines w:val="0"/>
        <w:widowControl w:val="0"/>
        <w:shd w:val="clear" w:color="auto" w:fill="auto"/>
        <w:bidi w:val="0"/>
        <w:spacing w:before="0" w:after="240" w:line="466" w:lineRule="exact"/>
        <w:ind w:left="0" w:right="0"/>
        <w:jc w:val="both"/>
      </w:pPr>
      <w:r>
        <w:rPr>
          <w:color w:val="000000"/>
          <w:spacing w:val="0"/>
          <w:w w:val="100"/>
          <w:position w:val="0"/>
        </w:rPr>
        <w:t>合并财务报表的合并范围以控制为基础确定。控制是指本公司拥有对被投资方的权力，通过参与被投资方的相关活动而 享有可变回报，并且有能力运用对被投资方的权力影响该回报金额。合并范围包括本公司及全部子公司。子公司，是指被本 公司控制的主体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含企业、被投资单位中可分割的部分、结构化主体等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numPr>
          <w:ilvl w:val="0"/>
          <w:numId w:val="37"/>
        </w:numPr>
        <w:shd w:val="clear" w:color="auto" w:fill="auto"/>
        <w:tabs>
          <w:tab w:pos="727" w:val="left"/>
        </w:tabs>
        <w:bidi w:val="0"/>
        <w:spacing w:before="0" w:after="0" w:line="540" w:lineRule="auto"/>
        <w:ind w:left="0" w:right="0"/>
        <w:jc w:val="both"/>
      </w:pPr>
      <w:bookmarkStart w:id="786" w:name="bookmark786"/>
      <w:bookmarkEnd w:id="786"/>
      <w:r>
        <w:rPr>
          <w:color w:val="000000"/>
          <w:spacing w:val="0"/>
          <w:w w:val="100"/>
          <w:position w:val="0"/>
        </w:rPr>
        <w:t>合并报表的编制方法</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本公司以自身和各子公司的财务报表为基础，根据其他有关资料，编制合并报表。本公司编制合并财务报表，将整个企 </w:t>
      </w:r>
      <w:r>
        <w:rPr>
          <w:color w:val="000000"/>
          <w:spacing w:val="0"/>
          <w:w w:val="100"/>
          <w:position w:val="0"/>
        </w:rPr>
        <w:t>业集团视为一个会计主体，依据相关企业会计准则的确定、计量和列报要求，按照统一的会计政策，反映本公司整体财务状 况、经营成果和现金流量。</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合并财务报表时抵销本公司与各子公司、各子公司相互之间发生的内部交易和往来对合并资产负债表、合并利润表、合 并现金流量表、合并所有者权益变动表的影响。</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公司的合并范围，将其自同受最终控制方控制之日起的经营成果、现金流量分别纳入合并利润表、合并现金流量表中。在报 告期内，同时调整合并资产负债表的期初数，同时对比较报表的相关项目进行调整，视同合并后的报表主体自最终控制方开 始控制时点起一直存在。</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本期若因非同一控制下企业合并增加子公司的，则不调整合并资产负债表期初数；以购买日可辨认净资产公允价值为基 础对其财务报表进行调整。将子公司自购买日至期末的收入、费用、利润纳入合并利润表；该子公司自购买日至期末的现金 流量纳入合并现金流量表。</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子公司少数股东应占的权益、损益和当期综合收益中分别在合并资产负债表中所有者权益项目下、合并利润表中净利润 项目和综合收益总额项下单独列示。子公司少数股东分担的当期亏损超过了少数股东在该子公司期初所有者权益中所享有份 额而形成的余额，冲减少数股东权益。</w:t>
      </w:r>
    </w:p>
    <w:p>
      <w:pPr>
        <w:pStyle w:val="Style17"/>
        <w:keepNext w:val="0"/>
        <w:keepLines w:val="0"/>
        <w:widowControl w:val="0"/>
        <w:numPr>
          <w:ilvl w:val="0"/>
          <w:numId w:val="37"/>
        </w:numPr>
        <w:shd w:val="clear" w:color="auto" w:fill="auto"/>
        <w:tabs>
          <w:tab w:pos="726" w:val="left"/>
        </w:tabs>
        <w:bidi w:val="0"/>
        <w:spacing w:before="0" w:after="0" w:line="542" w:lineRule="auto"/>
        <w:ind w:left="0" w:right="0"/>
        <w:jc w:val="both"/>
      </w:pPr>
      <w:bookmarkStart w:id="787" w:name="bookmark787"/>
      <w:bookmarkEnd w:id="787"/>
      <w:r>
        <w:rPr>
          <w:color w:val="000000"/>
          <w:spacing w:val="0"/>
          <w:w w:val="100"/>
          <w:position w:val="0"/>
        </w:rPr>
        <w:t>购买少数股东股权及不丧失控制权的部分处置子公司股权</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本公司因购买少数股权新取得的长期股权投资成本与按照新增持股比例计算应享有子公司自购买日或合并日开始持续 计算的净资产份额之间的差额，以及在不丧失控制权的情况下因部分处置对子公司的股权投资而取得的处置价款与处置长期 股权投资相对应享有子公司自购买日或合并日开始持续计算的净资产份额之间的差额，均调整合并资产负债表中的资本公积 中的股本溢价，资本公积中的股本溢价不足冲减的，调整留存收益。</w:t>
      </w:r>
    </w:p>
    <w:p>
      <w:pPr>
        <w:pStyle w:val="Style17"/>
        <w:keepNext w:val="0"/>
        <w:keepLines w:val="0"/>
        <w:widowControl w:val="0"/>
        <w:numPr>
          <w:ilvl w:val="0"/>
          <w:numId w:val="37"/>
        </w:numPr>
        <w:shd w:val="clear" w:color="auto" w:fill="auto"/>
        <w:tabs>
          <w:tab w:pos="726" w:val="left"/>
        </w:tabs>
        <w:bidi w:val="0"/>
        <w:spacing w:before="0" w:after="0" w:line="542" w:lineRule="auto"/>
        <w:ind w:left="0" w:right="0"/>
        <w:jc w:val="both"/>
      </w:pPr>
      <w:bookmarkStart w:id="788" w:name="bookmark788"/>
      <w:bookmarkEnd w:id="788"/>
      <w:r>
        <w:rPr>
          <w:color w:val="000000"/>
          <w:spacing w:val="0"/>
          <w:w w:val="100"/>
          <w:position w:val="0"/>
        </w:rPr>
        <w:t>丧失控制权的处置子公司股权</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 xml:space="preserve">本期本公司处置子公司，则该子公司期初至处置日的收入、费用、利润纳入合并利润表；该子公司期初至处置日的现金 流量纳入合并现金流量表。因处置部分股权投资或其他原因丧失了对原有子公司控制权时，对于处置后的剩余股权投资，本 公司按照其在丧失控制权日的公允价值进行重新计量。处置股权取得的对价与剩余股权公允价值之和，减去按原持股比例计 算应享有原有子公司自购买日开始持续计算的净资产的份额与商誉之和，形成的差额计入丧失控制权当期的投资收益。与原 有子公司股权投资相关的其他综合收益，在丧失控制权时采用被购买方直接处置相关资产和负债相同的基础进行会计处理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即除了在该原有子公司重新计量设定受益计划外净负债或者净资产导致的变动以外，其余一并转入当期投资收益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。其后， 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 关规定进行后续计量，详见本附注五、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numPr>
          <w:ilvl w:val="0"/>
          <w:numId w:val="37"/>
        </w:numPr>
        <w:shd w:val="clear" w:color="auto" w:fill="auto"/>
        <w:tabs>
          <w:tab w:pos="726" w:val="left"/>
        </w:tabs>
        <w:bidi w:val="0"/>
        <w:spacing w:before="0" w:after="0" w:line="542" w:lineRule="auto"/>
        <w:ind w:left="0" w:right="0"/>
        <w:jc w:val="both"/>
      </w:pPr>
      <w:bookmarkStart w:id="789" w:name="bookmark789"/>
      <w:bookmarkEnd w:id="789"/>
      <w:r>
        <w:rPr>
          <w:color w:val="000000"/>
          <w:spacing w:val="0"/>
          <w:w w:val="100"/>
          <w:position w:val="0"/>
        </w:rPr>
        <w:t>分步处置对子公司股权投资至丧失控制权的处理</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本公司通过多次交易分步处置对子公司股权投资直至丧失控制权的，需区分处置对子公司股权投资直至丧失控制权的各 </w:t>
      </w:r>
      <w:r>
        <w:rPr>
          <w:color w:val="000000"/>
          <w:spacing w:val="0"/>
          <w:w w:val="100"/>
          <w:position w:val="0"/>
        </w:rPr>
        <w:t>项交易是否属于一揽子交易。</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处置对子公司股权投资直至丧失控制权的各项交易属于一揽子交易的，将各项交易作为一项处置子公司并丧失控制权的 交易进行会计处理；但是，在丧失控制权之前每一次处置价款与处置投资对应的享有该子公司净资产份额的差额，在合并财 务报表中确认为其他综合收益，在丧失控制权时一并转入丧失控制权当期的损益。</w:t>
      </w:r>
    </w:p>
    <w:p>
      <w:pPr>
        <w:pStyle w:val="Style17"/>
        <w:keepNext w:val="0"/>
        <w:keepLines w:val="0"/>
        <w:widowControl w:val="0"/>
        <w:shd w:val="clear" w:color="auto" w:fill="auto"/>
        <w:bidi w:val="0"/>
        <w:spacing w:before="0" w:after="480" w:line="466" w:lineRule="exact"/>
        <w:ind w:left="0" w:right="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适用的原则进行会计处理。即在丧失控制权之 前每一次处置价款与处置投资对应的享有该子公司自购买日开始持续计算的净资产账面价值份额之间的差额,作为权益性交 易计入资本公积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。在丧失控制权时不得转入丧失控制权当期的损益。</w:t>
      </w:r>
    </w:p>
    <w:p>
      <w:pPr>
        <w:pStyle w:val="Style36"/>
        <w:keepNext/>
        <w:keepLines/>
        <w:widowControl w:val="0"/>
        <w:shd w:val="clear" w:color="auto" w:fill="auto"/>
        <w:tabs>
          <w:tab w:pos="361" w:val="left"/>
        </w:tabs>
        <w:bidi w:val="0"/>
        <w:spacing w:before="0" w:after="20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7</w:t>
      </w:r>
      <w:bookmarkEnd w:id="792"/>
      <w:r>
        <w:rPr>
          <w:color w:val="000000"/>
          <w:spacing w:val="0"/>
          <w:w w:val="100"/>
          <w:position w:val="0"/>
        </w:rPr>
        <w:t>、</w:t>
        <w:tab/>
        <w:t>合营安排分类及共同经营会计处理方法</w:t>
      </w:r>
      <w:bookmarkEnd w:id="790"/>
      <w:bookmarkEnd w:id="791"/>
      <w:bookmarkEnd w:id="793"/>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合营企业，是指本公司仅对该安排的净资产享有权利的合营安排。本公司对合营企业的投资采用权益法核算，按照本附 注五、</w:t>
      </w:r>
      <w:r>
        <w:rPr>
          <w:rFonts w:ascii="Times New Roman" w:eastAsia="Times New Roman" w:hAnsi="Times New Roman" w:cs="Times New Roman"/>
          <w:color w:val="000000"/>
          <w:spacing w:val="0"/>
          <w:w w:val="100"/>
          <w:position w:val="0"/>
          <w:sz w:val="18"/>
          <w:szCs w:val="18"/>
        </w:rPr>
        <w:t>19(3)</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w:t>
      </w:r>
    </w:p>
    <w:p>
      <w:pPr>
        <w:pStyle w:val="Style17"/>
        <w:keepNext w:val="0"/>
        <w:keepLines w:val="0"/>
        <w:widowControl w:val="0"/>
        <w:shd w:val="clear" w:color="auto" w:fill="auto"/>
        <w:bidi w:val="0"/>
        <w:spacing w:before="0" w:after="260" w:line="472" w:lineRule="exact"/>
        <w:ind w:left="0" w:right="0"/>
        <w:jc w:val="both"/>
      </w:pPr>
      <w:r>
        <w:rPr>
          <w:color w:val="000000"/>
          <w:spacing w:val="0"/>
          <w:w w:val="100"/>
          <w:position w:val="0"/>
        </w:rPr>
        <w:t>共同经营，是指本公司享有该安排相关资产且承担该安排相关负债的合营安排。本公司确认与共同经营中利益份额相关 的下列项目，并按照相关企业会计准则的规定进行会计处理：</w:t>
      </w:r>
    </w:p>
    <w:p>
      <w:pPr>
        <w:pStyle w:val="Style17"/>
        <w:keepNext w:val="0"/>
        <w:keepLines w:val="0"/>
        <w:widowControl w:val="0"/>
        <w:numPr>
          <w:ilvl w:val="0"/>
          <w:numId w:val="39"/>
        </w:numPr>
        <w:shd w:val="clear" w:color="auto" w:fill="auto"/>
        <w:tabs>
          <w:tab w:pos="775" w:val="left"/>
        </w:tabs>
        <w:bidi w:val="0"/>
        <w:spacing w:before="0" w:after="0" w:line="547" w:lineRule="auto"/>
        <w:ind w:left="0" w:right="0"/>
        <w:jc w:val="both"/>
      </w:pPr>
      <w:bookmarkStart w:id="794" w:name="bookmark794"/>
      <w:bookmarkEnd w:id="794"/>
      <w:r>
        <w:rPr>
          <w:color w:val="000000"/>
          <w:spacing w:val="0"/>
          <w:w w:val="100"/>
          <w:position w:val="0"/>
        </w:rPr>
        <w:t>确认本公司单独所持有的资产，以及按本公司份额确认共同持有的资产；</w:t>
      </w:r>
    </w:p>
    <w:p>
      <w:pPr>
        <w:pStyle w:val="Style17"/>
        <w:keepNext w:val="0"/>
        <w:keepLines w:val="0"/>
        <w:widowControl w:val="0"/>
        <w:numPr>
          <w:ilvl w:val="0"/>
          <w:numId w:val="39"/>
        </w:numPr>
        <w:shd w:val="clear" w:color="auto" w:fill="auto"/>
        <w:tabs>
          <w:tab w:pos="775" w:val="left"/>
        </w:tabs>
        <w:bidi w:val="0"/>
        <w:spacing w:before="0" w:after="0" w:line="547" w:lineRule="auto"/>
        <w:ind w:left="0" w:right="0"/>
        <w:jc w:val="both"/>
      </w:pPr>
      <w:bookmarkStart w:id="795" w:name="bookmark795"/>
      <w:bookmarkEnd w:id="795"/>
      <w:r>
        <w:rPr>
          <w:color w:val="000000"/>
          <w:spacing w:val="0"/>
          <w:w w:val="100"/>
          <w:position w:val="0"/>
        </w:rPr>
        <w:t>确认本公司单独所承担的负债，以及按本公司份额确认共同承担的负债；</w:t>
      </w:r>
    </w:p>
    <w:p>
      <w:pPr>
        <w:pStyle w:val="Style17"/>
        <w:keepNext w:val="0"/>
        <w:keepLines w:val="0"/>
        <w:widowControl w:val="0"/>
        <w:numPr>
          <w:ilvl w:val="0"/>
          <w:numId w:val="39"/>
        </w:numPr>
        <w:shd w:val="clear" w:color="auto" w:fill="auto"/>
        <w:tabs>
          <w:tab w:pos="775" w:val="left"/>
        </w:tabs>
        <w:bidi w:val="0"/>
        <w:spacing w:before="0" w:after="0" w:line="547" w:lineRule="auto"/>
        <w:ind w:left="0" w:right="0"/>
        <w:jc w:val="both"/>
      </w:pPr>
      <w:bookmarkStart w:id="796" w:name="bookmark796"/>
      <w:bookmarkEnd w:id="796"/>
      <w:r>
        <w:rPr>
          <w:color w:val="000000"/>
          <w:spacing w:val="0"/>
          <w:w w:val="100"/>
          <w:position w:val="0"/>
        </w:rPr>
        <w:t>确认出售本公司享有的共同经营产出份额所产生的收入；</w:t>
      </w:r>
    </w:p>
    <w:p>
      <w:pPr>
        <w:pStyle w:val="Style17"/>
        <w:keepNext w:val="0"/>
        <w:keepLines w:val="0"/>
        <w:widowControl w:val="0"/>
        <w:numPr>
          <w:ilvl w:val="0"/>
          <w:numId w:val="39"/>
        </w:numPr>
        <w:shd w:val="clear" w:color="auto" w:fill="auto"/>
        <w:tabs>
          <w:tab w:pos="775" w:val="left"/>
        </w:tabs>
        <w:bidi w:val="0"/>
        <w:spacing w:before="0" w:after="0" w:line="547" w:lineRule="auto"/>
        <w:ind w:left="0" w:right="0"/>
        <w:jc w:val="both"/>
      </w:pPr>
      <w:bookmarkStart w:id="797" w:name="bookmark797"/>
      <w:bookmarkEnd w:id="797"/>
      <w:r>
        <w:rPr>
          <w:color w:val="000000"/>
          <w:spacing w:val="0"/>
          <w:w w:val="100"/>
          <w:position w:val="0"/>
        </w:rPr>
        <w:t>按本公司份额确认共同经营因出售产出所产生的收入；</w:t>
      </w:r>
    </w:p>
    <w:p>
      <w:pPr>
        <w:pStyle w:val="Style17"/>
        <w:keepNext w:val="0"/>
        <w:keepLines w:val="0"/>
        <w:widowControl w:val="0"/>
        <w:numPr>
          <w:ilvl w:val="0"/>
          <w:numId w:val="39"/>
        </w:numPr>
        <w:shd w:val="clear" w:color="auto" w:fill="auto"/>
        <w:tabs>
          <w:tab w:pos="775" w:val="left"/>
        </w:tabs>
        <w:bidi w:val="0"/>
        <w:spacing w:before="0" w:after="0" w:line="547" w:lineRule="auto"/>
        <w:ind w:left="0" w:right="0"/>
        <w:jc w:val="both"/>
      </w:pPr>
      <w:bookmarkStart w:id="798" w:name="bookmark798"/>
      <w:bookmarkEnd w:id="798"/>
      <w:r>
        <w:rPr>
          <w:color w:val="000000"/>
          <w:spacing w:val="0"/>
          <w:w w:val="100"/>
          <w:position w:val="0"/>
        </w:rPr>
        <w:t>确认单独所发生的费用，以及按本公司份额确认共同经营发生的费用。</w:t>
      </w:r>
    </w:p>
    <w:p>
      <w:pPr>
        <w:pStyle w:val="Style17"/>
        <w:keepNext w:val="0"/>
        <w:keepLines w:val="0"/>
        <w:widowControl w:val="0"/>
        <w:shd w:val="clear" w:color="auto" w:fill="auto"/>
        <w:bidi w:val="0"/>
        <w:spacing w:before="0" w:after="480" w:line="472" w:lineRule="exact"/>
        <w:ind w:left="0" w:right="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或者自共同经营购买资产时，在该等资产出 售给第三方之前，本公司仅确认因该项交易产生的损益中属于共同经营其他参与方的部分。该等资产发生符合《企业会计准 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资产减值》等规定的资产减值损失的，对于由本公司向共同经营投出或者出售资产的情况，本公司全额确认损 失；对于本公司自共同经营购买资产的情况，本公司按承担的份额确认该损失。</w:t>
      </w:r>
    </w:p>
    <w:p>
      <w:pPr>
        <w:pStyle w:val="Style36"/>
        <w:keepNext/>
        <w:keepLines/>
        <w:widowControl w:val="0"/>
        <w:shd w:val="clear" w:color="auto" w:fill="auto"/>
        <w:tabs>
          <w:tab w:pos="366" w:val="left"/>
        </w:tabs>
        <w:bidi w:val="0"/>
        <w:spacing w:before="0" w:after="20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8</w:t>
      </w:r>
      <w:bookmarkEnd w:id="801"/>
      <w:r>
        <w:rPr>
          <w:color w:val="000000"/>
          <w:spacing w:val="0"/>
          <w:w w:val="100"/>
          <w:position w:val="0"/>
        </w:rPr>
        <w:t>、</w:t>
        <w:tab/>
        <w:t>现金及现金等价物的确定标准</w:t>
      </w:r>
      <w:bookmarkEnd w:id="799"/>
      <w:bookmarkEnd w:id="800"/>
      <w:bookmarkEnd w:id="802"/>
    </w:p>
    <w:p>
      <w:pPr>
        <w:pStyle w:val="Style17"/>
        <w:keepNext w:val="0"/>
        <w:keepLines w:val="0"/>
        <w:widowControl w:val="0"/>
        <w:shd w:val="clear" w:color="auto" w:fill="auto"/>
        <w:bidi w:val="0"/>
        <w:spacing w:before="0" w:after="220" w:line="461" w:lineRule="exact"/>
        <w:ind w:left="0" w:right="0"/>
        <w:jc w:val="both"/>
      </w:pPr>
      <w:r>
        <w:rPr>
          <w:color w:val="000000"/>
          <w:spacing w:val="0"/>
          <w:w w:val="100"/>
          <w:position w:val="0"/>
        </w:rPr>
        <w:t>在编制现金流量表时，将本公司库存现金及可以随时用于支付的存款确认为现金。现金等价物是指企业持有的期限短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般是指从购买日起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36"/>
        <w:keepNext/>
        <w:keepLines/>
        <w:widowControl w:val="0"/>
        <w:shd w:val="clear" w:color="auto" w:fill="auto"/>
        <w:tabs>
          <w:tab w:pos="373" w:val="left"/>
        </w:tabs>
        <w:bidi w:val="0"/>
        <w:spacing w:before="0" w:after="4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9</w:t>
      </w:r>
      <w:bookmarkEnd w:id="805"/>
      <w:r>
        <w:rPr>
          <w:color w:val="000000"/>
          <w:spacing w:val="0"/>
          <w:w w:val="100"/>
          <w:position w:val="0"/>
        </w:rPr>
        <w:t>、</w:t>
        <w:tab/>
        <w:t>外币业务和外币报表折算</w:t>
      </w:r>
      <w:bookmarkEnd w:id="803"/>
      <w:bookmarkEnd w:id="804"/>
      <w:bookmarkEnd w:id="806"/>
    </w:p>
    <w:p>
      <w:pPr>
        <w:pStyle w:val="Style17"/>
        <w:keepNext w:val="0"/>
        <w:keepLines w:val="0"/>
        <w:widowControl w:val="0"/>
        <w:numPr>
          <w:ilvl w:val="0"/>
          <w:numId w:val="41"/>
        </w:numPr>
        <w:shd w:val="clear" w:color="auto" w:fill="auto"/>
        <w:tabs>
          <w:tab w:pos="782" w:val="left"/>
        </w:tabs>
        <w:bidi w:val="0"/>
        <w:spacing w:before="0" w:after="0" w:line="540" w:lineRule="auto"/>
        <w:ind w:left="0" w:right="0"/>
        <w:jc w:val="both"/>
      </w:pPr>
      <w:bookmarkStart w:id="807" w:name="bookmark807"/>
      <w:bookmarkEnd w:id="807"/>
      <w:r>
        <w:rPr>
          <w:color w:val="000000"/>
          <w:spacing w:val="0"/>
          <w:w w:val="100"/>
          <w:position w:val="0"/>
        </w:rPr>
        <w:t>外币交易业务</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对发生的外币业务，采用交易发生日的当月月初汇率折合记账本位币记账。但公司发生的外币兑换业务或涉及外币兑换 的交易事项，按照实际采用的汇率折算为记账本位币金额。</w:t>
      </w:r>
    </w:p>
    <w:p>
      <w:pPr>
        <w:pStyle w:val="Style17"/>
        <w:keepNext w:val="0"/>
        <w:keepLines w:val="0"/>
        <w:widowControl w:val="0"/>
        <w:numPr>
          <w:ilvl w:val="0"/>
          <w:numId w:val="41"/>
        </w:numPr>
        <w:shd w:val="clear" w:color="auto" w:fill="auto"/>
        <w:tabs>
          <w:tab w:pos="782" w:val="left"/>
        </w:tabs>
        <w:bidi w:val="0"/>
        <w:spacing w:before="0" w:after="0" w:line="466" w:lineRule="exact"/>
        <w:ind w:left="0" w:right="0"/>
        <w:jc w:val="both"/>
      </w:pPr>
      <w:bookmarkStart w:id="808" w:name="bookmark808"/>
      <w:bookmarkEnd w:id="808"/>
      <w:r>
        <w:rPr>
          <w:color w:val="000000"/>
          <w:spacing w:val="0"/>
          <w:w w:val="100"/>
          <w:position w:val="0"/>
        </w:rPr>
        <w:t>外币货币性项目和非货币性项目的折算方法</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资产负债表日，对于外币货币性项目采用资产负债表日即期汇率折算，由此产生的汇兑差额，除：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属于与购建符合 资本化条件的资产相关的外币专门借款产生的汇兑差额按照借款费用资本化的原则处理；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用于境外经营净投资有效套期 的套期工具的汇兑差额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该差额计入其他综合收益，直至净投资被处置才被确认为当期损益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 动计入其他综合收益的外币货币性项目除摊余成本之外的其他账面余额变动产生的汇兑差额计入其他综合收益之外,均计入 当期损益。</w:t>
      </w:r>
    </w:p>
    <w:p>
      <w:pPr>
        <w:pStyle w:val="Style17"/>
        <w:keepNext w:val="0"/>
        <w:keepLines w:val="0"/>
        <w:widowControl w:val="0"/>
        <w:shd w:val="clear" w:color="auto" w:fill="auto"/>
        <w:bidi w:val="0"/>
        <w:spacing w:before="0" w:after="480" w:line="466" w:lineRule="exact"/>
        <w:ind w:left="0" w:right="0"/>
        <w:jc w:val="both"/>
      </w:pPr>
      <w:r>
        <w:rPr>
          <w:color w:val="000000"/>
          <w:spacing w:val="0"/>
          <w:w w:val="100"/>
          <w:position w:val="0"/>
        </w:rPr>
        <w:t xml:space="preserve">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币非货币性项目，采用公允价值确定日的即期汇率折算，折算后的记账本位币金额与原记账本位币金额的差额，计入当期损 </w:t>
      </w:r>
      <w:r>
        <w:rPr>
          <w:color w:val="000000"/>
          <w:spacing w:val="0"/>
          <w:w w:val="100"/>
          <w:position w:val="0"/>
          <w:u w:val="single"/>
        </w:rPr>
        <w:t>益</w:t>
      </w:r>
      <w:r>
        <w:rPr>
          <w:color w:val="000000"/>
          <w:spacing w:val="0"/>
          <w:w w:val="100"/>
          <w:position w:val="0"/>
        </w:rPr>
        <w:t>。</w:t>
      </w:r>
    </w:p>
    <w:p>
      <w:pPr>
        <w:pStyle w:val="Style36"/>
        <w:keepNext/>
        <w:keepLines/>
        <w:widowControl w:val="0"/>
        <w:shd w:val="clear" w:color="auto" w:fill="auto"/>
        <w:tabs>
          <w:tab w:pos="549" w:val="left"/>
        </w:tabs>
        <w:bidi w:val="0"/>
        <w:spacing w:before="0" w:after="1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9"/>
      <w:bookmarkEnd w:id="810"/>
      <w:bookmarkEnd w:id="812"/>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金融工具是指形成一方的金融资产并形成其他方的金融负债或权益工具的合同。金融工具包括金融资产、金融负债和权 益工具。</w:t>
      </w:r>
    </w:p>
    <w:p>
      <w:pPr>
        <w:pStyle w:val="Style17"/>
        <w:keepNext w:val="0"/>
        <w:keepLines w:val="0"/>
        <w:widowControl w:val="0"/>
        <w:numPr>
          <w:ilvl w:val="0"/>
          <w:numId w:val="43"/>
        </w:numPr>
        <w:shd w:val="clear" w:color="auto" w:fill="auto"/>
        <w:bidi w:val="0"/>
        <w:spacing w:before="0" w:after="0" w:line="467" w:lineRule="exact"/>
        <w:ind w:left="0" w:right="0"/>
        <w:jc w:val="both"/>
      </w:pPr>
      <w:bookmarkStart w:id="813" w:name="bookmark813"/>
      <w:bookmarkEnd w:id="813"/>
      <w:r>
        <w:rPr>
          <w:color w:val="000000"/>
          <w:spacing w:val="0"/>
          <w:w w:val="100"/>
          <w:position w:val="0"/>
        </w:rPr>
        <w:t>金融工具的分类、确认依据和计量方法</w:t>
      </w:r>
    </w:p>
    <w:p>
      <w:pPr>
        <w:pStyle w:val="Style17"/>
        <w:keepNext w:val="0"/>
        <w:keepLines w:val="0"/>
        <w:widowControl w:val="0"/>
        <w:numPr>
          <w:ilvl w:val="0"/>
          <w:numId w:val="45"/>
        </w:numPr>
        <w:shd w:val="clear" w:color="auto" w:fill="auto"/>
        <w:tabs>
          <w:tab w:pos="748" w:val="left"/>
        </w:tabs>
        <w:bidi w:val="0"/>
        <w:spacing w:before="0" w:after="0" w:line="467" w:lineRule="exact"/>
        <w:ind w:left="0" w:right="0"/>
        <w:jc w:val="both"/>
      </w:pPr>
      <w:bookmarkStart w:id="814" w:name="bookmark814"/>
      <w:bookmarkEnd w:id="814"/>
      <w:r>
        <w:rPr>
          <w:color w:val="000000"/>
          <w:spacing w:val="0"/>
          <w:w w:val="100"/>
          <w:position w:val="0"/>
        </w:rPr>
        <w:t>金融资产和金融负债的确认和初始计量</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本公司成为金融工具合同的一方时，确认一项金融资产或金融负债。对于以常规方式购买金融资产的，本公司在交易日 确认将收到的资产和为此将承担的负债。</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债，相关的交易费用直接计入当期损益，对于其他类别的金融资产和金融负债，相关交易费用计入初始确认金额。对于初始 确认时不具有重大融资成分的应收账款，按照本附注五、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的收入确认方法确定的交易价格进行初始计量。</w:t>
      </w:r>
    </w:p>
    <w:p>
      <w:pPr>
        <w:pStyle w:val="Style17"/>
        <w:keepNext w:val="0"/>
        <w:keepLines w:val="0"/>
        <w:widowControl w:val="0"/>
        <w:numPr>
          <w:ilvl w:val="0"/>
          <w:numId w:val="45"/>
        </w:numPr>
        <w:shd w:val="clear" w:color="auto" w:fill="auto"/>
        <w:tabs>
          <w:tab w:pos="748" w:val="left"/>
        </w:tabs>
        <w:bidi w:val="0"/>
        <w:spacing w:before="0" w:after="0" w:line="467" w:lineRule="exact"/>
        <w:ind w:left="0" w:right="0"/>
        <w:jc w:val="both"/>
      </w:pPr>
      <w:bookmarkStart w:id="815" w:name="bookmark815"/>
      <w:bookmarkEnd w:id="815"/>
      <w:r>
        <w:rPr>
          <w:color w:val="000000"/>
          <w:spacing w:val="0"/>
          <w:w w:val="100"/>
          <w:position w:val="0"/>
        </w:rPr>
        <w:t>金融资产的分类和后续计量</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本公司根据管理金融资产的业务模式和金融资产的合同现金流量特征将金融资产分类为以摊余成本计量的金融资产、以 公允价值计量且其变动计入其他综合收益的金融资产和以公允价值计量且其变动计入当期损益的金融资产。</w:t>
      </w:r>
    </w:p>
    <w:p>
      <w:pPr>
        <w:pStyle w:val="Style17"/>
        <w:keepNext w:val="0"/>
        <w:keepLines w:val="0"/>
        <w:widowControl w:val="0"/>
        <w:shd w:val="clear" w:color="auto" w:fill="auto"/>
        <w:bidi w:val="0"/>
        <w:spacing w:before="0" w:after="0" w:line="467" w:lineRule="exact"/>
        <w:ind w:left="0" w:right="0" w:firstLine="36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以摊余成本计量的金融资产</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 xml:space="preserve">以摊余成本计量的金融资产，是指同时符合下列条件的金融资产：①本公司管理该金融资产的业务模式是以收取合同现 </w:t>
      </w:r>
      <w:r>
        <w:rPr>
          <w:color w:val="000000"/>
          <w:spacing w:val="0"/>
          <w:w w:val="100"/>
          <w:position w:val="0"/>
        </w:rPr>
        <w:t>金流量为目标；②该金融资产的合同条款规定，在特定日期产生的现金流量，仅为对本金和以未偿付本金金额为基础的利息 的支付。</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该类金融资产在初始确认后采用实际利率法以摊余成本计量，所产生的利得或损失在终止确认、按照实际利率法摊销或 确认减值时，计入当期损益。</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对于金融资产的摊余成本，应当以该金融资产的初始确认金额经下列调整后的结果确定：①扣除已偿还的本金；②加上 或减去采用实际利率法将该初始确认金额与到期日金额之间的差额进行摊销形成的累计摊销额；③扣除累计计提的损失准 备。</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实际利率法，是指计算金融资产或金融负债的摊余成本以及将利息收入或利息费用分摊计入各会计期间的方法。实际利 率，是指将金融资产或金融负债在预计存续期的估计未来现金流量，折现为该金融资产账面余额或该金融负债摊余成本所使 用的利率。在确定实际利率时，本公司在考虑金融资产或金融负债所有合同条款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如提前还款、展期、看涨期权或其他类似 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17"/>
        <w:keepNext w:val="0"/>
        <w:keepLines w:val="0"/>
        <w:widowControl w:val="0"/>
        <w:shd w:val="clear" w:color="auto" w:fill="auto"/>
        <w:bidi w:val="0"/>
        <w:spacing w:before="0" w:after="260" w:line="467" w:lineRule="exact"/>
        <w:ind w:left="0" w:right="0" w:firstLine="360"/>
        <w:jc w:val="both"/>
      </w:pPr>
      <w:r>
        <w:rPr>
          <w:color w:val="000000"/>
          <w:spacing w:val="0"/>
          <w:w w:val="100"/>
          <w:position w:val="0"/>
        </w:rPr>
        <w:t>本公司根据金融资产账面余额乘以实际利率计算确定利息收入，但下列情况除外：①对于购入或源生的已发生信用减值 的金融资产，自初始确认起，按照该金融资产的摊余成本和经信用调整的实际利率计算确定其利息收入。②对于购入或源生 的未发生信用减值、但在后续期间成为已发生信用减值的金融资产，按照该金融资产的摊余成本和实际利率计算确定其利息 收入。若该金融工具在后续期间因其信用风险有所改善而不再存在信用减值，并且这一改善在客观上可与应用上述规定之后 发生的某一事件相联系，应转按实际利率乘以该金融资产账面余额来计算确定利息收入。</w:t>
      </w:r>
    </w:p>
    <w:p>
      <w:pPr>
        <w:pStyle w:val="Style17"/>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以公允价值计量且其变动计入其他综合收益的金融资产</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以公允价值计量且其变动计入其他综合收益的金融资产，是指同时符合下列条件的金融资产：①本公司管理该金融资产 的业务模式既以收取合同现金流量为目标又以出售该金融资产为目标。②该金融资产的合同条款规定，在特定日期产生的现 金流量，仅为对本金和以未偿付本金金额为基础的利息的支付。</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该类金融资产在初始确认后以公允价值进行后续计量。采用实际利率法计算的利息、减值损失或利得及汇兑损益计入当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17"/>
        <w:keepNext w:val="0"/>
        <w:keepLines w:val="0"/>
        <w:widowControl w:val="0"/>
        <w:shd w:val="clear" w:color="auto" w:fill="auto"/>
        <w:bidi w:val="0"/>
        <w:spacing w:before="0" w:after="260" w:line="467" w:lineRule="exact"/>
        <w:ind w:left="0" w:right="0" w:firstLine="360"/>
        <w:jc w:val="both"/>
      </w:pPr>
      <w:r>
        <w:rPr>
          <w:color w:val="000000"/>
          <w:spacing w:val="0"/>
          <w:w w:val="100"/>
          <w:position w:val="0"/>
        </w:rPr>
        <w:t>对于非交易性权益工具投资，本公司可在初始确认时将其不可撤销地指定为以公允价值计量且其变动计入其他综合收益 的金融资产。该指定基于单项非交易性权益工具投资的基础上作出，且相关投资从工具发行者的角度符合权益工具的定义。 此类投资在初始指定后，除了获得的股利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属于投资成本收回部分的除外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计入当期损益外，其他相关的利得或损失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包括汇兑 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均计入其他综合收益。终止确认时，将之前计入其他综合收益的累计利得或损失从其他综合收益中转出，计入留存收 </w:t>
      </w:r>
      <w:r>
        <w:rPr>
          <w:color w:val="000000"/>
          <w:spacing w:val="0"/>
          <w:w w:val="100"/>
          <w:position w:val="0"/>
          <w:u w:val="single"/>
        </w:rPr>
        <w:t>益</w:t>
      </w:r>
      <w:r>
        <w:rPr>
          <w:color w:val="000000"/>
          <w:spacing w:val="0"/>
          <w:w w:val="100"/>
          <w:position w:val="0"/>
        </w:rPr>
        <w:t>。</w:t>
      </w:r>
    </w:p>
    <w:p>
      <w:pPr>
        <w:pStyle w:val="Style17"/>
        <w:keepNext w:val="0"/>
        <w:keepLines w:val="0"/>
        <w:widowControl w:val="0"/>
        <w:shd w:val="clear" w:color="auto" w:fill="auto"/>
        <w:bidi w:val="0"/>
        <w:spacing w:before="0" w:after="0" w:line="542" w:lineRule="auto"/>
        <w:ind w:left="0" w:right="0" w:firstLine="36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除上述</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情形外，本公司将其余所有的金融资产分类为以公允价值计量且其变动计入当期损益的金融资产。在初始 </w:t>
      </w:r>
      <w:r>
        <w:rPr>
          <w:color w:val="000000"/>
          <w:spacing w:val="0"/>
          <w:w w:val="100"/>
          <w:position w:val="0"/>
        </w:rPr>
        <w:t>确认时，如果能够消除或显著减少会计错配，可以将金融资产不可撤销地指定为以公允价值计量且其变动计入当期损益的金 融资产。本公司在非同一控制下的企业合并中确认的或有对价构成金融资产的，该金融资产分类为以公允价值计量且其变动 计入当期损益的金融资产。</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该类金融资产在初始确认后以公允价值进行后续计量，产生的利得或损失计入当期损益。</w:t>
      </w:r>
    </w:p>
    <w:p>
      <w:pPr>
        <w:pStyle w:val="Style17"/>
        <w:keepNext w:val="0"/>
        <w:keepLines w:val="0"/>
        <w:widowControl w:val="0"/>
        <w:numPr>
          <w:ilvl w:val="0"/>
          <w:numId w:val="45"/>
        </w:numPr>
        <w:shd w:val="clear" w:color="auto" w:fill="auto"/>
        <w:tabs>
          <w:tab w:pos="731" w:val="left"/>
        </w:tabs>
        <w:bidi w:val="0"/>
        <w:spacing w:before="0" w:after="0" w:line="471" w:lineRule="exact"/>
        <w:ind w:left="0" w:right="0" w:firstLine="360"/>
        <w:jc w:val="left"/>
      </w:pPr>
      <w:bookmarkStart w:id="816" w:name="bookmark816"/>
      <w:bookmarkEnd w:id="816"/>
      <w:r>
        <w:rPr>
          <w:color w:val="000000"/>
          <w:spacing w:val="0"/>
          <w:w w:val="100"/>
          <w:position w:val="0"/>
        </w:rPr>
        <w:t>金融负债的分类和后续计量</w:t>
      </w:r>
    </w:p>
    <w:p>
      <w:pPr>
        <w:pStyle w:val="Style17"/>
        <w:keepNext w:val="0"/>
        <w:keepLines w:val="0"/>
        <w:widowControl w:val="0"/>
        <w:shd w:val="clear" w:color="auto" w:fill="auto"/>
        <w:bidi w:val="0"/>
        <w:spacing w:before="0" w:after="260" w:line="471" w:lineRule="exact"/>
        <w:ind w:left="0" w:right="0" w:firstLine="360"/>
        <w:jc w:val="both"/>
      </w:pPr>
      <w:r>
        <w:rPr>
          <w:color w:val="000000"/>
          <w:spacing w:val="0"/>
          <w:w w:val="100"/>
          <w:position w:val="0"/>
        </w:rPr>
        <w:t>本公司将金融负债分类为以公允价值计量且其变动计入当期损益的金融负债、金融资产转移不符合终止确认条件或继续 涉入被转移金融资产所形成的金融负债、财务担保合同及以摊余成本计量的金融负债。</w:t>
      </w:r>
    </w:p>
    <w:p>
      <w:pPr>
        <w:pStyle w:val="Style17"/>
        <w:keepNext w:val="0"/>
        <w:keepLines w:val="0"/>
        <w:widowControl w:val="0"/>
        <w:shd w:val="clear" w:color="auto" w:fill="auto"/>
        <w:bidi w:val="0"/>
        <w:spacing w:before="0" w:after="0" w:line="547" w:lineRule="auto"/>
        <w:ind w:left="0" w:right="0" w:firstLine="36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以公允价值计量且其变动计入当期损益的金融负债</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color w:val="000000"/>
          <w:spacing w:val="0"/>
          <w:w w:val="100"/>
          <w:position w:val="0"/>
          <w:sz w:val="18"/>
          <w:szCs w:val="18"/>
        </w:rPr>
        <w:t>)</w:t>
      </w:r>
      <w:r>
        <w:rPr>
          <w:color w:val="000000"/>
          <w:spacing w:val="0"/>
          <w:w w:val="100"/>
          <w:position w:val="0"/>
        </w:rPr>
        <w:t>和指定为以公 允价值计量且其变动计入当期损益的金融负债。在非同一控制下的企业合并中，本公司作为购买方确认的或有对价形成金融 负债的，该金融负债应当按照以公允价值计量且其变动计入当期损益进行会计处理。</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以公允价值计量且其变动计入当期损益的金融负债在初始确认后以公允价值进行后续计量，产生的利得或损失计入当期 损益。</w:t>
      </w:r>
    </w:p>
    <w:p>
      <w:pPr>
        <w:pStyle w:val="Style17"/>
        <w:keepNext w:val="0"/>
        <w:keepLines w:val="0"/>
        <w:widowControl w:val="0"/>
        <w:shd w:val="clear" w:color="auto" w:fill="auto"/>
        <w:bidi w:val="0"/>
        <w:spacing w:before="0" w:after="260" w:line="471" w:lineRule="exact"/>
        <w:ind w:left="0" w:right="0" w:firstLine="360"/>
        <w:jc w:val="both"/>
      </w:pPr>
      <w:r>
        <w:rPr>
          <w:color w:val="000000"/>
          <w:spacing w:val="0"/>
          <w:w w:val="100"/>
          <w:position w:val="0"/>
        </w:rPr>
        <w:t>因公司自身信用风险变动引起的指定为以公允价值计量且其变动计入当期损益的金融负债的公允价值变动金额计入其 他综合收益，除非该处理会造成或扩大损益中的会计错配。该金融负债的其他公允价值变动计入当期损益。终止确认时，将 之前计入其他综合收益的累计利得或损失从其他综合收益中转出，计入留存收益。</w:t>
      </w:r>
    </w:p>
    <w:p>
      <w:pPr>
        <w:pStyle w:val="Style17"/>
        <w:keepNext w:val="0"/>
        <w:keepLines w:val="0"/>
        <w:widowControl w:val="0"/>
        <w:shd w:val="clear" w:color="auto" w:fill="auto"/>
        <w:bidi w:val="0"/>
        <w:spacing w:before="0" w:after="0" w:line="547" w:lineRule="auto"/>
        <w:ind w:left="0" w:right="0" w:firstLine="36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金融资产转移不符合终止确认条件或继续涉入被转移金融资产所形成的金融负债</w:t>
      </w:r>
    </w:p>
    <w:p>
      <w:pPr>
        <w:pStyle w:val="Style17"/>
        <w:keepNext w:val="0"/>
        <w:keepLines w:val="0"/>
        <w:widowControl w:val="0"/>
        <w:shd w:val="clear" w:color="auto" w:fill="auto"/>
        <w:bidi w:val="0"/>
        <w:spacing w:before="0" w:after="260" w:line="471" w:lineRule="exact"/>
        <w:ind w:left="0" w:right="0" w:firstLine="360"/>
        <w:jc w:val="left"/>
      </w:pPr>
      <w:r>
        <w:rPr>
          <w:color w:val="000000"/>
          <w:spacing w:val="0"/>
          <w:w w:val="100"/>
          <w:position w:val="0"/>
        </w:rPr>
        <w:t>该类金融负债按照本附注五、</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金融资产转移的会计政策确定的方法进行计量。</w:t>
      </w:r>
    </w:p>
    <w:p>
      <w:pPr>
        <w:pStyle w:val="Style17"/>
        <w:keepNext w:val="0"/>
        <w:keepLines w:val="0"/>
        <w:widowControl w:val="0"/>
        <w:shd w:val="clear" w:color="auto" w:fill="auto"/>
        <w:bidi w:val="0"/>
        <w:spacing w:before="0" w:after="0" w:line="547" w:lineRule="auto"/>
        <w:ind w:left="0" w:right="0" w:firstLine="36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财务担保合同</w:t>
      </w:r>
    </w:p>
    <w:p>
      <w:pPr>
        <w:pStyle w:val="Style17"/>
        <w:keepNext w:val="0"/>
        <w:keepLines w:val="0"/>
        <w:widowControl w:val="0"/>
        <w:shd w:val="clear" w:color="auto" w:fill="auto"/>
        <w:bidi w:val="0"/>
        <w:spacing w:before="0" w:after="0" w:line="471" w:lineRule="exact"/>
        <w:ind w:left="0" w:right="0" w:firstLine="360"/>
        <w:jc w:val="left"/>
      </w:pPr>
      <w:r>
        <w:rPr>
          <w:color w:val="000000"/>
          <w:spacing w:val="0"/>
          <w:w w:val="100"/>
          <w:position w:val="0"/>
        </w:rPr>
        <w:t>财务担保合同，是指当特定债务人到期不能按照最初或修改后的债务工具条款偿付债务时，要求本公司向蒙受损失的合 同持有人赔付特定金额的合同。</w:t>
      </w:r>
    </w:p>
    <w:p>
      <w:pPr>
        <w:pStyle w:val="Style17"/>
        <w:keepNext w:val="0"/>
        <w:keepLines w:val="0"/>
        <w:widowControl w:val="0"/>
        <w:shd w:val="clear" w:color="auto" w:fill="auto"/>
        <w:bidi w:val="0"/>
        <w:spacing w:before="0" w:after="260" w:line="471" w:lineRule="exact"/>
        <w:ind w:left="0" w:right="0" w:firstLine="360"/>
        <w:jc w:val="left"/>
      </w:pP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情形的财务担保合同，在初始确认后按照下列两项金额之中的较高者进行后续计量：①按照本附注五、 </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金融工具的减值方法确定的损失准备金额；②初始确认金额扣除按照本附注五、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的收入确认方法所确定的累计摊销 额后的余额。</w:t>
      </w:r>
    </w:p>
    <w:p>
      <w:pPr>
        <w:pStyle w:val="Style17"/>
        <w:keepNext w:val="0"/>
        <w:keepLines w:val="0"/>
        <w:widowControl w:val="0"/>
        <w:shd w:val="clear" w:color="auto" w:fill="auto"/>
        <w:bidi w:val="0"/>
        <w:spacing w:before="0" w:after="0" w:line="547" w:lineRule="auto"/>
        <w:ind w:left="0" w:right="0" w:firstLine="36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以摊余成本计量的金融负债</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除上述</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情形外，本公司将其余所有的金融负债分类为以摊余成本计量的金融负债。</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该类金融负债在初始确认后采用实际利率法以摊余成本计量，产生的利得或损失在终止确认或在按照实际利率法摊销时 计入当期损益。</w:t>
      </w:r>
    </w:p>
    <w:p>
      <w:pPr>
        <w:pStyle w:val="Style17"/>
        <w:keepNext w:val="0"/>
        <w:keepLines w:val="0"/>
        <w:widowControl w:val="0"/>
        <w:numPr>
          <w:ilvl w:val="0"/>
          <w:numId w:val="45"/>
        </w:numPr>
        <w:shd w:val="clear" w:color="auto" w:fill="auto"/>
        <w:tabs>
          <w:tab w:pos="731" w:val="left"/>
        </w:tabs>
        <w:bidi w:val="0"/>
        <w:spacing w:before="0" w:after="0" w:line="471" w:lineRule="exact"/>
        <w:ind w:left="0" w:right="0" w:firstLine="360"/>
        <w:jc w:val="both"/>
      </w:pPr>
      <w:bookmarkStart w:id="817" w:name="bookmark817"/>
      <w:bookmarkEnd w:id="817"/>
      <w:r>
        <w:rPr>
          <w:color w:val="000000"/>
          <w:spacing w:val="0"/>
          <w:w w:val="100"/>
          <w:position w:val="0"/>
        </w:rPr>
        <w:t>权益工具</w:t>
      </w:r>
    </w:p>
    <w:p>
      <w:pPr>
        <w:pStyle w:val="Style17"/>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、回购、出售或 </w:t>
      </w:r>
      <w:r>
        <w:rPr>
          <w:color w:val="000000"/>
          <w:spacing w:val="0"/>
          <w:w w:val="100"/>
          <w:position w:val="0"/>
        </w:rPr>
        <w:t>注销权益工具作为权益的变动处理。与权益性交易相关的交易费用从权益中扣减。本公司对权益工具持有方的各种分配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包括股票股利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，减少股东权益。本公司不确认权益工具的公允价值变动额。</w:t>
      </w:r>
    </w:p>
    <w:p>
      <w:pPr>
        <w:pStyle w:val="Style17"/>
        <w:keepNext w:val="0"/>
        <w:keepLines w:val="0"/>
        <w:widowControl w:val="0"/>
        <w:numPr>
          <w:ilvl w:val="0"/>
          <w:numId w:val="45"/>
        </w:numPr>
        <w:shd w:val="clear" w:color="auto" w:fill="auto"/>
        <w:bidi w:val="0"/>
        <w:spacing w:before="0" w:after="0" w:line="468" w:lineRule="exact"/>
        <w:ind w:left="0" w:right="0"/>
        <w:jc w:val="both"/>
      </w:pPr>
      <w:bookmarkStart w:id="818" w:name="bookmark818"/>
      <w:bookmarkEnd w:id="818"/>
      <w:r>
        <w:rPr>
          <w:color w:val="000000"/>
          <w:spacing w:val="0"/>
          <w:w w:val="100"/>
          <w:position w:val="0"/>
        </w:rPr>
        <w:t>衍生工具及嵌入衍生工具</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衍生工具，包括远期外汇合约、货币汇率互换合同、利率互换合同及外汇期权合同等。衍生工具于初始确认时以公允价 值进行初始计量，并以公允价值进行后续计量。衍生工具的公允价值变动计入当期损益。</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嵌入衍生工具，是指嵌入到非衍生工具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即主合同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中的衍生工具。对于嵌入衍生工具与主合同构成的混合合同，若主合 同属于金融资产的，本公司不从该混合合同中分拆嵌入衍生工具，而将该混合合同作为一个整体适用本公司关于金融资产分 类的会计政策。若混合合同包含的主合同不属于金融资产，且同时符合下列条件的，本公司将嵌入衍生工具从混合合同中分 拆，作为单独的衍生工具处理：</w:t>
      </w:r>
    </w:p>
    <w:p>
      <w:pPr>
        <w:pStyle w:val="Style17"/>
        <w:keepNext w:val="0"/>
        <w:keepLines w:val="0"/>
        <w:widowControl w:val="0"/>
        <w:shd w:val="clear" w:color="auto" w:fill="auto"/>
        <w:bidi w:val="0"/>
        <w:spacing w:before="0" w:after="0" w:line="542" w:lineRule="auto"/>
        <w:ind w:left="0" w:right="0" w:firstLine="36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嵌入衍生工具的经济特征及风险与主合同的经济特征及风险不紧密相关。</w:t>
      </w:r>
    </w:p>
    <w:p>
      <w:pPr>
        <w:pStyle w:val="Style17"/>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与该嵌入衍生工具具有相同条款的单独工具符合衍生工具的定义。</w:t>
      </w:r>
    </w:p>
    <w:p>
      <w:pPr>
        <w:pStyle w:val="Style17"/>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该混合合同不是以公允价值计量且其变动计入当期损益进行会计处理。</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嵌入衍生工具从混合合同中分拆的，本公司按照适用的会计准则规定对混合合同的主合同进行会计处理。本公司无法根 据嵌入衍生工具的条款和条件对嵌入衍生工具的公允价值进行可靠计量的,该嵌入衍生工具的公允价值根据混合合同公允价 值和主合同公允价值之间的差额确定。使用了上述方法后，该嵌入衍生工具在取得日或后续资产负债表日的公允价值仍然无 法单独计量的，本公司将该混合合同整体指定为以公允价值计量且其变动计入当期损益的金融工具。</w:t>
      </w:r>
    </w:p>
    <w:p>
      <w:pPr>
        <w:pStyle w:val="Style17"/>
        <w:keepNext w:val="0"/>
        <w:keepLines w:val="0"/>
        <w:widowControl w:val="0"/>
        <w:shd w:val="clear" w:color="auto" w:fill="auto"/>
        <w:bidi w:val="0"/>
        <w:spacing w:before="0" w:after="0" w:line="542" w:lineRule="auto"/>
        <w:ind w:left="0" w:right="0"/>
        <w:jc w:val="both"/>
      </w:pPr>
      <w:bookmarkStart w:id="819" w:name="bookmark819"/>
      <w:r>
        <w:rPr>
          <w:rFonts w:ascii="Times New Roman" w:eastAsia="Times New Roman" w:hAnsi="Times New Roman" w:cs="Times New Roman"/>
          <w:color w:val="000000"/>
          <w:spacing w:val="0"/>
          <w:w w:val="100"/>
          <w:position w:val="0"/>
          <w:sz w:val="18"/>
          <w:szCs w:val="18"/>
        </w:rPr>
        <w:t>（</w:t>
      </w:r>
      <w:bookmarkEnd w:id="8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金融资产转移的确认依据及计量方法</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金融资产转移，是指本公司将金融资产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让与或交付该金融资产发行方以外的另一方。金融资产终止确认, 是指本公司将之前确认的金融资产从其资产负债表中予以转出。</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满足下列条件之一的金融资产，本公司予以终止确认：①收取该金融资产现金流量的合同权利终止；②该金融资产已转 移，且将金融资产所有权上几乎所有的风险和报酬转移给转入方；③该金融资产已转移，虽然本公司既没有转移也没有保留 金融资产所有权上几乎所有的风险和报酬，但是放弃了对该金融资产的控制。</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若本公司既没有转移也没有保留金融资产所有权上几乎所有的风险和报酬，且保留了对该金融资产的控制的，则按照继 续涉入被转移金融资产的程度继续确认有关金融资产，并相应确认有关负债。继续涉入所转移金融资产的程度，是指该金融 资产价值变动使企业面临的风险水平。</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 xml:space="preserve">金融资产整体转移满足终止确认条件的，将下列两项金额的差额计入当期损益：①被转移金融资产在终止确认日的账面 价值;②因转移金融资产而收到的对价，与原直接计入其他综合收益的公允价值变动累计额中对应终止确认部分的金额之和。 金融资产部分转移满足终止确认条件的，将所转移金融资产整体的账面价值，在终止确认部分和未终止确认部分之间，按照 各自的相对公允价值进行分摊，并将下列两项金额的差额计入当期损益：①终止确认部分在终止确认日的账面价值；②终止 确认部分收到的对价，与原直接计入其他综合收益的公允价值变动累计额中对应终止确认部分的金额之和。对于本公司指定 </w:t>
      </w:r>
      <w:r>
        <w:rPr>
          <w:color w:val="000000"/>
          <w:spacing w:val="0"/>
          <w:w w:val="100"/>
          <w:position w:val="0"/>
        </w:rPr>
        <w:t>为以公允价值计量且其变动计入其他综合收益的非交易性权益工具，整体或部分转移满足终止确认条件的，按上述方法计算 的差额计入留存收益。</w:t>
      </w:r>
    </w:p>
    <w:p>
      <w:pPr>
        <w:pStyle w:val="Style17"/>
        <w:keepNext w:val="0"/>
        <w:keepLines w:val="0"/>
        <w:widowControl w:val="0"/>
        <w:shd w:val="clear" w:color="auto" w:fill="auto"/>
        <w:tabs>
          <w:tab w:pos="711" w:val="left"/>
        </w:tabs>
        <w:bidi w:val="0"/>
        <w:spacing w:before="0" w:after="0" w:line="542" w:lineRule="auto"/>
        <w:ind w:left="0" w:right="0" w:firstLine="360"/>
        <w:jc w:val="both"/>
      </w:pPr>
      <w:bookmarkStart w:id="820" w:name="bookmark820"/>
      <w:r>
        <w:rPr>
          <w:rFonts w:ascii="Times New Roman" w:eastAsia="Times New Roman" w:hAnsi="Times New Roman" w:cs="Times New Roman"/>
          <w:color w:val="000000"/>
          <w:spacing w:val="0"/>
          <w:w w:val="100"/>
          <w:position w:val="0"/>
          <w:sz w:val="18"/>
          <w:szCs w:val="18"/>
        </w:rPr>
        <w:t>（</w:t>
      </w:r>
      <w:bookmarkEnd w:id="820"/>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金融负债终止确认条件</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的现时义务已经解除的，本公司终止确认该金融负债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或该部分金融负债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与借出 方之间签订协议，以承担新金融负债方式替换原金融负债，且新金融负债与原金融负债的合同条款实质上不同的，终止确认 原金融负债，同时确认一项新金融负债。本公司对原金融负债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的合同条款做出实质性修改的，终止确认原金融 负债，同时按照修改后的条款确认一项新金融负债。</w:t>
      </w:r>
    </w:p>
    <w:p>
      <w:pPr>
        <w:pStyle w:val="Style17"/>
        <w:keepNext w:val="0"/>
        <w:keepLines w:val="0"/>
        <w:widowControl w:val="0"/>
        <w:shd w:val="clear" w:color="auto" w:fill="auto"/>
        <w:bidi w:val="0"/>
        <w:spacing w:before="0" w:after="260" w:line="467" w:lineRule="exact"/>
        <w:ind w:left="0" w:right="0" w:firstLine="36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终止确认的，本公司将其账面价值与支付的对价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 额，计入当期损益。本公司回购金融负债一部分的，按照继续确认部分和终止确认部分在回购日各自的公允价值占整体公允 价值的比例，对该金融负债整体的账面价值进行分配。分配给终止确认部分的账面价值与支付的对价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 产或承担的负债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17"/>
        <w:keepNext w:val="0"/>
        <w:keepLines w:val="0"/>
        <w:widowControl w:val="0"/>
        <w:shd w:val="clear" w:color="auto" w:fill="auto"/>
        <w:tabs>
          <w:tab w:pos="711" w:val="left"/>
        </w:tabs>
        <w:bidi w:val="0"/>
        <w:spacing w:before="0" w:after="0" w:line="542" w:lineRule="auto"/>
        <w:ind w:left="0" w:right="0" w:firstLine="360"/>
        <w:jc w:val="both"/>
      </w:pPr>
      <w:bookmarkStart w:id="821" w:name="bookmark821"/>
      <w:r>
        <w:rPr>
          <w:rFonts w:ascii="Times New Roman" w:eastAsia="Times New Roman" w:hAnsi="Times New Roman" w:cs="Times New Roman"/>
          <w:color w:val="000000"/>
          <w:spacing w:val="0"/>
          <w:w w:val="100"/>
          <w:position w:val="0"/>
          <w:sz w:val="18"/>
          <w:szCs w:val="18"/>
        </w:rPr>
        <w:t>（</w:t>
      </w:r>
      <w:bookmarkEnd w:id="821"/>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金融工具公允价值的确定</w:t>
      </w:r>
    </w:p>
    <w:p>
      <w:pPr>
        <w:pStyle w:val="Style17"/>
        <w:keepNext w:val="0"/>
        <w:keepLines w:val="0"/>
        <w:widowControl w:val="0"/>
        <w:shd w:val="clear" w:color="auto" w:fill="auto"/>
        <w:bidi w:val="0"/>
        <w:spacing w:before="0" w:after="260" w:line="467" w:lineRule="exact"/>
        <w:ind w:left="0" w:right="0" w:firstLine="360"/>
        <w:jc w:val="both"/>
      </w:pPr>
      <w:r>
        <w:rPr>
          <w:color w:val="000000"/>
          <w:spacing w:val="0"/>
          <w:w w:val="100"/>
          <w:position w:val="0"/>
        </w:rPr>
        <w:t>金融资产和金融负债的公允价值确定方法见本附注五、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p>
      <w:pPr>
        <w:pStyle w:val="Style17"/>
        <w:keepNext w:val="0"/>
        <w:keepLines w:val="0"/>
        <w:widowControl w:val="0"/>
        <w:shd w:val="clear" w:color="auto" w:fill="auto"/>
        <w:tabs>
          <w:tab w:pos="711" w:val="left"/>
        </w:tabs>
        <w:bidi w:val="0"/>
        <w:spacing w:before="0" w:after="0" w:line="542" w:lineRule="auto"/>
        <w:ind w:left="0" w:right="0" w:firstLine="360"/>
        <w:jc w:val="both"/>
      </w:pPr>
      <w:bookmarkStart w:id="822" w:name="bookmark822"/>
      <w:r>
        <w:rPr>
          <w:rFonts w:ascii="Times New Roman" w:eastAsia="Times New Roman" w:hAnsi="Times New Roman" w:cs="Times New Roman"/>
          <w:color w:val="000000"/>
          <w:spacing w:val="0"/>
          <w:w w:val="100"/>
          <w:position w:val="0"/>
          <w:sz w:val="18"/>
          <w:szCs w:val="18"/>
        </w:rPr>
        <w:t>（</w:t>
      </w:r>
      <w:bookmarkEnd w:id="822"/>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金融工具的减值</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本公司以预期信用损失为基础，对以摊余成本计量的金融资产、合同资产、以公允价值计量且其变动计入其他综合收益 的债务工具投资、租赁应收款以及本附注五、</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③</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所述的财务担保合同进行减值处理并确认损失准备。预期信用损失, 是指以发生违约的风险为权重的金融工具信用损失的加权平均值。信用损失，是指本公司按照原实际利率折现的、根据合同 应收的所有合同现金流量与预期收取的所有现金流量之间的差额，即全部现金短缺的现值。</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号——收入》规范的交易形成的应收款项或合同资产及租赁应收款，本公司运用简化计量方 法，按照相当于整个存续期内的预期信用损失金额计量损失准备。</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除上述计量方法以外的金融工具，本公司按照一般方法计量损失准备，在每个资产负债表日评估其信用风险自初始确认 后是否已经显著增加。如果信用风险自初始确认后已显著增加，公司按照整个存续期内预期信用损失的金额计量损失准备； 如果信用风险自初始确认后未显著增加，公司按照该金融工具未来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可能发生的 金融工具违约事件而导致的预期信用损失，是整个存续期预期信用损失的一部分。</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 xml:space="preserve">本公司考虑所有合理且有依据的信息，包括前瞻性信息，通过比较金融工具在资产负债表日发生违约的风险与在初始确 认日发生违约的风险，确定金融工具预计存续期内发生违约风险的相对变化，以评估金融工具的信用风险自初始确认后是否 </w:t>
      </w:r>
      <w:r>
        <w:rPr>
          <w:color w:val="000000"/>
          <w:spacing w:val="0"/>
          <w:w w:val="100"/>
          <w:position w:val="0"/>
        </w:rPr>
        <w:t>已显著增加。对于在单项工具层面无法以合理成本获得关于信用风险显著增加的充分证据的金融工具，本公司以组合为基础 考虑评估信用风险是否显著增加。若本公司判断金融工具在资产负债表日只具有较低的信用风险，则假定该金融工具的信用 风险自初始确认后并未显著增加。</w:t>
      </w:r>
    </w:p>
    <w:p>
      <w:pPr>
        <w:pStyle w:val="Style17"/>
        <w:keepNext w:val="0"/>
        <w:keepLines w:val="0"/>
        <w:widowControl w:val="0"/>
        <w:shd w:val="clear" w:color="auto" w:fill="auto"/>
        <w:bidi w:val="0"/>
        <w:spacing w:before="0" w:after="260" w:line="468" w:lineRule="exact"/>
        <w:ind w:left="0" w:right="0"/>
        <w:jc w:val="both"/>
      </w:pPr>
      <w:r>
        <w:rPr>
          <w:color w:val="000000"/>
          <w:spacing w:val="0"/>
          <w:w w:val="100"/>
          <w:position w:val="0"/>
        </w:rPr>
        <w:t>本公司在每个资产负债表日重新计量预期信用损失，由此形成的损失准备的增加或转回金额，作为减值损失或利得计入 当期损益。对于以摊余成本计量的金融资产，损失准备抵减该金融资产在资产负债表中列示的账面价值；对于以公允价值计 量且其变动计入其他综合收益的债务工具投资，公司在其他综合收益中确认其损失准备，不抵减该金融资产在资产负债表中 列示的账面价值。</w:t>
      </w:r>
    </w:p>
    <w:p>
      <w:pPr>
        <w:pStyle w:val="Style17"/>
        <w:keepNext w:val="0"/>
        <w:keepLines w:val="0"/>
        <w:widowControl w:val="0"/>
        <w:shd w:val="clear" w:color="auto" w:fill="auto"/>
        <w:bidi w:val="0"/>
        <w:spacing w:before="0" w:after="0" w:line="542" w:lineRule="auto"/>
        <w:ind w:left="0" w:right="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金融资产和金融负债的抵销</w:t>
      </w:r>
    </w:p>
    <w:p>
      <w:pPr>
        <w:pStyle w:val="Style17"/>
        <w:keepNext w:val="0"/>
        <w:keepLines w:val="0"/>
        <w:widowControl w:val="0"/>
        <w:shd w:val="clear" w:color="auto" w:fill="auto"/>
        <w:bidi w:val="0"/>
        <w:spacing w:before="0" w:after="480" w:line="468" w:lineRule="exact"/>
        <w:ind w:left="0" w:right="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6"/>
        <w:keepNext/>
        <w:keepLines/>
        <w:widowControl w:val="0"/>
        <w:shd w:val="clear" w:color="auto" w:fill="auto"/>
        <w:tabs>
          <w:tab w:pos="418" w:val="left"/>
        </w:tabs>
        <w:bidi w:val="0"/>
        <w:spacing w:before="0" w:after="1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公允价值</w:t>
      </w:r>
      <w:bookmarkEnd w:id="823"/>
      <w:bookmarkEnd w:id="824"/>
      <w:bookmarkEnd w:id="826"/>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公允价值是指市场参与者在计量日发生的有序交易中，出售一项资产所能收到或者转移一项负债所需支付的价格。本公 司以公允价值计量相关资产或负债，假定出售资产或者转移负债的有序交易在相关资产或负债的主要市场进行；不存在主要 市场的，本公司假定该交易在相关资产或负债的最有利市场进行。主要市场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或最有利市场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是本公司在计量日能够进入的交 易市场。</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本公司采用在当前情况下适用并且有足够可利用数据和其他信息支持的估值技术，考虑市场参与者将该资产用于最佳用 途产生经济利益的能力，或者将该资产出售给能够用于最佳用途的其他市场参与者产生经济利益的能力，优先使用相关可观 察输入值，只有在可观察输入值无法取得或取得不切实可行的情况下，才使用不可观察输入值。</w:t>
      </w:r>
    </w:p>
    <w:p>
      <w:pPr>
        <w:pStyle w:val="Style17"/>
        <w:keepNext w:val="0"/>
        <w:keepLines w:val="0"/>
        <w:widowControl w:val="0"/>
        <w:shd w:val="clear" w:color="auto" w:fill="auto"/>
        <w:bidi w:val="0"/>
        <w:spacing w:before="0" w:after="480" w:line="468" w:lineRule="exact"/>
        <w:ind w:left="0" w:right="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输入值，是除第一层次输入值外相关资产或负债直接或间接可观察的输入值，包括：活跃市场中有类似资产或负债的报价； 非活跃市场中相同或类似资产或负债的报价；除报价以外的其他可观察输入值，如在正常报价间隔期间可观察的利益和收益 率曲线等；第三层次输入值，是相关资产或负债的不可观察输入值，包括不能直接观察或无法由可观察市场数据验证的利率、 股票波动率、企业合并中承担的弃置义务的未来现金流量、使用自身数据做出的财务预测等。每个资产负债表日，本公司对 在财务报表中确认的持续以公允价值计量的资产和负债进行重新评估，以确定是否在公允价值计量层次之间发生转换。</w:t>
      </w:r>
    </w:p>
    <w:p>
      <w:pPr>
        <w:pStyle w:val="Style36"/>
        <w:keepNext/>
        <w:keepLines/>
        <w:widowControl w:val="0"/>
        <w:shd w:val="clear" w:color="auto" w:fill="auto"/>
        <w:tabs>
          <w:tab w:pos="418" w:val="left"/>
        </w:tabs>
        <w:bidi w:val="0"/>
        <w:spacing w:before="0" w:after="1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应收票据</w:t>
      </w:r>
      <w:bookmarkEnd w:id="827"/>
      <w:bookmarkEnd w:id="828"/>
      <w:bookmarkEnd w:id="830"/>
    </w:p>
    <w:p>
      <w:pPr>
        <w:pStyle w:val="Style17"/>
        <w:keepNext w:val="0"/>
        <w:keepLines w:val="0"/>
        <w:widowControl w:val="0"/>
        <w:shd w:val="clear" w:color="auto" w:fill="auto"/>
        <w:bidi w:val="0"/>
        <w:spacing w:before="0" w:after="120" w:line="468" w:lineRule="exact"/>
        <w:ind w:left="0" w:right="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 xml:space="preserve">所述的简化计量方法确定应收票据的预期信用损失并进行会计处理。在资产负债表日，本 </w:t>
      </w:r>
      <w:r>
        <w:rPr>
          <w:color w:val="000000"/>
          <w:spacing w:val="0"/>
          <w:w w:val="100"/>
          <w:position w:val="0"/>
        </w:rPr>
        <w:t>公司按应收取的合同现金流量与预期收取的现金流量之间的差额的现值计量应收票据的信用损失。当单项应收票据无法以合 理成本评估预期信用损失的信息时，本公司根据信用风险特征将应收票据划分为若干组合，参考历史信用损失经验，结合当 前状况并考虑前瞻性信息，在组合基础上估计预期信用损失，确定组合的依据如下：</w:t>
      </w:r>
    </w:p>
    <w:tbl>
      <w:tblPr>
        <w:tblOverlap w:val="never"/>
        <w:jc w:val="center"/>
        <w:tblLayout w:type="fixed"/>
      </w:tblPr>
      <w:tblGrid>
        <w:gridCol w:w="3096"/>
        <w:gridCol w:w="5400"/>
      </w:tblGrid>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3</w:t>
      </w:r>
      <w:r>
        <w:rPr>
          <w:color w:val="000000"/>
          <w:spacing w:val="0"/>
          <w:w w:val="100"/>
          <w:position w:val="0"/>
        </w:rPr>
        <w:t>、应收账款</w:t>
      </w:r>
      <w:bookmarkEnd w:id="831"/>
      <w:bookmarkEnd w:id="832"/>
      <w:bookmarkEnd w:id="834"/>
    </w:p>
    <w:p>
      <w:pPr>
        <w:pStyle w:val="Style17"/>
        <w:keepNext w:val="0"/>
        <w:keepLines w:val="0"/>
        <w:widowControl w:val="0"/>
        <w:shd w:val="clear" w:color="auto" w:fill="auto"/>
        <w:bidi w:val="0"/>
        <w:spacing w:before="0" w:after="120" w:line="469" w:lineRule="exact"/>
        <w:ind w:left="0" w:right="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所述的简化计量方法确定应收账款的预期信用损失并进行会计处理。在资产负债表日，本 公司按应收取的合同现金流量与预期收取的现金流量之间的差额的现值计量应收账款的信用损失。当单项应收账款无法以合 理成本评估预期信用损失的信息时，本公司根据信用风险特征将应收账款划分为若干组合，参考历史信用损失经验，结合当 前状况并考虑前瞻性信息，在组合基础上估计预期信用损失，确定组合的依据如下：</w:t>
      </w:r>
    </w:p>
    <w:tbl>
      <w:tblPr>
        <w:tblOverlap w:val="never"/>
        <w:jc w:val="center"/>
        <w:tblLayout w:type="fixed"/>
      </w:tblPr>
      <w:tblGrid>
        <w:gridCol w:w="3437"/>
        <w:gridCol w:w="4982"/>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应收账款组合</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金融信息化业务类款项</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应收账款组合</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移动信息服务业务类款项</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应收账款组合</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电子商务业务类款项</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应收账款组合</w:t>
            </w: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4：</w:t>
            </w:r>
            <w:r>
              <w:rPr>
                <w:color w:val="000000"/>
                <w:spacing w:val="0"/>
                <w:w w:val="100"/>
                <w:position w:val="0"/>
              </w:rPr>
              <w:t>合并范围内关联方款项</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应收账款组合</w:t>
            </w: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sz w:val="18"/>
                <w:szCs w:val="18"/>
              </w:rPr>
              <w:t>5：</w:t>
            </w:r>
            <w:r>
              <w:rPr>
                <w:color w:val="000000"/>
                <w:spacing w:val="0"/>
                <w:w w:val="100"/>
                <w:position w:val="0"/>
              </w:rPr>
              <w:t>质保金款项</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4</w:t>
      </w:r>
      <w:r>
        <w:rPr>
          <w:color w:val="000000"/>
          <w:spacing w:val="0"/>
          <w:w w:val="100"/>
          <w:position w:val="0"/>
        </w:rPr>
        <w:t>、应收款项融资</w:t>
      </w:r>
      <w:bookmarkEnd w:id="835"/>
      <w:bookmarkEnd w:id="836"/>
      <w:bookmarkEnd w:id="838"/>
    </w:p>
    <w:p>
      <w:pPr>
        <w:pStyle w:val="Style17"/>
        <w:keepNext w:val="0"/>
        <w:keepLines w:val="0"/>
        <w:widowControl w:val="0"/>
        <w:shd w:val="clear" w:color="auto" w:fill="auto"/>
        <w:bidi w:val="0"/>
        <w:spacing w:before="0" w:after="0" w:line="467" w:lineRule="exact"/>
        <w:ind w:left="0" w:right="0"/>
        <w:jc w:val="left"/>
      </w:pPr>
      <w:r>
        <w:rPr>
          <w:color w:val="000000"/>
          <w:spacing w:val="0"/>
          <w:w w:val="100"/>
          <w:position w:val="0"/>
        </w:rPr>
        <w:t>当应收票据和应收账款同时满足以下条件时，本公司将其划分为以公允价值计量且其变动计入其他综合收益的金融资 产，在报表中列示为应收款项融资：</w:t>
      </w:r>
    </w:p>
    <w:p>
      <w:pPr>
        <w:pStyle w:val="Style17"/>
        <w:keepNext w:val="0"/>
        <w:keepLines w:val="0"/>
        <w:widowControl w:val="0"/>
        <w:numPr>
          <w:ilvl w:val="0"/>
          <w:numId w:val="47"/>
        </w:numPr>
        <w:shd w:val="clear" w:color="auto" w:fill="auto"/>
        <w:tabs>
          <w:tab w:pos="749" w:val="left"/>
        </w:tabs>
        <w:bidi w:val="0"/>
        <w:spacing w:before="0" w:after="0" w:line="467" w:lineRule="exact"/>
        <w:ind w:left="0" w:right="0"/>
        <w:jc w:val="left"/>
      </w:pPr>
      <w:bookmarkStart w:id="839" w:name="bookmark839"/>
      <w:bookmarkEnd w:id="839"/>
      <w:r>
        <w:rPr>
          <w:color w:val="000000"/>
          <w:spacing w:val="0"/>
          <w:w w:val="100"/>
          <w:position w:val="0"/>
        </w:rPr>
        <w:t>合同现金流量为对本金和以未偿付本金金额为基础的利息的支付；</w:t>
      </w:r>
    </w:p>
    <w:p>
      <w:pPr>
        <w:pStyle w:val="Style17"/>
        <w:keepNext w:val="0"/>
        <w:keepLines w:val="0"/>
        <w:widowControl w:val="0"/>
        <w:numPr>
          <w:ilvl w:val="0"/>
          <w:numId w:val="47"/>
        </w:numPr>
        <w:shd w:val="clear" w:color="auto" w:fill="auto"/>
        <w:tabs>
          <w:tab w:pos="749" w:val="left"/>
        </w:tabs>
        <w:bidi w:val="0"/>
        <w:spacing w:before="0" w:after="0" w:line="467" w:lineRule="exact"/>
        <w:ind w:left="0" w:right="0"/>
        <w:jc w:val="left"/>
      </w:pPr>
      <w:bookmarkStart w:id="840" w:name="bookmark840"/>
      <w:bookmarkEnd w:id="840"/>
      <w:r>
        <w:rPr>
          <w:color w:val="000000"/>
          <w:spacing w:val="0"/>
          <w:w w:val="100"/>
          <w:position w:val="0"/>
        </w:rPr>
        <w:t>本公司管理应收票据和应收账款的业务模式既以收取合同现金流量为目标又以出售为目标。</w:t>
      </w:r>
    </w:p>
    <w:p>
      <w:pPr>
        <w:pStyle w:val="Style17"/>
        <w:keepNext w:val="0"/>
        <w:keepLines w:val="0"/>
        <w:widowControl w:val="0"/>
        <w:shd w:val="clear" w:color="auto" w:fill="auto"/>
        <w:bidi w:val="0"/>
        <w:spacing w:before="0" w:after="0" w:line="467" w:lineRule="exact"/>
        <w:ind w:left="0" w:right="0"/>
        <w:jc w:val="left"/>
      </w:pPr>
      <w:r>
        <w:rPr>
          <w:color w:val="000000"/>
          <w:spacing w:val="0"/>
          <w:w w:val="100"/>
          <w:position w:val="0"/>
        </w:rPr>
        <w:t>应收款项融资采用实际利率法确认的利息收入、减值损失及汇兑差额确认为当期损益，其余公允价值变动计入其他综合 收益。终止确认时，之前计入其他综合收益的累计利得或损失从其他综合收益转出，计入当期损益。</w:t>
      </w:r>
    </w:p>
    <w:p>
      <w:pPr>
        <w:pStyle w:val="Style17"/>
        <w:keepNext w:val="0"/>
        <w:keepLines w:val="0"/>
        <w:widowControl w:val="0"/>
        <w:shd w:val="clear" w:color="auto" w:fill="auto"/>
        <w:bidi w:val="0"/>
        <w:spacing w:before="0" w:after="200" w:line="467" w:lineRule="exact"/>
        <w:ind w:left="0" w:right="0"/>
        <w:jc w:val="left"/>
      </w:pPr>
      <w:r>
        <w:rPr>
          <w:color w:val="000000"/>
          <w:spacing w:val="0"/>
          <w:w w:val="100"/>
          <w:position w:val="0"/>
        </w:rPr>
        <w:t>当单项无法以合理成本评估预期信用损失的信息时，本公司依据信用风险特征将应收票据及应收账款划分为若干组合， 在组合基础上计算预期信用损失。如果有客观证据表明某项应收票据及应收账款已经发生信用减值，则本公司对该应收票据 及应收账款单项计提坏准备并确认预期信用损失，对于划分为组合的应收票据及应收账款，比照前述应收票据以及应收账款 预期信用损失的确定方法及会计处理方法披露。</w:t>
      </w:r>
    </w:p>
    <w:p>
      <w:pPr>
        <w:pStyle w:val="Style36"/>
        <w:keepNext/>
        <w:keepLines/>
        <w:widowControl w:val="0"/>
        <w:shd w:val="clear" w:color="auto" w:fill="auto"/>
        <w:bidi w:val="0"/>
        <w:spacing w:before="0" w:after="40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5</w:t>
      </w:r>
      <w:r>
        <w:rPr>
          <w:color w:val="000000"/>
          <w:spacing w:val="0"/>
          <w:w w:val="100"/>
          <w:position w:val="0"/>
        </w:rPr>
        <w:t>、其他应收款</w:t>
      </w:r>
      <w:bookmarkEnd w:id="841"/>
      <w:bookmarkEnd w:id="842"/>
      <w:bookmarkEnd w:id="844"/>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17"/>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所述的一般方法确定其他应收款的预期信用损失并进行会计处理。在资产负债表日，本公 司按应收取的合同现金流量与预期收取的现金流量之间的差额的现值计量其他应收款的信用损失。当单项其他应收款无法以 合理成本评估预期信用损失的信息时，本公司根据信用风险特征将其他应收款划分为若干组合，参考历史信用损失经验，结 合当前状况并考虑前瞻性信息，在组合基础上估计预期信用损失，确定组合的依据如下：</w:t>
      </w:r>
    </w:p>
    <w:tbl>
      <w:tblPr>
        <w:tblOverlap w:val="never"/>
        <w:jc w:val="center"/>
        <w:tblLayout w:type="fixed"/>
      </w:tblPr>
      <w:tblGrid>
        <w:gridCol w:w="3101"/>
        <w:gridCol w:w="5251"/>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其他应收账款组合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其他应收账款组合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其他应收账款组合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退税款、政府补贴款</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其他应收账款组合</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r>
    </w:tbl>
    <w:p>
      <w:pPr>
        <w:widowControl w:val="0"/>
        <w:spacing w:after="319" w:line="1" w:lineRule="exact"/>
      </w:pPr>
    </w:p>
    <w:p>
      <w:pPr>
        <w:pStyle w:val="Style36"/>
        <w:keepNext/>
        <w:keepLines/>
        <w:widowControl w:val="0"/>
        <w:shd w:val="clear" w:color="auto" w:fill="auto"/>
        <w:bidi w:val="0"/>
        <w:spacing w:before="0" w:after="220" w:line="240" w:lineRule="auto"/>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16</w:t>
      </w:r>
      <w:r>
        <w:rPr>
          <w:color w:val="000000"/>
          <w:spacing w:val="0"/>
          <w:w w:val="100"/>
          <w:position w:val="0"/>
        </w:rPr>
        <w:t>、存货</w:t>
      </w:r>
      <w:bookmarkEnd w:id="845"/>
      <w:bookmarkEnd w:id="846"/>
      <w:bookmarkEnd w:id="847"/>
    </w:p>
    <w:p>
      <w:pPr>
        <w:pStyle w:val="Style17"/>
        <w:keepNext w:val="0"/>
        <w:keepLines w:val="0"/>
        <w:widowControl w:val="0"/>
        <w:numPr>
          <w:ilvl w:val="0"/>
          <w:numId w:val="49"/>
        </w:numPr>
        <w:shd w:val="clear" w:color="auto" w:fill="auto"/>
        <w:tabs>
          <w:tab w:pos="766" w:val="left"/>
        </w:tabs>
        <w:bidi w:val="0"/>
        <w:spacing w:before="0" w:after="0" w:line="468" w:lineRule="exact"/>
        <w:ind w:left="0" w:right="0" w:firstLine="360"/>
        <w:jc w:val="left"/>
      </w:pPr>
      <w:bookmarkStart w:id="848" w:name="bookmark848"/>
      <w:bookmarkEnd w:id="848"/>
      <w:r>
        <w:rPr>
          <w:color w:val="000000"/>
          <w:spacing w:val="0"/>
          <w:w w:val="100"/>
          <w:position w:val="0"/>
        </w:rPr>
        <w:t>存货主要包括库存商品、原材料、委托加工物资、在产品、发出商品等。</w:t>
      </w:r>
    </w:p>
    <w:p>
      <w:pPr>
        <w:pStyle w:val="Style17"/>
        <w:keepNext w:val="0"/>
        <w:keepLines w:val="0"/>
        <w:widowControl w:val="0"/>
        <w:numPr>
          <w:ilvl w:val="0"/>
          <w:numId w:val="49"/>
        </w:numPr>
        <w:shd w:val="clear" w:color="auto" w:fill="auto"/>
        <w:tabs>
          <w:tab w:pos="766" w:val="left"/>
        </w:tabs>
        <w:bidi w:val="0"/>
        <w:spacing w:before="0" w:after="0" w:line="468" w:lineRule="exact"/>
        <w:ind w:left="0" w:right="0" w:firstLine="360"/>
        <w:jc w:val="left"/>
      </w:pPr>
      <w:bookmarkStart w:id="849" w:name="bookmark849"/>
      <w:bookmarkEnd w:id="849"/>
      <w:r>
        <w:rPr>
          <w:color w:val="000000"/>
          <w:spacing w:val="0"/>
          <w:w w:val="100"/>
          <w:position w:val="0"/>
        </w:rPr>
        <w:t>企业在取得时按实际成本计价，存货成本包括采购成本、加工成本和其他成本。</w:t>
      </w:r>
    </w:p>
    <w:p>
      <w:pPr>
        <w:pStyle w:val="Style17"/>
        <w:keepNext w:val="0"/>
        <w:keepLines w:val="0"/>
        <w:widowControl w:val="0"/>
        <w:numPr>
          <w:ilvl w:val="0"/>
          <w:numId w:val="49"/>
        </w:numPr>
        <w:shd w:val="clear" w:color="auto" w:fill="auto"/>
        <w:tabs>
          <w:tab w:pos="766" w:val="left"/>
        </w:tabs>
        <w:bidi w:val="0"/>
        <w:spacing w:before="0" w:after="0" w:line="468" w:lineRule="exact"/>
        <w:ind w:left="0" w:right="0" w:firstLine="360"/>
        <w:jc w:val="left"/>
      </w:pPr>
      <w:bookmarkStart w:id="850" w:name="bookmark850"/>
      <w:bookmarkEnd w:id="850"/>
      <w:r>
        <w:rPr>
          <w:color w:val="000000"/>
          <w:spacing w:val="0"/>
          <w:w w:val="100"/>
          <w:position w:val="0"/>
        </w:rPr>
        <w:t>企业发出存货的成本计量采用加权平均法核算。</w:t>
      </w:r>
    </w:p>
    <w:p>
      <w:pPr>
        <w:pStyle w:val="Style17"/>
        <w:keepNext w:val="0"/>
        <w:keepLines w:val="0"/>
        <w:widowControl w:val="0"/>
        <w:numPr>
          <w:ilvl w:val="0"/>
          <w:numId w:val="49"/>
        </w:numPr>
        <w:shd w:val="clear" w:color="auto" w:fill="auto"/>
        <w:tabs>
          <w:tab w:pos="766" w:val="left"/>
        </w:tabs>
        <w:bidi w:val="0"/>
        <w:spacing w:before="0" w:after="0" w:line="468" w:lineRule="exact"/>
        <w:ind w:left="0" w:right="0" w:firstLine="360"/>
        <w:jc w:val="left"/>
      </w:pPr>
      <w:bookmarkStart w:id="851" w:name="bookmark851"/>
      <w:bookmarkEnd w:id="851"/>
      <w:r>
        <w:rPr>
          <w:color w:val="000000"/>
          <w:spacing w:val="0"/>
          <w:w w:val="100"/>
          <w:position w:val="0"/>
        </w:rPr>
        <w:t>低值易耗品和包装物的摊销方法</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低值易耗品按照一次转销法进行摊销。</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包装物按照一次转销法进行摊销。</w:t>
      </w:r>
    </w:p>
    <w:p>
      <w:pPr>
        <w:pStyle w:val="Style17"/>
        <w:keepNext w:val="0"/>
        <w:keepLines w:val="0"/>
        <w:widowControl w:val="0"/>
        <w:numPr>
          <w:ilvl w:val="0"/>
          <w:numId w:val="49"/>
        </w:numPr>
        <w:shd w:val="clear" w:color="auto" w:fill="auto"/>
        <w:tabs>
          <w:tab w:pos="762" w:val="left"/>
        </w:tabs>
        <w:bidi w:val="0"/>
        <w:spacing w:before="0" w:after="0" w:line="468" w:lineRule="exact"/>
        <w:ind w:left="0" w:right="0" w:firstLine="360"/>
        <w:jc w:val="both"/>
      </w:pPr>
      <w:bookmarkStart w:id="852" w:name="bookmark852"/>
      <w:bookmarkEnd w:id="852"/>
      <w:r>
        <w:rPr>
          <w:color w:val="000000"/>
          <w:spacing w:val="0"/>
          <w:w w:val="100"/>
          <w:position w:val="0"/>
        </w:rPr>
        <w:t>资产负债表日，存货采用成本与可变现净值孰低计量。存货可变现净值是按存货的估计售价减去至完工时估计将要 发生的成本、估计的销售费用以及相关税费后的金额。在确定存货的可变现净值时，以取得的确凿证据为基础，同时考虑持 有存货的目的以及资产负债表日后事项的影响，除有明确证据表明资产负债表日市场价格异常外，本期期末存货项目的可变 现净值以资产负债表日市场价格为基础确定，其中：</w:t>
      </w:r>
    </w:p>
    <w:p>
      <w:pPr>
        <w:pStyle w:val="Style17"/>
        <w:keepNext w:val="0"/>
        <w:keepLines w:val="0"/>
        <w:widowControl w:val="0"/>
        <w:numPr>
          <w:ilvl w:val="0"/>
          <w:numId w:val="51"/>
        </w:numPr>
        <w:shd w:val="clear" w:color="auto" w:fill="auto"/>
        <w:tabs>
          <w:tab w:pos="728" w:val="left"/>
        </w:tabs>
        <w:bidi w:val="0"/>
        <w:spacing w:before="0" w:after="0" w:line="468" w:lineRule="exact"/>
        <w:ind w:left="0" w:right="0" w:firstLine="360"/>
        <w:jc w:val="both"/>
      </w:pPr>
      <w:bookmarkStart w:id="853" w:name="bookmark853"/>
      <w:bookmarkEnd w:id="853"/>
      <w:r>
        <w:rPr>
          <w:color w:val="000000"/>
          <w:spacing w:val="0"/>
          <w:w w:val="100"/>
          <w:position w:val="0"/>
        </w:rPr>
        <w:t>产成品、商品和用于出售的材料等直接用于出售的商品存货，在正常生产经营过程中以该存货的估计售价减去估计的 销售费用和相关税费后的金额确定其可变现净值；</w:t>
      </w:r>
    </w:p>
    <w:p>
      <w:pPr>
        <w:pStyle w:val="Style17"/>
        <w:keepNext w:val="0"/>
        <w:keepLines w:val="0"/>
        <w:widowControl w:val="0"/>
        <w:numPr>
          <w:ilvl w:val="0"/>
          <w:numId w:val="51"/>
        </w:numPr>
        <w:shd w:val="clear" w:color="auto" w:fill="auto"/>
        <w:tabs>
          <w:tab w:pos="728" w:val="left"/>
        </w:tabs>
        <w:bidi w:val="0"/>
        <w:spacing w:before="0" w:after="0" w:line="468" w:lineRule="exact"/>
        <w:ind w:left="0" w:right="0" w:firstLine="360"/>
        <w:jc w:val="both"/>
      </w:pPr>
      <w:bookmarkStart w:id="854" w:name="bookmark854"/>
      <w:bookmarkEnd w:id="854"/>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估计的销售费用和相关税费后的金额确定其可变现净值；资产负债表日，同一项存货中一部分有合同价格约定、其他部分不 存在合同价格的，分别确定其可变现净值，并与其对应的成本进行比较，分别确定存货跌价准备的计提或转回的金额。</w:t>
      </w:r>
    </w:p>
    <w:p>
      <w:pPr>
        <w:pStyle w:val="Style17"/>
        <w:keepNext w:val="0"/>
        <w:keepLines w:val="0"/>
        <w:widowControl w:val="0"/>
        <w:shd w:val="clear" w:color="auto" w:fill="auto"/>
        <w:bidi w:val="0"/>
        <w:spacing w:before="0" w:after="240" w:line="468" w:lineRule="exact"/>
        <w:ind w:left="0" w:right="0" w:firstLine="360"/>
        <w:jc w:val="both"/>
      </w:pPr>
      <w:r>
        <w:rPr>
          <w:color w:val="000000"/>
          <w:spacing w:val="0"/>
          <w:w w:val="100"/>
          <w:position w:val="0"/>
        </w:rPr>
        <w:t xml:space="preserve">期末按照单个存货项目计提存货跌价准备；但对于数量繁多、单价较低的存货，按照存货类别计提存货跌价准备；与在 同一地区生产和销售的产品系列相关、具有相同或者类似最终用途或目的，且难以与其他项目分开计量的存货，则合并计提 </w:t>
      </w:r>
      <w:r>
        <w:rPr>
          <w:color w:val="000000"/>
          <w:spacing w:val="0"/>
          <w:w w:val="100"/>
          <w:position w:val="0"/>
        </w:rPr>
        <w:t>存货跌价准备。</w:t>
      </w:r>
    </w:p>
    <w:p>
      <w:pPr>
        <w:pStyle w:val="Style17"/>
        <w:keepNext w:val="0"/>
        <w:keepLines w:val="0"/>
        <w:widowControl w:val="0"/>
        <w:shd w:val="clear" w:color="auto" w:fill="auto"/>
        <w:bidi w:val="0"/>
        <w:spacing w:before="0" w:after="260" w:line="466"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7"/>
        <w:keepNext w:val="0"/>
        <w:keepLines w:val="0"/>
        <w:widowControl w:val="0"/>
        <w:numPr>
          <w:ilvl w:val="0"/>
          <w:numId w:val="49"/>
        </w:numPr>
        <w:shd w:val="clear" w:color="auto" w:fill="auto"/>
        <w:bidi w:val="0"/>
        <w:spacing w:before="0" w:after="200" w:line="540" w:lineRule="auto"/>
        <w:ind w:left="0" w:right="0"/>
        <w:jc w:val="both"/>
      </w:pPr>
      <w:bookmarkStart w:id="855" w:name="bookmark855"/>
      <w:bookmarkEnd w:id="855"/>
      <w:r>
        <w:rPr>
          <w:color w:val="000000"/>
          <w:spacing w:val="0"/>
          <w:w w:val="100"/>
          <w:position w:val="0"/>
        </w:rPr>
        <w:t>存货的盘存制度为永续盘存制。</w:t>
      </w:r>
    </w:p>
    <w:p>
      <w:pPr>
        <w:pStyle w:val="Style36"/>
        <w:keepNext/>
        <w:keepLines/>
        <w:widowControl w:val="0"/>
        <w:shd w:val="clear" w:color="auto" w:fill="auto"/>
        <w:tabs>
          <w:tab w:pos="525" w:val="left"/>
        </w:tabs>
        <w:bidi w:val="0"/>
        <w:spacing w:before="0" w:after="20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7</w:t>
      </w:r>
      <w:r>
        <w:rPr>
          <w:color w:val="000000"/>
          <w:spacing w:val="0"/>
          <w:w w:val="100"/>
          <w:position w:val="0"/>
        </w:rPr>
        <w:t>、</w:t>
        <w:tab/>
        <w:t>合同资产</w:t>
      </w:r>
      <w:bookmarkEnd w:id="856"/>
      <w:bookmarkEnd w:id="857"/>
      <w:bookmarkEnd w:id="859"/>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合同资产是指公司已向客户转让商品而有权收取对价的权利，且该权利取决于时间流逝之外的其他因素。公司拥有的、 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公司将同一合同下的合同资产和合同负债相互抵销后以净额列示。</w:t>
      </w:r>
    </w:p>
    <w:p>
      <w:pPr>
        <w:pStyle w:val="Style17"/>
        <w:keepNext w:val="0"/>
        <w:keepLines w:val="0"/>
        <w:widowControl w:val="0"/>
        <w:shd w:val="clear" w:color="auto" w:fill="auto"/>
        <w:bidi w:val="0"/>
        <w:spacing w:before="0" w:after="480" w:line="466" w:lineRule="exact"/>
        <w:ind w:left="0" w:right="0"/>
        <w:jc w:val="both"/>
      </w:pPr>
      <w:r>
        <w:rPr>
          <w:color w:val="000000"/>
          <w:spacing w:val="0"/>
          <w:w w:val="100"/>
          <w:position w:val="0"/>
        </w:rPr>
        <w:t>对于合同资产的减值损失计量，比照前述应收款项的减值损失计量方法处理。</w:t>
      </w:r>
    </w:p>
    <w:p>
      <w:pPr>
        <w:pStyle w:val="Style36"/>
        <w:keepNext/>
        <w:keepLines/>
        <w:widowControl w:val="0"/>
        <w:shd w:val="clear" w:color="auto" w:fill="auto"/>
        <w:tabs>
          <w:tab w:pos="525" w:val="left"/>
        </w:tabs>
        <w:bidi w:val="0"/>
        <w:spacing w:before="0" w:after="48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1</w:t>
      </w:r>
      <w:bookmarkEnd w:id="862"/>
      <w:r>
        <w:rPr>
          <w:rFonts w:ascii="Times New Roman" w:eastAsia="Times New Roman" w:hAnsi="Times New Roman" w:cs="Times New Roman"/>
          <w:color w:val="000000"/>
          <w:spacing w:val="0"/>
          <w:w w:val="100"/>
          <w:position w:val="0"/>
        </w:rPr>
        <w:t>8</w:t>
      </w:r>
      <w:r>
        <w:rPr>
          <w:color w:val="000000"/>
          <w:spacing w:val="0"/>
          <w:w w:val="100"/>
          <w:position w:val="0"/>
        </w:rPr>
        <w:t>、</w:t>
        <w:tab/>
        <w:t>合同成本</w:t>
      </w:r>
      <w:bookmarkEnd w:id="860"/>
      <w:bookmarkEnd w:id="861"/>
      <w:bookmarkEnd w:id="863"/>
    </w:p>
    <w:p>
      <w:pPr>
        <w:pStyle w:val="Style17"/>
        <w:keepNext w:val="0"/>
        <w:keepLines w:val="0"/>
        <w:widowControl w:val="0"/>
        <w:numPr>
          <w:ilvl w:val="0"/>
          <w:numId w:val="53"/>
        </w:numPr>
        <w:shd w:val="clear" w:color="auto" w:fill="auto"/>
        <w:tabs>
          <w:tab w:pos="780" w:val="left"/>
        </w:tabs>
        <w:bidi w:val="0"/>
        <w:spacing w:before="0" w:after="0" w:line="545" w:lineRule="auto"/>
        <w:ind w:left="0" w:right="0"/>
        <w:jc w:val="both"/>
      </w:pPr>
      <w:bookmarkStart w:id="864" w:name="bookmark864"/>
      <w:bookmarkEnd w:id="864"/>
      <w:r>
        <w:rPr>
          <w:color w:val="000000"/>
          <w:spacing w:val="0"/>
          <w:w w:val="100"/>
          <w:position w:val="0"/>
        </w:rPr>
        <w:t>合同成本的确认条件</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合同成本包括合同取得成本及合同履约成本。</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公司为取得合同发生的增量成本预期能够收回的，作为合同取得成本确认为一项资产。公司为取得合同发生的、除预期 能够收回的增量成本之外的其他支出，在发生时计入当期损益，明确由客户承担的除外。</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公司为履行合同发生的成本，不属于除收入准则外的其他企业会计准则规范范围且同时满足下列条件的，作为合同履约 成本确认为一项资产：①该成本与一份当前或预期取得的合同直接相关，包括直接人工、直接材料、制造费用或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类似费用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明确由客户承担的成本以及仅因该合同而发生的其他成本；②该成本增加了公司未来用于履行履约义务的资源；</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该成本 预期能够收回。</w:t>
      </w:r>
    </w:p>
    <w:p>
      <w:pPr>
        <w:pStyle w:val="Style17"/>
        <w:keepNext w:val="0"/>
        <w:keepLines w:val="0"/>
        <w:widowControl w:val="0"/>
        <w:numPr>
          <w:ilvl w:val="0"/>
          <w:numId w:val="53"/>
        </w:numPr>
        <w:shd w:val="clear" w:color="auto" w:fill="auto"/>
        <w:tabs>
          <w:tab w:pos="780" w:val="left"/>
        </w:tabs>
        <w:bidi w:val="0"/>
        <w:spacing w:before="0" w:after="0" w:line="545" w:lineRule="auto"/>
        <w:ind w:left="0" w:right="0"/>
        <w:jc w:val="both"/>
      </w:pPr>
      <w:bookmarkStart w:id="865" w:name="bookmark865"/>
      <w:bookmarkEnd w:id="865"/>
      <w:r>
        <w:rPr>
          <w:color w:val="000000"/>
          <w:spacing w:val="0"/>
          <w:w w:val="100"/>
          <w:position w:val="0"/>
        </w:rPr>
        <w:t>与合同成本有关的资产的摊销</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合同取得成本确认的资产与和合同履约成本确认的资产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 或服务收入确认相同的基础进行摊销，计入当期损益。摊销期限不超过一年则在发生时计入当期损益。</w:t>
      </w:r>
    </w:p>
    <w:p>
      <w:pPr>
        <w:pStyle w:val="Style17"/>
        <w:keepNext w:val="0"/>
        <w:keepLines w:val="0"/>
        <w:widowControl w:val="0"/>
        <w:numPr>
          <w:ilvl w:val="0"/>
          <w:numId w:val="53"/>
        </w:numPr>
        <w:shd w:val="clear" w:color="auto" w:fill="auto"/>
        <w:tabs>
          <w:tab w:pos="780" w:val="left"/>
        </w:tabs>
        <w:bidi w:val="0"/>
        <w:spacing w:before="0" w:after="0" w:line="545" w:lineRule="auto"/>
        <w:ind w:left="0" w:right="0"/>
        <w:jc w:val="both"/>
      </w:pPr>
      <w:bookmarkStart w:id="866" w:name="bookmark866"/>
      <w:bookmarkEnd w:id="866"/>
      <w:r>
        <w:rPr>
          <w:color w:val="000000"/>
          <w:spacing w:val="0"/>
          <w:w w:val="100"/>
          <w:position w:val="0"/>
        </w:rPr>
        <w:t>与合同成本有关的资产的减值</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在确定与合同成本有关的资产的减值损失时，公司首先对按照其他企业会计准则确认的、与合同有关的其他资产确定减 值损失；然后确定与合同成本有关的资产的减值损失。与合同成本有关的资产，其账面价值高于公司因转让与该资产相关的 商品预期能够取得的剩余对价与为转让该相关商品估计将要发生的成本的差额的，超出部分计提减值准备，并确认为资产减 值损失。</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计提减值准备后，如果以前期间减值的因素发生变化，使得公司因转让与该资产相关的商品预期能够取得的剩余对价与 为转让该相关商品估计将要发生的成本的差额高于该资产账面价值的，转回原已计提的资产减值准备，并计入当期损益，但 转回后的资产账面价值不超过假定不计提减值准备情况下该资产在转回日的账面价值。</w:t>
      </w:r>
    </w:p>
    <w:p>
      <w:pPr>
        <w:pStyle w:val="Style36"/>
        <w:keepNext/>
        <w:keepLines/>
        <w:widowControl w:val="0"/>
        <w:shd w:val="clear" w:color="auto" w:fill="auto"/>
        <w:bidi w:val="0"/>
        <w:spacing w:before="0" w:after="20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867"/>
      <w:bookmarkEnd w:id="868"/>
      <w:bookmarkEnd w:id="870"/>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本部分所指的长期股权投资是指本公司对被投资单位具有控制、共同控制或重大影响的长期股权投资，包括对子公司、 合营企业和联营企业的权益性投资。</w:t>
      </w:r>
    </w:p>
    <w:p>
      <w:pPr>
        <w:pStyle w:val="Style17"/>
        <w:keepNext w:val="0"/>
        <w:keepLines w:val="0"/>
        <w:widowControl w:val="0"/>
        <w:numPr>
          <w:ilvl w:val="0"/>
          <w:numId w:val="55"/>
        </w:numPr>
        <w:shd w:val="clear" w:color="auto" w:fill="auto"/>
        <w:tabs>
          <w:tab w:pos="706" w:val="left"/>
        </w:tabs>
        <w:bidi w:val="0"/>
        <w:spacing w:before="0" w:after="0" w:line="467" w:lineRule="exact"/>
        <w:ind w:left="0" w:right="0" w:firstLine="360"/>
        <w:jc w:val="both"/>
      </w:pPr>
      <w:bookmarkStart w:id="871" w:name="bookmark871"/>
      <w:bookmarkEnd w:id="871"/>
      <w:r>
        <w:rPr>
          <w:color w:val="000000"/>
          <w:spacing w:val="0"/>
          <w:w w:val="100"/>
          <w:position w:val="0"/>
        </w:rPr>
        <w:t>共同控制和重大影响的判断标准</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后才能决策。本公司与其他合营方一同对被投资单位实施共同控制且对被投资单位实施共同控制且对被投资单位净资产享有 权利的，被投资单位为本公司的合营企业。判断是否存在共同控制时，不考虑享有的保护性权利。</w:t>
      </w:r>
    </w:p>
    <w:p>
      <w:pPr>
        <w:pStyle w:val="Style17"/>
        <w:keepNext w:val="0"/>
        <w:keepLines w:val="0"/>
        <w:widowControl w:val="0"/>
        <w:shd w:val="clear" w:color="auto" w:fill="auto"/>
        <w:bidi w:val="0"/>
        <w:spacing w:before="0" w:after="0" w:line="467" w:lineRule="exact"/>
        <w:ind w:left="0" w:right="0" w:firstLine="360"/>
        <w:jc w:val="both"/>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的制定。本公司能够对被投资单位施加重大影响的，被投资单位为本公司联营企业。在确定能否对被投资单位施加重大影响 时，考虑投资方直接或间接持有被投资单位的表决权股份以及投资方及其他方持有的当期可执行潜在表决权在假定转换为对 被投资方单位的股权后产生的影响，包括被投资单位发行的当期可转换的认股权证、股份期权及可转换公司债券等的影响。</w:t>
      </w:r>
    </w:p>
    <w:p>
      <w:pPr>
        <w:pStyle w:val="Style17"/>
        <w:keepNext w:val="0"/>
        <w:keepLines w:val="0"/>
        <w:widowControl w:val="0"/>
        <w:numPr>
          <w:ilvl w:val="0"/>
          <w:numId w:val="55"/>
        </w:numPr>
        <w:shd w:val="clear" w:color="auto" w:fill="auto"/>
        <w:tabs>
          <w:tab w:pos="706" w:val="left"/>
        </w:tabs>
        <w:bidi w:val="0"/>
        <w:spacing w:before="0" w:after="0" w:line="467" w:lineRule="exact"/>
        <w:ind w:left="0" w:right="0" w:firstLine="360"/>
        <w:jc w:val="both"/>
      </w:pPr>
      <w:bookmarkStart w:id="872" w:name="bookmark872"/>
      <w:bookmarkEnd w:id="872"/>
      <w:r>
        <w:rPr>
          <w:color w:val="000000"/>
          <w:spacing w:val="0"/>
          <w:w w:val="100"/>
          <w:position w:val="0"/>
        </w:rPr>
        <w:t>长期股权投资的投资成本的确定</w:t>
      </w:r>
    </w:p>
    <w:p>
      <w:pPr>
        <w:pStyle w:val="Style17"/>
        <w:keepNext w:val="0"/>
        <w:keepLines w:val="0"/>
        <w:widowControl w:val="0"/>
        <w:numPr>
          <w:ilvl w:val="0"/>
          <w:numId w:val="57"/>
        </w:numPr>
        <w:shd w:val="clear" w:color="auto" w:fill="auto"/>
        <w:tabs>
          <w:tab w:pos="668" w:val="left"/>
        </w:tabs>
        <w:bidi w:val="0"/>
        <w:spacing w:before="0" w:after="0" w:line="467" w:lineRule="exact"/>
        <w:ind w:left="0" w:right="0" w:firstLine="360"/>
        <w:jc w:val="both"/>
      </w:pPr>
      <w:bookmarkStart w:id="873" w:name="bookmark873"/>
      <w:bookmarkEnd w:id="873"/>
      <w:r>
        <w:rPr>
          <w:color w:val="000000"/>
          <w:spacing w:val="0"/>
          <w:w w:val="100"/>
          <w:position w:val="0"/>
        </w:rPr>
        <w:t>同一控制下的合并形成的，合并方以支付现金、转让非现金资产、承担债务或发行权益性证券作为合并对价的，在合 并日按取得被合并方所有者权益在最终控制方合并财务报表中的账面价值的份额作为其初始投资成本。长期股权投资初始投 资成本与支付的现金、转让的非现金资产、所承担债务账面价值或发行股份的面值总额之间的差额调整资本公积；资本公积 不足冲减的，调整留存收益。通过多次交易分步取得同一控制下被合并方的股权，最终形成同一控制下企业合并的，应分别 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的，在合并日按照应享有被合并方股东权益在最终控制方合并财务报表中的账面价值的份额作为长期股权投资的 初始投资成本，长期股权投资初始投资成本与达到合并前的长期股权投资账面价值加上合并日进一步取得股份新支付对价的 账面价值之和的差额，调整资本公积；资本公积不足冲减的，调整留存收益。合并日之前持有的股权投资因采用权益法核算 或为其他权益工具投资而确认的其他综合收益，暂不进行会计处理。</w:t>
      </w:r>
    </w:p>
    <w:p>
      <w:pPr>
        <w:pStyle w:val="Style17"/>
        <w:keepNext w:val="0"/>
        <w:keepLines w:val="0"/>
        <w:widowControl w:val="0"/>
        <w:numPr>
          <w:ilvl w:val="0"/>
          <w:numId w:val="57"/>
        </w:numPr>
        <w:shd w:val="clear" w:color="auto" w:fill="auto"/>
        <w:tabs>
          <w:tab w:pos="668" w:val="left"/>
        </w:tabs>
        <w:bidi w:val="0"/>
        <w:spacing w:before="0" w:after="0" w:line="467" w:lineRule="exact"/>
        <w:ind w:left="0" w:right="0" w:firstLine="360"/>
        <w:jc w:val="both"/>
      </w:pPr>
      <w:bookmarkStart w:id="874" w:name="bookmark874"/>
      <w:bookmarkEnd w:id="874"/>
      <w:r>
        <w:rPr>
          <w:color w:val="000000"/>
          <w:spacing w:val="0"/>
          <w:w w:val="100"/>
          <w:position w:val="0"/>
        </w:rPr>
        <w:t>非同一控制下的企业合并形成的，公司按照购买日确定的合并成本作为长期股权投资的初始投资成本。合并成本为购 买日购买方为取得对被购买方的控制权而付出的资产、发生或承担的负债以及发行的权益性证券的公允价值。购买方为企业 合并而发生的审计、法律服务、评估咨询等中介费用以及其他相关管理费用于发生时计入当期损益；购买方作为合并对价发 行的权益性证券或债务性证券的交易费用，计入权益性证券或债务性证券的初始确认金额。本公司将合并协议约定的或有对 价作为企业合并转移对价的一部分，按照其在购买日的公允价值计入企业合并成本。通过多次交易分步实现的非同一控制下 企业合并，根据企业会计准则判断该多次交易是否属于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 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的，按照原持有被购买方的股权投资账面价值加上新增投资成本之和，作为改 按成本法核算的长期股权投资的初始投资成本；原持有的股权采用权益法核算的，相关其他综合收益暂不进行会计处理；原 </w:t>
      </w:r>
      <w:r>
        <w:rPr>
          <w:color w:val="000000"/>
          <w:spacing w:val="0"/>
          <w:w w:val="100"/>
          <w:position w:val="0"/>
        </w:rPr>
        <w:t>持有股权投资为其他权益工具投资的，其公允价值与账面价值之间的差额，以及原计入其他综合收益的累计公允价值变动直 接转入留存收益。</w:t>
      </w:r>
    </w:p>
    <w:p>
      <w:pPr>
        <w:pStyle w:val="Style17"/>
        <w:keepNext w:val="0"/>
        <w:keepLines w:val="0"/>
        <w:widowControl w:val="0"/>
        <w:numPr>
          <w:ilvl w:val="0"/>
          <w:numId w:val="57"/>
        </w:numPr>
        <w:shd w:val="clear" w:color="auto" w:fill="auto"/>
        <w:bidi w:val="0"/>
        <w:spacing w:before="0" w:after="0" w:line="468" w:lineRule="exact"/>
        <w:ind w:left="0" w:right="0" w:firstLine="360"/>
        <w:jc w:val="both"/>
      </w:pPr>
      <w:bookmarkStart w:id="875" w:name="bookmark875"/>
      <w:bookmarkEnd w:id="875"/>
      <w:r>
        <w:rPr>
          <w:color w:val="000000"/>
          <w:spacing w:val="0"/>
          <w:w w:val="100"/>
          <w:position w:val="0"/>
        </w:rPr>
        <w:t>除企业合并形成的长期股权投资外的其他股权投资，按成本进行初始计量：以支付现金取得的，按照实际支付的购买 价款作为其初始投资成本；以发行权益性证券取得的，按照发行权益性证券的公允价值作为其初始投资成本，与发行权益性 证券直接相关的费用，按照《企业会计准则第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号——金融工具列报》的有关规定确定；在非货币性资产交换具有商业实质 和换入资产或换出资产的公允价值能够可靠计量的前提下,非货币性资产交换换入的长期股权投资以换出资产的公允价值和 应支付的相关税费确定其初始投资成本，除非有确凿证据表明换入资产的公允价值更加可靠；不满足上述前提的非货币性资 产交换，以换出资产的账面价值和应支付的相关税费作为换入长期股权投资的初始投资成本。通过债务重组取得的长期股权 投资，其初始投资成本以放弃债权的公允价值为基础确定。与取得长期股权投资直接相关的费用、税金及其他必要支出也计 入投资成本。</w:t>
      </w:r>
    </w:p>
    <w:p>
      <w:pPr>
        <w:pStyle w:val="Style17"/>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对于因追加投资能够对被投资单位实施重大影响或实施共同控制但不构成控制的，长期股权投资成本为按照《企业会计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号——金融工具确认和计量》确定的原持有股权投资的公允价值加上新增投资成本之和，作为改按权益法核算的初 始投资成本。原持有的股权投资分类为其他权益工具投资的，其公允价值与账面价值之间的差额，以及原计入其他综合收益 的累计公允价值变动应当直接转入留存收益。</w:t>
      </w:r>
    </w:p>
    <w:p>
      <w:pPr>
        <w:pStyle w:val="Style17"/>
        <w:keepNext w:val="0"/>
        <w:keepLines w:val="0"/>
        <w:widowControl w:val="0"/>
        <w:numPr>
          <w:ilvl w:val="0"/>
          <w:numId w:val="55"/>
        </w:numPr>
        <w:shd w:val="clear" w:color="auto" w:fill="auto"/>
        <w:bidi w:val="0"/>
        <w:spacing w:before="0" w:after="0" w:line="542" w:lineRule="auto"/>
        <w:ind w:left="0" w:right="0" w:firstLine="360"/>
        <w:jc w:val="both"/>
      </w:pPr>
      <w:bookmarkStart w:id="876" w:name="bookmark876"/>
      <w:bookmarkEnd w:id="876"/>
      <w:r>
        <w:rPr>
          <w:color w:val="000000"/>
          <w:spacing w:val="0"/>
          <w:w w:val="100"/>
          <w:position w:val="0"/>
        </w:rPr>
        <w:t>长期股权投资的后续计量及损益确认方法</w:t>
      </w:r>
    </w:p>
    <w:p>
      <w:pPr>
        <w:pStyle w:val="Style17"/>
        <w:keepNext w:val="0"/>
        <w:keepLines w:val="0"/>
        <w:widowControl w:val="0"/>
        <w:numPr>
          <w:ilvl w:val="0"/>
          <w:numId w:val="59"/>
        </w:numPr>
        <w:shd w:val="clear" w:color="auto" w:fill="auto"/>
        <w:tabs>
          <w:tab w:pos="673" w:val="left"/>
        </w:tabs>
        <w:bidi w:val="0"/>
        <w:spacing w:before="0" w:after="0" w:line="468" w:lineRule="exact"/>
        <w:ind w:left="0" w:right="0" w:firstLine="360"/>
        <w:jc w:val="both"/>
      </w:pPr>
      <w:bookmarkStart w:id="877" w:name="bookmark877"/>
      <w:bookmarkEnd w:id="877"/>
      <w:r>
        <w:rPr>
          <w:color w:val="000000"/>
          <w:spacing w:val="0"/>
          <w:w w:val="100"/>
          <w:position w:val="0"/>
        </w:rPr>
        <w:t>成本法核算的长期股权投资</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17"/>
        <w:keepNext w:val="0"/>
        <w:keepLines w:val="0"/>
        <w:widowControl w:val="0"/>
        <w:numPr>
          <w:ilvl w:val="0"/>
          <w:numId w:val="59"/>
        </w:numPr>
        <w:shd w:val="clear" w:color="auto" w:fill="auto"/>
        <w:tabs>
          <w:tab w:pos="673" w:val="left"/>
        </w:tabs>
        <w:bidi w:val="0"/>
        <w:spacing w:before="0" w:after="0" w:line="468" w:lineRule="exact"/>
        <w:ind w:left="0" w:right="0" w:firstLine="360"/>
        <w:jc w:val="both"/>
      </w:pPr>
      <w:bookmarkStart w:id="878" w:name="bookmark878"/>
      <w:bookmarkEnd w:id="878"/>
      <w:r>
        <w:rPr>
          <w:color w:val="000000"/>
          <w:spacing w:val="0"/>
          <w:w w:val="100"/>
          <w:position w:val="0"/>
        </w:rPr>
        <w:t>权益法核算的长期股权投资</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对联营企业和合营企业的长期股权投资，采用权益法核算。</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 xml:space="preserve">采用权益法核算的长期股权投资的初始投资成本大于投资时应享有被投资单位可辨认净资产公允价值份额的，不调整长 期股权投资的初始投资成本；长期股权投资的初始投资成本小于投资时应享有被投资单位可辨认净资产公允价值份额的，其 差额应当计入当期损益，同时调整长期股权投资的成本。取得长期股权投资后，被投资单位采用的会计政策及会计期间与公 司不一致的，按照公司的会计政策及会计期间对被投资单位的财务报表进行调整，并据以确认投资损益和其他综合收益等。 按照应享有或应分担的被投资单位实现的净损益和其他综合收益的份额，分别确认投资收益和其他综合收益，同时调整长期 股权投资的账面价值；在确认应享有被投资单位净损益的份额时，以取得投资时被投资单位各项可辨认资产等的公允价值为 基础，对被投资单位的净利润进行调整后确认。按照被投资单位宣告分派的利润或现金股利计算应享有的部分，相应减少长 期股权投资的账面价值；对于被投资单位除净损益、其他综合收益和利润分配以外所有者权益的其他变动，调整长期股权投 资的账面价值并计入所有者权益。公司与联营企业、合营企业之间发生的未实现内部交易损益按照享有的比例计算归属于公 司的部分，予以抵销，在此基础上确认投资收益。与被投资单位发生的未实现内部交易损失，属于资产减值损失的，全额确 </w:t>
      </w:r>
      <w:r>
        <w:rPr>
          <w:color w:val="000000"/>
          <w:spacing w:val="0"/>
          <w:w w:val="100"/>
          <w:position w:val="0"/>
        </w:rPr>
        <w:t>认。</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在公司确认应分担被投资单位发生亏损时，按照以下顺序进行处理：首先，冲减长期股权投资的账面价值。其次，长期 股权投资的账面价值不足以冲减的，以其他实质上构成对被投资单位净投资的长期权益账面价值为限继续确认投资损失、冲 减长期应收项目的账面价值。经过上述处理，按照投资合同或协议约定企业仍承担额外义务的，按预计承担的义务确认预计 负债，计入当期投资损失。被投资单位以后期间实现净利润的，本公司在收益弥补未确认的亏损分担额后，恢复确认收益分 享额。</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在持有投资期间，被投资单位编制合并财务报表的，以合并财务报表中的净利润、其他综合收益和其他所有者权益变动 中归属于被投资单位的金额为基础进行核算。</w:t>
      </w:r>
    </w:p>
    <w:p>
      <w:pPr>
        <w:pStyle w:val="Style17"/>
        <w:keepNext w:val="0"/>
        <w:keepLines w:val="0"/>
        <w:widowControl w:val="0"/>
        <w:shd w:val="clear" w:color="auto" w:fill="auto"/>
        <w:bidi w:val="0"/>
        <w:spacing w:before="0" w:after="260" w:line="470" w:lineRule="exact"/>
        <w:ind w:left="0" w:right="0"/>
        <w:jc w:val="both"/>
      </w:pPr>
      <w:r>
        <w:rPr>
          <w:color w:val="000000"/>
          <w:spacing w:val="0"/>
          <w:w w:val="100"/>
          <w:position w:val="0"/>
        </w:rPr>
        <w:t>对于本公司向合营企业与联营企业投出的资产构成业务的，投资方因此取得长期股权投资但未取得控制权的，以投出业 务的公允价值作为新增长期股权投资的初始投资成本，初始投资成本与投出业务的账面价值之差，全额计入当期损益。本公 司向合营企业或者联营企业出售的资产构成业务的，取得的对价与业务的账面价值之差，全额计入当期损益。本公司自联营 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号——企业合并》的规定进行会计处理，全额确认与交易相关的 利得或损失。</w:t>
      </w:r>
    </w:p>
    <w:p>
      <w:pPr>
        <w:pStyle w:val="Style17"/>
        <w:keepNext w:val="0"/>
        <w:keepLines w:val="0"/>
        <w:widowControl w:val="0"/>
        <w:numPr>
          <w:ilvl w:val="0"/>
          <w:numId w:val="55"/>
        </w:numPr>
        <w:shd w:val="clear" w:color="auto" w:fill="auto"/>
        <w:bidi w:val="0"/>
        <w:spacing w:before="0" w:after="0" w:line="545" w:lineRule="auto"/>
        <w:ind w:left="0" w:right="0"/>
        <w:jc w:val="both"/>
      </w:pPr>
      <w:bookmarkStart w:id="879" w:name="bookmark879"/>
      <w:bookmarkEnd w:id="879"/>
      <w:r>
        <w:rPr>
          <w:color w:val="000000"/>
          <w:spacing w:val="0"/>
          <w:w w:val="100"/>
          <w:position w:val="0"/>
        </w:rPr>
        <w:t>长期股权投资的处置</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处置长期股权投资，其账面价值与实际取得价款的差额，计入当期损益。</w:t>
      </w:r>
    </w:p>
    <w:p>
      <w:pPr>
        <w:pStyle w:val="Style17"/>
        <w:keepNext w:val="0"/>
        <w:keepLines w:val="0"/>
        <w:widowControl w:val="0"/>
        <w:numPr>
          <w:ilvl w:val="0"/>
          <w:numId w:val="61"/>
        </w:numPr>
        <w:shd w:val="clear" w:color="auto" w:fill="auto"/>
        <w:tabs>
          <w:tab w:pos="693" w:val="left"/>
        </w:tabs>
        <w:bidi w:val="0"/>
        <w:spacing w:before="0" w:after="0" w:line="470" w:lineRule="exact"/>
        <w:ind w:left="0" w:right="0"/>
        <w:jc w:val="both"/>
      </w:pPr>
      <w:bookmarkStart w:id="880" w:name="bookmark880"/>
      <w:bookmarkEnd w:id="880"/>
      <w:r>
        <w:rPr>
          <w:color w:val="000000"/>
          <w:spacing w:val="0"/>
          <w:w w:val="100"/>
          <w:position w:val="0"/>
        </w:rPr>
        <w:t>权益法核算下的长期股权投资的处置</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采用权益法核算的长期股权投资，处置后的剩余股权仍采用权益法核算的，在处置该项投资时，采用与被投资单位直接 处置相关资产或者负债相同的基础，按相应比例对原计入其他综合收益的部分进行会计处理。因被投资单位除净损益、其他 综合收益和利润分配以外的其他所有者权益变动而确认的所有者权益，按比例结转入当期损益。</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因处置部分股权投资等原因丧失了对投资单位的共同控制或者重大影响的，处置后的剩余股权改按金融工具确认和计量 准则核算，其在丧失共同控制或重大影响之日的公允价值与账面价值之间的差额计入当期损益。原股权投资因采用权益法核 算而确认的其他综合收益，在终止确认权益法核算时采用与被投资单位直接处置相关资产或负债相同的基础进行会计处理。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17"/>
        <w:keepNext w:val="0"/>
        <w:keepLines w:val="0"/>
        <w:widowControl w:val="0"/>
        <w:numPr>
          <w:ilvl w:val="0"/>
          <w:numId w:val="61"/>
        </w:numPr>
        <w:shd w:val="clear" w:color="auto" w:fill="auto"/>
        <w:tabs>
          <w:tab w:pos="693" w:val="left"/>
        </w:tabs>
        <w:bidi w:val="0"/>
        <w:spacing w:before="0" w:after="0" w:line="470" w:lineRule="exact"/>
        <w:ind w:left="0" w:right="0"/>
        <w:jc w:val="both"/>
      </w:pPr>
      <w:bookmarkStart w:id="881" w:name="bookmark881"/>
      <w:bookmarkEnd w:id="881"/>
      <w:r>
        <w:rPr>
          <w:color w:val="000000"/>
          <w:spacing w:val="0"/>
          <w:w w:val="100"/>
          <w:position w:val="0"/>
        </w:rPr>
        <w:t>成本法核算下的长期股权投资的处置</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法核算或者金融工具确认和计量准则核算而确认的其他综合收益，采用与被投资单位直接处置相关资产或者负债相同的基础 进行处理，并按比例结转当期损益；因采用权益法核算而确认的被投资单位净资产中除净损益、其他综合收益和净利润分配 以外的其他所有者权益变动按比例结转当期损益。</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因其他投资方增资而导致本公司持股比例下降、从而丧失控制权但能对被投资单位实施共同控制或施加重大影响的，按 </w:t>
      </w:r>
      <w:r>
        <w:rPr>
          <w:color w:val="000000"/>
          <w:spacing w:val="0"/>
          <w:w w:val="100"/>
          <w:position w:val="0"/>
        </w:rPr>
        <w:t>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公司因处置部分股权投资或其他原因丧失了对原有子公司控制权的，处置后的剩余股权能够对被投资单位实施共同控制 或施加重大影响的，改按权益法核算，并对该剩余股权视同自取得时即采用权益法核算进行调整，购买日之前持有的股权投 资因采用权益法核算而确认的其他综合收益和其他所有者权益按比例结转;处置后的剩余股权不能对被投资单位实施共同控 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号——金融工具确认和计量》的有关规定进行会计处理，其在丧失控制之日 的公允价值与账面价值间的差额计入当期损益，其他综合收益和其他所有者权益全部结转为当期损益。</w:t>
      </w:r>
    </w:p>
    <w:p>
      <w:pPr>
        <w:pStyle w:val="Style17"/>
        <w:keepNext w:val="0"/>
        <w:keepLines w:val="0"/>
        <w:widowControl w:val="0"/>
        <w:shd w:val="clear" w:color="auto" w:fill="auto"/>
        <w:bidi w:val="0"/>
        <w:spacing w:before="0" w:after="460" w:line="468"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6"/>
        <w:keepNext/>
        <w:keepLines/>
        <w:widowControl w:val="0"/>
        <w:shd w:val="clear" w:color="auto" w:fill="auto"/>
        <w:bidi w:val="0"/>
        <w:spacing w:before="0" w:after="12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882"/>
      <w:bookmarkEnd w:id="883"/>
      <w:bookmarkEnd w:id="885"/>
    </w:p>
    <w:p>
      <w:pPr>
        <w:pStyle w:val="Style17"/>
        <w:keepNext w:val="0"/>
        <w:keepLines w:val="0"/>
        <w:widowControl w:val="0"/>
        <w:shd w:val="clear" w:color="auto" w:fill="auto"/>
        <w:bidi w:val="0"/>
        <w:spacing w:before="0" w:after="0" w:line="468" w:lineRule="exact"/>
        <w:ind w:left="0" w:right="0" w:firstLine="0"/>
        <w:jc w:val="both"/>
      </w:pPr>
      <w:r>
        <w:rPr>
          <w:color w:val="000000"/>
          <w:spacing w:val="0"/>
          <w:w w:val="100"/>
          <w:position w:val="0"/>
        </w:rPr>
        <w:t>投资性房地产计量模式</w:t>
      </w:r>
    </w:p>
    <w:p>
      <w:pPr>
        <w:pStyle w:val="Style17"/>
        <w:keepNext w:val="0"/>
        <w:keepLines w:val="0"/>
        <w:widowControl w:val="0"/>
        <w:shd w:val="clear" w:color="auto" w:fill="auto"/>
        <w:bidi w:val="0"/>
        <w:spacing w:before="0" w:after="460" w:line="468" w:lineRule="exact"/>
        <w:ind w:left="0" w:right="0"/>
        <w:jc w:val="both"/>
      </w:pP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886"/>
      <w:bookmarkEnd w:id="887"/>
      <w:bookmarkEnd w:id="889"/>
    </w:p>
    <w:p>
      <w:pPr>
        <w:pStyle w:val="Style44"/>
        <w:keepNext/>
        <w:keepLines/>
        <w:widowControl w:val="0"/>
        <w:shd w:val="clear" w:color="auto" w:fill="auto"/>
        <w:bidi w:val="0"/>
        <w:spacing w:before="0" w:after="200" w:line="240" w:lineRule="auto"/>
        <w:ind w:left="0" w:right="0" w:firstLine="14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0"/>
      <w:bookmarkEnd w:id="891"/>
      <w:bookmarkEnd w:id="893"/>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固定资产是指同时具有下列特征的有形资产：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为生产商品、提供劳务、出租或经营管理持有的；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使用寿命超过一 个会计年度。</w:t>
      </w:r>
    </w:p>
    <w:p>
      <w:pPr>
        <w:pStyle w:val="Style17"/>
        <w:keepNext w:val="0"/>
        <w:keepLines w:val="0"/>
        <w:widowControl w:val="0"/>
        <w:shd w:val="clear" w:color="auto" w:fill="auto"/>
        <w:bidi w:val="0"/>
        <w:spacing w:before="0" w:after="460" w:line="472" w:lineRule="exact"/>
        <w:ind w:left="0" w:right="0"/>
        <w:jc w:val="both"/>
      </w:pPr>
      <w:r>
        <w:rPr>
          <w:color w:val="000000"/>
          <w:spacing w:val="0"/>
          <w:w w:val="100"/>
          <w:position w:val="0"/>
        </w:rPr>
        <w:t>固定资产同时满足下列条件的予以确认：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 可靠地计量。与固定资产有关的后续支出，符合上述确认条件的，计入固定资产成本；不符合上述确认条件的，发生时计入 当期损益。</w:t>
      </w:r>
    </w:p>
    <w:p>
      <w:pPr>
        <w:pStyle w:val="Style44"/>
        <w:keepNext/>
        <w:keepLines/>
        <w:widowControl w:val="0"/>
        <w:shd w:val="clear" w:color="auto" w:fill="auto"/>
        <w:bidi w:val="0"/>
        <w:spacing w:before="0" w:after="320" w:line="240" w:lineRule="auto"/>
        <w:ind w:left="0" w:right="0" w:firstLine="14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4"/>
      <w:bookmarkEnd w:id="895"/>
      <w:bookmarkEnd w:id="897"/>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41"/>
        <w:keepNext w:val="0"/>
        <w:keepLines w:val="0"/>
        <w:widowControl w:val="0"/>
        <w:shd w:val="clear" w:color="auto" w:fill="auto"/>
        <w:bidi w:val="0"/>
        <w:spacing w:before="0" w:after="0" w:line="240" w:lineRule="auto"/>
        <w:ind w:left="346" w:right="0" w:firstLine="0"/>
        <w:jc w:val="left"/>
      </w:pPr>
      <w:r>
        <w:rPr>
          <w:color w:val="000000"/>
          <w:spacing w:val="0"/>
          <w:w w:val="100"/>
          <w:position w:val="0"/>
        </w:rPr>
        <w:t>说明:</w:t>
      </w:r>
    </w:p>
    <w:p>
      <w:pPr>
        <w:pStyle w:val="Style17"/>
        <w:keepNext w:val="0"/>
        <w:keepLines w:val="0"/>
        <w:widowControl w:val="0"/>
        <w:numPr>
          <w:ilvl w:val="0"/>
          <w:numId w:val="63"/>
        </w:numPr>
        <w:shd w:val="clear" w:color="auto" w:fill="auto"/>
        <w:tabs>
          <w:tab w:pos="721" w:val="left"/>
        </w:tabs>
        <w:bidi w:val="0"/>
        <w:spacing w:before="0" w:after="0" w:line="466" w:lineRule="exact"/>
        <w:ind w:left="0" w:right="0"/>
        <w:jc w:val="both"/>
      </w:pPr>
      <w:bookmarkStart w:id="898" w:name="bookmark898"/>
      <w:bookmarkEnd w:id="898"/>
      <w:r>
        <w:rPr>
          <w:color w:val="000000"/>
          <w:spacing w:val="0"/>
          <w:w w:val="100"/>
          <w:position w:val="0"/>
        </w:rPr>
        <w:t>符合资本化条件的固定资产装修费用，在两次装修期间与固定资产尚可使用年限两者中较短的期间内，采用年限平均 法单独计提折旧。</w:t>
      </w:r>
    </w:p>
    <w:p>
      <w:pPr>
        <w:pStyle w:val="Style17"/>
        <w:keepNext w:val="0"/>
        <w:keepLines w:val="0"/>
        <w:widowControl w:val="0"/>
        <w:numPr>
          <w:ilvl w:val="0"/>
          <w:numId w:val="63"/>
        </w:numPr>
        <w:shd w:val="clear" w:color="auto" w:fill="auto"/>
        <w:tabs>
          <w:tab w:pos="746" w:val="left"/>
        </w:tabs>
        <w:bidi w:val="0"/>
        <w:spacing w:before="0" w:after="0" w:line="466" w:lineRule="exact"/>
        <w:ind w:left="0" w:right="0"/>
        <w:jc w:val="both"/>
      </w:pPr>
      <w:bookmarkStart w:id="899" w:name="bookmark899"/>
      <w:bookmarkEnd w:id="899"/>
      <w:r>
        <w:rPr>
          <w:color w:val="000000"/>
          <w:spacing w:val="0"/>
          <w:w w:val="100"/>
          <w:position w:val="0"/>
        </w:rPr>
        <w:t>已计提减值准备的固定资产，还应扣除已计提的固定资产减值准备累计金额计算折旧率。</w:t>
      </w:r>
    </w:p>
    <w:p>
      <w:pPr>
        <w:pStyle w:val="Style17"/>
        <w:keepNext w:val="0"/>
        <w:keepLines w:val="0"/>
        <w:widowControl w:val="0"/>
        <w:numPr>
          <w:ilvl w:val="0"/>
          <w:numId w:val="63"/>
        </w:numPr>
        <w:shd w:val="clear" w:color="auto" w:fill="auto"/>
        <w:tabs>
          <w:tab w:pos="746" w:val="left"/>
        </w:tabs>
        <w:bidi w:val="0"/>
        <w:spacing w:before="0" w:after="460" w:line="466" w:lineRule="exact"/>
        <w:ind w:left="0" w:right="0"/>
        <w:jc w:val="both"/>
      </w:pPr>
      <w:bookmarkStart w:id="900" w:name="bookmark900"/>
      <w:bookmarkEnd w:id="900"/>
      <w:r>
        <w:rPr>
          <w:color w:val="000000"/>
          <w:spacing w:val="0"/>
          <w:w w:val="100"/>
          <w:position w:val="0"/>
        </w:rPr>
        <w:t>公司至少年度终了对固定资产的使用寿命、预计净残值和折旧方法进行复核，如发生改变则作为会计估计变更处理。</w:t>
      </w:r>
    </w:p>
    <w:p>
      <w:pPr>
        <w:pStyle w:val="Style36"/>
        <w:keepNext/>
        <w:keepLines/>
        <w:widowControl w:val="0"/>
        <w:shd w:val="clear" w:color="auto" w:fill="auto"/>
        <w:tabs>
          <w:tab w:pos="547" w:val="left"/>
        </w:tabs>
        <w:bidi w:val="0"/>
        <w:spacing w:before="0" w:after="20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901"/>
      <w:bookmarkEnd w:id="902"/>
      <w:bookmarkEnd w:id="904"/>
    </w:p>
    <w:p>
      <w:pPr>
        <w:pStyle w:val="Style17"/>
        <w:keepNext w:val="0"/>
        <w:keepLines w:val="0"/>
        <w:widowControl w:val="0"/>
        <w:numPr>
          <w:ilvl w:val="0"/>
          <w:numId w:val="65"/>
        </w:numPr>
        <w:shd w:val="clear" w:color="auto" w:fill="auto"/>
        <w:tabs>
          <w:tab w:pos="755" w:val="left"/>
        </w:tabs>
        <w:bidi w:val="0"/>
        <w:spacing w:before="0" w:after="0" w:line="475" w:lineRule="exact"/>
        <w:ind w:left="0" w:right="0"/>
        <w:jc w:val="both"/>
      </w:pPr>
      <w:bookmarkStart w:id="905" w:name="bookmark905"/>
      <w:bookmarkEnd w:id="905"/>
      <w:r>
        <w:rPr>
          <w:color w:val="000000"/>
          <w:spacing w:val="0"/>
          <w:w w:val="100"/>
          <w:position w:val="0"/>
        </w:rPr>
        <w:t>在建工程同时满足经济利益很可能流入、成本能够可靠地计量则予以确认。在建工程按建造该项资产达到预定可使 用状态前所发生的实际成本计量。</w:t>
      </w:r>
    </w:p>
    <w:p>
      <w:pPr>
        <w:pStyle w:val="Style17"/>
        <w:keepNext w:val="0"/>
        <w:keepLines w:val="0"/>
        <w:widowControl w:val="0"/>
        <w:numPr>
          <w:ilvl w:val="0"/>
          <w:numId w:val="65"/>
        </w:numPr>
        <w:shd w:val="clear" w:color="auto" w:fill="auto"/>
        <w:tabs>
          <w:tab w:pos="755" w:val="left"/>
        </w:tabs>
        <w:bidi w:val="0"/>
        <w:spacing w:before="0" w:after="460" w:line="475" w:lineRule="exact"/>
        <w:ind w:left="0" w:right="0"/>
        <w:jc w:val="both"/>
      </w:pPr>
      <w:bookmarkStart w:id="906" w:name="bookmark906"/>
      <w:bookmarkEnd w:id="906"/>
      <w:r>
        <w:rPr>
          <w:color w:val="000000"/>
          <w:spacing w:val="0"/>
          <w:w w:val="100"/>
          <w:position w:val="0"/>
        </w:rPr>
        <w:t>在建工程达到预定可使用状态时，按工程实际成本转入固定资产。已达到预定可使用状态但尚未办理竣工结算的， 先按估计价值转入固定资产，待办理竣工决算后再按实际成本调整原暂估价值，但不再调整原已计提的折旧。</w:t>
      </w:r>
    </w:p>
    <w:p>
      <w:pPr>
        <w:pStyle w:val="Style36"/>
        <w:keepNext/>
        <w:keepLines/>
        <w:widowControl w:val="0"/>
        <w:shd w:val="clear" w:color="auto" w:fill="auto"/>
        <w:tabs>
          <w:tab w:pos="547" w:val="left"/>
        </w:tabs>
        <w:bidi w:val="0"/>
        <w:spacing w:before="0" w:after="20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907"/>
      <w:bookmarkEnd w:id="908"/>
      <w:bookmarkEnd w:id="910"/>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17"/>
        <w:keepNext w:val="0"/>
        <w:keepLines w:val="0"/>
        <w:widowControl w:val="0"/>
        <w:numPr>
          <w:ilvl w:val="0"/>
          <w:numId w:val="67"/>
        </w:numPr>
        <w:shd w:val="clear" w:color="auto" w:fill="auto"/>
        <w:tabs>
          <w:tab w:pos="779" w:val="left"/>
        </w:tabs>
        <w:bidi w:val="0"/>
        <w:spacing w:before="0" w:after="0" w:line="545" w:lineRule="auto"/>
        <w:ind w:left="0" w:right="0"/>
        <w:jc w:val="both"/>
      </w:pPr>
      <w:bookmarkStart w:id="911" w:name="bookmark911"/>
      <w:bookmarkEnd w:id="911"/>
      <w:r>
        <w:rPr>
          <w:color w:val="000000"/>
          <w:spacing w:val="0"/>
          <w:w w:val="100"/>
          <w:position w:val="0"/>
        </w:rPr>
        <w:t>借款费用资本化的确认原则</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17"/>
        <w:keepNext w:val="0"/>
        <w:keepLines w:val="0"/>
        <w:widowControl w:val="0"/>
        <w:numPr>
          <w:ilvl w:val="0"/>
          <w:numId w:val="67"/>
        </w:numPr>
        <w:shd w:val="clear" w:color="auto" w:fill="auto"/>
        <w:tabs>
          <w:tab w:pos="779" w:val="left"/>
        </w:tabs>
        <w:bidi w:val="0"/>
        <w:spacing w:before="0" w:after="0" w:line="545" w:lineRule="auto"/>
        <w:ind w:left="0" w:right="0"/>
        <w:jc w:val="both"/>
      </w:pPr>
      <w:bookmarkStart w:id="912" w:name="bookmark912"/>
      <w:bookmarkEnd w:id="912"/>
      <w:r>
        <w:rPr>
          <w:color w:val="000000"/>
          <w:spacing w:val="0"/>
          <w:w w:val="100"/>
          <w:position w:val="0"/>
        </w:rPr>
        <w:t>借款费用资本化期间</w:t>
      </w:r>
    </w:p>
    <w:p>
      <w:pPr>
        <w:pStyle w:val="Style17"/>
        <w:keepNext w:val="0"/>
        <w:keepLines w:val="0"/>
        <w:widowControl w:val="0"/>
        <w:numPr>
          <w:ilvl w:val="0"/>
          <w:numId w:val="69"/>
        </w:numPr>
        <w:shd w:val="clear" w:color="auto" w:fill="auto"/>
        <w:tabs>
          <w:tab w:pos="721" w:val="left"/>
        </w:tabs>
        <w:bidi w:val="0"/>
        <w:spacing w:before="0" w:after="0" w:line="469" w:lineRule="exact"/>
        <w:ind w:left="0" w:right="0"/>
        <w:jc w:val="both"/>
      </w:pPr>
      <w:bookmarkStart w:id="913" w:name="bookmark913"/>
      <w:bookmarkEnd w:id="913"/>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为使资产达到预定可使用或可 销售状态所必要的购建或者生产活动已经开始。</w:t>
      </w:r>
    </w:p>
    <w:p>
      <w:pPr>
        <w:pStyle w:val="Style17"/>
        <w:keepNext w:val="0"/>
        <w:keepLines w:val="0"/>
        <w:widowControl w:val="0"/>
        <w:numPr>
          <w:ilvl w:val="0"/>
          <w:numId w:val="69"/>
        </w:numPr>
        <w:shd w:val="clear" w:color="auto" w:fill="auto"/>
        <w:tabs>
          <w:tab w:pos="726" w:val="left"/>
        </w:tabs>
        <w:bidi w:val="0"/>
        <w:spacing w:before="0" w:after="0" w:line="469" w:lineRule="exact"/>
        <w:ind w:left="0" w:right="0"/>
        <w:jc w:val="both"/>
      </w:pPr>
      <w:bookmarkStart w:id="914" w:name="bookmark914"/>
      <w:bookmarkEnd w:id="914"/>
      <w:r>
        <w:rPr>
          <w:color w:val="000000"/>
          <w:spacing w:val="0"/>
          <w:w w:val="100"/>
          <w:position w:val="0"/>
        </w:rPr>
        <w:t>暂停资本化：若符合资本化条件的资产在购建或者生产过程中发生非正常中断，并且中断时间连续超过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 借款费用的资本化；中断期间发生的借款费用确认为当期费用，直至资产的购建或者生产活动重新开始。该项中断如是所购 建或生产的符合资本化条件的资产达到预定可使用状态或者可销售状态必要的程序，则借款费用继续资本化。</w:t>
      </w:r>
    </w:p>
    <w:p>
      <w:pPr>
        <w:pStyle w:val="Style17"/>
        <w:keepNext w:val="0"/>
        <w:keepLines w:val="0"/>
        <w:widowControl w:val="0"/>
        <w:numPr>
          <w:ilvl w:val="0"/>
          <w:numId w:val="69"/>
        </w:numPr>
        <w:shd w:val="clear" w:color="auto" w:fill="auto"/>
        <w:tabs>
          <w:tab w:pos="726" w:val="left"/>
        </w:tabs>
        <w:bidi w:val="0"/>
        <w:spacing w:before="0" w:after="260" w:line="469" w:lineRule="exact"/>
        <w:ind w:left="0" w:right="0"/>
        <w:jc w:val="both"/>
      </w:pPr>
      <w:bookmarkStart w:id="915" w:name="bookmark915"/>
      <w:bookmarkEnd w:id="915"/>
      <w:r>
        <w:rPr>
          <w:color w:val="000000"/>
          <w:spacing w:val="0"/>
          <w:w w:val="100"/>
          <w:position w:val="0"/>
        </w:rPr>
        <w:t>停止资本化：当所购建或者生产符合资本化条件的资产达到预定可使用或者可销售状态时，借款费用停止资本化。当 购建或者生产符合资本化的资产中部分项目分别完工且可单独使用时，该部分资产借款费用停止资本化。购建或者生产的资 产的各部分分别完工，但必须等到整体完工后才可使用或者对外销售的，在该资产整体完工时停止借款费用资本化。</w:t>
      </w:r>
    </w:p>
    <w:p>
      <w:pPr>
        <w:pStyle w:val="Style17"/>
        <w:keepNext w:val="0"/>
        <w:keepLines w:val="0"/>
        <w:widowControl w:val="0"/>
        <w:numPr>
          <w:ilvl w:val="0"/>
          <w:numId w:val="67"/>
        </w:numPr>
        <w:shd w:val="clear" w:color="auto" w:fill="auto"/>
        <w:tabs>
          <w:tab w:pos="779" w:val="left"/>
        </w:tabs>
        <w:bidi w:val="0"/>
        <w:spacing w:before="0" w:after="0" w:line="545" w:lineRule="auto"/>
        <w:ind w:left="0" w:right="0"/>
        <w:jc w:val="both"/>
      </w:pPr>
      <w:bookmarkStart w:id="916" w:name="bookmark916"/>
      <w:bookmarkEnd w:id="916"/>
      <w:r>
        <w:rPr>
          <w:color w:val="000000"/>
          <w:spacing w:val="0"/>
          <w:w w:val="100"/>
          <w:position w:val="0"/>
        </w:rPr>
        <w:t>借款费用资本化率及资本化金额的计算方法</w:t>
      </w:r>
    </w:p>
    <w:p>
      <w:pPr>
        <w:pStyle w:val="Style17"/>
        <w:keepNext w:val="0"/>
        <w:keepLines w:val="0"/>
        <w:widowControl w:val="0"/>
        <w:shd w:val="clear" w:color="auto" w:fill="auto"/>
        <w:bidi w:val="0"/>
        <w:spacing w:before="0" w:after="460" w:line="469" w:lineRule="exact"/>
        <w:ind w:left="0" w:right="0"/>
        <w:jc w:val="both"/>
      </w:pPr>
      <w:r>
        <w:rPr>
          <w:color w:val="000000"/>
          <w:spacing w:val="0"/>
          <w:w w:val="100"/>
          <w:position w:val="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包括按照实际利率法 确定的折价或溢价的摊销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加权平均利率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，计算确定一般借款应予资本化的利息金额。在资本 </w:t>
      </w:r>
      <w:r>
        <w:rPr>
          <w:color w:val="000000"/>
          <w:spacing w:val="0"/>
          <w:w w:val="100"/>
          <w:position w:val="0"/>
        </w:rPr>
        <w:t>化期间内，每一会计期间的利息资本化金额不超过当期相关借款实际发生的利息金额。外币专门借款本金及利息的汇兑差额， 在资本化期间内予以资本化。专门借款发生的辅助费用，在所购建或生产的符合资本化条件的资产达到预定可使用或者可销 售状态之前发生的，予以资本化；在达到预定可使用或者可销售状态之后发生的，计入当期损益。一般借款发生的辅助费用， 在发生时计入当期损益。借款存在折价或者溢价的，按照实际利率法确定每一会计期间应摊销的折价或者溢价金额，调整每 期利息金额。</w:t>
      </w:r>
    </w:p>
    <w:p>
      <w:pPr>
        <w:pStyle w:val="Style36"/>
        <w:keepNext/>
        <w:keepLines/>
        <w:widowControl w:val="0"/>
        <w:shd w:val="clear" w:color="auto" w:fill="auto"/>
        <w:bidi w:val="0"/>
        <w:spacing w:before="0" w:after="38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917"/>
      <w:bookmarkEnd w:id="918"/>
      <w:bookmarkEnd w:id="920"/>
    </w:p>
    <w:p>
      <w:pPr>
        <w:pStyle w:val="Style44"/>
        <w:keepNext/>
        <w:keepLines/>
        <w:widowControl w:val="0"/>
        <w:shd w:val="clear" w:color="auto" w:fill="auto"/>
        <w:bidi w:val="0"/>
        <w:spacing w:before="0" w:after="20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1"/>
      <w:bookmarkEnd w:id="922"/>
      <w:bookmarkEnd w:id="924"/>
    </w:p>
    <w:p>
      <w:pPr>
        <w:pStyle w:val="Style17"/>
        <w:keepNext w:val="0"/>
        <w:keepLines w:val="0"/>
        <w:widowControl w:val="0"/>
        <w:numPr>
          <w:ilvl w:val="0"/>
          <w:numId w:val="71"/>
        </w:numPr>
        <w:shd w:val="clear" w:color="auto" w:fill="auto"/>
        <w:tabs>
          <w:tab w:pos="693" w:val="left"/>
        </w:tabs>
        <w:bidi w:val="0"/>
        <w:spacing w:before="0" w:after="0" w:line="469" w:lineRule="exact"/>
        <w:ind w:left="0" w:right="0"/>
        <w:jc w:val="both"/>
      </w:pPr>
      <w:bookmarkStart w:id="925" w:name="bookmark925"/>
      <w:bookmarkEnd w:id="925"/>
      <w:r>
        <w:rPr>
          <w:color w:val="000000"/>
          <w:spacing w:val="0"/>
          <w:w w:val="100"/>
          <w:position w:val="0"/>
        </w:rPr>
        <w:t>无形资产的初始计量</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无形资产按成本进行初始计量。外购无形资产的成本，包括购买价、相关税费以及直接归属于该项资产达到预定用途所 发生的其他支出。购买无形资产的价款超过正常信用条件延期支付，实质上具有融资性质的，无形资产的成本以购买价款的 现值为基础确定。债务重组取得债务人用以抵债的无形资产，以放弃债权的公允价值和可直接归属于使该资产达到预定用途 所发生的税金等其他成本为基础确定其入账价值。在非货币性资产交换具备商业实质且换入或换出资产的公允价值能够可靠 计量的前提下，非货币性资产交换换入的无形资产以换出资产的公允价值和应支付的相关税费作为换入无形资产的成本，除 非有确凿证据表明换入资产的公允价值更可靠；不满足上述前提的非货币性资产交换，以换出资产的账面价值和应支付的相 关税费作为换入无形资产的成本，不确认损益。</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与无形资产有关的支出，如果相关的经济利益很可能流入本公司且成本能可靠地计量，则计入无形资产成本。除此之外 的其他项目的支出，在发生时计入当期损益。</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取得的土地使用权通常作为无形资产核算。自行开发构建厂房等建筑物，相关的土地使用权支出和建筑物建造成本分别 作为无形资产和固定资产核算。如为外购的房屋及建筑物，则将有关价款在土地使用权和建筑物之间分配，难以合理分配的， 全部作为固定资产处理。</w:t>
      </w:r>
    </w:p>
    <w:p>
      <w:pPr>
        <w:pStyle w:val="Style17"/>
        <w:keepNext w:val="0"/>
        <w:keepLines w:val="0"/>
        <w:widowControl w:val="0"/>
        <w:numPr>
          <w:ilvl w:val="0"/>
          <w:numId w:val="71"/>
        </w:numPr>
        <w:shd w:val="clear" w:color="auto" w:fill="auto"/>
        <w:tabs>
          <w:tab w:pos="693" w:val="left"/>
        </w:tabs>
        <w:bidi w:val="0"/>
        <w:spacing w:before="0" w:after="0" w:line="469" w:lineRule="exact"/>
        <w:ind w:left="0" w:right="0"/>
        <w:jc w:val="both"/>
      </w:pPr>
      <w:bookmarkStart w:id="926" w:name="bookmark926"/>
      <w:bookmarkEnd w:id="926"/>
      <w:r>
        <w:rPr>
          <w:color w:val="000000"/>
          <w:spacing w:val="0"/>
          <w:w w:val="100"/>
          <w:position w:val="0"/>
        </w:rPr>
        <w:t>无形资产使用寿命及摊销</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根据无形资产的合同性权利或其他法定权利、同行业情况、历史经验、相关专家论证等综合因素判断，能合理确定无形 资产为公司带来经济利益期限的，作为使用寿命有限的无形资产；无法合理确定无形资产为公司带来经济利益期限的，视为 使用寿命不确定的无形资产。</w:t>
      </w:r>
    </w:p>
    <w:p>
      <w:pPr>
        <w:pStyle w:val="Style17"/>
        <w:keepNext w:val="0"/>
        <w:keepLines w:val="0"/>
        <w:widowControl w:val="0"/>
        <w:shd w:val="clear" w:color="auto" w:fill="auto"/>
        <w:bidi w:val="0"/>
        <w:spacing w:before="0" w:after="100" w:line="469" w:lineRule="exact"/>
        <w:ind w:left="0" w:right="0"/>
        <w:jc w:val="both"/>
        <w:rPr>
          <w:sz w:val="18"/>
          <w:szCs w:val="18"/>
        </w:rPr>
      </w:pPr>
      <w:r>
        <w:rPr>
          <w:color w:val="000000"/>
          <w:spacing w:val="0"/>
          <w:w w:val="100"/>
          <w:position w:val="0"/>
          <w:sz w:val="16"/>
          <w:szCs w:val="16"/>
        </w:rPr>
        <w:t>对使用寿命有限的无形资产，估计其使用寿命时通常考虑以下因素：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6"/>
          <w:szCs w:val="16"/>
        </w:rPr>
        <w:t>运用该资产生产的产品通常的寿命周期、可获得 的类似资产使用寿命的信息；</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技术、工艺等方面的现阶段情况及对未来发展趋势的估计；</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6"/>
          <w:szCs w:val="16"/>
        </w:rPr>
        <w:t>以该资产生产的产品或提供劳 务的市场需求情况；</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6"/>
          <w:szCs w:val="16"/>
        </w:rPr>
        <w:t>现在或潜在的竞争者预期采取的行动；</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6"/>
          <w:szCs w:val="16"/>
        </w:rPr>
        <w:t>为维持该资产带来经济利益能力的预期维护支出，以及公司 预计支付有关支出的能力；</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6"/>
          <w:szCs w:val="16"/>
        </w:rPr>
        <w:t>对该资产控制期限的相关法律规定或类似限制，如特许使用期、租赁期等；</w:t>
      </w:r>
      <w:r>
        <w:rPr>
          <w:rFonts w:ascii="Times New Roman" w:eastAsia="Times New Roman" w:hAnsi="Times New Roman" w:cs="Times New Roman"/>
          <w:color w:val="000000"/>
          <w:spacing w:val="0"/>
          <w:w w:val="100"/>
          <w:position w:val="0"/>
          <w:sz w:val="18"/>
          <w:szCs w:val="18"/>
        </w:rPr>
        <w:t>G</w:t>
      </w:r>
      <w:r>
        <w:rPr>
          <w:color w:val="000000"/>
          <w:spacing w:val="0"/>
          <w:w w:val="100"/>
          <w:position w:val="0"/>
          <w:sz w:val="16"/>
          <w:szCs w:val="16"/>
        </w:rPr>
        <w:t xml:space="preserve">与公司持有其他 </w:t>
      </w:r>
      <w:r>
        <w:rPr>
          <w:color w:val="000000"/>
          <w:spacing w:val="0"/>
          <w:w w:val="100"/>
          <w:position w:val="0"/>
          <w:sz w:val="16"/>
          <w:szCs w:val="16"/>
        </w:rPr>
        <w:t>资产使用寿命的关联性等。使用寿命有限的无形资产的使用寿命估计情况</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2818"/>
        <w:gridCol w:w="2458"/>
        <w:gridCol w:w="3269"/>
      </w:tblGrid>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期限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年</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自主软件产品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专利及软件著作权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对使用寿命不确定的无形资产，使用寿命不确定的判断依据是:</w:t>
      </w:r>
    </w:p>
    <w:p>
      <w:pPr>
        <w:pStyle w:val="Style17"/>
        <w:keepNext w:val="0"/>
        <w:keepLines w:val="0"/>
        <w:widowControl w:val="0"/>
        <w:shd w:val="clear" w:color="auto" w:fill="auto"/>
        <w:bidi w:val="0"/>
        <w:spacing w:before="0" w:after="0" w:line="467" w:lineRule="exact"/>
        <w:ind w:left="0" w:right="0"/>
        <w:jc w:val="both"/>
      </w:pPr>
      <w:r>
        <w:rPr>
          <w:color w:val="000000"/>
          <w:spacing w:val="0"/>
          <w:w w:val="100"/>
          <w:position w:val="0"/>
        </w:rPr>
        <w:t>使用寿命有限的无形资产，在使用寿命内按照与该项无形资产有关的经济利益的预期实现方式系统合理地摊销，无法可 靠确定预期实现方式的，采用直线法摊销。使用寿命不确定的无形资产不予摊销，但每年均对该无形资产的使用寿命进行复 核，并进行减值测试。</w:t>
      </w:r>
    </w:p>
    <w:p>
      <w:pPr>
        <w:pStyle w:val="Style17"/>
        <w:keepNext w:val="0"/>
        <w:keepLines w:val="0"/>
        <w:widowControl w:val="0"/>
        <w:shd w:val="clear" w:color="auto" w:fill="auto"/>
        <w:bidi w:val="0"/>
        <w:spacing w:before="0" w:after="460" w:line="467" w:lineRule="exact"/>
        <w:ind w:left="0" w:right="0"/>
        <w:jc w:val="both"/>
      </w:pPr>
      <w:r>
        <w:rPr>
          <w:color w:val="000000"/>
          <w:spacing w:val="0"/>
          <w:w w:val="100"/>
          <w:position w:val="0"/>
        </w:rPr>
        <w:t>本公司于每年年度终了，对使用寿命有限的无形资产的使用寿命及摊销方法进行复核，与以前估计不同的，调整原先估 计数，并按会计估计变更处理；预计某项无形资产已经不能给企业带来未来经济利益的，将该项无形资产的账面价值全部转 入当期损益。</w:t>
      </w:r>
    </w:p>
    <w:p>
      <w:pPr>
        <w:pStyle w:val="Style44"/>
        <w:keepNext/>
        <w:keepLines/>
        <w:widowControl w:val="0"/>
        <w:numPr>
          <w:ilvl w:val="0"/>
          <w:numId w:val="43"/>
        </w:numPr>
        <w:shd w:val="clear" w:color="auto" w:fill="auto"/>
        <w:bidi w:val="0"/>
        <w:spacing w:before="0" w:after="200" w:line="240" w:lineRule="auto"/>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内部研究开发支出会计政策</w:t>
      </w:r>
      <w:bookmarkEnd w:id="927"/>
      <w:bookmarkEnd w:id="928"/>
      <w:bookmarkEnd w:id="930"/>
    </w:p>
    <w:p>
      <w:pPr>
        <w:pStyle w:val="Style17"/>
        <w:keepNext w:val="0"/>
        <w:keepLines w:val="0"/>
        <w:widowControl w:val="0"/>
        <w:shd w:val="clear" w:color="auto" w:fill="auto"/>
        <w:bidi w:val="0"/>
        <w:spacing w:before="0" w:after="0" w:line="467" w:lineRule="exact"/>
        <w:ind w:left="0" w:right="0"/>
        <w:jc w:val="left"/>
      </w:pPr>
      <w:r>
        <w:rPr>
          <w:color w:val="000000"/>
          <w:spacing w:val="0"/>
          <w:w w:val="100"/>
          <w:position w:val="0"/>
        </w:rPr>
        <w:t>内部研究开发项目的支出，区分为研究阶段支出和开发阶段支出。划分研究阶段和开发阶段的标准：为获取新的技术和 知识等进行的有计划的调查阶段，应确定为研究阶段，该阶段具有计划性和探索性等特点；在进行商业性生产或使用前，将 研究成果或其他知识应用于某项计划或设计，以生产出新的或具有实质性改进的材料、装置、产品等阶段，应确定为开发阶 段，该阶段具有针对性和形成成果的可能性较大等特点。</w:t>
      </w:r>
    </w:p>
    <w:p>
      <w:pPr>
        <w:pStyle w:val="Style17"/>
        <w:keepNext w:val="0"/>
        <w:keepLines w:val="0"/>
        <w:widowControl w:val="0"/>
        <w:shd w:val="clear" w:color="auto" w:fill="auto"/>
        <w:bidi w:val="0"/>
        <w:spacing w:before="0" w:after="460" w:line="467" w:lineRule="exact"/>
        <w:ind w:left="0" w:right="0"/>
        <w:jc w:val="left"/>
      </w:pPr>
      <w:r>
        <w:rPr>
          <w:color w:val="000000"/>
          <w:spacing w:val="0"/>
          <w:w w:val="100"/>
          <w:position w:val="0"/>
        </w:rPr>
        <w:t>内部研究开发项目研究阶段的支出，于发生时计入当期损益。内部研究开发项目开发阶段的支出，同时满足下列条件的， 确认为无形资产：①完成该无形资产以使其能够使用或出售在技术上具有可行性；②具有完成该无形资产并使用或出售的意 图；③无形资产产生经济利益的方式，包括能够证明运用该无形资产生产的产品存在市场或无形资产自身存在市场，无形资 产将在内部使用的，可证明其有用性；④有足够的技术、财务资源和其他资源支持，以完成该无形资产的开发，并有能力使 用或出售该无形资产；⑤归属于该无形资产开发阶段的支出能够可靠地计量。如不满足上述条件的，于发生时计入当期损益； 无法区分研究阶段支出和开发阶段支出的，将发生的研发支出全部计入当期损益。</w:t>
      </w:r>
    </w:p>
    <w:p>
      <w:pPr>
        <w:pStyle w:val="Style36"/>
        <w:keepNext/>
        <w:keepLines/>
        <w:widowControl w:val="0"/>
        <w:shd w:val="clear" w:color="auto" w:fill="auto"/>
        <w:bidi w:val="0"/>
        <w:spacing w:before="0" w:after="20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31"/>
      <w:bookmarkEnd w:id="932"/>
      <w:bookmarkEnd w:id="934"/>
    </w:p>
    <w:p>
      <w:pPr>
        <w:pStyle w:val="Style17"/>
        <w:keepNext w:val="0"/>
        <w:keepLines w:val="0"/>
        <w:widowControl w:val="0"/>
        <w:shd w:val="clear" w:color="auto" w:fill="auto"/>
        <w:bidi w:val="0"/>
        <w:spacing w:before="0" w:after="260" w:line="470" w:lineRule="exact"/>
        <w:ind w:left="0" w:right="0"/>
        <w:jc w:val="both"/>
      </w:pPr>
      <w:r>
        <w:rPr>
          <w:color w:val="000000"/>
          <w:spacing w:val="0"/>
          <w:w w:val="100"/>
          <w:position w:val="0"/>
        </w:rPr>
        <w:t>长期股权投资、采用成本模式计量的投资性房地产和生产性生物资产、固定资产、在建工程、油气资产、无形资产、商 誉等长期资产，存在下列迹象的，表明资产可能发生了减值：</w:t>
      </w:r>
    </w:p>
    <w:p>
      <w:pPr>
        <w:pStyle w:val="Style17"/>
        <w:keepNext w:val="0"/>
        <w:keepLines w:val="0"/>
        <w:widowControl w:val="0"/>
        <w:numPr>
          <w:ilvl w:val="0"/>
          <w:numId w:val="73"/>
        </w:numPr>
        <w:shd w:val="clear" w:color="auto" w:fill="auto"/>
        <w:tabs>
          <w:tab w:pos="717" w:val="left"/>
        </w:tabs>
        <w:bidi w:val="0"/>
        <w:spacing w:before="0" w:after="0" w:line="545" w:lineRule="auto"/>
        <w:ind w:left="0" w:right="0" w:firstLine="360"/>
        <w:jc w:val="both"/>
      </w:pPr>
      <w:bookmarkStart w:id="935" w:name="bookmark935"/>
      <w:bookmarkEnd w:id="935"/>
      <w:r>
        <w:rPr>
          <w:color w:val="000000"/>
          <w:spacing w:val="0"/>
          <w:w w:val="100"/>
          <w:position w:val="0"/>
        </w:rPr>
        <w:t>资产的市价当期大幅度下跌，其跌幅明显高于因时间的推移或者正常使用而预计的下跌；</w:t>
      </w:r>
    </w:p>
    <w:p>
      <w:pPr>
        <w:pStyle w:val="Style17"/>
        <w:keepNext w:val="0"/>
        <w:keepLines w:val="0"/>
        <w:widowControl w:val="0"/>
        <w:numPr>
          <w:ilvl w:val="0"/>
          <w:numId w:val="73"/>
        </w:numPr>
        <w:shd w:val="clear" w:color="auto" w:fill="auto"/>
        <w:tabs>
          <w:tab w:pos="357" w:val="left"/>
        </w:tabs>
        <w:bidi w:val="0"/>
        <w:spacing w:before="0" w:after="0" w:line="545" w:lineRule="auto"/>
        <w:ind w:left="0" w:right="0" w:firstLine="360"/>
        <w:jc w:val="both"/>
      </w:pPr>
      <w:bookmarkStart w:id="936" w:name="bookmark936"/>
      <w:bookmarkEnd w:id="936"/>
      <w:r>
        <w:rPr>
          <w:color w:val="000000"/>
          <w:spacing w:val="0"/>
          <w:w w:val="100"/>
          <w:position w:val="0"/>
        </w:rPr>
        <w:t xml:space="preserve">企业经营所处的经济、技术或者法律等环境以及资产所处的市场在当期或者将在近期发生重大变化，从而对企业产 </w:t>
      </w:r>
      <w:r>
        <w:rPr>
          <w:color w:val="000000"/>
          <w:spacing w:val="0"/>
          <w:w w:val="100"/>
          <w:position w:val="0"/>
        </w:rPr>
        <w:t>生不利影响；</w:t>
      </w:r>
    </w:p>
    <w:p>
      <w:pPr>
        <w:pStyle w:val="Style17"/>
        <w:keepNext w:val="0"/>
        <w:keepLines w:val="0"/>
        <w:widowControl w:val="0"/>
        <w:numPr>
          <w:ilvl w:val="0"/>
          <w:numId w:val="73"/>
        </w:numPr>
        <w:shd w:val="clear" w:color="auto" w:fill="auto"/>
        <w:tabs>
          <w:tab w:pos="750" w:val="left"/>
        </w:tabs>
        <w:bidi w:val="0"/>
        <w:spacing w:before="0" w:after="0" w:line="471" w:lineRule="exact"/>
        <w:ind w:left="0" w:right="0"/>
        <w:jc w:val="both"/>
      </w:pPr>
      <w:bookmarkStart w:id="937" w:name="bookmark937"/>
      <w:bookmarkEnd w:id="937"/>
      <w:r>
        <w:rPr>
          <w:color w:val="000000"/>
          <w:spacing w:val="0"/>
          <w:w w:val="100"/>
          <w:position w:val="0"/>
        </w:rPr>
        <w:t>市场利率或者其他市场投资报酬率在当期已经提高，从而影响企业计算资产预计未来现金流量现值的折现率，导致 资产可收回金额大幅度降低；</w:t>
      </w:r>
    </w:p>
    <w:p>
      <w:pPr>
        <w:pStyle w:val="Style17"/>
        <w:keepNext w:val="0"/>
        <w:keepLines w:val="0"/>
        <w:widowControl w:val="0"/>
        <w:numPr>
          <w:ilvl w:val="0"/>
          <w:numId w:val="73"/>
        </w:numPr>
        <w:shd w:val="clear" w:color="auto" w:fill="auto"/>
        <w:tabs>
          <w:tab w:pos="780" w:val="left"/>
        </w:tabs>
        <w:bidi w:val="0"/>
        <w:spacing w:before="0" w:after="0" w:line="471" w:lineRule="exact"/>
        <w:ind w:left="0" w:right="0"/>
        <w:jc w:val="both"/>
      </w:pPr>
      <w:bookmarkStart w:id="938" w:name="bookmark938"/>
      <w:bookmarkEnd w:id="938"/>
      <w:r>
        <w:rPr>
          <w:color w:val="000000"/>
          <w:spacing w:val="0"/>
          <w:w w:val="100"/>
          <w:position w:val="0"/>
        </w:rPr>
        <w:t>有证据表明资产已经陈旧过时或者其实体已经损坏；</w:t>
      </w:r>
    </w:p>
    <w:p>
      <w:pPr>
        <w:pStyle w:val="Style17"/>
        <w:keepNext w:val="0"/>
        <w:keepLines w:val="0"/>
        <w:widowControl w:val="0"/>
        <w:numPr>
          <w:ilvl w:val="0"/>
          <w:numId w:val="73"/>
        </w:numPr>
        <w:shd w:val="clear" w:color="auto" w:fill="auto"/>
        <w:tabs>
          <w:tab w:pos="780" w:val="left"/>
        </w:tabs>
        <w:bidi w:val="0"/>
        <w:spacing w:before="0" w:after="0" w:line="471" w:lineRule="exact"/>
        <w:ind w:left="0" w:right="0"/>
        <w:jc w:val="both"/>
      </w:pPr>
      <w:bookmarkStart w:id="939" w:name="bookmark939"/>
      <w:bookmarkEnd w:id="939"/>
      <w:r>
        <w:rPr>
          <w:color w:val="000000"/>
          <w:spacing w:val="0"/>
          <w:w w:val="100"/>
          <w:position w:val="0"/>
        </w:rPr>
        <w:t>资产已经或者将被闲置、终止使用或者计划提前处置；</w:t>
      </w:r>
    </w:p>
    <w:p>
      <w:pPr>
        <w:pStyle w:val="Style17"/>
        <w:keepNext w:val="0"/>
        <w:keepLines w:val="0"/>
        <w:widowControl w:val="0"/>
        <w:numPr>
          <w:ilvl w:val="0"/>
          <w:numId w:val="73"/>
        </w:numPr>
        <w:shd w:val="clear" w:color="auto" w:fill="auto"/>
        <w:tabs>
          <w:tab w:pos="755" w:val="left"/>
        </w:tabs>
        <w:bidi w:val="0"/>
        <w:spacing w:before="0" w:after="0" w:line="471" w:lineRule="exact"/>
        <w:ind w:left="0" w:right="0"/>
        <w:jc w:val="both"/>
      </w:pPr>
      <w:bookmarkStart w:id="940" w:name="bookmark940"/>
      <w:bookmarkEnd w:id="940"/>
      <w:r>
        <w:rPr>
          <w:color w:val="000000"/>
          <w:spacing w:val="0"/>
          <w:w w:val="100"/>
          <w:position w:val="0"/>
        </w:rPr>
        <w:t>企业内部报告的证据表明资产的经济绩效已经低于或者将低于预期，如资产所创造的净现金流量或者实现的营业利 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远远低于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或者高于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预计金额等；</w:t>
      </w:r>
    </w:p>
    <w:p>
      <w:pPr>
        <w:pStyle w:val="Style17"/>
        <w:keepNext w:val="0"/>
        <w:keepLines w:val="0"/>
        <w:widowControl w:val="0"/>
        <w:numPr>
          <w:ilvl w:val="0"/>
          <w:numId w:val="73"/>
        </w:numPr>
        <w:shd w:val="clear" w:color="auto" w:fill="auto"/>
        <w:tabs>
          <w:tab w:pos="780" w:val="left"/>
        </w:tabs>
        <w:bidi w:val="0"/>
        <w:spacing w:before="0" w:after="0" w:line="471" w:lineRule="exact"/>
        <w:ind w:left="0" w:right="0"/>
        <w:jc w:val="both"/>
      </w:pPr>
      <w:bookmarkStart w:id="941" w:name="bookmark941"/>
      <w:bookmarkEnd w:id="941"/>
      <w:r>
        <w:rPr>
          <w:color w:val="000000"/>
          <w:spacing w:val="0"/>
          <w:w w:val="100"/>
          <w:position w:val="0"/>
        </w:rPr>
        <w:t>其他表明资产可能已经发生减值的迹象。</w:t>
      </w:r>
    </w:p>
    <w:p>
      <w:pPr>
        <w:pStyle w:val="Style17"/>
        <w:keepNext w:val="0"/>
        <w:keepLines w:val="0"/>
        <w:widowControl w:val="0"/>
        <w:shd w:val="clear" w:color="auto" w:fill="auto"/>
        <w:bidi w:val="0"/>
        <w:spacing w:before="0" w:after="0" w:line="471" w:lineRule="exact"/>
        <w:ind w:left="0" w:right="0"/>
        <w:jc w:val="both"/>
      </w:pPr>
      <w:r>
        <w:rPr>
          <w:color w:val="000000"/>
          <w:spacing w:val="0"/>
          <w:w w:val="100"/>
          <w:position w:val="0"/>
        </w:rPr>
        <w:t>上述长期资产于资产负债日存在减值迹象的，应当进行减值测试。减值测试结果表明资产的可收回金额低于其账面价值 的，按其差额计提减值准备并计入减值损失。可收回金额为资产的公允价值减去处置费用后的净额与资产预计未来现金流量 的现值两者之间的较高者。公允价值的确定方法详见本附注五、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；处置费用包括与资产处置有关的法律费用、相关税费、 搬运费以及为使资产达到可销售状态所发生的直接费用；资产预计未来现金流量的现值，按照资产在持续使用过程中和最终 处置时所产生的预计未来现金流量，选择恰当的折现率对其进行折现后的金额加以确定。</w:t>
      </w:r>
    </w:p>
    <w:p>
      <w:pPr>
        <w:pStyle w:val="Style17"/>
        <w:keepNext w:val="0"/>
        <w:keepLines w:val="0"/>
        <w:widowControl w:val="0"/>
        <w:shd w:val="clear" w:color="auto" w:fill="auto"/>
        <w:bidi w:val="0"/>
        <w:spacing w:before="0" w:after="0" w:line="471" w:lineRule="exact"/>
        <w:ind w:left="0" w:right="0"/>
        <w:jc w:val="both"/>
      </w:pPr>
      <w:r>
        <w:rPr>
          <w:color w:val="000000"/>
          <w:spacing w:val="0"/>
          <w:w w:val="100"/>
          <w:position w:val="0"/>
        </w:rPr>
        <w:t>资产减值准备按单项资产为基础计算并确认，如果难以对单项资产的可收回金额进行估计的，以资产组所属的资产组确 定资产组的可收回金额。资产组是能够独立产生现金流入的最小资产组合。</w:t>
      </w:r>
    </w:p>
    <w:p>
      <w:pPr>
        <w:pStyle w:val="Style17"/>
        <w:keepNext w:val="0"/>
        <w:keepLines w:val="0"/>
        <w:widowControl w:val="0"/>
        <w:shd w:val="clear" w:color="auto" w:fill="auto"/>
        <w:bidi w:val="0"/>
        <w:spacing w:before="0" w:after="0" w:line="471" w:lineRule="exact"/>
        <w:ind w:left="0" w:right="0"/>
        <w:jc w:val="both"/>
      </w:pPr>
      <w:r>
        <w:rPr>
          <w:color w:val="000000"/>
          <w:spacing w:val="0"/>
          <w:w w:val="100"/>
          <w:position w:val="0"/>
        </w:rPr>
        <w:t>在财务报表中单独列示的商誉，在进行减值测试时，将商誉的账面价值分摊至预期从企业合并的协同效应收益中受益的 资产组或资产组组合。测试结果表明包含分摊的商誉的资产组或者资产组组合的可收回金额低于其账面价值的，确认相应的 减值损失。减值损失金额先抵减分摊至该资产组或者资产组组合的商誉的账面价值，再根据资产组或者资产组组合中除商誉 以外的其他各项资产的账面价值所占比重，按比例抵减其他各项资产的账面价值。</w:t>
      </w:r>
    </w:p>
    <w:p>
      <w:pPr>
        <w:pStyle w:val="Style17"/>
        <w:keepNext w:val="0"/>
        <w:keepLines w:val="0"/>
        <w:widowControl w:val="0"/>
        <w:shd w:val="clear" w:color="auto" w:fill="auto"/>
        <w:bidi w:val="0"/>
        <w:spacing w:before="0" w:after="0" w:line="471" w:lineRule="exact"/>
        <w:ind w:left="0" w:right="0"/>
        <w:jc w:val="left"/>
      </w:pPr>
      <w:r>
        <w:rPr>
          <w:color w:val="000000"/>
          <w:spacing w:val="0"/>
          <w:w w:val="100"/>
          <w:position w:val="0"/>
        </w:rPr>
        <w:t>商誉和使用寿命不确定的无形资产至少在每年年终终了进行减值测试。</w:t>
      </w:r>
    </w:p>
    <w:p>
      <w:pPr>
        <w:pStyle w:val="Style17"/>
        <w:keepNext w:val="0"/>
        <w:keepLines w:val="0"/>
        <w:widowControl w:val="0"/>
        <w:shd w:val="clear" w:color="auto" w:fill="auto"/>
        <w:bidi w:val="0"/>
        <w:spacing w:before="0" w:after="440" w:line="471" w:lineRule="exact"/>
        <w:ind w:left="0" w:right="0"/>
        <w:jc w:val="left"/>
      </w:pPr>
      <w:r>
        <w:rPr>
          <w:color w:val="000000"/>
          <w:spacing w:val="0"/>
          <w:w w:val="100"/>
          <w:position w:val="0"/>
        </w:rPr>
        <w:t>上述资产减值损失一经确认，在以后期间不予转回。</w:t>
      </w:r>
    </w:p>
    <w:p>
      <w:pPr>
        <w:pStyle w:val="Style36"/>
        <w:keepNext/>
        <w:keepLines/>
        <w:widowControl w:val="0"/>
        <w:shd w:val="clear" w:color="auto" w:fill="auto"/>
        <w:bidi w:val="0"/>
        <w:spacing w:before="0" w:after="20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942"/>
      <w:bookmarkEnd w:id="943"/>
      <w:bookmarkEnd w:id="945"/>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长期待摊费用按实际支出入账,在受益期或规定的期限内平均摊销。如果长期待摊的费用项目不能使以后会计期间受益， 则将尚未摊销的该项目的摊余价值全部转入当期损益。其中：</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预付经营租入固定资产的租金，按租赁合同规定的期限平均摊销。</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经营租赁方式租入的固定资产改良支出，按剩余租赁期与租赁资产尚可使用年限两者中较短的期限平均摊销。</w:t>
      </w:r>
    </w:p>
    <w:p>
      <w:pPr>
        <w:pStyle w:val="Style17"/>
        <w:keepNext w:val="0"/>
        <w:keepLines w:val="0"/>
        <w:widowControl w:val="0"/>
        <w:shd w:val="clear" w:color="auto" w:fill="auto"/>
        <w:bidi w:val="0"/>
        <w:spacing w:before="0" w:after="100" w:line="466" w:lineRule="exact"/>
        <w:ind w:left="0" w:right="0"/>
        <w:jc w:val="both"/>
      </w:pPr>
      <w:r>
        <w:rPr>
          <w:color w:val="000000"/>
          <w:spacing w:val="0"/>
          <w:w w:val="100"/>
          <w:position w:val="0"/>
        </w:rPr>
        <w:t>融资租赁方式租入的固定资产符合资本化条件的装修费用，按两次装修间隔期间、剩余租赁期与固定资产尚可使用年限 三者中较短的期限平均摊销。</w:t>
      </w:r>
    </w:p>
    <w:p>
      <w:pPr>
        <w:pStyle w:val="Style36"/>
        <w:keepNext/>
        <w:keepLines/>
        <w:widowControl w:val="0"/>
        <w:shd w:val="clear" w:color="auto" w:fill="auto"/>
        <w:tabs>
          <w:tab w:pos="466" w:val="left"/>
        </w:tabs>
        <w:bidi w:val="0"/>
        <w:spacing w:before="0" w:after="20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946"/>
      <w:bookmarkEnd w:id="947"/>
      <w:bookmarkEnd w:id="949"/>
    </w:p>
    <w:p>
      <w:pPr>
        <w:pStyle w:val="Style17"/>
        <w:keepNext w:val="0"/>
        <w:keepLines w:val="0"/>
        <w:widowControl w:val="0"/>
        <w:shd w:val="clear" w:color="auto" w:fill="auto"/>
        <w:bidi w:val="0"/>
        <w:spacing w:before="0" w:after="460" w:line="466" w:lineRule="exact"/>
        <w:ind w:left="0" w:right="0"/>
        <w:jc w:val="both"/>
      </w:pPr>
      <w:r>
        <w:rPr>
          <w:color w:val="000000"/>
          <w:spacing w:val="0"/>
          <w:w w:val="100"/>
          <w:position w:val="0"/>
        </w:rPr>
        <w:t>合同负债是指公司已收或应收客户对价而应向客户转让商品的义务。公司将同一合同下的合同资产和合同负债相互抵销 后以净额列示。</w:t>
      </w:r>
    </w:p>
    <w:p>
      <w:pPr>
        <w:pStyle w:val="Style36"/>
        <w:keepNext/>
        <w:keepLines/>
        <w:widowControl w:val="0"/>
        <w:shd w:val="clear" w:color="auto" w:fill="auto"/>
        <w:tabs>
          <w:tab w:pos="466" w:val="left"/>
        </w:tabs>
        <w:bidi w:val="0"/>
        <w:spacing w:before="0" w:after="3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950"/>
      <w:bookmarkEnd w:id="951"/>
      <w:bookmarkEnd w:id="953"/>
    </w:p>
    <w:p>
      <w:pPr>
        <w:pStyle w:val="Style44"/>
        <w:keepNext/>
        <w:keepLines/>
        <w:widowControl w:val="0"/>
        <w:shd w:val="clear" w:color="auto" w:fill="auto"/>
        <w:tabs>
          <w:tab w:pos="475" w:val="left"/>
        </w:tabs>
        <w:bidi w:val="0"/>
        <w:spacing w:before="0" w:after="20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4"/>
      <w:bookmarkEnd w:id="955"/>
      <w:bookmarkEnd w:id="957"/>
    </w:p>
    <w:p>
      <w:pPr>
        <w:pStyle w:val="Style17"/>
        <w:keepNext w:val="0"/>
        <w:keepLines w:val="0"/>
        <w:widowControl w:val="0"/>
        <w:shd w:val="clear" w:color="auto" w:fill="auto"/>
        <w:bidi w:val="0"/>
        <w:spacing w:before="0" w:after="460" w:line="467" w:lineRule="exact"/>
        <w:ind w:left="0" w:right="0"/>
        <w:jc w:val="both"/>
      </w:pPr>
      <w:r>
        <w:rPr>
          <w:color w:val="000000"/>
          <w:spacing w:val="0"/>
          <w:w w:val="100"/>
          <w:position w:val="0"/>
        </w:rPr>
        <w:t>本公司在职工提供服务的会计期间，将实际发生的职工工资、奖金、按规定的基准和比例为职工缴纳的医疗保险费、工 伤保险费和生育保险费等社会保险费和住房公积金，确认为负债，并计入当期损益或相关资产成本。职工福利费为非货币性 福利的，如能够可靠计量的，按照公允价值计量。如果该负债预期在职工提供相关服务的年度报告期结束后十二个月内不能 完全支付，且财务影响重大的，则该负债将以折现后的金额计量。</w:t>
      </w:r>
    </w:p>
    <w:p>
      <w:pPr>
        <w:pStyle w:val="Style44"/>
        <w:keepNext/>
        <w:keepLines/>
        <w:widowControl w:val="0"/>
        <w:shd w:val="clear" w:color="auto" w:fill="auto"/>
        <w:tabs>
          <w:tab w:pos="475" w:val="left"/>
        </w:tabs>
        <w:bidi w:val="0"/>
        <w:spacing w:before="0" w:after="20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8"/>
      <w:bookmarkEnd w:id="959"/>
      <w:bookmarkEnd w:id="961"/>
    </w:p>
    <w:p>
      <w:pPr>
        <w:pStyle w:val="Style17"/>
        <w:keepNext w:val="0"/>
        <w:keepLines w:val="0"/>
        <w:widowControl w:val="0"/>
        <w:shd w:val="clear" w:color="auto" w:fill="auto"/>
        <w:bidi w:val="0"/>
        <w:spacing w:before="0" w:after="0" w:line="475" w:lineRule="exact"/>
        <w:ind w:left="0" w:right="0"/>
        <w:jc w:val="both"/>
      </w:pPr>
      <w:r>
        <w:rPr>
          <w:color w:val="000000"/>
          <w:spacing w:val="0"/>
          <w:w w:val="100"/>
          <w:position w:val="0"/>
        </w:rPr>
        <w:t>离职后福利计划包括设定提存计划和设定受益计划。其中，设定提存计划，是指向独立的基金缴存固定费用后，企业不 再承担进一步支付义务的离职后福利计划；设定受益计划，是指除设定提存计划以外的离职后福利计划。</w:t>
      </w:r>
    </w:p>
    <w:p>
      <w:pPr>
        <w:pStyle w:val="Style17"/>
        <w:keepNext w:val="0"/>
        <w:keepLines w:val="0"/>
        <w:widowControl w:val="0"/>
        <w:shd w:val="clear" w:color="auto" w:fill="auto"/>
        <w:bidi w:val="0"/>
        <w:spacing w:before="0" w:after="460" w:line="475" w:lineRule="exact"/>
        <w:ind w:left="0" w:right="0"/>
        <w:jc w:val="both"/>
      </w:pPr>
      <w:r>
        <w:rPr>
          <w:color w:val="000000"/>
          <w:spacing w:val="0"/>
          <w:w w:val="100"/>
          <w:position w:val="0"/>
        </w:rPr>
        <w:t>本公司按当期政府的相关规定为职工缴纳基本养老保险和失业保险，在职工为本公司提供服务的会计期间，根据设定提 存计划计算的应缴存金额确认为负债，并计入当期损益或相关资产成本。</w:t>
      </w:r>
    </w:p>
    <w:p>
      <w:pPr>
        <w:pStyle w:val="Style44"/>
        <w:keepNext/>
        <w:keepLines/>
        <w:widowControl w:val="0"/>
        <w:shd w:val="clear" w:color="auto" w:fill="auto"/>
        <w:tabs>
          <w:tab w:pos="475" w:val="left"/>
        </w:tabs>
        <w:bidi w:val="0"/>
        <w:spacing w:before="0" w:after="20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62"/>
      <w:bookmarkEnd w:id="963"/>
      <w:bookmarkEnd w:id="965"/>
    </w:p>
    <w:p>
      <w:pPr>
        <w:pStyle w:val="Style17"/>
        <w:keepNext w:val="0"/>
        <w:keepLines w:val="0"/>
        <w:widowControl w:val="0"/>
        <w:shd w:val="clear" w:color="auto" w:fill="auto"/>
        <w:bidi w:val="0"/>
        <w:spacing w:before="0" w:after="0" w:line="474" w:lineRule="exact"/>
        <w:ind w:left="0" w:right="0"/>
        <w:jc w:val="both"/>
      </w:pPr>
      <w:r>
        <w:rPr>
          <w:color w:val="000000"/>
          <w:spacing w:val="0"/>
          <w:w w:val="100"/>
          <w:position w:val="0"/>
        </w:rPr>
        <w:t>在本公司不能单方面撤回因解除劳动关系计划或者裁减建议所提供的辞退福利时，和本公司确认与涉及支付辞退福利的 重组相关的成本或费用时两者孰早日，确认辞退福利产生的职工薪酬负债，并计入当期损益。但辞退福利预期在年度报告期 结束后十二个月不能完全支付的，按照其他长期职工薪酬处理。</w:t>
      </w:r>
    </w:p>
    <w:p>
      <w:pPr>
        <w:pStyle w:val="Style17"/>
        <w:keepNext w:val="0"/>
        <w:keepLines w:val="0"/>
        <w:widowControl w:val="0"/>
        <w:shd w:val="clear" w:color="auto" w:fill="auto"/>
        <w:bidi w:val="0"/>
        <w:spacing w:before="0" w:after="460" w:line="474" w:lineRule="exact"/>
        <w:ind w:left="0" w:right="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辞退福利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。正式退休日期之后的经济补 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如正常养老退休金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，按照离职后福利处理。</w:t>
      </w:r>
    </w:p>
    <w:p>
      <w:pPr>
        <w:pStyle w:val="Style44"/>
        <w:keepNext/>
        <w:keepLines/>
        <w:widowControl w:val="0"/>
        <w:shd w:val="clear" w:color="auto" w:fill="auto"/>
        <w:tabs>
          <w:tab w:pos="475" w:val="left"/>
        </w:tabs>
        <w:bidi w:val="0"/>
        <w:spacing w:before="0" w:after="20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6"/>
      <w:bookmarkEnd w:id="967"/>
      <w:bookmarkEnd w:id="969"/>
    </w:p>
    <w:p>
      <w:pPr>
        <w:pStyle w:val="Style17"/>
        <w:keepNext w:val="0"/>
        <w:keepLines w:val="0"/>
        <w:widowControl w:val="0"/>
        <w:shd w:val="clear" w:color="auto" w:fill="auto"/>
        <w:bidi w:val="0"/>
        <w:spacing w:before="0" w:after="280" w:line="470" w:lineRule="exact"/>
        <w:ind w:left="0" w:right="0"/>
        <w:jc w:val="both"/>
      </w:pPr>
      <w:r>
        <w:rPr>
          <w:color w:val="000000"/>
          <w:spacing w:val="0"/>
          <w:w w:val="100"/>
          <w:position w:val="0"/>
        </w:rPr>
        <w:t>本公司向职工提供的其他长期职工福利，符合设定提存计划的，按照设定提存计划进行会计处理，除此之外按照设定受 益计划进行会计处理。但相关职工薪酬成本中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 关资产成本。</w:t>
      </w:r>
    </w:p>
    <w:p>
      <w:pPr>
        <w:pStyle w:val="Style36"/>
        <w:keepNext/>
        <w:keepLines/>
        <w:widowControl w:val="0"/>
        <w:shd w:val="clear" w:color="auto" w:fill="auto"/>
        <w:tabs>
          <w:tab w:pos="449" w:val="left"/>
        </w:tabs>
        <w:bidi w:val="0"/>
        <w:spacing w:before="0" w:after="20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970"/>
      <w:bookmarkEnd w:id="971"/>
      <w:bookmarkEnd w:id="973"/>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当与或有事项相关的义务同时符合以下条件，将其确认为预计负债：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该义务是承担的现时义务；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该义务的履行很 可能导致经济利益流出；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最佳估计数分别分以下情况处理：所需支出存在一个连续范围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，且该范围内各种结果发生的可能性相同的，则 最佳估计数按照该范围的中间值：即上下限金额的平均数确定。所需支出不存在一个连续范围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，或虽然存在一个连 续范围但该范围内各种结果发生的可能性不相同的，如或有事项涉及单个项目的，则最佳估计数按照最可能发生金额确定； 如或有事项涉及多个项目的，则最佳估计数按各种可能结果及相关概率计算确定。</w:t>
      </w:r>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本公司清偿预计负债所需支出全部或部分预期由第三方补偿的，补偿金额在基本确定能够收到时，作为资产单独确认， 且确认的补偿金额不超过预计负债的账面价值。</w:t>
      </w:r>
    </w:p>
    <w:p>
      <w:pPr>
        <w:pStyle w:val="Style17"/>
        <w:keepNext w:val="0"/>
        <w:keepLines w:val="0"/>
        <w:widowControl w:val="0"/>
        <w:shd w:val="clear" w:color="auto" w:fill="auto"/>
        <w:bidi w:val="0"/>
        <w:spacing w:before="0" w:after="460" w:line="466" w:lineRule="exact"/>
        <w:ind w:left="0" w:right="0"/>
        <w:jc w:val="both"/>
      </w:pPr>
      <w:r>
        <w:rPr>
          <w:color w:val="000000"/>
          <w:spacing w:val="0"/>
          <w:w w:val="100"/>
          <w:position w:val="0"/>
        </w:rPr>
        <w:t>每个资产负债表日对预计负债的账面价值进行复核。有确凿证据表明该账面价值不能反映当前最佳估计数的，按照当前 最佳估计数对该账面价值进行调整。</w:t>
      </w:r>
    </w:p>
    <w:p>
      <w:pPr>
        <w:pStyle w:val="Style36"/>
        <w:keepNext/>
        <w:keepLines/>
        <w:widowControl w:val="0"/>
        <w:shd w:val="clear" w:color="auto" w:fill="auto"/>
        <w:tabs>
          <w:tab w:pos="449" w:val="left"/>
        </w:tabs>
        <w:bidi w:val="0"/>
        <w:spacing w:before="0" w:after="40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974"/>
      <w:bookmarkEnd w:id="975"/>
      <w:bookmarkEnd w:id="977"/>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收入确认和计量所采用的会计政策</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 xml:space="preserve">[2017]22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0" w:line="469" w:lineRule="exact"/>
        <w:ind w:left="0" w:right="0"/>
        <w:jc w:val="both"/>
      </w:pPr>
      <w:bookmarkStart w:id="978" w:name="bookmark978"/>
      <w:r>
        <w:rPr>
          <w:rFonts w:ascii="Times New Roman" w:eastAsia="Times New Roman" w:hAnsi="Times New Roman" w:cs="Times New Roman"/>
          <w:color w:val="000000"/>
          <w:spacing w:val="0"/>
          <w:w w:val="100"/>
          <w:position w:val="0"/>
          <w:sz w:val="18"/>
          <w:szCs w:val="18"/>
        </w:rPr>
        <w:t>（</w:t>
      </w:r>
      <w:bookmarkEnd w:id="9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收入的总确认原则</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新收入准则下，公司以控制权转移作为收入确认时点的判断标准。公司在履行了合同中的履约义务，即在客户取得相关 商品控制权时确认收入。</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满足下列条件之一的，公司属于在某一时段内履行履约义务；否则，属于在某一时点履行履约义务：①客户在公司履约 的同时即取得并消耗公司履约所带来的经济利益；②客户能够控制公司履约过程中在建的商品；③公司履约过程中所产出的 商品具有不可替代用途，且公司在整个合同期间内有权就累计至今已完成的履约部分收取款项。</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对于在某一时段内履行的履约义务，公司在该段时间内按照履约进度确认收入，但是，履约进度不能合理确定的除外。 当履约进度不能合理确定时，公司已经发生的成本预计能够得到补偿的，按照已经发生的成本金额确认收入，直到履约进度 能够合理确定为止。</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对于在某一时点履行的履约义务，公司在客户取得相关商品控制权时点确认收入。在判断客户是否已取得商品控制权时， 公司考虑下列迹象：①公司就该商品享有现时收款权利，即客户就该商品负有现时付款义务；②公司已将该商品的法定所有 权转移给客户，即客户已拥有该商品的法定所有权；③公司已将该商品实物转移给客户，即客户已实物占有该商品；④公司 </w:t>
      </w:r>
      <w:r>
        <w:rPr>
          <w:color w:val="000000"/>
          <w:spacing w:val="0"/>
          <w:w w:val="100"/>
          <w:position w:val="0"/>
        </w:rPr>
        <w:t>已将该商品所有权上的主要风险和报酬转移给客户，即客户已取得该商品所有权上的主要风险和报酬;⑤客户已接受该商品； ⑥其他表明客户已取得商品控制权的迹象。</w:t>
      </w:r>
    </w:p>
    <w:p>
      <w:pPr>
        <w:pStyle w:val="Style17"/>
        <w:keepNext w:val="0"/>
        <w:keepLines w:val="0"/>
        <w:widowControl w:val="0"/>
        <w:shd w:val="clear" w:color="auto" w:fill="auto"/>
        <w:bidi w:val="0"/>
        <w:spacing w:before="0" w:after="260" w:line="470" w:lineRule="exact"/>
        <w:ind w:left="0" w:right="0"/>
        <w:jc w:val="both"/>
      </w:pPr>
      <w:r>
        <w:rPr>
          <w:color w:val="000000"/>
          <w:spacing w:val="0"/>
          <w:w w:val="100"/>
          <w:position w:val="0"/>
        </w:rPr>
        <w:t>合同中包含两项或多项履约义务的，公司在合同开始日，按照各单项履约义务所承诺商品的单独售价的相对比例，将交 易价格分摊至各单项履约义务，按照分摊至各单项履约义务的交易价格计量收入。交易价格，是公司因向客户转让商品而预 期有权收取的对价金额。公司代第三方收取的款项以及公司预期将退还给客户的款项，作为负债进行会计处理，不计入交易 价格。合同中存在可变对价的，公司按照期望值或最可能发生金额确定可变对价的最佳估计数，但包含可变对价的交易价格， 不超过在相关不确定性消除时累计已确认收入极可能不会发生重大转回的金额。合同中存在重大融资成分的，公司按照假定 客户在取得商品控制权时即以现金支付的应付金额确定交易价格。该交易价格与合同对价之间的差额，在合同期间内采用实 际利率法摊销。合同开始日，公司预计客户取得商品控制权与客户支付价款间隔不超过一年的，不考虑合同中存在的重大融 资成分。</w:t>
      </w:r>
    </w:p>
    <w:p>
      <w:pPr>
        <w:pStyle w:val="Style17"/>
        <w:keepNext w:val="0"/>
        <w:keepLines w:val="0"/>
        <w:widowControl w:val="0"/>
        <w:numPr>
          <w:ilvl w:val="0"/>
          <w:numId w:val="75"/>
        </w:numPr>
        <w:shd w:val="clear" w:color="auto" w:fill="auto"/>
        <w:bidi w:val="0"/>
        <w:spacing w:before="0" w:after="0" w:line="545" w:lineRule="auto"/>
        <w:ind w:left="0" w:right="0"/>
        <w:jc w:val="both"/>
      </w:pPr>
      <w:bookmarkStart w:id="979" w:name="bookmark979"/>
      <w:bookmarkEnd w:id="979"/>
      <w:r>
        <w:rPr>
          <w:color w:val="000000"/>
          <w:spacing w:val="0"/>
          <w:w w:val="100"/>
          <w:position w:val="0"/>
        </w:rPr>
        <w:t>本公司收入的具体确认原则</w:t>
      </w:r>
    </w:p>
    <w:p>
      <w:pPr>
        <w:pStyle w:val="Style17"/>
        <w:keepNext w:val="0"/>
        <w:keepLines w:val="0"/>
        <w:widowControl w:val="0"/>
        <w:numPr>
          <w:ilvl w:val="0"/>
          <w:numId w:val="77"/>
        </w:numPr>
        <w:shd w:val="clear" w:color="auto" w:fill="auto"/>
        <w:tabs>
          <w:tab w:pos="723" w:val="left"/>
        </w:tabs>
        <w:bidi w:val="0"/>
        <w:spacing w:before="0" w:after="0" w:line="470" w:lineRule="exact"/>
        <w:ind w:left="0" w:right="0"/>
        <w:jc w:val="both"/>
      </w:pPr>
      <w:bookmarkStart w:id="980" w:name="bookmark980"/>
      <w:bookmarkEnd w:id="980"/>
      <w:r>
        <w:rPr>
          <w:color w:val="000000"/>
          <w:spacing w:val="0"/>
          <w:w w:val="100"/>
          <w:position w:val="0"/>
        </w:rPr>
        <w:t>商品销售收入</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本公司与客户之间的商品销售合同包含金融专用设备、软件产品、电子商务商品的履约义务，属于在某一时点履行履 约义务。</w:t>
      </w:r>
    </w:p>
    <w:p>
      <w:pPr>
        <w:pStyle w:val="Style17"/>
        <w:keepNext w:val="0"/>
        <w:keepLines w:val="0"/>
        <w:widowControl w:val="0"/>
        <w:shd w:val="clear" w:color="auto" w:fill="auto"/>
        <w:bidi w:val="0"/>
        <w:spacing w:before="0" w:after="260" w:line="470" w:lineRule="exact"/>
        <w:ind w:left="0" w:right="0"/>
        <w:jc w:val="both"/>
      </w:pPr>
      <w:r>
        <w:rPr>
          <w:color w:val="000000"/>
          <w:spacing w:val="0"/>
          <w:w w:val="100"/>
          <w:position w:val="0"/>
        </w:rPr>
        <w:t>收入确认需满足以下条件：本公司已根据合同约定将产品交付给客户且客户已接受该商品，已经收回货款或取得了收 款凭证且相关的经济利益很可能流入，商品所有权上的主要风险和报酬已转移，商品的法定所有权已转移。商品销售收入确 认的具体方法如下：</w:t>
      </w:r>
    </w:p>
    <w:p>
      <w:pPr>
        <w:pStyle w:val="Style17"/>
        <w:keepNext w:val="0"/>
        <w:keepLines w:val="0"/>
        <w:widowControl w:val="0"/>
        <w:shd w:val="clear" w:color="auto" w:fill="auto"/>
        <w:bidi w:val="0"/>
        <w:spacing w:before="0" w:after="0" w:line="545" w:lineRule="auto"/>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金融专用设备：是指各类以辅助银行等金融机构办公应用为主、提升日常工作效率或控制风险的专用设备。</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对于金融专用设备在按照双方约定于设备发货且客户签收(含电子签收)后确认收入。</w:t>
      </w:r>
    </w:p>
    <w:p>
      <w:pPr>
        <w:pStyle w:val="Style17"/>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软件产品：是指本公司自主开发的，取得了软件产品登记认证，购买方个性化差异很小，基本具有行业通用性，因而 可以批量复制销售的应用软件。</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对于软件产品在本公司按照合同约定内容向客户移交产品，与金融专用设备同一时点确认收入。</w:t>
      </w:r>
    </w:p>
    <w:p>
      <w:pPr>
        <w:pStyle w:val="Style17"/>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电子商务商品：客户通过在公司自有网站或第三方销售平台下订单并按公司指定的付款方式支付货款，销售平台负责 将货物配送给客户或者公司委托物流公司配送交货给客户时确认收入。</w:t>
      </w:r>
    </w:p>
    <w:p>
      <w:pPr>
        <w:pStyle w:val="Style17"/>
        <w:keepNext w:val="0"/>
        <w:keepLines w:val="0"/>
        <w:widowControl w:val="0"/>
        <w:numPr>
          <w:ilvl w:val="0"/>
          <w:numId w:val="77"/>
        </w:numPr>
        <w:shd w:val="clear" w:color="auto" w:fill="auto"/>
        <w:tabs>
          <w:tab w:pos="723" w:val="left"/>
        </w:tabs>
        <w:bidi w:val="0"/>
        <w:spacing w:before="0" w:after="0" w:line="470" w:lineRule="exact"/>
        <w:ind w:left="0" w:right="0"/>
        <w:jc w:val="both"/>
      </w:pPr>
      <w:bookmarkStart w:id="981" w:name="bookmark981"/>
      <w:bookmarkEnd w:id="981"/>
      <w:r>
        <w:rPr>
          <w:color w:val="000000"/>
          <w:spacing w:val="0"/>
          <w:w w:val="100"/>
          <w:position w:val="0"/>
        </w:rPr>
        <w:t>劳务收入</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本公司与客户之间的劳务合同包含软件开发、短彩信服务业务、运维服务等履约义务，具体方法如下：：</w:t>
      </w:r>
    </w:p>
    <w:p>
      <w:pPr>
        <w:pStyle w:val="Style17"/>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软件开发：是指本公司在自主研发的各种底层开发平台或技术的基础上，按照客户的个性化需求进行定制性开发而形 成的应用软件。</w:t>
      </w:r>
    </w:p>
    <w:p>
      <w:pPr>
        <w:pStyle w:val="Style17"/>
        <w:keepNext w:val="0"/>
        <w:keepLines w:val="0"/>
        <w:widowControl w:val="0"/>
        <w:shd w:val="clear" w:color="auto" w:fill="auto"/>
        <w:bidi w:val="0"/>
        <w:spacing w:before="0" w:after="120" w:line="470" w:lineRule="exact"/>
        <w:ind w:left="0" w:right="0"/>
        <w:jc w:val="both"/>
      </w:pPr>
      <w:r>
        <w:rPr>
          <w:color w:val="000000"/>
          <w:spacing w:val="0"/>
          <w:w w:val="100"/>
          <w:position w:val="0"/>
        </w:rPr>
        <w:t>对于软件开发本公司在按照合同约定内容实施了开发工作，并为购买方完成了安装、调试工作，且至少具备以下条件之 一时确认收入：已取得购买方的验收文件；取得购买方对软件已正式投入使用的确认文件；已符合合同约定的验收条件。</w:t>
      </w:r>
    </w:p>
    <w:p>
      <w:pPr>
        <w:pStyle w:val="Style17"/>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短彩信服务业务：公司向客户提供短彩信移动信息化解决方案和运营服务时，以与客户核对后的实际业务服务量为基 数，计算的服务费确认收入。</w:t>
      </w:r>
    </w:p>
    <w:p>
      <w:pPr>
        <w:pStyle w:val="Style17"/>
        <w:keepNext w:val="0"/>
        <w:keepLines w:val="0"/>
        <w:widowControl w:val="0"/>
        <w:numPr>
          <w:ilvl w:val="0"/>
          <w:numId w:val="77"/>
        </w:numPr>
        <w:shd w:val="clear" w:color="auto" w:fill="auto"/>
        <w:bidi w:val="0"/>
        <w:spacing w:before="0" w:after="0" w:line="473" w:lineRule="exact"/>
        <w:ind w:left="0" w:right="0"/>
        <w:jc w:val="both"/>
      </w:pPr>
      <w:bookmarkStart w:id="982" w:name="bookmark982"/>
      <w:bookmarkEnd w:id="982"/>
      <w:r>
        <w:rPr>
          <w:color w:val="000000"/>
          <w:spacing w:val="0"/>
          <w:w w:val="100"/>
          <w:position w:val="0"/>
        </w:rPr>
        <w:t>运维服务收入</w:t>
      </w:r>
    </w:p>
    <w:p>
      <w:pPr>
        <w:pStyle w:val="Style17"/>
        <w:keepNext w:val="0"/>
        <w:keepLines w:val="0"/>
        <w:widowControl w:val="0"/>
        <w:shd w:val="clear" w:color="auto" w:fill="auto"/>
        <w:bidi w:val="0"/>
        <w:spacing w:before="0" w:after="0" w:line="473" w:lineRule="exact"/>
        <w:ind w:left="0" w:right="0"/>
        <w:jc w:val="both"/>
      </w:pPr>
      <w:r>
        <w:rPr>
          <w:color w:val="000000"/>
          <w:spacing w:val="0"/>
          <w:w w:val="100"/>
          <w:position w:val="0"/>
        </w:rPr>
        <w:t>本公司与客户之间的提供服务合同包含对已销售的软件产品、软件开发等，为客户提供的后续技术支持或维护服务，根 据合同内容，在服务提供期间按期或者按次确认收入。</w:t>
      </w:r>
    </w:p>
    <w:p>
      <w:pPr>
        <w:pStyle w:val="Style17"/>
        <w:keepNext w:val="0"/>
        <w:keepLines w:val="0"/>
        <w:widowControl w:val="0"/>
        <w:shd w:val="clear" w:color="auto" w:fill="auto"/>
        <w:bidi w:val="0"/>
        <w:spacing w:before="0" w:after="0" w:line="473" w:lineRule="exact"/>
        <w:ind w:left="0" w:right="0"/>
        <w:jc w:val="both"/>
      </w:pPr>
      <w:r>
        <w:rPr>
          <w:color w:val="000000"/>
          <w:spacing w:val="0"/>
          <w:w w:val="100"/>
          <w:position w:val="0"/>
        </w:rPr>
        <w:t>同类业务采用不同经营模式导致收入确认会计政策存在差异的情况</w:t>
      </w:r>
    </w:p>
    <w:p>
      <w:pPr>
        <w:pStyle w:val="Style17"/>
        <w:keepNext w:val="0"/>
        <w:keepLines w:val="0"/>
        <w:widowControl w:val="0"/>
        <w:shd w:val="clear" w:color="auto" w:fill="auto"/>
        <w:bidi w:val="0"/>
        <w:spacing w:before="0" w:after="480" w:line="473" w:lineRule="exact"/>
        <w:ind w:left="0" w:right="0"/>
        <w:jc w:val="both"/>
      </w:pPr>
      <w:r>
        <w:rPr>
          <w:color w:val="000000"/>
          <w:spacing w:val="0"/>
          <w:w w:val="100"/>
          <w:position w:val="0"/>
        </w:rPr>
        <w:t>无。</w:t>
      </w:r>
    </w:p>
    <w:p>
      <w:pPr>
        <w:pStyle w:val="Style36"/>
        <w:keepNext/>
        <w:keepLines/>
        <w:widowControl w:val="0"/>
        <w:shd w:val="clear" w:color="auto" w:fill="auto"/>
        <w:bidi w:val="0"/>
        <w:spacing w:before="0" w:after="4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3</w:t>
      </w:r>
      <w:bookmarkEnd w:id="985"/>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983"/>
      <w:bookmarkEnd w:id="984"/>
      <w:bookmarkEnd w:id="986"/>
    </w:p>
    <w:p>
      <w:pPr>
        <w:pStyle w:val="Style17"/>
        <w:keepNext w:val="0"/>
        <w:keepLines w:val="0"/>
        <w:widowControl w:val="0"/>
        <w:numPr>
          <w:ilvl w:val="0"/>
          <w:numId w:val="79"/>
        </w:numPr>
        <w:shd w:val="clear" w:color="auto" w:fill="auto"/>
        <w:tabs>
          <w:tab w:pos="774" w:val="left"/>
        </w:tabs>
        <w:bidi w:val="0"/>
        <w:spacing w:before="0" w:after="0" w:line="545" w:lineRule="auto"/>
        <w:ind w:left="0" w:right="0"/>
        <w:jc w:val="both"/>
      </w:pPr>
      <w:bookmarkStart w:id="987" w:name="bookmark987"/>
      <w:bookmarkEnd w:id="987"/>
      <w:r>
        <w:rPr>
          <w:color w:val="000000"/>
          <w:spacing w:val="0"/>
          <w:w w:val="100"/>
          <w:position w:val="0"/>
        </w:rPr>
        <w:t>政府补助的分类</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政府补助，是指本公司从政府无偿取得货币性资产或非货币性资产。分为与资产相关的政府补助和与收益相关的政府补 助。</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与资产相关的政府补助，是指本公司取得的、用于购建或以其他方式形成长期资产的政府补助，包括购买固定资产或无 形资产的财政拨款、固定资产专门借款的财政贴息等；与收益相关的政府补助，是指除与资产相关的政府补助之外的政府补 助。对于同时包含与资产相关部分和与收益相关部分的政府补助，区分不同部分分别进行会计处理；难以区分的，整体归类 为与收益相关的政府补助。</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本公司在进行政府补助分类时采取的具体标准为：</w:t>
      </w:r>
    </w:p>
    <w:p>
      <w:pPr>
        <w:pStyle w:val="Style17"/>
        <w:keepNext w:val="0"/>
        <w:keepLines w:val="0"/>
        <w:widowControl w:val="0"/>
        <w:numPr>
          <w:ilvl w:val="0"/>
          <w:numId w:val="81"/>
        </w:numPr>
        <w:shd w:val="clear" w:color="auto" w:fill="auto"/>
        <w:tabs>
          <w:tab w:pos="716" w:val="left"/>
        </w:tabs>
        <w:bidi w:val="0"/>
        <w:spacing w:before="0" w:after="0" w:line="469" w:lineRule="exact"/>
        <w:ind w:left="0" w:right="0"/>
        <w:jc w:val="both"/>
      </w:pPr>
      <w:bookmarkStart w:id="988" w:name="bookmark988"/>
      <w:bookmarkEnd w:id="988"/>
      <w:r>
        <w:rPr>
          <w:color w:val="000000"/>
          <w:spacing w:val="0"/>
          <w:w w:val="100"/>
          <w:position w:val="0"/>
        </w:rPr>
        <w:t>政府补助文件规定的补助对象用于购建或以其他方式形成长期资产，或者补助对象的支出主要用于购建或以其他方式 形成长期资产的，划分为与资产相关的政府补助。</w:t>
      </w:r>
    </w:p>
    <w:p>
      <w:pPr>
        <w:pStyle w:val="Style17"/>
        <w:keepNext w:val="0"/>
        <w:keepLines w:val="0"/>
        <w:widowControl w:val="0"/>
        <w:numPr>
          <w:ilvl w:val="0"/>
          <w:numId w:val="81"/>
        </w:numPr>
        <w:shd w:val="clear" w:color="auto" w:fill="auto"/>
        <w:tabs>
          <w:tab w:pos="716" w:val="left"/>
        </w:tabs>
        <w:bidi w:val="0"/>
        <w:spacing w:before="0" w:after="0" w:line="469" w:lineRule="exact"/>
        <w:ind w:left="0" w:right="0"/>
        <w:jc w:val="both"/>
      </w:pPr>
      <w:bookmarkStart w:id="989" w:name="bookmark989"/>
      <w:bookmarkEnd w:id="989"/>
      <w:r>
        <w:rPr>
          <w:color w:val="000000"/>
          <w:spacing w:val="0"/>
          <w:w w:val="100"/>
          <w:position w:val="0"/>
        </w:rPr>
        <w:t>根据政府补助文件获得的政府补助全部或者主要用于补偿以后期间或已发生的费用或损失的政府补助，划分为与收益 相关的政府补助。</w:t>
      </w:r>
    </w:p>
    <w:p>
      <w:pPr>
        <w:pStyle w:val="Style17"/>
        <w:keepNext w:val="0"/>
        <w:keepLines w:val="0"/>
        <w:widowControl w:val="0"/>
        <w:numPr>
          <w:ilvl w:val="0"/>
          <w:numId w:val="81"/>
        </w:numPr>
        <w:shd w:val="clear" w:color="auto" w:fill="auto"/>
        <w:tabs>
          <w:tab w:pos="716" w:val="left"/>
        </w:tabs>
        <w:bidi w:val="0"/>
        <w:spacing w:before="0" w:after="260" w:line="469" w:lineRule="exact"/>
        <w:ind w:left="0" w:right="0"/>
        <w:jc w:val="both"/>
      </w:pPr>
      <w:bookmarkStart w:id="990" w:name="bookmark990"/>
      <w:bookmarkEnd w:id="990"/>
      <w:r>
        <w:rPr>
          <w:color w:val="000000"/>
          <w:spacing w:val="0"/>
          <w:w w:val="100"/>
          <w:position w:val="0"/>
        </w:rPr>
        <w:t>若政府文件未明确规定补助对象，则采用以下方式将该政府补助款划分为与资产相关的政府补助或与收益相关的政府 补助：</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政府文件明确了补助所针对的特定项目的，根据该特定项目的预算中将形成资产的支出金额和计入费用的支出金额 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政府文件中对用途仅作一般性表 述，没有指明特定项目的，作为与收益相关的政府补助。</w:t>
      </w:r>
    </w:p>
    <w:p>
      <w:pPr>
        <w:pStyle w:val="Style17"/>
        <w:keepNext w:val="0"/>
        <w:keepLines w:val="0"/>
        <w:widowControl w:val="0"/>
        <w:numPr>
          <w:ilvl w:val="0"/>
          <w:numId w:val="79"/>
        </w:numPr>
        <w:shd w:val="clear" w:color="auto" w:fill="auto"/>
        <w:tabs>
          <w:tab w:pos="774" w:val="left"/>
        </w:tabs>
        <w:bidi w:val="0"/>
        <w:spacing w:before="0" w:after="0" w:line="545" w:lineRule="auto"/>
        <w:ind w:left="0" w:right="0"/>
        <w:jc w:val="both"/>
      </w:pPr>
      <w:bookmarkStart w:id="991" w:name="bookmark991"/>
      <w:bookmarkEnd w:id="991"/>
      <w:r>
        <w:rPr>
          <w:color w:val="000000"/>
          <w:spacing w:val="0"/>
          <w:w w:val="100"/>
          <w:position w:val="0"/>
        </w:rPr>
        <w:t>政府补助的确认时点</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17"/>
        <w:keepNext w:val="0"/>
        <w:keepLines w:val="0"/>
        <w:widowControl w:val="0"/>
        <w:numPr>
          <w:ilvl w:val="0"/>
          <w:numId w:val="83"/>
        </w:numPr>
        <w:shd w:val="clear" w:color="auto" w:fill="auto"/>
        <w:bidi w:val="0"/>
        <w:spacing w:before="0" w:after="480" w:line="469" w:lineRule="exact"/>
        <w:ind w:left="0" w:right="0"/>
        <w:jc w:val="both"/>
      </w:pPr>
      <w:bookmarkStart w:id="992" w:name="bookmark992"/>
      <w:bookmarkEnd w:id="992"/>
      <w:r>
        <w:rPr>
          <w:color w:val="000000"/>
          <w:spacing w:val="0"/>
          <w:w w:val="100"/>
          <w:position w:val="0"/>
        </w:rPr>
        <w:t>所依据的是当地财政部门正式发布并按照《政府信息公开条例》的规定予以主动公开的财政扶持项目及其财政资金管 理办法，且该管理办法应当是普惠性的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任何符合规定条件的企业均可申请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，而不是专门针对特定企业制定的；</w:t>
      </w:r>
    </w:p>
    <w:p>
      <w:pPr>
        <w:pStyle w:val="Style17"/>
        <w:keepNext w:val="0"/>
        <w:keepLines w:val="0"/>
        <w:widowControl w:val="0"/>
        <w:numPr>
          <w:ilvl w:val="0"/>
          <w:numId w:val="83"/>
        </w:numPr>
        <w:shd w:val="clear" w:color="auto" w:fill="auto"/>
        <w:tabs>
          <w:tab w:pos="723" w:val="left"/>
        </w:tabs>
        <w:bidi w:val="0"/>
        <w:spacing w:before="0" w:after="0" w:line="468" w:lineRule="exact"/>
        <w:ind w:left="0" w:right="0"/>
        <w:jc w:val="both"/>
      </w:pPr>
      <w:bookmarkStart w:id="993" w:name="bookmark993"/>
      <w:bookmarkEnd w:id="993"/>
      <w:r>
        <w:rPr>
          <w:color w:val="000000"/>
          <w:spacing w:val="0"/>
          <w:w w:val="100"/>
          <w:position w:val="0"/>
        </w:rPr>
        <w:t>应收补助款的金额已经过有权政府部门发文确认，或者可根据正式发布的财政资金管理办法的有关规定自行合理测 算，且预计其金额不存在重大不确定性；</w:t>
      </w:r>
    </w:p>
    <w:p>
      <w:pPr>
        <w:pStyle w:val="Style17"/>
        <w:keepNext w:val="0"/>
        <w:keepLines w:val="0"/>
        <w:widowControl w:val="0"/>
        <w:numPr>
          <w:ilvl w:val="0"/>
          <w:numId w:val="83"/>
        </w:numPr>
        <w:shd w:val="clear" w:color="auto" w:fill="auto"/>
        <w:tabs>
          <w:tab w:pos="733" w:val="left"/>
        </w:tabs>
        <w:bidi w:val="0"/>
        <w:spacing w:before="0" w:after="0" w:line="468" w:lineRule="exact"/>
        <w:ind w:left="0" w:right="0"/>
        <w:jc w:val="both"/>
      </w:pPr>
      <w:bookmarkStart w:id="994" w:name="bookmark994"/>
      <w:bookmarkEnd w:id="994"/>
      <w:r>
        <w:rPr>
          <w:color w:val="000000"/>
          <w:spacing w:val="0"/>
          <w:w w:val="100"/>
          <w:position w:val="0"/>
        </w:rPr>
        <w:t>相关的补助款批文中已明确承诺了拨付期限，且该款项的拨付是有相应财政预算作为保障的，因而可以合理保证其可 在规定期限内收到；</w:t>
      </w:r>
    </w:p>
    <w:p>
      <w:pPr>
        <w:pStyle w:val="Style17"/>
        <w:keepNext w:val="0"/>
        <w:keepLines w:val="0"/>
        <w:widowControl w:val="0"/>
        <w:numPr>
          <w:ilvl w:val="0"/>
          <w:numId w:val="83"/>
        </w:numPr>
        <w:shd w:val="clear" w:color="auto" w:fill="auto"/>
        <w:tabs>
          <w:tab w:pos="753" w:val="left"/>
        </w:tabs>
        <w:bidi w:val="0"/>
        <w:spacing w:before="0" w:after="240" w:line="468" w:lineRule="exact"/>
        <w:ind w:left="0" w:right="0"/>
        <w:jc w:val="left"/>
      </w:pPr>
      <w:bookmarkStart w:id="995" w:name="bookmark995"/>
      <w:bookmarkEnd w:id="995"/>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bidi w:val="0"/>
        <w:spacing w:before="0" w:after="0" w:line="542" w:lineRule="auto"/>
        <w:ind w:left="0" w:right="0"/>
        <w:jc w:val="both"/>
      </w:pPr>
      <w:bookmarkStart w:id="996" w:name="bookmark996"/>
      <w:r>
        <w:rPr>
          <w:rFonts w:ascii="Times New Roman" w:eastAsia="Times New Roman" w:hAnsi="Times New Roman" w:cs="Times New Roman"/>
          <w:color w:val="000000"/>
          <w:spacing w:val="0"/>
          <w:w w:val="100"/>
          <w:position w:val="0"/>
          <w:sz w:val="18"/>
          <w:szCs w:val="18"/>
        </w:rPr>
        <w:t>（</w:t>
      </w:r>
      <w:bookmarkEnd w:id="9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政府补助的会计处理</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政府补助为货币性资产的，按收到或应收的金额计量；为非货币性资产的，按公允价值计量；非货币性资产公允价值不 能可靠取得的，按名义金额计量。按照名义金额计量的政府补助，直接计入当期损益。</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本公司对政府补助采用的是总额法，具体会计处理如下：</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与资产相关的政府补助确认为递延收益，在相关资产使用寿命内按照合理、系统的方法分期计入当期损益；相关资产在 使用寿命结束前被出售、转让、报废或发生毁损的，将相关递延收益余额转入资产处置当期的损益。</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与收益相关的政府补助，用于补偿本公司以后期间的相关成本费用或损失的，确认为递延收益，并在确认相关成本费用 或损失的期间，计入当期损益；用于补偿企业已发生的相关成本费用或损失的，直接计入当期损益。</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本公司取得的政策性优惠贷款贴息，区分以下两种情况，分别进行会计处理：</w:t>
      </w:r>
    </w:p>
    <w:p>
      <w:pPr>
        <w:pStyle w:val="Style17"/>
        <w:keepNext w:val="0"/>
        <w:keepLines w:val="0"/>
        <w:widowControl w:val="0"/>
        <w:numPr>
          <w:ilvl w:val="0"/>
          <w:numId w:val="85"/>
        </w:numPr>
        <w:shd w:val="clear" w:color="auto" w:fill="auto"/>
        <w:tabs>
          <w:tab w:pos="728" w:val="left"/>
        </w:tabs>
        <w:bidi w:val="0"/>
        <w:spacing w:before="0" w:after="0" w:line="468" w:lineRule="exact"/>
        <w:ind w:left="0" w:right="0"/>
        <w:jc w:val="both"/>
      </w:pPr>
      <w:bookmarkStart w:id="997" w:name="bookmark997"/>
      <w:bookmarkEnd w:id="997"/>
      <w:r>
        <w:rPr>
          <w:color w:val="000000"/>
          <w:spacing w:val="0"/>
          <w:w w:val="100"/>
          <w:position w:val="0"/>
        </w:rPr>
        <w:t>财政将贴息资金拨付给贷款银行，由贷款银行以政策性优惠利率向企业提供贷款的，本公司以实际收到的借款金额作 为借款的入账价值，按照借款本金和该政策性优惠利率计算相关借款费用。</w:t>
      </w:r>
    </w:p>
    <w:p>
      <w:pPr>
        <w:pStyle w:val="Style17"/>
        <w:keepNext w:val="0"/>
        <w:keepLines w:val="0"/>
        <w:widowControl w:val="0"/>
        <w:numPr>
          <w:ilvl w:val="0"/>
          <w:numId w:val="85"/>
        </w:numPr>
        <w:shd w:val="clear" w:color="auto" w:fill="auto"/>
        <w:tabs>
          <w:tab w:pos="753" w:val="left"/>
        </w:tabs>
        <w:bidi w:val="0"/>
        <w:spacing w:before="0" w:after="0" w:line="468" w:lineRule="exact"/>
        <w:ind w:left="0" w:right="0"/>
        <w:jc w:val="left"/>
      </w:pPr>
      <w:bookmarkStart w:id="998" w:name="bookmark998"/>
      <w:bookmarkEnd w:id="998"/>
      <w:r>
        <w:rPr>
          <w:color w:val="000000"/>
          <w:spacing w:val="0"/>
          <w:w w:val="100"/>
          <w:position w:val="0"/>
        </w:rPr>
        <w:t>财政将贴息资金直接拨付给本公司的，本公司将对应的贴息冲减相关借款费用。</w:t>
      </w:r>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已确认的政府补助需要退回的，在需要退回的当期分以下情况进行会计处理：</w:t>
      </w:r>
    </w:p>
    <w:p>
      <w:pPr>
        <w:pStyle w:val="Style17"/>
        <w:keepNext w:val="0"/>
        <w:keepLines w:val="0"/>
        <w:widowControl w:val="0"/>
        <w:numPr>
          <w:ilvl w:val="0"/>
          <w:numId w:val="87"/>
        </w:numPr>
        <w:shd w:val="clear" w:color="auto" w:fill="auto"/>
        <w:tabs>
          <w:tab w:pos="753" w:val="left"/>
        </w:tabs>
        <w:bidi w:val="0"/>
        <w:spacing w:before="0" w:after="0" w:line="468" w:lineRule="exact"/>
        <w:ind w:left="0" w:right="0"/>
        <w:jc w:val="left"/>
      </w:pPr>
      <w:bookmarkStart w:id="999" w:name="bookmark999"/>
      <w:bookmarkEnd w:id="999"/>
      <w:r>
        <w:rPr>
          <w:color w:val="000000"/>
          <w:spacing w:val="0"/>
          <w:w w:val="100"/>
          <w:position w:val="0"/>
        </w:rPr>
        <w:t>初始确认时冲减相关资产账面价值的，调整资产账面价值；</w:t>
      </w:r>
    </w:p>
    <w:p>
      <w:pPr>
        <w:pStyle w:val="Style17"/>
        <w:keepNext w:val="0"/>
        <w:keepLines w:val="0"/>
        <w:widowControl w:val="0"/>
        <w:numPr>
          <w:ilvl w:val="0"/>
          <w:numId w:val="87"/>
        </w:numPr>
        <w:shd w:val="clear" w:color="auto" w:fill="auto"/>
        <w:tabs>
          <w:tab w:pos="753" w:val="left"/>
        </w:tabs>
        <w:bidi w:val="0"/>
        <w:spacing w:before="0" w:after="0" w:line="468" w:lineRule="exact"/>
        <w:ind w:left="0" w:right="0"/>
        <w:jc w:val="left"/>
      </w:pPr>
      <w:bookmarkStart w:id="1000" w:name="bookmark1000"/>
      <w:bookmarkEnd w:id="1000"/>
      <w:r>
        <w:rPr>
          <w:color w:val="000000"/>
          <w:spacing w:val="0"/>
          <w:w w:val="100"/>
          <w:position w:val="0"/>
        </w:rPr>
        <w:t>存在相关递延收益的，冲减相关递延收益账面余额，超出部分计入当期损益；</w:t>
      </w:r>
    </w:p>
    <w:p>
      <w:pPr>
        <w:pStyle w:val="Style17"/>
        <w:keepNext w:val="0"/>
        <w:keepLines w:val="0"/>
        <w:widowControl w:val="0"/>
        <w:numPr>
          <w:ilvl w:val="0"/>
          <w:numId w:val="87"/>
        </w:numPr>
        <w:shd w:val="clear" w:color="auto" w:fill="auto"/>
        <w:tabs>
          <w:tab w:pos="753" w:val="left"/>
        </w:tabs>
        <w:bidi w:val="0"/>
        <w:spacing w:before="0" w:after="0" w:line="468" w:lineRule="exact"/>
        <w:ind w:left="0" w:right="0"/>
        <w:jc w:val="both"/>
      </w:pPr>
      <w:bookmarkStart w:id="1001" w:name="bookmark1001"/>
      <w:bookmarkEnd w:id="1001"/>
      <w:r>
        <w:rPr>
          <w:color w:val="000000"/>
          <w:spacing w:val="0"/>
          <w:w w:val="100"/>
          <w:position w:val="0"/>
        </w:rPr>
        <w:t>属于其他情况的，直接计入当期损益。</w:t>
      </w:r>
    </w:p>
    <w:p>
      <w:pPr>
        <w:pStyle w:val="Style17"/>
        <w:keepNext w:val="0"/>
        <w:keepLines w:val="0"/>
        <w:widowControl w:val="0"/>
        <w:shd w:val="clear" w:color="auto" w:fill="auto"/>
        <w:bidi w:val="0"/>
        <w:spacing w:before="0" w:after="460" w:line="468" w:lineRule="exact"/>
        <w:ind w:left="0" w:right="0"/>
        <w:jc w:val="both"/>
      </w:pPr>
      <w:r>
        <w:rPr>
          <w:color w:val="000000"/>
          <w:spacing w:val="0"/>
          <w:w w:val="100"/>
          <w:position w:val="0"/>
        </w:rPr>
        <w:t>政府补助计入不同损益项目的区分原则为：与本公司日常活动相关的政府补助，按照经济业务实质，计入其他收益或冲 减相关成本费用；与本公司日常活动无关的政府补助，计入营业外收支。</w:t>
      </w:r>
    </w:p>
    <w:p>
      <w:pPr>
        <w:pStyle w:val="Style36"/>
        <w:keepNext/>
        <w:keepLines/>
        <w:widowControl w:val="0"/>
        <w:shd w:val="clear" w:color="auto" w:fill="auto"/>
        <w:bidi w:val="0"/>
        <w:spacing w:before="0" w:after="4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2"/>
      <w:bookmarkEnd w:id="1003"/>
      <w:bookmarkEnd w:id="1005"/>
    </w:p>
    <w:p>
      <w:pPr>
        <w:pStyle w:val="Style17"/>
        <w:keepNext w:val="0"/>
        <w:keepLines w:val="0"/>
        <w:widowControl w:val="0"/>
        <w:shd w:val="clear" w:color="auto" w:fill="auto"/>
        <w:bidi w:val="0"/>
        <w:spacing w:before="0" w:after="0" w:line="542"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递延所得税资产和递延所得税负债的确认和计量</w:t>
      </w:r>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本公司根据资产、负债于资产负债日的账面价值与计税基础之间的暂时性差异，采用资产负债表债务法确认递延所得税。 公司当期所得税和递延所得税作为所得税费用或收益计入当期损益，但不包括下列情况产生的所得税：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 接在所有者权益中确认的交易或者事项。</w:t>
      </w:r>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 xml:space="preserve">对于可抵扣暂时性差异、能够结转以后年度的可抵扣亏损和税款抵减，公司以很可能取得用来抵扣可抵扣暂时性差异、 </w:t>
      </w:r>
      <w:r>
        <w:rPr>
          <w:color w:val="000000"/>
          <w:spacing w:val="0"/>
          <w:w w:val="100"/>
          <w:position w:val="0"/>
        </w:rPr>
        <w:t>可抵扣亏损和税款抵减的未来应纳税所得额为限，确认由此产生的递延所得税资产，除非该可抵扣暂时性差异是在以下交易 中产生的：</w:t>
      </w:r>
    </w:p>
    <w:p>
      <w:pPr>
        <w:pStyle w:val="Style17"/>
        <w:keepNext w:val="0"/>
        <w:keepLines w:val="0"/>
        <w:widowControl w:val="0"/>
        <w:numPr>
          <w:ilvl w:val="0"/>
          <w:numId w:val="89"/>
        </w:numPr>
        <w:shd w:val="clear" w:color="auto" w:fill="auto"/>
        <w:tabs>
          <w:tab w:pos="725" w:val="left"/>
        </w:tabs>
        <w:bidi w:val="0"/>
        <w:spacing w:before="0" w:after="0" w:line="469" w:lineRule="exact"/>
        <w:ind w:left="0" w:right="0"/>
        <w:jc w:val="both"/>
      </w:pPr>
      <w:bookmarkStart w:id="1006" w:name="bookmark1006"/>
      <w:bookmarkEnd w:id="1006"/>
      <w:r>
        <w:rPr>
          <w:color w:val="000000"/>
          <w:spacing w:val="0"/>
          <w:w w:val="100"/>
          <w:position w:val="0"/>
        </w:rPr>
        <w:t>该交易不是企业合并，并且交易发生时既不影响会计利润也不影响应纳税所得额；</w:t>
      </w:r>
    </w:p>
    <w:p>
      <w:pPr>
        <w:pStyle w:val="Style17"/>
        <w:keepNext w:val="0"/>
        <w:keepLines w:val="0"/>
        <w:widowControl w:val="0"/>
        <w:numPr>
          <w:ilvl w:val="0"/>
          <w:numId w:val="89"/>
        </w:numPr>
        <w:shd w:val="clear" w:color="auto" w:fill="auto"/>
        <w:tabs>
          <w:tab w:pos="700" w:val="left"/>
        </w:tabs>
        <w:bidi w:val="0"/>
        <w:spacing w:before="0" w:after="0" w:line="469" w:lineRule="exact"/>
        <w:ind w:left="0" w:right="0"/>
        <w:jc w:val="both"/>
      </w:pPr>
      <w:bookmarkStart w:id="1007" w:name="bookmark1007"/>
      <w:bookmarkEnd w:id="1007"/>
      <w:r>
        <w:rPr>
          <w:color w:val="000000"/>
          <w:spacing w:val="0"/>
          <w:w w:val="100"/>
          <w:position w:val="0"/>
        </w:rPr>
        <w:t>对于与子公司、合营企业及联营企业投资相关的可抵扣暂时性差异，同时满足下列条件的，确认相应的递延所得税资 产：暂时性差异在可预见的未来很可能转回，且未来很可能获得用来抵扣可抵扣暂时性差异的应纳税所得额。</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各项应纳税暂时性差异均确认相关的递延所得税负债，除非该应纳税暂时性差异是在以下交易中产生的：</w:t>
      </w:r>
    </w:p>
    <w:p>
      <w:pPr>
        <w:pStyle w:val="Style17"/>
        <w:keepNext w:val="0"/>
        <w:keepLines w:val="0"/>
        <w:widowControl w:val="0"/>
        <w:numPr>
          <w:ilvl w:val="0"/>
          <w:numId w:val="91"/>
        </w:numPr>
        <w:shd w:val="clear" w:color="auto" w:fill="auto"/>
        <w:tabs>
          <w:tab w:pos="690" w:val="left"/>
        </w:tabs>
        <w:bidi w:val="0"/>
        <w:spacing w:before="0" w:after="0" w:line="469" w:lineRule="exact"/>
        <w:ind w:left="0" w:right="0"/>
        <w:jc w:val="both"/>
      </w:pPr>
      <w:bookmarkStart w:id="1008" w:name="bookmark1008"/>
      <w:bookmarkEnd w:id="1008"/>
      <w:r>
        <w:rPr>
          <w:color w:val="000000"/>
          <w:spacing w:val="0"/>
          <w:w w:val="100"/>
          <w:position w:val="0"/>
        </w:rPr>
        <w:t>商誉的初始确认，或者具有以下特征的交易中产生的资产或负债的初始确认：该交易不是企业合并，并且交易发生时 既不影响会计利润也不影响应纳税所得额；</w:t>
      </w:r>
    </w:p>
    <w:p>
      <w:pPr>
        <w:pStyle w:val="Style17"/>
        <w:keepNext w:val="0"/>
        <w:keepLines w:val="0"/>
        <w:widowControl w:val="0"/>
        <w:numPr>
          <w:ilvl w:val="0"/>
          <w:numId w:val="91"/>
        </w:numPr>
        <w:shd w:val="clear" w:color="auto" w:fill="auto"/>
        <w:tabs>
          <w:tab w:pos="700" w:val="left"/>
        </w:tabs>
        <w:bidi w:val="0"/>
        <w:spacing w:before="0" w:after="0" w:line="469" w:lineRule="exact"/>
        <w:ind w:left="0" w:right="0"/>
        <w:jc w:val="both"/>
      </w:pPr>
      <w:bookmarkStart w:id="1009" w:name="bookmark1009"/>
      <w:bookmarkEnd w:id="1009"/>
      <w:r>
        <w:rPr>
          <w:color w:val="000000"/>
          <w:spacing w:val="0"/>
          <w:w w:val="100"/>
          <w:position w:val="0"/>
        </w:rPr>
        <w:t>对于与子公司、合营企业及联营企业投资相关的应纳税暂时性差异，该暂时性差异转回的时间能够控制并且该暂时性 差异在可预见的未来很可能不会转回。</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未作为资产和负债确认的项目按照税法规定可以确定其计税基础 的，该计税基础与其账面数之间的差额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，按照预期收回该资产或清偿该负债期间的适用税率计算确认递延所得税资产或递 延所得税负债。</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确认递延所得税资产以很可能取得用来抵扣可抵扣暂时性差异的应纳税所得额为限。资产负债表日，有确凿证据表明未 来期间很可能获得足够的应纳税所得额用来抵扣可抵扣暂时性差异的，确认以前会计期间未确认的递延所得税资产。对递延 所得税资产的账面价值进行复核，如果未来期间很可能无法获得足够的应纳税所得额用以抵扣递延所得税资产的利益，则减 记递延所得税资产的账面价值。在很可能获得足够的应纳税所得额时，转回减记的金额。</w:t>
      </w:r>
    </w:p>
    <w:p>
      <w:pPr>
        <w:pStyle w:val="Style17"/>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当拥有以净额结算的法定权利，且意图以净额结算或取得资产、清偿负债同时进行时，本公司当期所得税资产及当 期所得税负债以抵销后的净额列报。</w:t>
      </w:r>
    </w:p>
    <w:p>
      <w:pPr>
        <w:pStyle w:val="Style17"/>
        <w:keepNext w:val="0"/>
        <w:keepLines w:val="0"/>
        <w:widowControl w:val="0"/>
        <w:shd w:val="clear" w:color="auto" w:fill="auto"/>
        <w:bidi w:val="0"/>
        <w:spacing w:before="0" w:after="460" w:line="469"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6"/>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33</w:t>
      </w:r>
      <w:r>
        <w:rPr>
          <w:color w:val="000000"/>
          <w:spacing w:val="0"/>
          <w:w w:val="100"/>
          <w:position w:val="0"/>
        </w:rPr>
        <w:t>、租赁</w:t>
      </w:r>
      <w:bookmarkEnd w:id="1010"/>
      <w:bookmarkEnd w:id="1011"/>
      <w:bookmarkEnd w:id="1012"/>
    </w:p>
    <w:p>
      <w:pPr>
        <w:pStyle w:val="Style44"/>
        <w:keepNext/>
        <w:keepLines/>
        <w:widowControl w:val="0"/>
        <w:shd w:val="clear" w:color="auto" w:fill="auto"/>
        <w:bidi w:val="0"/>
        <w:spacing w:before="0" w:after="20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13"/>
      <w:bookmarkEnd w:id="1014"/>
      <w:bookmarkEnd w:id="1016"/>
    </w:p>
    <w:p>
      <w:pPr>
        <w:pStyle w:val="Style17"/>
        <w:keepNext w:val="0"/>
        <w:keepLines w:val="0"/>
        <w:widowControl w:val="0"/>
        <w:shd w:val="clear" w:color="auto" w:fill="auto"/>
        <w:bidi w:val="0"/>
        <w:spacing w:before="0" w:after="0" w:line="466" w:lineRule="exact"/>
        <w:ind w:left="0" w:right="0"/>
        <w:jc w:val="both"/>
      </w:pPr>
      <w:r>
        <w:rPr>
          <w:color w:val="000000"/>
          <w:spacing w:val="0"/>
          <w:w w:val="100"/>
          <w:position w:val="0"/>
        </w:rPr>
        <w:t>①租赁的分类</w:t>
      </w:r>
    </w:p>
    <w:p>
      <w:pPr>
        <w:pStyle w:val="Style17"/>
        <w:keepNext w:val="0"/>
        <w:keepLines w:val="0"/>
        <w:widowControl w:val="0"/>
        <w:shd w:val="clear" w:color="auto" w:fill="auto"/>
        <w:bidi w:val="0"/>
        <w:spacing w:before="0" w:after="300" w:line="466" w:lineRule="exact"/>
        <w:ind w:left="0" w:right="0"/>
        <w:jc w:val="both"/>
      </w:pPr>
      <w:r>
        <w:rPr>
          <w:color w:val="000000"/>
          <w:spacing w:val="0"/>
          <w:w w:val="100"/>
          <w:position w:val="0"/>
        </w:rPr>
        <w:t>租赁分为融资租赁和经营租赁。融资租赁为实质上转移了与资产所有权有关的全部风险和报酬的租赁，其所有权最终可 能转移，也可能不转移。融资租赁以外的其他租赁为经营租赁。</w:t>
      </w:r>
    </w:p>
    <w:p>
      <w:pPr>
        <w:pStyle w:val="Style1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②经营租赁的会计处理</w:t>
      </w:r>
    </w:p>
    <w:p>
      <w:pPr>
        <w:pStyle w:val="Style17"/>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出租人：公司出租资产收取的租赁费，在不扣除免租期的整个租赁期内，按直线法进行分摊，确认为租赁相关收入。 公司支付的与租赁交易相关的初始直接费用，计入当期费用；如金额较大的，则予以资本化，在这个租赁期间内按照与租赁 相关收入确认相同的基础分期计入当期收益。公司承担了应由承租方承担的与租赁相关的费用时，公司将该部分费用从租金 收入总额扣除，按扣除后的租金费用在租赁期内分配。或有租金于实际发生时计入当期损益。</w:t>
      </w:r>
    </w:p>
    <w:p>
      <w:pPr>
        <w:pStyle w:val="Style17"/>
        <w:keepNext w:val="0"/>
        <w:keepLines w:val="0"/>
        <w:widowControl w:val="0"/>
        <w:shd w:val="clear" w:color="auto" w:fill="auto"/>
        <w:bidi w:val="0"/>
        <w:spacing w:before="0" w:after="460" w:line="473" w:lineRule="exact"/>
        <w:ind w:left="0" w:right="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承租人：公司租入资产所支付的租赁费，在不扣除免租期的整个租赁期内，按直线法进行分摊，计入当期费用。公司 支付的与租赁交易相关的初始直接费用，计入当期费用；资产出租方承担了应由公司承担的与租赁相关的费用时，公司将该 部分费用从租金总额中扣除，按扣除后的租金费用在租赁期内分摊，计入当期费用。或有租金于实际发生时计入当期损益。</w:t>
      </w:r>
    </w:p>
    <w:p>
      <w:pPr>
        <w:pStyle w:val="Style44"/>
        <w:keepNext/>
        <w:keepLines/>
        <w:widowControl w:val="0"/>
        <w:numPr>
          <w:ilvl w:val="0"/>
          <w:numId w:val="93"/>
        </w:numPr>
        <w:shd w:val="clear" w:color="auto" w:fill="auto"/>
        <w:bidi w:val="0"/>
        <w:spacing w:before="0" w:after="20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融资租赁的会计处理方法</w:t>
      </w:r>
      <w:bookmarkEnd w:id="1017"/>
      <w:bookmarkEnd w:id="1018"/>
      <w:bookmarkEnd w:id="1020"/>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出租人：在租赁期开始日本公司按最低租赁收款额与初始直接费用之和作为应收融资租赁款的入账价值，同时记录未担 保余值；将最低租赁收款额、初始直接费用及未担保余值之和与其现值之和的差额确认为未实现融资收益。未实现融资收益 在租赁期内各个期间采用实际利率法计算确认当期的融资收入。应收融资租赁款扣除未实现融资收益后的余额分别长期债权 和一年内到期的长期债权列示。或有租金于实际发生时计入当期损益。</w:t>
      </w:r>
    </w:p>
    <w:p>
      <w:pPr>
        <w:pStyle w:val="Style17"/>
        <w:keepNext w:val="0"/>
        <w:keepLines w:val="0"/>
        <w:widowControl w:val="0"/>
        <w:shd w:val="clear" w:color="auto" w:fill="auto"/>
        <w:bidi w:val="0"/>
        <w:spacing w:before="0" w:after="460" w:line="472" w:lineRule="exact"/>
        <w:ind w:left="0" w:right="0"/>
        <w:jc w:val="both"/>
      </w:pPr>
      <w:r>
        <w:rPr>
          <w:color w:val="000000"/>
          <w:spacing w:val="0"/>
          <w:w w:val="100"/>
          <w:position w:val="0"/>
        </w:rPr>
        <w:t>承租人：在租赁期开始日本公司将租赁资产公允价值与最低租赁付款额现值两者中较低者作为租入资产的入账价值，将 最低租赁付款额作为长期应付款的入账价值，其差额作为未确认融资费用。初始直接费用计入租入资产价值。未确认融资费 用在租赁期内各个期间采用实际利率法计算确认当期的融资费用。最低租赁付款额扣除未确认融资费用后的余额分别长期负 债和一年内到期的长期负债列示。或有租金于实际发生时计入当期损益。</w:t>
      </w:r>
    </w:p>
    <w:p>
      <w:pPr>
        <w:pStyle w:val="Style36"/>
        <w:keepNext/>
        <w:keepLines/>
        <w:widowControl w:val="0"/>
        <w:shd w:val="clear" w:color="auto" w:fill="auto"/>
        <w:bidi w:val="0"/>
        <w:spacing w:before="0" w:after="20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4</w:t>
      </w:r>
      <w:r>
        <w:rPr>
          <w:color w:val="000000"/>
          <w:spacing w:val="0"/>
          <w:w w:val="100"/>
          <w:position w:val="0"/>
        </w:rPr>
        <w:t>、终止经营</w:t>
      </w:r>
      <w:bookmarkEnd w:id="1021"/>
      <w:bookmarkEnd w:id="1022"/>
      <w:bookmarkEnd w:id="1024"/>
    </w:p>
    <w:p>
      <w:pPr>
        <w:pStyle w:val="Style17"/>
        <w:keepNext w:val="0"/>
        <w:keepLines w:val="0"/>
        <w:widowControl w:val="0"/>
        <w:numPr>
          <w:ilvl w:val="0"/>
          <w:numId w:val="95"/>
        </w:numPr>
        <w:shd w:val="clear" w:color="auto" w:fill="auto"/>
        <w:tabs>
          <w:tab w:pos="768" w:val="left"/>
        </w:tabs>
        <w:bidi w:val="0"/>
        <w:spacing w:before="0" w:after="0" w:line="468" w:lineRule="exact"/>
        <w:ind w:left="0" w:right="0"/>
        <w:jc w:val="both"/>
      </w:pPr>
      <w:bookmarkStart w:id="1025" w:name="bookmark1025"/>
      <w:bookmarkEnd w:id="1025"/>
      <w:r>
        <w:rPr>
          <w:color w:val="000000"/>
          <w:spacing w:val="0"/>
          <w:w w:val="100"/>
          <w:position w:val="0"/>
        </w:rPr>
        <w:t>终止经营的条件</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终止经营，是指公司满足下列条件之一的、能够单独区分的组成部分，且该组成部分已经处置或划分为持有待售类别：</w:t>
      </w:r>
    </w:p>
    <w:p>
      <w:pPr>
        <w:pStyle w:val="Style17"/>
        <w:keepNext w:val="0"/>
        <w:keepLines w:val="0"/>
        <w:widowControl w:val="0"/>
        <w:numPr>
          <w:ilvl w:val="0"/>
          <w:numId w:val="97"/>
        </w:numPr>
        <w:shd w:val="clear" w:color="auto" w:fill="auto"/>
        <w:tabs>
          <w:tab w:pos="735" w:val="left"/>
        </w:tabs>
        <w:bidi w:val="0"/>
        <w:spacing w:before="0" w:after="0" w:line="468" w:lineRule="exact"/>
        <w:ind w:left="0" w:right="0"/>
        <w:jc w:val="both"/>
      </w:pPr>
      <w:bookmarkStart w:id="1026" w:name="bookmark1026"/>
      <w:bookmarkEnd w:id="1026"/>
      <w:r>
        <w:rPr>
          <w:color w:val="000000"/>
          <w:spacing w:val="0"/>
          <w:w w:val="100"/>
          <w:position w:val="0"/>
        </w:rPr>
        <w:t>该组成部分代表一项独立的主要业务或一个单独的主要经营地区；</w:t>
      </w:r>
    </w:p>
    <w:p>
      <w:pPr>
        <w:pStyle w:val="Style17"/>
        <w:keepNext w:val="0"/>
        <w:keepLines w:val="0"/>
        <w:widowControl w:val="0"/>
        <w:numPr>
          <w:ilvl w:val="0"/>
          <w:numId w:val="97"/>
        </w:numPr>
        <w:shd w:val="clear" w:color="auto" w:fill="auto"/>
        <w:tabs>
          <w:tab w:pos="735" w:val="left"/>
        </w:tabs>
        <w:bidi w:val="0"/>
        <w:spacing w:before="0" w:after="0" w:line="468" w:lineRule="exact"/>
        <w:ind w:left="0" w:right="0"/>
        <w:jc w:val="both"/>
      </w:pPr>
      <w:bookmarkStart w:id="1027" w:name="bookmark1027"/>
      <w:bookmarkEnd w:id="1027"/>
      <w:r>
        <w:rPr>
          <w:color w:val="000000"/>
          <w:spacing w:val="0"/>
          <w:w w:val="100"/>
          <w:position w:val="0"/>
        </w:rPr>
        <w:t>该组成部分是拟对一项独立的主要业务或一个单独的主要经营地区进行处置的一项相关联计划的一部分；</w:t>
      </w:r>
    </w:p>
    <w:p>
      <w:pPr>
        <w:pStyle w:val="Style17"/>
        <w:keepNext w:val="0"/>
        <w:keepLines w:val="0"/>
        <w:widowControl w:val="0"/>
        <w:numPr>
          <w:ilvl w:val="0"/>
          <w:numId w:val="97"/>
        </w:numPr>
        <w:shd w:val="clear" w:color="auto" w:fill="auto"/>
        <w:tabs>
          <w:tab w:pos="735" w:val="left"/>
        </w:tabs>
        <w:bidi w:val="0"/>
        <w:spacing w:before="0" w:after="0" w:line="468" w:lineRule="exact"/>
        <w:ind w:left="0" w:right="0"/>
        <w:jc w:val="both"/>
      </w:pPr>
      <w:bookmarkStart w:id="1028" w:name="bookmark1028"/>
      <w:bookmarkEnd w:id="1028"/>
      <w:r>
        <w:rPr>
          <w:color w:val="000000"/>
          <w:spacing w:val="0"/>
          <w:w w:val="100"/>
          <w:position w:val="0"/>
        </w:rPr>
        <w:t>该组成部分是专为转售而取得的子公司。</w:t>
      </w:r>
    </w:p>
    <w:p>
      <w:pPr>
        <w:pStyle w:val="Style17"/>
        <w:keepNext w:val="0"/>
        <w:keepLines w:val="0"/>
        <w:widowControl w:val="0"/>
        <w:numPr>
          <w:ilvl w:val="0"/>
          <w:numId w:val="95"/>
        </w:numPr>
        <w:shd w:val="clear" w:color="auto" w:fill="auto"/>
        <w:tabs>
          <w:tab w:pos="768" w:val="left"/>
        </w:tabs>
        <w:bidi w:val="0"/>
        <w:spacing w:before="0" w:after="0" w:line="468" w:lineRule="exact"/>
        <w:ind w:left="0" w:right="0"/>
        <w:jc w:val="both"/>
      </w:pPr>
      <w:bookmarkStart w:id="1029" w:name="bookmark1029"/>
      <w:bookmarkEnd w:id="1029"/>
      <w:r>
        <w:rPr>
          <w:color w:val="000000"/>
          <w:spacing w:val="0"/>
          <w:w w:val="100"/>
          <w:position w:val="0"/>
        </w:rPr>
        <w:t>终止经营的列报</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拟结束使用而非出售的处置组满足终止经营定义中有关组成部分的，自停止使用日起作为终止经营列报；因出售对子公 司的投资等原因导致其丧失对子公司控制权，且该子公司符合终止经营定义的，在合并报表中列报相关终止经营损益；在利 润表中将终止经营处置损益的调整金额作为终止经营损益列报。</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非流动资产或处置组不再划分为持有待售类别或非流动资产从持有待售的处置组中移除的，公司在当期利润表中将非流 </w:t>
      </w:r>
      <w:r>
        <w:rPr>
          <w:color w:val="000000"/>
          <w:spacing w:val="0"/>
          <w:w w:val="100"/>
          <w:position w:val="0"/>
        </w:rPr>
        <w:t>动资产或处置组的账面价值调整金额作为持续经营损益列报。公司的子公司、共同经营、合营企业、联营企业以及部分对合 营企业或联营企业的投资不再继续划分为持有待售类别或从持有待售的处置组中移除的，公司在当期财务报表中相应调整各 个划分为持有待售类别后可比会计期间的比较数据。</w:t>
      </w:r>
    </w:p>
    <w:p>
      <w:pPr>
        <w:pStyle w:val="Style17"/>
        <w:keepNext w:val="0"/>
        <w:keepLines w:val="0"/>
        <w:widowControl w:val="0"/>
        <w:shd w:val="clear" w:color="auto" w:fill="auto"/>
        <w:bidi w:val="0"/>
        <w:spacing w:before="0" w:after="0" w:line="471" w:lineRule="exact"/>
        <w:ind w:left="0" w:right="0"/>
        <w:jc w:val="both"/>
      </w:pPr>
      <w:r>
        <w:rPr>
          <w:color w:val="000000"/>
          <w:spacing w:val="0"/>
          <w:w w:val="100"/>
          <w:position w:val="0"/>
        </w:rPr>
        <w:t>不符合终止经营定义的持有待售的非流动资产或处置组，其减值损失或转回金额及处置损益作为持续经营损益列报。终 止经营的减值损失或转回金额等经营损益及处置损益作为终止经营损益列报。</w:t>
      </w:r>
    </w:p>
    <w:p>
      <w:pPr>
        <w:pStyle w:val="Style17"/>
        <w:keepNext w:val="0"/>
        <w:keepLines w:val="0"/>
        <w:widowControl w:val="0"/>
        <w:shd w:val="clear" w:color="auto" w:fill="auto"/>
        <w:bidi w:val="0"/>
        <w:spacing w:before="0" w:after="460" w:line="471" w:lineRule="exact"/>
        <w:ind w:left="0" w:right="0"/>
        <w:jc w:val="both"/>
      </w:pPr>
      <w:r>
        <w:rPr>
          <w:color w:val="000000"/>
          <w:spacing w:val="0"/>
          <w:w w:val="100"/>
          <w:position w:val="0"/>
        </w:rPr>
        <w:t>对于当期列报的终止经营，公司在当期财务报表中，将原来作为持续经营损益列报的信息重新作为可比会计期间的终止 经营损益列报。终止经营不再满足持有待售类别划分条件的，公司在当期财务报表中，将原来作为终止经营损益列报的信息 重新作为可比会计期间的持续经营损益列报。</w:t>
      </w:r>
    </w:p>
    <w:p>
      <w:pPr>
        <w:pStyle w:val="Style36"/>
        <w:keepNext/>
        <w:keepLines/>
        <w:widowControl w:val="0"/>
        <w:shd w:val="clear" w:color="auto" w:fill="auto"/>
        <w:bidi w:val="0"/>
        <w:spacing w:before="0" w:after="20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5</w:t>
      </w:r>
      <w:r>
        <w:rPr>
          <w:color w:val="000000"/>
          <w:spacing w:val="0"/>
          <w:w w:val="100"/>
          <w:position w:val="0"/>
        </w:rPr>
        <w:t>、其他重要的会计政策和会计估计</w:t>
      </w:r>
      <w:bookmarkEnd w:id="1030"/>
      <w:bookmarkEnd w:id="1031"/>
      <w:bookmarkEnd w:id="1033"/>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大调整。本公司对前述判断、估计和假设在持续经营的基础上进行定期复核，会计估计的变更仅影响变更当期的，其影响数 在变更当期予以确认；既影响变更当期又影响未来期间的，其影响数在变更当期和未来期间予以确认。于资产负债表日，本 公司需对财务报表项目金额进行判断、估计和假设的重要领域如下：</w:t>
      </w:r>
    </w:p>
    <w:p>
      <w:pPr>
        <w:pStyle w:val="Style17"/>
        <w:keepNext w:val="0"/>
        <w:keepLines w:val="0"/>
        <w:widowControl w:val="0"/>
        <w:numPr>
          <w:ilvl w:val="0"/>
          <w:numId w:val="99"/>
        </w:numPr>
        <w:shd w:val="clear" w:color="auto" w:fill="auto"/>
        <w:tabs>
          <w:tab w:pos="726" w:val="left"/>
        </w:tabs>
        <w:bidi w:val="0"/>
        <w:spacing w:before="0" w:after="0" w:line="545" w:lineRule="auto"/>
        <w:ind w:left="0" w:right="0"/>
        <w:jc w:val="both"/>
      </w:pPr>
      <w:bookmarkStart w:id="1034" w:name="bookmark1034"/>
      <w:bookmarkEnd w:id="1034"/>
      <w:r>
        <w:rPr>
          <w:color w:val="000000"/>
          <w:spacing w:val="0"/>
          <w:w w:val="100"/>
          <w:position w:val="0"/>
        </w:rPr>
        <w:t>租赁的分类</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17"/>
        <w:keepNext w:val="0"/>
        <w:keepLines w:val="0"/>
        <w:widowControl w:val="0"/>
        <w:numPr>
          <w:ilvl w:val="0"/>
          <w:numId w:val="99"/>
        </w:numPr>
        <w:shd w:val="clear" w:color="auto" w:fill="auto"/>
        <w:tabs>
          <w:tab w:pos="726" w:val="left"/>
        </w:tabs>
        <w:bidi w:val="0"/>
        <w:spacing w:before="0" w:after="0" w:line="545" w:lineRule="auto"/>
        <w:ind w:left="0" w:right="0"/>
        <w:jc w:val="both"/>
      </w:pPr>
      <w:bookmarkStart w:id="1035" w:name="bookmark1035"/>
      <w:bookmarkEnd w:id="1035"/>
      <w:r>
        <w:rPr>
          <w:color w:val="000000"/>
          <w:spacing w:val="0"/>
          <w:w w:val="100"/>
          <w:position w:val="0"/>
        </w:rPr>
        <w:t>金融工具的减值</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本公司采用预期信用损失模型对以摊余成本计量的应收款项及债权投资、合同资产、以公允价值计量且其变动计入其他 综合收益的应收款项融资及其他债权投资等的减值进行评估。运用预期信用损失模型涉及管理层的重大判断和估计。预期信 用损失计量的关键参数包括违约概率、违约损失率和违约风险敞口。本公司考虑历史统计数据的定量分析及前瞻性信息，建 立违约概率、违约损失率及违约风险敞口模型。实际的金融工具减值结果与原先估计的差异将在估计被改变的期间影响金融 工具的账面价值及信用减值损失的计提或转回。</w:t>
      </w:r>
    </w:p>
    <w:p>
      <w:pPr>
        <w:pStyle w:val="Style17"/>
        <w:keepNext w:val="0"/>
        <w:keepLines w:val="0"/>
        <w:widowControl w:val="0"/>
        <w:numPr>
          <w:ilvl w:val="0"/>
          <w:numId w:val="99"/>
        </w:numPr>
        <w:shd w:val="clear" w:color="auto" w:fill="auto"/>
        <w:tabs>
          <w:tab w:pos="726" w:val="left"/>
        </w:tabs>
        <w:bidi w:val="0"/>
        <w:spacing w:before="0" w:after="0" w:line="545" w:lineRule="auto"/>
        <w:ind w:left="0" w:right="0"/>
        <w:jc w:val="both"/>
      </w:pPr>
      <w:bookmarkStart w:id="1036" w:name="bookmark1036"/>
      <w:bookmarkEnd w:id="1036"/>
      <w:r>
        <w:rPr>
          <w:color w:val="000000"/>
          <w:spacing w:val="0"/>
          <w:w w:val="100"/>
          <w:position w:val="0"/>
        </w:rPr>
        <w:t>存货跌价准备</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w:t>
      </w:r>
    </w:p>
    <w:p>
      <w:pPr>
        <w:pStyle w:val="Style17"/>
        <w:keepNext w:val="0"/>
        <w:keepLines w:val="0"/>
        <w:widowControl w:val="0"/>
        <w:shd w:val="clear" w:color="auto" w:fill="auto"/>
        <w:bidi w:val="0"/>
        <w:spacing w:before="0" w:after="260" w:line="469" w:lineRule="exact"/>
        <w:ind w:left="0" w:right="0" w:firstLine="0"/>
        <w:jc w:val="both"/>
      </w:pPr>
      <w:r>
        <w:rPr>
          <w:color w:val="000000"/>
          <w:spacing w:val="0"/>
          <w:w w:val="100"/>
          <w:position w:val="0"/>
        </w:rPr>
        <w:t>考虑持有存货的目的、资产负债表日后事项的影响等因素的基础上作出判断和估计。实际的结果与原先估计的差异将在估计 被改变的期间影响存货的账面价值及存货跌价准备的计提或转回。</w:t>
      </w:r>
    </w:p>
    <w:p>
      <w:pPr>
        <w:pStyle w:val="Style17"/>
        <w:keepNext w:val="0"/>
        <w:keepLines w:val="0"/>
        <w:widowControl w:val="0"/>
        <w:numPr>
          <w:ilvl w:val="0"/>
          <w:numId w:val="101"/>
        </w:numPr>
        <w:shd w:val="clear" w:color="auto" w:fill="auto"/>
        <w:tabs>
          <w:tab w:pos="741" w:val="left"/>
        </w:tabs>
        <w:bidi w:val="0"/>
        <w:spacing w:before="0" w:after="0" w:line="545" w:lineRule="auto"/>
        <w:ind w:left="0" w:right="0"/>
        <w:jc w:val="both"/>
      </w:pPr>
      <w:bookmarkStart w:id="1037" w:name="bookmark1037"/>
      <w:bookmarkEnd w:id="1037"/>
      <w:r>
        <w:rPr>
          <w:color w:val="000000"/>
          <w:spacing w:val="0"/>
          <w:w w:val="100"/>
          <w:position w:val="0"/>
        </w:rPr>
        <w:t>非金融非流动资产减值</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17"/>
        <w:keepNext w:val="0"/>
        <w:keepLines w:val="0"/>
        <w:widowControl w:val="0"/>
        <w:shd w:val="clear" w:color="auto" w:fill="auto"/>
        <w:bidi w:val="0"/>
        <w:spacing w:before="0" w:after="0" w:line="469" w:lineRule="exact"/>
        <w:ind w:left="0" w:right="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该资产处置的增量成本确定。在预计未来现金流量现值时，需要对该资产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的产量、售价、相关经营成本以及计算 现值时使用的折现率等作出重大判断。本公司在估计可收回金额时会采用所有能够获得的相关资料，包括根据合理和可支持 的假设所作出有关产量、售价和相关经营成本的预测。</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本公司至少每年评估商誉是否发生减值，要求对分配了商誉的资产组的使用价值进行估计。估计使用价值时，本公司需 要估计未来来自资产组的现金流量，同时选择恰当的折现率计算未来现金流量的现值。</w:t>
      </w:r>
    </w:p>
    <w:p>
      <w:pPr>
        <w:pStyle w:val="Style17"/>
        <w:keepNext w:val="0"/>
        <w:keepLines w:val="0"/>
        <w:widowControl w:val="0"/>
        <w:numPr>
          <w:ilvl w:val="0"/>
          <w:numId w:val="101"/>
        </w:numPr>
        <w:shd w:val="clear" w:color="auto" w:fill="auto"/>
        <w:tabs>
          <w:tab w:pos="741" w:val="left"/>
        </w:tabs>
        <w:bidi w:val="0"/>
        <w:spacing w:before="0" w:after="0" w:line="545" w:lineRule="auto"/>
        <w:ind w:left="0" w:right="0"/>
        <w:jc w:val="both"/>
      </w:pPr>
      <w:bookmarkStart w:id="1038" w:name="bookmark1038"/>
      <w:bookmarkEnd w:id="1038"/>
      <w:r>
        <w:rPr>
          <w:color w:val="000000"/>
          <w:spacing w:val="0"/>
          <w:w w:val="100"/>
          <w:position w:val="0"/>
        </w:rPr>
        <w:t>折旧和摊销</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17"/>
        <w:keepNext w:val="0"/>
        <w:keepLines w:val="0"/>
        <w:widowControl w:val="0"/>
        <w:numPr>
          <w:ilvl w:val="0"/>
          <w:numId w:val="101"/>
        </w:numPr>
        <w:shd w:val="clear" w:color="auto" w:fill="auto"/>
        <w:tabs>
          <w:tab w:pos="741" w:val="left"/>
        </w:tabs>
        <w:bidi w:val="0"/>
        <w:spacing w:before="0" w:after="0" w:line="545" w:lineRule="auto"/>
        <w:ind w:left="0" w:right="0"/>
        <w:jc w:val="both"/>
      </w:pPr>
      <w:bookmarkStart w:id="1039" w:name="bookmark1039"/>
      <w:bookmarkEnd w:id="1039"/>
      <w:r>
        <w:rPr>
          <w:color w:val="000000"/>
          <w:spacing w:val="0"/>
          <w:w w:val="100"/>
          <w:position w:val="0"/>
        </w:rPr>
        <w:t>递延所得税资产</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17"/>
        <w:keepNext w:val="0"/>
        <w:keepLines w:val="0"/>
        <w:widowControl w:val="0"/>
        <w:numPr>
          <w:ilvl w:val="0"/>
          <w:numId w:val="101"/>
        </w:numPr>
        <w:shd w:val="clear" w:color="auto" w:fill="auto"/>
        <w:tabs>
          <w:tab w:pos="741" w:val="left"/>
        </w:tabs>
        <w:bidi w:val="0"/>
        <w:spacing w:before="0" w:after="0" w:line="545" w:lineRule="auto"/>
        <w:ind w:left="0" w:right="0"/>
        <w:jc w:val="both"/>
      </w:pPr>
      <w:bookmarkStart w:id="1040" w:name="bookmark1040"/>
      <w:bookmarkEnd w:id="1040"/>
      <w:r>
        <w:rPr>
          <w:color w:val="000000"/>
          <w:spacing w:val="0"/>
          <w:w w:val="100"/>
          <w:position w:val="0"/>
        </w:rPr>
        <w:t>所得税</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17"/>
        <w:keepNext w:val="0"/>
        <w:keepLines w:val="0"/>
        <w:widowControl w:val="0"/>
        <w:numPr>
          <w:ilvl w:val="0"/>
          <w:numId w:val="101"/>
        </w:numPr>
        <w:shd w:val="clear" w:color="auto" w:fill="auto"/>
        <w:tabs>
          <w:tab w:pos="741" w:val="left"/>
        </w:tabs>
        <w:bidi w:val="0"/>
        <w:spacing w:before="0" w:after="0" w:line="545" w:lineRule="auto"/>
        <w:ind w:left="0" w:right="0"/>
        <w:jc w:val="both"/>
      </w:pPr>
      <w:bookmarkStart w:id="1041" w:name="bookmark1041"/>
      <w:bookmarkEnd w:id="1041"/>
      <w:r>
        <w:rPr>
          <w:color w:val="000000"/>
          <w:spacing w:val="0"/>
          <w:w w:val="100"/>
          <w:position w:val="0"/>
        </w:rPr>
        <w:t>预计负债</w:t>
      </w:r>
    </w:p>
    <w:p>
      <w:pPr>
        <w:pStyle w:val="Style17"/>
        <w:keepNext w:val="0"/>
        <w:keepLines w:val="0"/>
        <w:widowControl w:val="0"/>
        <w:shd w:val="clear" w:color="auto" w:fill="auto"/>
        <w:bidi w:val="0"/>
        <w:spacing w:before="0" w:after="260" w:line="469" w:lineRule="exact"/>
        <w:ind w:left="0" w:right="0"/>
        <w:jc w:val="both"/>
      </w:pPr>
      <w:r>
        <w:rPr>
          <w:color w:val="000000"/>
          <w:spacing w:val="0"/>
          <w:w w:val="100"/>
          <w:position w:val="0"/>
        </w:rPr>
        <w:t xml:space="preserve">本公司根据合约条款、现有知识及历史经验，对产品质量保证、预计合同亏损、延迟交货违约金等估计并计提相应准备。 在该等或有事项已经形成一项现时义务，且履行该等现时义务很可能导致经济利益流出本公司的情况下，本公司对或有事项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w:t>
      </w:r>
      <w:r>
        <w:rPr>
          <w:color w:val="000000"/>
          <w:spacing w:val="0"/>
          <w:w w:val="100"/>
          <w:position w:val="0"/>
        </w:rPr>
        <w:t>进行判断过程中本公司需评估该等或有事项相关的风险、不确定性及货币时间价值等因素。</w:t>
      </w:r>
    </w:p>
    <w:p>
      <w:pPr>
        <w:pStyle w:val="Style17"/>
        <w:keepNext w:val="0"/>
        <w:keepLines w:val="0"/>
        <w:widowControl w:val="0"/>
        <w:shd w:val="clear" w:color="auto" w:fill="auto"/>
        <w:bidi w:val="0"/>
        <w:spacing w:before="0" w:after="0" w:line="545" w:lineRule="auto"/>
        <w:ind w:left="0" w:right="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公允价值计量</w:t>
      </w:r>
    </w:p>
    <w:p>
      <w:pPr>
        <w:pStyle w:val="Style17"/>
        <w:keepNext w:val="0"/>
        <w:keepLines w:val="0"/>
        <w:widowControl w:val="0"/>
        <w:shd w:val="clear" w:color="auto" w:fill="auto"/>
        <w:bidi w:val="0"/>
        <w:spacing w:before="0" w:after="460" w:line="469" w:lineRule="exact"/>
        <w:ind w:left="0" w:right="0"/>
        <w:jc w:val="both"/>
      </w:pPr>
      <w:r>
        <w:rPr>
          <w:color w:val="000000"/>
          <w:spacing w:val="0"/>
          <w:w w:val="100"/>
          <w:position w:val="0"/>
        </w:rPr>
        <w:t>本公司的某些资产和负债在财务报表中按公允价值计量。在对某项资产或负债的公允价值作出估计时，本公司采用可获 得的可观察市场数据；如果无法获得第一层次输入值，则聘用第三方有资质的评估机构进行估值，在此过程中本公司管理层 与其紧密合作，以确定适当的估值技术和相关模型的输入值。在确定各类资产和负债的公允价值的过程中所采用的估值技术 和输入值的相关信息在附注五、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w:t>
      </w:r>
    </w:p>
    <w:p>
      <w:pPr>
        <w:pStyle w:val="Style36"/>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1042"/>
      <w:bookmarkEnd w:id="1043"/>
      <w:bookmarkEnd w:id="1045"/>
    </w:p>
    <w:p>
      <w:pPr>
        <w:pStyle w:val="Style44"/>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6"/>
      <w:bookmarkEnd w:id="1047"/>
      <w:bookmarkEnd w:id="1049"/>
    </w:p>
    <w:p>
      <w:pPr>
        <w:pStyle w:val="Style1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0"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日发布《企业会 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财 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日起执行新收入准则。</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本次变更经公司第四届董事会第二十二 次会议审议通过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1]</w:t>
            </w:r>
          </w:p>
        </w:tc>
      </w:tr>
    </w:tbl>
    <w:p>
      <w:pPr>
        <w:pStyle w:val="Style17"/>
        <w:keepNext w:val="0"/>
        <w:keepLines w:val="0"/>
        <w:widowControl w:val="0"/>
        <w:shd w:val="clear" w:color="auto" w:fill="auto"/>
        <w:bidi w:val="0"/>
        <w:spacing w:before="0" w:after="0" w:line="468" w:lineRule="exact"/>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原收入准则下，公司以风险报酬转移作为收入确认时点的判断标准。商品销售收入同时满足下列条件时予以确认: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公司已将商品所有权上的主要风险和报酬转移给购买方；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公司既没有保留与所有权相联系的继续管理权，也没有对已 售出的商品实施有效控制；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收入的金额能够可靠地计量；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相关的已发生或将发生 的成本能够可靠地计量时。</w:t>
      </w:r>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新收入准则下，公司以控制权转移作为收入确认时点的判断标准。公司在履行了合同中的履约义务，即在客户取得相关 商品控制权时确认收入。在满足一定条件时，公司属于在某一段时间内履行履约义务，否则，属于在某一时点履行履约义务。 合同中包含两项或多项履约义务的，公司在合同开始日，按照各单项履约义务所承诺商品的单独售价的相对比例，将交易价 格分摊至各单项履约义务，按照分摊至各单项履约义务的交易价格计量收入。</w:t>
      </w:r>
    </w:p>
    <w:p>
      <w:pPr>
        <w:pStyle w:val="Style17"/>
        <w:keepNext w:val="0"/>
        <w:keepLines w:val="0"/>
        <w:widowControl w:val="0"/>
        <w:shd w:val="clear" w:color="auto" w:fill="auto"/>
        <w:bidi w:val="0"/>
        <w:spacing w:before="0" w:after="0" w:line="468" w:lineRule="exact"/>
        <w:ind w:left="0" w:right="0"/>
        <w:jc w:val="left"/>
      </w:pPr>
      <w:r>
        <w:rPr>
          <w:color w:val="000000"/>
          <w:spacing w:val="0"/>
          <w:w w:val="100"/>
          <w:position w:val="0"/>
        </w:rPr>
        <w:t>新收入准则的实施未引起本公司收入确认具体原则的实质性变化，仅根据新收入准则规定中履行履约义务与客户付款之 间的关系在资产负债表中增加列示合同资产或合同负债。</w:t>
      </w:r>
    </w:p>
    <w:p>
      <w:pPr>
        <w:pStyle w:val="Style17"/>
        <w:keepNext w:val="0"/>
        <w:keepLines w:val="0"/>
        <w:widowControl w:val="0"/>
        <w:shd w:val="clear" w:color="auto" w:fill="auto"/>
        <w:bidi w:val="0"/>
        <w:spacing w:before="0" w:after="460" w:line="468" w:lineRule="exact"/>
        <w:ind w:left="0" w:right="0"/>
        <w:jc w:val="left"/>
      </w:pPr>
      <w:r>
        <w:rPr>
          <w:color w:val="000000"/>
          <w:spacing w:val="0"/>
          <w:w w:val="100"/>
          <w:position w:val="0"/>
        </w:rPr>
        <w:t>本公司按照新收入准则的相关规定，对比较期间财务报表不予调整，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日执行新收入准则与原准则的差异追溯 调整当期期初留存收益及财务报表其他相关项目金额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公司仅对在首次执行日尚未完成的合同的累积影响数进行调整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 情况详见本附注五、</w:t>
      </w:r>
      <w:r>
        <w:rPr>
          <w:rFonts w:ascii="Times New Roman" w:eastAsia="Times New Roman" w:hAnsi="Times New Roman" w:cs="Times New Roman"/>
          <w:color w:val="000000"/>
          <w:spacing w:val="0"/>
          <w:w w:val="100"/>
          <w:position w:val="0"/>
          <w:sz w:val="18"/>
          <w:szCs w:val="18"/>
        </w:rPr>
        <w:t>36（3）</w:t>
      </w:r>
      <w:r>
        <w:rPr>
          <w:color w:val="000000"/>
          <w:spacing w:val="0"/>
          <w:w w:val="100"/>
          <w:position w:val="0"/>
        </w:rPr>
        <w:t>之说明。</w:t>
      </w:r>
    </w:p>
    <w:p>
      <w:pPr>
        <w:pStyle w:val="Style44"/>
        <w:keepNext/>
        <w:keepLines/>
        <w:widowControl w:val="0"/>
        <w:shd w:val="clear" w:color="auto" w:fill="auto"/>
        <w:bidi w:val="0"/>
        <w:spacing w:before="0" w:after="14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50"/>
      <w:bookmarkEnd w:id="1051"/>
      <w:bookmarkEnd w:id="1053"/>
    </w:p>
    <w:p>
      <w:pPr>
        <w:pStyle w:val="Style17"/>
        <w:keepNext w:val="0"/>
        <w:keepLines w:val="0"/>
        <w:widowControl w:val="0"/>
        <w:shd w:val="clear" w:color="auto" w:fill="auto"/>
        <w:bidi w:val="0"/>
        <w:spacing w:before="0" w:after="380" w:line="46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4"/>
        <w:keepNext/>
        <w:keepLines/>
        <w:widowControl w:val="0"/>
        <w:numPr>
          <w:ilvl w:val="0"/>
          <w:numId w:val="103"/>
        </w:numPr>
        <w:shd w:val="clear" w:color="auto" w:fill="auto"/>
        <w:tabs>
          <w:tab w:pos="493" w:val="left"/>
        </w:tabs>
        <w:bidi w:val="0"/>
        <w:spacing w:before="0" w:after="400" w:line="240" w:lineRule="auto"/>
        <w:ind w:left="0" w:right="0" w:firstLine="0"/>
        <w:jc w:val="left"/>
      </w:pPr>
      <w:bookmarkStart w:id="1054" w:name="bookmark1054"/>
      <w:bookmarkStart w:id="1055" w:name="bookmark1055"/>
      <w:bookmarkStart w:id="1056" w:name="bookmark1056"/>
      <w:bookmarkStart w:id="1057" w:name="bookmark1057"/>
      <w:bookmarkEnd w:id="105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54"/>
      <w:bookmarkEnd w:id="1055"/>
      <w:bookmarkEnd w:id="1057"/>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282,192,104.71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282,192,104.71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406,195,706.46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406,195,706.46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191,369,361.13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191,369,361.13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47,794,136.39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47,794,136.39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100,871,874.99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100,871,874.99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161,140,756.94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161,140,756.94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1,249,563,940.62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1,249,563,940.62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481,429,465.01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481,429,465.01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72,250,014.54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72,250,014.54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17,315,049.28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17,315,049.28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55,483,496.17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55,483,496.17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12,759,968.70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12,759,968.70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5,472,231.76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5,472,231.76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45,008,942.71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45,008,942.71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845,337,092.83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845,337,092.83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2,094,901,033.45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2,094,901,033.45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330,456,086.25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330,456,086.25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25,159,856.89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25,159,856.89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58,497,226.90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58,497,226.90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92,180,724.63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-92,180,724.63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86,892,190.13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86,892,190.13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15,365,076.46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15,365,076.46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76,298,939.41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76,298,939.41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4,023,030.58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4,023,030.58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110,169,897.26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110,169,897.26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5,288,534.50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5,288,534.50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712,201,293.88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712,201,293.88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4,370,890.19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4,370,890.19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3,860,693.19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3,860,693.19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8,231,583.38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8,231,583.38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720,432,877.26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720,432,877.26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28,766,052.06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28,766,052.06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228,084,840.87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228,084,840.87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1,353,168,385.28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1,353,168,385.28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21,299,770.91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21,299,770.91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1,374,468,156.19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1,374,468,156.19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2,094,901,033.45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2,094,901,033.45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调整情况说明 母公司资产负债表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155,557,350.59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155,557,350.59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177,291,770.36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177,291,770.36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15,003,429.49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15,003,429.49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122,231,918.77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122,231,918.77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13,633,875.91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13,633,875.91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105,587,687.15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105,587,687.15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649,306,032.27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649,306,032.27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846,414,032.41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846,414,032.41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11,922,030.26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11,922,030.26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23,401,436.55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23,401,436.55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10,631,966.85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10,631,966.85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4,344,013.94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4,344,013.94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23,609,513.45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23,609,513.45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962,572,993.46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962,572,993.46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1,611,879,025.73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1,611,879,025.73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210,321,840.41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210,321,840.41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33,817,644.41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33,817,644.41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-2,040,030.06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1,846,100.20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1,846,100.20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3,813,651.25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3,813,651.25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9,530,800.96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9,530,800.96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3,265,020.62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3,265,020.62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110,169,897.26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110,169,897.26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193,929.86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193,929.86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382,328,884.97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382,328,884.97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4,370,890.19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4,370,890.19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4,370,890.19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4,370,890.19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386,699,775.16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386,699,775.16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310,475.25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26,679,336.53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26,679,336.53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102,182,421.69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102,182,421.69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1,225,179,250.57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1,225,179,250.57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1,611,879,025.73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1,611,879,025.73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44"/>
        <w:keepNext/>
        <w:keepLines/>
        <w:widowControl w:val="0"/>
        <w:shd w:val="clear" w:color="auto" w:fill="auto"/>
        <w:tabs>
          <w:tab w:pos="493" w:val="left"/>
        </w:tabs>
        <w:bidi w:val="0"/>
        <w:spacing w:before="0" w:after="360" w:line="240" w:lineRule="auto"/>
        <w:ind w:left="0" w:right="0" w:firstLine="0"/>
        <w:jc w:val="both"/>
      </w:pPr>
      <w:bookmarkStart w:id="1058" w:name="bookmark1058"/>
      <w:bookmarkStart w:id="1059" w:name="bookmark1059"/>
      <w:bookmarkStart w:id="1060" w:name="bookmark1060"/>
      <w:bookmarkStart w:id="1061" w:name="bookmark1061"/>
      <w:r>
        <w:rPr>
          <w:color w:val="000000"/>
          <w:spacing w:val="0"/>
          <w:w w:val="100"/>
          <w:position w:val="0"/>
          <w:shd w:val="clear" w:color="auto" w:fill="FFFFFF"/>
        </w:rPr>
        <w:t>（</w:t>
      </w:r>
      <w:bookmarkEnd w:id="106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58"/>
      <w:bookmarkEnd w:id="1059"/>
      <w:bookmarkEnd w:id="1061"/>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sz w:val="24"/>
          <w:szCs w:val="24"/>
        </w:rPr>
        <w:t>六</w:t>
      </w:r>
      <w:bookmarkEnd w:id="1064"/>
      <w:r>
        <w:rPr>
          <w:color w:val="000000"/>
          <w:spacing w:val="0"/>
          <w:w w:val="100"/>
          <w:position w:val="0"/>
          <w:sz w:val="24"/>
          <w:szCs w:val="24"/>
        </w:rPr>
        <w:t>、税项</w:t>
      </w:r>
      <w:bookmarkEnd w:id="1062"/>
      <w:bookmarkEnd w:id="1063"/>
      <w:bookmarkEnd w:id="1065"/>
    </w:p>
    <w:p>
      <w:pPr>
        <w:pStyle w:val="Style36"/>
        <w:keepNext/>
        <w:keepLines/>
        <w:widowControl w:val="0"/>
        <w:shd w:val="clear" w:color="auto" w:fill="auto"/>
        <w:bidi w:val="0"/>
        <w:spacing w:before="0" w:after="32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66"/>
      <w:bookmarkEnd w:id="1067"/>
      <w:bookmarkEnd w:id="1068"/>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北京亿美软通科技有限公司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安科创新（深圳）有限公司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北京杰智融软件有限公司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安科创新（香港）有限公司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深圳市科安电子商务有限公司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深圳银之杰智慧科技有限公司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深圳市银之杰金融设备有限公司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深圳银之杰拓扑技术有限公司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深圳银之杰资产管理有限公司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河南图柏创新信息科技有限公司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36"/>
        <w:keepNext/>
        <w:keepLines/>
        <w:widowControl w:val="0"/>
        <w:shd w:val="clear" w:color="auto" w:fill="auto"/>
        <w:bidi w:val="0"/>
        <w:spacing w:before="0" w:after="22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69"/>
      <w:bookmarkEnd w:id="1070"/>
      <w:bookmarkEnd w:id="1071"/>
    </w:p>
    <w:p>
      <w:pPr>
        <w:pStyle w:val="Style17"/>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增值税及享受的税收优惠政策</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本公司及控股子公司，经税务机关核定为增值税一般纳税人。根据财政部、国家税务总局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日发布的《财政 部、国家税务总局关于软件产品增值税政策的通知》（财税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号文）的有关规定，自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日起对增值税一般 纳税人销售其自行开发生产的软件产品，征收增值税后，对其增值税实际税负超过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根据财税</w:t>
      </w:r>
      <w:r>
        <w:rPr>
          <w:rFonts w:ascii="Times New Roman" w:eastAsia="Times New Roman" w:hAnsi="Times New Roman" w:cs="Times New Roman"/>
          <w:color w:val="000000"/>
          <w:spacing w:val="0"/>
          <w:w w:val="100"/>
          <w:position w:val="0"/>
          <w:sz w:val="18"/>
          <w:szCs w:val="18"/>
        </w:rPr>
        <w:t>[2011]131</w:t>
      </w:r>
      <w:r>
        <w:rPr>
          <w:color w:val="000000"/>
          <w:spacing w:val="0"/>
          <w:w w:val="100"/>
          <w:position w:val="0"/>
        </w:rPr>
        <w:t>号《财政部、国家税务总局关于应税服务适用增值税零税率和免税政策的通知》，试点地区的单位 和个人提供适用零税率的应税服务，按月向主管退税的税务机关申报办理增值税免抵退税或免税手续。</w:t>
      </w:r>
    </w:p>
    <w:p>
      <w:pPr>
        <w:pStyle w:val="Style17"/>
        <w:keepNext w:val="0"/>
        <w:keepLines w:val="0"/>
        <w:widowControl w:val="0"/>
        <w:shd w:val="clear" w:color="auto" w:fill="auto"/>
        <w:bidi w:val="0"/>
        <w:spacing w:before="0" w:after="0" w:line="472" w:lineRule="exact"/>
        <w:ind w:left="0" w:right="0"/>
        <w:jc w:val="both"/>
      </w:pPr>
      <w:r>
        <w:rPr>
          <w:color w:val="000000"/>
          <w:spacing w:val="0"/>
          <w:w w:val="100"/>
          <w:position w:val="0"/>
        </w:rPr>
        <w:t>根据《财政部、国家税务总局、海关总署关于深化增值税改革有关政策的公告》（财政部、国家税务总局、海关总署公 告</w:t>
      </w:r>
      <w:r>
        <w:rPr>
          <w:rFonts w:ascii="Times New Roman" w:eastAsia="Times New Roman" w:hAnsi="Times New Roman" w:cs="Times New Roman"/>
          <w:color w:val="000000"/>
          <w:spacing w:val="0"/>
          <w:w w:val="100"/>
          <w:position w:val="0"/>
          <w:sz w:val="18"/>
          <w:szCs w:val="18"/>
        </w:rPr>
        <w:t>[2019]39</w:t>
      </w:r>
      <w:r>
        <w:rPr>
          <w:color w:val="000000"/>
          <w:spacing w:val="0"/>
          <w:w w:val="100"/>
          <w:position w:val="0"/>
        </w:rPr>
        <w:t xml:space="preserve">号）规定，本公司的子公司北京亿美软通科技有限公司、北京杰智融软件有限公司作为生产、生活性服务业纳税 </w:t>
      </w:r>
      <w:r>
        <w:rPr>
          <w:color w:val="000000"/>
          <w:spacing w:val="0"/>
          <w:w w:val="100"/>
          <w:position w:val="0"/>
        </w:rPr>
        <w:t>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w:t>
      </w:r>
    </w:p>
    <w:p>
      <w:pPr>
        <w:pStyle w:val="Style17"/>
        <w:keepNext w:val="0"/>
        <w:keepLines w:val="0"/>
        <w:widowControl w:val="0"/>
        <w:shd w:val="clear" w:color="auto" w:fill="auto"/>
        <w:bidi w:val="0"/>
        <w:spacing w:before="0" w:after="0" w:line="469"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企业所得税及享受的税收优惠政策</w:t>
      </w:r>
    </w:p>
    <w:p>
      <w:pPr>
        <w:pStyle w:val="Style17"/>
        <w:keepNext w:val="0"/>
        <w:keepLines w:val="0"/>
        <w:widowControl w:val="0"/>
        <w:numPr>
          <w:ilvl w:val="0"/>
          <w:numId w:val="105"/>
        </w:numPr>
        <w:shd w:val="clear" w:color="auto" w:fill="auto"/>
        <w:tabs>
          <w:tab w:pos="715" w:val="left"/>
        </w:tabs>
        <w:bidi w:val="0"/>
        <w:spacing w:before="0" w:after="0" w:line="469" w:lineRule="exact"/>
        <w:ind w:left="0" w:right="0"/>
        <w:jc w:val="both"/>
      </w:pPr>
      <w:bookmarkStart w:id="1072" w:name="bookmark1072"/>
      <w:bookmarkEnd w:id="1072"/>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日通过高新技术企业重新认定，取得深圳市科技创新委员会、深圳市财政局、国家税务总局深 圳市税务局联合下发的《高新技术企业证书》，有效期三年。根据相关规定，公司自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年度起连续三年内将继续享受高新 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7"/>
        <w:keepNext w:val="0"/>
        <w:keepLines w:val="0"/>
        <w:widowControl w:val="0"/>
        <w:numPr>
          <w:ilvl w:val="0"/>
          <w:numId w:val="105"/>
        </w:numPr>
        <w:shd w:val="clear" w:color="auto" w:fill="auto"/>
        <w:tabs>
          <w:tab w:pos="715" w:val="left"/>
        </w:tabs>
        <w:bidi w:val="0"/>
        <w:spacing w:before="0" w:after="0" w:line="469" w:lineRule="exact"/>
        <w:ind w:left="0" w:right="0"/>
        <w:jc w:val="both"/>
      </w:pPr>
      <w:bookmarkStart w:id="1073" w:name="bookmark1073"/>
      <w:bookmarkEnd w:id="1073"/>
      <w:r>
        <w:rPr>
          <w:color w:val="000000"/>
          <w:spacing w:val="0"/>
          <w:w w:val="100"/>
          <w:position w:val="0"/>
        </w:rPr>
        <w:t>本公司的全资子公司北京亿美软通科技有限公司于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日通过高新技术企业重新认定，取得北京市科学 技术委员会、北京市财政局、国家税务总局北京市税务局联合下发的《高新技术企业证书》，有效期三年。根据相关规定， 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年度起连续三年内将继续享受高新技术企业的相关优惠政策，即按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7"/>
        <w:keepNext w:val="0"/>
        <w:keepLines w:val="0"/>
        <w:widowControl w:val="0"/>
        <w:numPr>
          <w:ilvl w:val="0"/>
          <w:numId w:val="105"/>
        </w:numPr>
        <w:shd w:val="clear" w:color="auto" w:fill="auto"/>
        <w:tabs>
          <w:tab w:pos="720" w:val="left"/>
        </w:tabs>
        <w:bidi w:val="0"/>
        <w:spacing w:before="0" w:after="0" w:line="469" w:lineRule="exact"/>
        <w:ind w:left="0" w:right="0"/>
        <w:jc w:val="both"/>
      </w:pPr>
      <w:bookmarkStart w:id="1074" w:name="bookmark1074"/>
      <w:bookmarkEnd w:id="1074"/>
      <w:r>
        <w:rPr>
          <w:color w:val="000000"/>
          <w:spacing w:val="0"/>
          <w:w w:val="100"/>
          <w:position w:val="0"/>
        </w:rPr>
        <w:t>本公司的控股子公司安科创新（深圳）有限公司于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日通过高新技术企业认定，取得深圳市科技创新委员 会、深圳市财政局、国家税务总局深圳市税务局联合下发的《高新技术企业证书》，有效期三年。根据相关规定，公司自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年度起连续三年内享受高新技术企业的相关优惠政策，即按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7"/>
        <w:keepNext w:val="0"/>
        <w:keepLines w:val="0"/>
        <w:widowControl w:val="0"/>
        <w:numPr>
          <w:ilvl w:val="0"/>
          <w:numId w:val="105"/>
        </w:numPr>
        <w:shd w:val="clear" w:color="auto" w:fill="auto"/>
        <w:tabs>
          <w:tab w:pos="720" w:val="left"/>
        </w:tabs>
        <w:bidi w:val="0"/>
        <w:spacing w:before="0" w:after="0" w:line="469" w:lineRule="exact"/>
        <w:ind w:left="0" w:right="0"/>
        <w:jc w:val="both"/>
      </w:pPr>
      <w:bookmarkStart w:id="1075" w:name="bookmark1075"/>
      <w:bookmarkEnd w:id="1075"/>
      <w:r>
        <w:rPr>
          <w:color w:val="000000"/>
          <w:spacing w:val="0"/>
          <w:w w:val="100"/>
          <w:position w:val="0"/>
        </w:rPr>
        <w:t>本公司的控股子公司北京杰智融软件有限公司于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日通过高新技术企业认定，取得北京市科学技术委员 会、北京市财政局、北京市国家税务局北京市税务局联合下发的《高新技术企业证书》，有效期三年。根据相关规定，公司</w:t>
      </w:r>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年度起连续三年内享受高新技术企业的相关优惠政策，即按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17"/>
        <w:keepNext w:val="0"/>
        <w:keepLines w:val="0"/>
        <w:widowControl w:val="0"/>
        <w:numPr>
          <w:ilvl w:val="0"/>
          <w:numId w:val="105"/>
        </w:numPr>
        <w:shd w:val="clear" w:color="auto" w:fill="auto"/>
        <w:tabs>
          <w:tab w:pos="715" w:val="left"/>
        </w:tabs>
        <w:bidi w:val="0"/>
        <w:spacing w:before="0" w:after="440" w:line="469" w:lineRule="exact"/>
        <w:ind w:left="0" w:right="0"/>
        <w:jc w:val="both"/>
      </w:pPr>
      <w:bookmarkStart w:id="1076" w:name="bookmark1076"/>
      <w:bookmarkEnd w:id="1076"/>
      <w:r>
        <w:rPr>
          <w:color w:val="000000"/>
          <w:spacing w:val="0"/>
          <w:w w:val="100"/>
          <w:position w:val="0"/>
        </w:rPr>
        <w:t>本公司的全资子公司深圳银之杰智慧科技有限公司属于小型微利企业。根据财政部国家税务总局财税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号《关 于延续小微企业增值税政策的通知》、《关于进一步扩大小型微利企业所得税优惠政策范围的通知》，对小型微利企业年应 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36"/>
        <w:keepNext/>
        <w:keepLines/>
        <w:widowControl w:val="0"/>
        <w:shd w:val="clear" w:color="auto" w:fill="auto"/>
        <w:bidi w:val="0"/>
        <w:spacing w:before="0" w:after="20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color w:val="000000"/>
          <w:spacing w:val="0"/>
          <w:w w:val="100"/>
          <w:position w:val="0"/>
        </w:rPr>
        <w:t>、其他</w:t>
      </w:r>
      <w:bookmarkEnd w:id="1077"/>
      <w:bookmarkEnd w:id="1078"/>
      <w:bookmarkEnd w:id="1080"/>
    </w:p>
    <w:p>
      <w:pPr>
        <w:pStyle w:val="Style17"/>
        <w:keepNext w:val="0"/>
        <w:keepLines w:val="0"/>
        <w:widowControl w:val="0"/>
        <w:shd w:val="clear" w:color="auto" w:fill="auto"/>
        <w:bidi w:val="0"/>
        <w:spacing w:before="0" w:after="440" w:line="47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月，安科创新（香港）有限公司获取香港税务局批准，安科创新公司产生于香港以外的利润取得税务豁免，利 得税率为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sz w:val="24"/>
          <w:szCs w:val="24"/>
        </w:rPr>
        <w:t>七</w:t>
      </w:r>
      <w:bookmarkEnd w:id="1083"/>
      <w:r>
        <w:rPr>
          <w:color w:val="000000"/>
          <w:spacing w:val="0"/>
          <w:w w:val="100"/>
          <w:position w:val="0"/>
          <w:sz w:val="24"/>
          <w:szCs w:val="24"/>
        </w:rPr>
        <w:t>、合并财务报表项目注释</w:t>
      </w:r>
      <w:bookmarkEnd w:id="1081"/>
      <w:bookmarkEnd w:id="1082"/>
      <w:bookmarkEnd w:id="1084"/>
    </w:p>
    <w:p>
      <w:pPr>
        <w:pStyle w:val="Style36"/>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85"/>
      <w:bookmarkEnd w:id="1086"/>
      <w:bookmarkEnd w:id="108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676,058.71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234,702.18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290,717,644.26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262,448,825.14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269,019,945.09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19,508,577.39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1,978,305.55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562,391,953.61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282,192,104.71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42,483,503.43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26,150,484.59</w:t>
            </w:r>
          </w:p>
        </w:tc>
      </w:tr>
    </w:tbl>
    <w:p>
      <w:pPr>
        <w:widowControl w:val="0"/>
        <w:spacing w:after="99" w:line="1" w:lineRule="exact"/>
      </w:pP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其他货币资金中：</w:t>
      </w:r>
      <w:r>
        <w:rPr>
          <w:rFonts w:ascii="Times New Roman" w:eastAsia="Times New Roman" w:hAnsi="Times New Roman" w:cs="Times New Roman"/>
          <w:color w:val="000000"/>
          <w:spacing w:val="0"/>
          <w:w w:val="100"/>
          <w:position w:val="0"/>
          <w:sz w:val="18"/>
          <w:szCs w:val="18"/>
        </w:rPr>
        <w:t>45,334,849.4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元为本公司承兑汇票保证金；</w:t>
      </w:r>
      <w:r>
        <w:rPr>
          <w:rFonts w:ascii="Times New Roman" w:eastAsia="Times New Roman" w:hAnsi="Times New Roman" w:cs="Times New Roman"/>
          <w:color w:val="000000"/>
          <w:spacing w:val="0"/>
          <w:w w:val="100"/>
          <w:position w:val="0"/>
          <w:sz w:val="18"/>
          <w:szCs w:val="18"/>
        </w:rPr>
        <w:t>592,000.00</w:t>
      </w:r>
      <w:r>
        <w:rPr>
          <w:color w:val="000000"/>
          <w:spacing w:val="0"/>
          <w:w w:val="100"/>
          <w:position w:val="0"/>
        </w:rPr>
        <w:t>元系保函保证金；</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元系履约保证金;</w:t>
      </w:r>
    </w:p>
    <w:p>
      <w:pPr>
        <w:pStyle w:val="Style17"/>
        <w:keepNext w:val="0"/>
        <w:keepLines w:val="0"/>
        <w:widowControl w:val="0"/>
        <w:shd w:val="clear" w:color="auto" w:fill="auto"/>
        <w:bidi w:val="0"/>
        <w:spacing w:before="0" w:after="0" w:line="485" w:lineRule="exact"/>
        <w:ind w:left="0" w:right="0" w:firstLine="0"/>
        <w:jc w:val="left"/>
      </w:pPr>
      <w:r>
        <w:rPr>
          <w:rFonts w:ascii="Times New Roman" w:eastAsia="Times New Roman" w:hAnsi="Times New Roman" w:cs="Times New Roman"/>
          <w:color w:val="000000"/>
          <w:spacing w:val="0"/>
          <w:w w:val="100"/>
          <w:position w:val="0"/>
          <w:sz w:val="18"/>
          <w:szCs w:val="18"/>
        </w:rPr>
        <w:t>1,971,247.4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元系信用卡保证金；</w:t>
      </w:r>
      <w:r>
        <w:rPr>
          <w:rFonts w:ascii="Times New Roman" w:eastAsia="Times New Roman" w:hAnsi="Times New Roman" w:cs="Times New Roman"/>
          <w:color w:val="000000"/>
          <w:spacing w:val="0"/>
          <w:w w:val="100"/>
          <w:position w:val="0"/>
          <w:sz w:val="18"/>
          <w:szCs w:val="18"/>
        </w:rPr>
        <w:t>1.89</w:t>
      </w:r>
      <w:r>
        <w:rPr>
          <w:color w:val="000000"/>
          <w:spacing w:val="0"/>
          <w:w w:val="100"/>
          <w:position w:val="0"/>
        </w:rPr>
        <w:t>元系外汇保证金；</w:t>
      </w:r>
      <w:r>
        <w:rPr>
          <w:rFonts w:ascii="Times New Roman" w:eastAsia="Times New Roman" w:hAnsi="Times New Roman" w:cs="Times New Roman"/>
          <w:color w:val="000000"/>
          <w:spacing w:val="0"/>
          <w:w w:val="100"/>
          <w:position w:val="0"/>
          <w:sz w:val="18"/>
          <w:szCs w:val="18"/>
        </w:rPr>
        <w:t>210,000,000.00</w:t>
      </w:r>
      <w:r>
        <w:rPr>
          <w:color w:val="000000"/>
          <w:spacing w:val="0"/>
          <w:w w:val="100"/>
          <w:position w:val="0"/>
        </w:rPr>
        <w:t>元系定期存款；</w:t>
      </w:r>
      <w:r>
        <w:rPr>
          <w:rFonts w:ascii="Times New Roman" w:eastAsia="Times New Roman" w:hAnsi="Times New Roman" w:cs="Times New Roman"/>
          <w:color w:val="000000"/>
          <w:spacing w:val="0"/>
          <w:w w:val="100"/>
          <w:position w:val="0"/>
          <w:sz w:val="18"/>
          <w:szCs w:val="18"/>
        </w:rPr>
        <w:t>11,021,846.38</w:t>
      </w:r>
      <w:r>
        <w:rPr>
          <w:color w:val="000000"/>
          <w:spacing w:val="0"/>
          <w:w w:val="100"/>
          <w:position w:val="0"/>
        </w:rPr>
        <w:t>元系存放于第三方支付平 台随时可支取的款项。</w:t>
      </w:r>
    </w:p>
    <w:p>
      <w:pPr>
        <w:pStyle w:val="Style17"/>
        <w:keepNext w:val="0"/>
        <w:keepLines w:val="0"/>
        <w:widowControl w:val="0"/>
        <w:shd w:val="clear" w:color="auto" w:fill="auto"/>
        <w:bidi w:val="0"/>
        <w:spacing w:before="0" w:after="480" w:line="485" w:lineRule="exact"/>
        <w:ind w:left="0" w:right="0"/>
        <w:jc w:val="left"/>
      </w:pPr>
      <w:r>
        <w:rPr>
          <w:color w:val="000000"/>
          <w:spacing w:val="0"/>
          <w:w w:val="100"/>
          <w:position w:val="0"/>
        </w:rPr>
        <w:t>外币货币资金明细情况详见本附注七、</w:t>
      </w:r>
      <w:r>
        <w:rPr>
          <w:rFonts w:ascii="Times New Roman" w:eastAsia="Times New Roman" w:hAnsi="Times New Roman" w:cs="Times New Roman"/>
          <w:color w:val="000000"/>
          <w:spacing w:val="0"/>
          <w:w w:val="100"/>
          <w:position w:val="0"/>
          <w:sz w:val="18"/>
          <w:szCs w:val="18"/>
        </w:rPr>
        <w:t>54 “</w:t>
      </w:r>
      <w:r>
        <w:rPr>
          <w:color w:val="000000"/>
          <w:spacing w:val="0"/>
          <w:w w:val="100"/>
          <w:position w:val="0"/>
        </w:rPr>
        <w:t>外币货币性项目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6"/>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88"/>
      <w:bookmarkEnd w:id="1089"/>
      <w:bookmarkEnd w:id="109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color w:val="000000"/>
          <w:spacing w:val="0"/>
          <w:w w:val="100"/>
          <w:position w:val="0"/>
        </w:rPr>
        <w:t>、应收账款</w:t>
      </w:r>
      <w:bookmarkEnd w:id="1091"/>
      <w:bookmarkEnd w:id="1092"/>
      <w:bookmarkEnd w:id="1094"/>
    </w:p>
    <w:p>
      <w:pPr>
        <w:pStyle w:val="Style44"/>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5"/>
      <w:bookmarkEnd w:id="1096"/>
      <w:bookmarkEnd w:id="1098"/>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48,055,8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17,301,4</w:t>
            </w:r>
          </w:p>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30,754,37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4,149,991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4,149,991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380,041,</w:t>
            </w:r>
          </w:p>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49,262,0</w:t>
            </w:r>
          </w:p>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330,779,6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460,859,5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54,663,81</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406,195,70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428,097,</w:t>
            </w:r>
          </w:p>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512.27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66,563,5</w:t>
            </w:r>
          </w:p>
          <w:p>
            <w:pPr>
              <w:pStyle w:val="Style2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31.74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361,533,9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465,009,5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58,813,80</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406,195,70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按单项计提坏账准备：</w:t>
      </w:r>
      <w:r>
        <w:rPr>
          <w:rFonts w:ascii="Times New Roman" w:eastAsia="Times New Roman" w:hAnsi="Times New Roman" w:cs="Times New Roman"/>
          <w:color w:val="000000"/>
          <w:spacing w:val="0"/>
          <w:w w:val="100"/>
          <w:position w:val="0"/>
          <w:sz w:val="18"/>
          <w:szCs w:val="18"/>
        </w:rPr>
        <w:t>17,301,439.51</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北京东方车云信息技术</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3,337,626.00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3,337,626.00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公司濒临破产</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深圳市分众信息咨询有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783,365.86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783,365.86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无可执行财产</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43,934,825.51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13,180,447.65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连续亏损</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48,055,817.37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17,301,439.51</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按组合计提坏账准备：</w:t>
      </w:r>
      <w:r>
        <w:rPr>
          <w:rFonts w:ascii="Times New Roman" w:eastAsia="Times New Roman" w:hAnsi="Times New Roman" w:cs="Times New Roman"/>
          <w:color w:val="000000"/>
          <w:spacing w:val="0"/>
          <w:w w:val="100"/>
          <w:position w:val="0"/>
          <w:sz w:val="18"/>
          <w:szCs w:val="18"/>
        </w:rPr>
        <w:t>49,262,092.23</w:t>
      </w:r>
    </w:p>
    <w:p>
      <w:pPr>
        <w:widowControl w:val="0"/>
        <w:spacing w:after="13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：金融信息化业务类款 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164,362,419.86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33,914,843.35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：移动信息服务业务款 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159,100,789.01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13,212,875.08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：电子商务业务类款项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19,850,915.54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297,995.28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：质保金款项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36,727,570.49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1,836,378.52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380,041,694.90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49,262,092.23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286,483,047.92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85,638,511.01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26,307,226.08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29,668,727.26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8,183,139.97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11,073,400.82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10,412,186.47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428,097,512.27</w:t>
            </w:r>
          </w:p>
        </w:tc>
      </w:tr>
    </w:tbl>
    <w:p>
      <w:pPr>
        <w:widowControl w:val="0"/>
        <w:spacing w:after="319" w:line="1" w:lineRule="exact"/>
      </w:pPr>
    </w:p>
    <w:p>
      <w:pPr>
        <w:pStyle w:val="Style44"/>
        <w:keepNext/>
        <w:keepLines/>
        <w:widowControl w:val="0"/>
        <w:numPr>
          <w:ilvl w:val="0"/>
          <w:numId w:val="107"/>
        </w:numPr>
        <w:shd w:val="clear" w:color="auto" w:fill="auto"/>
        <w:bidi w:val="0"/>
        <w:spacing w:before="0" w:after="400" w:line="240" w:lineRule="auto"/>
        <w:ind w:left="0" w:right="0" w:firstLine="0"/>
        <w:jc w:val="both"/>
      </w:pPr>
      <w:bookmarkStart w:id="1099" w:name="bookmark1099"/>
      <w:bookmarkStart w:id="1100" w:name="bookmark1100"/>
      <w:bookmarkStart w:id="1101" w:name="bookmark1101"/>
      <w:bookmarkStart w:id="1102" w:name="bookmark1102"/>
      <w:bookmarkEnd w:id="1101"/>
      <w:r>
        <w:rPr>
          <w:color w:val="000000"/>
          <w:spacing w:val="0"/>
          <w:w w:val="100"/>
          <w:position w:val="0"/>
        </w:rPr>
        <w:t>本期计提、收回或转回的坏账准备情况</w:t>
      </w:r>
      <w:bookmarkEnd w:id="1099"/>
      <w:bookmarkEnd w:id="1100"/>
      <w:bookmarkEnd w:id="1102"/>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4,149,991.86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13,180,447.65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17,301,439.51</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54,663,816.90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-684,524.83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4,717,199.84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49,262,092.23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58,813,808.76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12,495,922.82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4,717,199.84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66,563,531.74</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3"/>
      <w:bookmarkEnd w:id="1104"/>
      <w:bookmarkEnd w:id="110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4,717,199.84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小金额应收账款合 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4,717,199.84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久催不回，预计收回</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可能性较小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坏账核销程序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4,717,199.84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199" w:line="1" w:lineRule="exact"/>
      </w:pPr>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由于上述款项久催不回等因素，根据公司坏账核销程序进行核销，并由公司备查登记并继续催收。</w:t>
      </w:r>
    </w:p>
    <w:p>
      <w:pPr>
        <w:pStyle w:val="Style44"/>
        <w:keepNext/>
        <w:keepLines/>
        <w:widowControl w:val="0"/>
        <w:shd w:val="clear" w:color="auto" w:fill="auto"/>
        <w:bidi w:val="0"/>
        <w:spacing w:before="0" w:after="40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07"/>
      <w:bookmarkEnd w:id="1108"/>
      <w:bookmarkEnd w:id="111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43,934,825.51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13,180,447.66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29,786,307.88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1,489,315.39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13,495,263.42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674,763.17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10,337,835.15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516,891.76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6,868,275.75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343,413.79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104,422,507.71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46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111"/>
      <w:bookmarkEnd w:id="1112"/>
      <w:bookmarkEnd w:id="1114"/>
    </w:p>
    <w:p>
      <w:pPr>
        <w:pStyle w:val="Style17"/>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无。</w:t>
      </w:r>
    </w:p>
    <w:p>
      <w:pPr>
        <w:pStyle w:val="Style44"/>
        <w:keepNext/>
        <w:keepLines/>
        <w:widowControl w:val="0"/>
        <w:shd w:val="clear" w:color="auto" w:fill="auto"/>
        <w:bidi w:val="0"/>
        <w:spacing w:before="0" w:after="46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115"/>
      <w:bookmarkEnd w:id="1116"/>
      <w:bookmarkEnd w:id="1118"/>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4</w:t>
      </w:r>
      <w:bookmarkEnd w:id="1121"/>
      <w:r>
        <w:rPr>
          <w:color w:val="000000"/>
          <w:spacing w:val="0"/>
          <w:w w:val="100"/>
          <w:position w:val="0"/>
        </w:rPr>
        <w:t>、预付款项</w:t>
      </w:r>
      <w:bookmarkEnd w:id="1119"/>
      <w:bookmarkEnd w:id="1120"/>
      <w:bookmarkEnd w:id="1122"/>
    </w:p>
    <w:p>
      <w:pPr>
        <w:pStyle w:val="Style44"/>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3"/>
      <w:bookmarkEnd w:id="1124"/>
      <w:bookmarkEnd w:id="112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123,402,450.69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164,023,514.78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7,147,804.57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20,891,351.50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6,063,090.18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6,047,577.63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4,604,696.30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406,917.22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141,218,041.74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191,369,361.13</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本公司预付款项超过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年主要系业务未完成，尚未结算。</w:t>
      </w:r>
    </w:p>
    <w:p>
      <w:pPr>
        <w:pStyle w:val="Style44"/>
        <w:keepNext/>
        <w:keepLines/>
        <w:widowControl w:val="0"/>
        <w:shd w:val="clear" w:color="auto" w:fill="auto"/>
        <w:bidi w:val="0"/>
        <w:spacing w:before="0" w:after="22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7"/>
      <w:bookmarkEnd w:id="1128"/>
      <w:bookmarkEnd w:id="1130"/>
    </w:p>
    <w:p>
      <w:pPr>
        <w:pStyle w:val="Style17"/>
        <w:keepNext w:val="0"/>
        <w:keepLines w:val="0"/>
        <w:widowControl w:val="0"/>
        <w:shd w:val="clear" w:color="auto" w:fill="auto"/>
        <w:bidi w:val="0"/>
        <w:spacing w:before="0" w:after="0" w:line="442" w:lineRule="exact"/>
        <w:ind w:left="0" w:right="0"/>
        <w:jc w:val="left"/>
      </w:pPr>
      <w:r>
        <w:rPr>
          <w:color w:val="000000"/>
          <w:spacing w:val="0"/>
          <w:w w:val="100"/>
          <w:position w:val="0"/>
        </w:rPr>
        <w:t>本公司期末预付款项余额前五名累计金额为</w:t>
      </w:r>
      <w:r>
        <w:rPr>
          <w:rFonts w:ascii="Times New Roman" w:eastAsia="Times New Roman" w:hAnsi="Times New Roman" w:cs="Times New Roman"/>
          <w:color w:val="000000"/>
          <w:spacing w:val="0"/>
          <w:w w:val="100"/>
          <w:position w:val="0"/>
          <w:sz w:val="18"/>
          <w:szCs w:val="18"/>
        </w:rPr>
        <w:t>84,586,385.14</w:t>
      </w:r>
      <w:r>
        <w:rPr>
          <w:color w:val="000000"/>
          <w:spacing w:val="0"/>
          <w:w w:val="100"/>
          <w:position w:val="0"/>
        </w:rPr>
        <w:t>元，账龄都在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年以内，占预付款项余额的比例为</w:t>
      </w:r>
      <w:r>
        <w:rPr>
          <w:rFonts w:ascii="Times New Roman" w:eastAsia="Times New Roman" w:hAnsi="Times New Roman" w:cs="Times New Roman"/>
          <w:color w:val="000000"/>
          <w:spacing w:val="0"/>
          <w:w w:val="100"/>
          <w:position w:val="0"/>
          <w:sz w:val="18"/>
          <w:szCs w:val="18"/>
        </w:rPr>
        <w:t>59.90%</w:t>
      </w:r>
      <w:r>
        <w:rPr>
          <w:color w:val="000000"/>
          <w:spacing w:val="0"/>
          <w:w w:val="100"/>
          <w:position w:val="0"/>
        </w:rPr>
        <w:t>。 其他说明：</w:t>
      </w:r>
    </w:p>
    <w:p>
      <w:pPr>
        <w:pStyle w:val="Style17"/>
        <w:keepNext w:val="0"/>
        <w:keepLines w:val="0"/>
        <w:widowControl w:val="0"/>
        <w:shd w:val="clear" w:color="auto" w:fill="auto"/>
        <w:bidi w:val="0"/>
        <w:spacing w:before="0" w:after="460" w:line="442" w:lineRule="exact"/>
        <w:ind w:left="0" w:right="0"/>
        <w:jc w:val="left"/>
      </w:pPr>
      <w:r>
        <w:rPr>
          <w:color w:val="000000"/>
          <w:spacing w:val="0"/>
          <w:w w:val="100"/>
          <w:position w:val="0"/>
        </w:rPr>
        <w:t>期末未发现预付款项存在明显减值迹象，故未计提减值准备。</w:t>
      </w:r>
    </w:p>
    <w:p>
      <w:pPr>
        <w:pStyle w:val="Style36"/>
        <w:keepNext/>
        <w:keepLines/>
        <w:widowControl w:val="0"/>
        <w:shd w:val="clear" w:color="auto" w:fill="auto"/>
        <w:bidi w:val="0"/>
        <w:spacing w:before="0" w:after="36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5</w:t>
      </w:r>
      <w:bookmarkEnd w:id="1133"/>
      <w:r>
        <w:rPr>
          <w:color w:val="000000"/>
          <w:spacing w:val="0"/>
          <w:w w:val="100"/>
          <w:position w:val="0"/>
        </w:rPr>
        <w:t>、其他应收款</w:t>
      </w:r>
      <w:bookmarkEnd w:id="1131"/>
      <w:bookmarkEnd w:id="1132"/>
      <w:bookmarkEnd w:id="113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42,511,292.48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47,794,136.39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42,511,292.48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47,794,136.39</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35"/>
      <w:bookmarkEnd w:id="1136"/>
      <w:bookmarkEnd w:id="1138"/>
    </w:p>
    <w:p>
      <w:pPr>
        <w:pStyle w:val="Style65"/>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color w:val="000000"/>
          <w:spacing w:val="0"/>
          <w:w w:val="100"/>
          <w:position w:val="0"/>
        </w:rPr>
        <w:t>）其他应收款按款项性质分类情况</w:t>
      </w:r>
      <w:bookmarkEnd w:id="1139"/>
      <w:bookmarkEnd w:id="1140"/>
      <w:bookmarkEnd w:id="114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37,253,109.28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36,623,081.54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5,456,384.80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3,765,453.11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1,594,323.79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9,370,369.86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598,262.45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639,117.00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44,902,080.32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50,398,021.51</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color w:val="000000"/>
          <w:spacing w:val="0"/>
          <w:w w:val="100"/>
          <w:position w:val="0"/>
        </w:rPr>
        <w:t>）坏账准备计提情况</w:t>
      </w:r>
      <w:bookmarkEnd w:id="1143"/>
      <w:bookmarkEnd w:id="1144"/>
      <w:bookmarkEnd w:id="114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2,603,885.12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2,603,885.12</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-213,097.28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-213,097.28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2,390,787.84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2,390,787.84</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11,020,235.29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9,700,187.17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3,874,104.43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20,307,553.43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17,730,366.42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1,549,936.20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1,027,250.81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44,902,080.32</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color w:val="000000"/>
          <w:spacing w:val="0"/>
          <w:w w:val="100"/>
          <w:position w:val="0"/>
        </w:rPr>
        <w:t>）本期计提、收回或转回的坏账准备情况</w:t>
      </w:r>
      <w:bookmarkEnd w:id="1147"/>
      <w:bookmarkEnd w:id="1148"/>
      <w:bookmarkEnd w:id="115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421"/>
        <w:gridCol w:w="1099"/>
        <w:gridCol w:w="1339"/>
        <w:gridCol w:w="1330"/>
        <w:gridCol w:w="1330"/>
        <w:gridCol w:w="1330"/>
        <w:gridCol w:w="1733"/>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2,603,885.12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-213,097.28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2,390,787.84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2,603,885.12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-213,097.28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2,390,787.84</w:t>
            </w:r>
          </w:p>
        </w:tc>
      </w:tr>
    </w:tbl>
    <w:p>
      <w:pPr>
        <w:widowControl w:val="0"/>
        <w:spacing w:after="119" w:line="1" w:lineRule="exact"/>
      </w:pPr>
    </w:p>
    <w:p>
      <w:pPr>
        <w:pStyle w:val="Style17"/>
        <w:keepNext w:val="0"/>
        <w:keepLines w:val="0"/>
        <w:widowControl w:val="0"/>
        <w:shd w:val="clear" w:color="auto" w:fill="auto"/>
        <w:bidi w:val="0"/>
        <w:spacing w:before="0" w:after="240" w:line="240" w:lineRule="auto"/>
        <w:ind w:left="0" w:right="0"/>
        <w:jc w:val="left"/>
      </w:pPr>
      <w:r>
        <w:rPr>
          <w:color w:val="000000"/>
          <w:spacing w:val="0"/>
          <w:w w:val="100"/>
          <w:position w:val="0"/>
        </w:rPr>
        <w:t>本公司本年按欠款方归集的年末余额前五名其他应收款汇总金额为</w:t>
      </w:r>
      <w:r>
        <w:rPr>
          <w:rFonts w:ascii="Times New Roman" w:eastAsia="Times New Roman" w:hAnsi="Times New Roman" w:cs="Times New Roman"/>
          <w:color w:val="000000"/>
          <w:spacing w:val="0"/>
          <w:w w:val="100"/>
          <w:position w:val="0"/>
          <w:sz w:val="18"/>
          <w:szCs w:val="18"/>
        </w:rPr>
        <w:t>29,192,348.79</w:t>
      </w:r>
      <w:r>
        <w:rPr>
          <w:color w:val="000000"/>
          <w:spacing w:val="0"/>
          <w:w w:val="100"/>
          <w:position w:val="0"/>
        </w:rPr>
        <w:t>元，占其他应收款年末余额合计数的比</w:t>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例为</w:t>
      </w:r>
      <w:r>
        <w:rPr>
          <w:rFonts w:ascii="Times New Roman" w:eastAsia="Times New Roman" w:hAnsi="Times New Roman" w:cs="Times New Roman"/>
          <w:color w:val="000000"/>
          <w:spacing w:val="0"/>
          <w:w w:val="100"/>
          <w:position w:val="0"/>
          <w:sz w:val="18"/>
          <w:szCs w:val="18"/>
        </w:rPr>
        <w:t>65.01%</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1,537,179.45</w:t>
      </w:r>
      <w:r>
        <w:rPr>
          <w:color w:val="000000"/>
          <w:spacing w:val="0"/>
          <w:w w:val="100"/>
          <w:position w:val="0"/>
        </w:rPr>
        <w:t>元。</w:t>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其中本期坏账准备转回或收回金额重要的：</w:t>
      </w:r>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4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4</w:t>
      </w:r>
      <w:bookmarkEnd w:id="1153"/>
      <w:r>
        <w:rPr>
          <w:color w:val="000000"/>
          <w:spacing w:val="0"/>
          <w:w w:val="100"/>
          <w:position w:val="0"/>
        </w:rPr>
        <w:t>）</w:t>
        <w:tab/>
        <w:t>本期实际核销的其他应收款情况</w:t>
      </w:r>
      <w:bookmarkEnd w:id="1151"/>
      <w:bookmarkEnd w:id="1152"/>
      <w:bookmarkEnd w:id="1154"/>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5</w:t>
      </w:r>
      <w:bookmarkEnd w:id="1157"/>
      <w:r>
        <w:rPr>
          <w:color w:val="000000"/>
          <w:spacing w:val="0"/>
          <w:w w:val="100"/>
          <w:position w:val="0"/>
        </w:rPr>
        <w:t>）</w:t>
        <w:tab/>
        <w:t>按欠款方归集的期末余额前五名的其他应收款情况</w:t>
      </w:r>
      <w:bookmarkEnd w:id="1155"/>
      <w:bookmarkEnd w:id="1156"/>
      <w:bookmarkEnd w:id="115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1,198,500.00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1,516,888.88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75,844.44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1,299,619.00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64,980.95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1,261,056.00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140,614.81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1,222,403.91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61,120.20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29,269,967.79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1,541,060.40</w:t>
            </w:r>
          </w:p>
        </w:tc>
      </w:tr>
    </w:tbl>
    <w:p>
      <w:pPr>
        <w:widowControl w:val="0"/>
        <w:spacing w:after="319" w:line="1" w:lineRule="exact"/>
      </w:pPr>
    </w:p>
    <w:p>
      <w:pPr>
        <w:pStyle w:val="Style65"/>
        <w:keepNext/>
        <w:keepLines/>
        <w:widowControl w:val="0"/>
        <w:shd w:val="clear" w:color="auto" w:fill="auto"/>
        <w:tabs>
          <w:tab w:pos="397" w:val="left"/>
        </w:tabs>
        <w:bidi w:val="0"/>
        <w:spacing w:before="0" w:after="4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6</w:t>
      </w:r>
      <w:bookmarkEnd w:id="1161"/>
      <w:r>
        <w:rPr>
          <w:color w:val="000000"/>
          <w:spacing w:val="0"/>
          <w:w w:val="100"/>
          <w:position w:val="0"/>
        </w:rPr>
        <w:t>）</w:t>
        <w:tab/>
        <w:t>涉及政府补助的应收款项</w:t>
      </w:r>
      <w:bookmarkEnd w:id="1159"/>
      <w:bookmarkEnd w:id="1160"/>
      <w:bookmarkEnd w:id="1162"/>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4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7</w:t>
      </w:r>
      <w:bookmarkEnd w:id="1165"/>
      <w:r>
        <w:rPr>
          <w:color w:val="000000"/>
          <w:spacing w:val="0"/>
          <w:w w:val="100"/>
          <w:position w:val="0"/>
        </w:rPr>
        <w:t>）</w:t>
        <w:tab/>
        <w:t>因金融资产转移而终止确认的其他应收款</w:t>
      </w:r>
      <w:bookmarkEnd w:id="1163"/>
      <w:bookmarkEnd w:id="1164"/>
      <w:bookmarkEnd w:id="1166"/>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4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8</w:t>
      </w:r>
      <w:bookmarkEnd w:id="1169"/>
      <w:r>
        <w:rPr>
          <w:color w:val="000000"/>
          <w:spacing w:val="0"/>
          <w:w w:val="100"/>
          <w:position w:val="0"/>
        </w:rPr>
        <w:t>）</w:t>
        <w:tab/>
        <w:t>转移其他应收款且继续涉入形成的资产、负债金额</w:t>
      </w:r>
      <w:bookmarkEnd w:id="1167"/>
      <w:bookmarkEnd w:id="1168"/>
      <w:bookmarkEnd w:id="1170"/>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6</w:t>
      </w:r>
      <w:bookmarkEnd w:id="1173"/>
      <w:r>
        <w:rPr>
          <w:color w:val="000000"/>
          <w:spacing w:val="0"/>
          <w:w w:val="100"/>
          <w:position w:val="0"/>
        </w:rPr>
        <w:t>、存货</w:t>
      </w:r>
      <w:bookmarkEnd w:id="1171"/>
      <w:bookmarkEnd w:id="1172"/>
      <w:bookmarkEnd w:id="1174"/>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1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4"/>
        <w:keepNext/>
        <w:keepLines/>
        <w:widowControl w:val="0"/>
        <w:shd w:val="clear" w:color="auto" w:fill="auto"/>
        <w:bidi w:val="0"/>
        <w:spacing w:before="0" w:after="380" w:line="240" w:lineRule="auto"/>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5"/>
      <w:bookmarkEnd w:id="1176"/>
      <w:bookmarkEnd w:id="117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1,444,973.09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1,444,973.09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1,996,318.25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1,996,318.25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111,243,586.39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2,367,203.33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108,876,383.06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98,838,898.22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1,422,163.50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97,416,734.72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5,637,622.79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5,637,622.79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2,955,321.69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2,955,321.69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1,458,822.02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1,458,822.02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121,281,503.96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2,367,203.33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118,914,300.63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102,294,038.49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1,422,163.50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100,871,874.99</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4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79"/>
      <w:bookmarkEnd w:id="1180"/>
      <w:bookmarkEnd w:id="118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1,422,163.50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945,039.83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2,367,203.33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1,422,163.50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945,039.83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2,367,203.33</w:t>
            </w:r>
          </w:p>
        </w:tc>
      </w:tr>
    </w:tbl>
    <w:p>
      <w:pPr>
        <w:widowControl w:val="0"/>
        <w:spacing w:after="319" w:line="1" w:lineRule="exact"/>
      </w:pPr>
    </w:p>
    <w:p>
      <w:pPr>
        <w:pStyle w:val="Style44"/>
        <w:keepNext/>
        <w:keepLines/>
        <w:widowControl w:val="0"/>
        <w:shd w:val="clear" w:color="auto" w:fill="auto"/>
        <w:bidi w:val="0"/>
        <w:spacing w:before="0" w:after="480" w:line="240" w:lineRule="auto"/>
        <w:ind w:left="0" w:right="0" w:firstLine="14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83"/>
      <w:bookmarkEnd w:id="1184"/>
      <w:bookmarkEnd w:id="1186"/>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44"/>
        <w:keepNext/>
        <w:keepLines/>
        <w:widowControl w:val="0"/>
        <w:shd w:val="clear" w:color="auto" w:fill="auto"/>
        <w:bidi w:val="0"/>
        <w:spacing w:before="0" w:after="480" w:line="240" w:lineRule="auto"/>
        <w:ind w:left="0" w:right="0" w:firstLine="14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187"/>
      <w:bookmarkEnd w:id="1188"/>
      <w:bookmarkEnd w:id="1190"/>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7</w:t>
      </w:r>
      <w:bookmarkEnd w:id="1193"/>
      <w:r>
        <w:rPr>
          <w:color w:val="000000"/>
          <w:spacing w:val="0"/>
          <w:w w:val="100"/>
          <w:position w:val="0"/>
        </w:rPr>
        <w:t>、其他流动资产</w:t>
      </w:r>
      <w:bookmarkEnd w:id="1191"/>
      <w:bookmarkEnd w:id="1192"/>
      <w:bookmarkEnd w:id="119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固定利率结构性存款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102,096,900.00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应收酬金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36,663,328.51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48,025,234.28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3,608,548.35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5,195,688.59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4,214,257.67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2,076,718.16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4,163,250.12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1,248,602.11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2,497,613.80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485,436.69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49,134,821.34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161,140,756.94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8</w:t>
      </w:r>
      <w:bookmarkEnd w:id="1197"/>
      <w:r>
        <w:rPr>
          <w:color w:val="000000"/>
          <w:spacing w:val="0"/>
          <w:w w:val="100"/>
          <w:position w:val="0"/>
        </w:rPr>
        <w:t>、长期股权投资</w:t>
      </w:r>
      <w:bookmarkEnd w:id="1195"/>
      <w:bookmarkEnd w:id="1196"/>
      <w:bookmarkEnd w:id="119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9"/>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9"/>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北京华道 征信有限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1,767,131</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-1,767,13</w:t>
            </w:r>
          </w:p>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易安财产 保险股份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91,273,55</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-12,629,2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-78,644,2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国誉创富 国际金融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4,150,978</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-2,694,56</w:t>
            </w:r>
          </w:p>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1,456,411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恒银（嘉 兴）资产 管理有限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1,758,496</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1,649,209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东亚前海 证券有限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366,058,9</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11,266,55</w:t>
            </w:r>
          </w:p>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377,781,9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百可录</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科技有限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16,420,35</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-221,811.</w:t>
            </w:r>
          </w:p>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-16,198,5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481,429,4</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-6,155,50</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-94,842,8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380,887,5</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481,429,4</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-6,155,50</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-94,842,8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380,887,5</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470" w:lineRule="exact"/>
        <w:ind w:left="0" w:right="0"/>
        <w:jc w:val="both"/>
      </w:pPr>
      <w:r>
        <w:rPr>
          <w:color w:val="000000"/>
          <w:spacing w:val="0"/>
          <w:w w:val="100"/>
          <w:position w:val="0"/>
        </w:rPr>
        <w:t>本期其他变动主要系本公司持有的百可录（北京）科技有限公司由于引进新投资者，本公司原持股比例被动稀释，且本 公司未在其董事会中继续委派人员，失去对其经营管理重大影响，将其作为其他权益工具投资核算；持有的易安财产保险股 份有限公司由于本公司未在其董事会中继续委派人员，也未派管理人员参与经营管理，失去对其经营管理重大影响，将其作 为其他权益工具投资核算。</w:t>
      </w:r>
    </w:p>
    <w:p>
      <w:pPr>
        <w:pStyle w:val="Style17"/>
        <w:keepNext w:val="0"/>
        <w:keepLines w:val="0"/>
        <w:widowControl w:val="0"/>
        <w:shd w:val="clear" w:color="auto" w:fill="auto"/>
        <w:bidi w:val="0"/>
        <w:spacing w:before="0" w:after="480" w:line="470" w:lineRule="exact"/>
        <w:ind w:left="0" w:right="0"/>
        <w:jc w:val="both"/>
      </w:pPr>
      <w:r>
        <w:rPr>
          <w:color w:val="000000"/>
          <w:spacing w:val="0"/>
          <w:w w:val="100"/>
          <w:position w:val="0"/>
        </w:rPr>
        <w:t>期末未发现长期股权投资存在明显减值迹象，故未计提减值准备。</w:t>
      </w:r>
    </w:p>
    <w:p>
      <w:pPr>
        <w:pStyle w:val="Style36"/>
        <w:keepNext/>
        <w:keepLines/>
        <w:widowControl w:val="0"/>
        <w:shd w:val="clear" w:color="auto" w:fill="auto"/>
        <w:bidi w:val="0"/>
        <w:spacing w:before="0" w:after="400" w:line="240" w:lineRule="auto"/>
        <w:ind w:left="0" w:right="0" w:firstLine="0"/>
        <w:jc w:val="both"/>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9</w:t>
      </w:r>
      <w:bookmarkEnd w:id="1201"/>
      <w:r>
        <w:rPr>
          <w:color w:val="000000"/>
          <w:spacing w:val="0"/>
          <w:w w:val="100"/>
          <w:position w:val="0"/>
        </w:rPr>
        <w:t>、其他权益工具投资</w:t>
      </w:r>
      <w:bookmarkEnd w:id="1199"/>
      <w:bookmarkEnd w:id="1200"/>
      <w:bookmarkEnd w:id="120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上海保险交易所股份有限公司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12,250,000.00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北京智帆金科信息服务有限公司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30,000,014.54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30,000,014.54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78,644,286.94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17,384,285.71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168,278,587.19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72,250,014.54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 值计量且其变动 计入其他综合收</w:t>
            </w:r>
          </w:p>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上海保险交易所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深圳票联金融服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北京智帆金科信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易安财产保险股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百可录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203"/>
      <w:bookmarkEnd w:id="1204"/>
      <w:bookmarkEnd w:id="1206"/>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16,037,501.36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17,315,049.28</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16,037,501.36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17,315,049.28</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7"/>
      <w:bookmarkEnd w:id="1208"/>
      <w:bookmarkEnd w:id="121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5,136,603.90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7,881,668.48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7,344,745.58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12,976,421.19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8,254,699.98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41,594,139.13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1,117,638.78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1,550,439.07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3,220,865.45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1,117,638.78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1,550,439.07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3,220,865.45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733,769.16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912,750.47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1,823,401.88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733,769.16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912,750.47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1,823,401.88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5,136,603.90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7,881,668.48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7,720,650.93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13,360,290.81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8,892,388.58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42,991,602.70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214,141.35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5,472,533.89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5,737,724.13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6,751,824.09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6,102,866.39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24,279,089.85</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76,710.15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896,188.43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584,091.80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1,713,118.01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1,119,485.60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4,389,593.99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76,710.15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896,188.43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584,091.80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1,713,118.01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1,119,485.60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4,389,593.99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168,038.14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700,282.33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846,262.03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1,714,582.50</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168,038.14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700,282.33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846,262.03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1,714,582.50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290,851.50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6,368,722.32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6,153,777.79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7,764,659.77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6,376,089.96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26,954,101.34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4,845,752.40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1,512,946.16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1,566,873.14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5,595,631.04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2,516,298.62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16,037,501.36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4,922,462.55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2,409,134.59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1,607,021.45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6,224,597.10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2,151,833.59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17,315,049.28</w:t>
            </w:r>
          </w:p>
        </w:tc>
      </w:tr>
    </w:tbl>
    <w:p>
      <w:pPr>
        <w:widowControl w:val="0"/>
        <w:spacing w:after="319" w:line="1" w:lineRule="exact"/>
      </w:pPr>
    </w:p>
    <w:p>
      <w:pPr>
        <w:pStyle w:val="Style44"/>
        <w:keepNext/>
        <w:keepLines/>
        <w:widowControl w:val="0"/>
        <w:numPr>
          <w:ilvl w:val="0"/>
          <w:numId w:val="109"/>
        </w:numPr>
        <w:shd w:val="clear" w:color="auto" w:fill="auto"/>
        <w:tabs>
          <w:tab w:pos="493" w:val="left"/>
        </w:tabs>
        <w:bidi w:val="0"/>
        <w:spacing w:before="0" w:after="48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暂时闲置的固定资产情况</w:t>
      </w:r>
      <w:bookmarkEnd w:id="1211"/>
      <w:bookmarkEnd w:id="1212"/>
      <w:bookmarkEnd w:id="1214"/>
    </w:p>
    <w:p>
      <w:pPr>
        <w:pStyle w:val="Style17"/>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44"/>
        <w:keepNext/>
        <w:keepLines/>
        <w:widowControl w:val="0"/>
        <w:numPr>
          <w:ilvl w:val="0"/>
          <w:numId w:val="109"/>
        </w:numPr>
        <w:shd w:val="clear" w:color="auto" w:fill="auto"/>
        <w:tabs>
          <w:tab w:pos="493" w:val="left"/>
        </w:tabs>
        <w:bidi w:val="0"/>
        <w:spacing w:before="0" w:after="48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通过融资租赁租入的固定资产情况</w:t>
      </w:r>
      <w:bookmarkEnd w:id="1215"/>
      <w:bookmarkEnd w:id="1216"/>
      <w:bookmarkEnd w:id="1218"/>
    </w:p>
    <w:p>
      <w:pPr>
        <w:pStyle w:val="Style17"/>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44"/>
        <w:keepNext/>
        <w:keepLines/>
        <w:widowControl w:val="0"/>
        <w:numPr>
          <w:ilvl w:val="0"/>
          <w:numId w:val="109"/>
        </w:numPr>
        <w:shd w:val="clear" w:color="auto" w:fill="auto"/>
        <w:tabs>
          <w:tab w:pos="493" w:val="left"/>
        </w:tabs>
        <w:bidi w:val="0"/>
        <w:spacing w:before="0" w:after="48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通过经营租赁租出的固定资产</w:t>
      </w:r>
      <w:bookmarkEnd w:id="1219"/>
      <w:bookmarkEnd w:id="1220"/>
      <w:bookmarkEnd w:id="1222"/>
    </w:p>
    <w:p>
      <w:pPr>
        <w:pStyle w:val="Style17"/>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44"/>
        <w:keepNext/>
        <w:keepLines/>
        <w:widowControl w:val="0"/>
        <w:numPr>
          <w:ilvl w:val="0"/>
          <w:numId w:val="109"/>
        </w:numPr>
        <w:shd w:val="clear" w:color="auto" w:fill="auto"/>
        <w:tabs>
          <w:tab w:pos="493" w:val="left"/>
        </w:tabs>
        <w:bidi w:val="0"/>
        <w:spacing w:before="0" w:after="48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未办妥产权证书的固定资产情况</w:t>
      </w:r>
      <w:bookmarkEnd w:id="1223"/>
      <w:bookmarkEnd w:id="1224"/>
      <w:bookmarkEnd w:id="1226"/>
    </w:p>
    <w:p>
      <w:pPr>
        <w:pStyle w:val="Style17"/>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r>
        <w:br w:type="page"/>
      </w:r>
    </w:p>
    <w:p>
      <w:pPr>
        <w:pStyle w:val="Style44"/>
        <w:keepNext/>
        <w:keepLines/>
        <w:widowControl w:val="0"/>
        <w:shd w:val="clear" w:color="auto" w:fill="auto"/>
        <w:bidi w:val="0"/>
        <w:spacing w:before="0" w:after="48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227"/>
      <w:bookmarkEnd w:id="1228"/>
      <w:bookmarkEnd w:id="1230"/>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231"/>
      <w:bookmarkEnd w:id="1232"/>
      <w:bookmarkEnd w:id="1234"/>
    </w:p>
    <w:p>
      <w:pPr>
        <w:pStyle w:val="Style44"/>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5"/>
      <w:bookmarkEnd w:id="1236"/>
      <w:bookmarkEnd w:id="123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3"/>
        <w:gridCol w:w="1618"/>
        <w:gridCol w:w="1613"/>
        <w:gridCol w:w="162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自主软件产品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专利及软件著作权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商标及其他</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89,924,809.41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39,563,227.31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4,711,921.19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4,824,420.59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139,024,378.50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16,085,120.34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106,135.48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325,119.38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119,890.82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16,636,266.02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1,601,941.74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106,135.48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325,119.38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119,890.82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2,153,087.42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14,483,178.60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14,483,178.60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106,009,929.75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39,669,362.79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5,037,040.57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4,944,311.41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155,660,644.52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51,516,206.13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27,521,559.69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1,572,870.27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2,930,246.24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83,540,882.33</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12,987,038.13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5,382,468.19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882,065.92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444,983.58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19,696,555.82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12,987,038.13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5,382,468.19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882,065.92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444,983.58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19,696,555.82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64,503,244.26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32,904,027.88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2,454,936.19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3,375,229.82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103,237,438.15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2"/>
        <w:gridCol w:w="1618"/>
        <w:gridCol w:w="1613"/>
        <w:gridCol w:w="1618"/>
        <w:gridCol w:w="1613"/>
        <w:gridCol w:w="162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41,506,685.49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6,765,334.91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2,582,104.38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1,569,081.59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52,423,206.37</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38,408,603.28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12,041,667.62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3,139,050.92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1,894,174.35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55,483,496.17</w:t>
            </w:r>
          </w:p>
        </w:tc>
      </w:tr>
    </w:tbl>
    <w:p>
      <w:pPr>
        <w:pStyle w:val="Style41"/>
        <w:keepNext w:val="0"/>
        <w:keepLines w:val="0"/>
        <w:widowControl w:val="0"/>
        <w:shd w:val="clear" w:color="auto" w:fill="auto"/>
        <w:bidi w:val="0"/>
        <w:spacing w:before="0" w:after="0" w:line="240" w:lineRule="auto"/>
        <w:ind w:left="374"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76.63%</w:t>
      </w:r>
      <w:r>
        <w:rPr>
          <w:color w:val="000000"/>
          <w:spacing w:val="0"/>
          <w:w w:val="100"/>
          <w:position w:val="0"/>
        </w:rPr>
        <w:t>。</w:t>
      </w:r>
    </w:p>
    <w:p>
      <w:pPr>
        <w:pStyle w:val="Style44"/>
        <w:keepNext/>
        <w:keepLines/>
        <w:widowControl w:val="0"/>
        <w:shd w:val="clear" w:color="auto" w:fill="auto"/>
        <w:bidi w:val="0"/>
        <w:spacing w:before="0" w:after="0" w:line="691" w:lineRule="exact"/>
        <w:ind w:left="380" w:right="0" w:hanging="380"/>
        <w:jc w:val="left"/>
        <w:rPr>
          <w:sz w:val="16"/>
          <w:szCs w:val="16"/>
        </w:rPr>
      </w:pPr>
      <w:bookmarkStart w:id="1239" w:name="bookmark1239"/>
      <w:bookmarkStart w:id="1240" w:name="bookmark1240"/>
      <w:bookmarkStart w:id="1241" w:name="bookmark1241"/>
      <w:bookmarkStart w:id="1242" w:name="bookmark1242"/>
      <w:r>
        <w:rPr>
          <w:color w:val="000000"/>
          <w:spacing w:val="0"/>
          <w:w w:val="100"/>
          <w:position w:val="0"/>
          <w:sz w:val="20"/>
          <w:szCs w:val="20"/>
        </w:rPr>
        <w:t>（</w:t>
      </w:r>
      <w:bookmarkEnd w:id="124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）未办妥产权证书的土地使用权情况 </w:t>
      </w:r>
      <w:r>
        <w:rPr>
          <w:b w:val="0"/>
          <w:bCs w:val="0"/>
          <w:color w:val="000000"/>
          <w:spacing w:val="0"/>
          <w:w w:val="100"/>
          <w:position w:val="0"/>
          <w:sz w:val="16"/>
          <w:szCs w:val="16"/>
        </w:rPr>
        <w:t>无。</w:t>
      </w:r>
      <w:bookmarkEnd w:id="1239"/>
      <w:bookmarkEnd w:id="1240"/>
      <w:bookmarkEnd w:id="1242"/>
    </w:p>
    <w:p>
      <w:pPr>
        <w:pStyle w:val="Style36"/>
        <w:keepNext/>
        <w:keepLines/>
        <w:widowControl w:val="0"/>
        <w:shd w:val="clear" w:color="auto" w:fill="auto"/>
        <w:bidi w:val="0"/>
        <w:spacing w:before="0" w:after="400" w:line="691" w:lineRule="exact"/>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、开发支出</w:t>
      </w:r>
      <w:bookmarkEnd w:id="1243"/>
      <w:bookmarkEnd w:id="1244"/>
      <w:bookmarkEnd w:id="124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内部开发支</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转入当期损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批量扫描盖 章机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5,465,753.61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1,076,043.65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6,541,797.26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桌面式智能</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批量盖章一</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5,166,213.24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1,190,219.83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6,356,433.07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电脑验印系 统辅助对比 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2,128,001.85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2,128,001.85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金融区块链 基础平台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11,515,211.2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11,515,211.2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智能尾箱柜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3,019,949.85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3,019,949.85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智能合同比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888,977.91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888,977.91</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规管理平台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1,584,948.27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12,759,968.7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19,275,350.7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14,483,178.6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2,128,001.85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15,424,139.0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本期开发支出为</w:t>
      </w:r>
      <w:r>
        <w:rPr>
          <w:rFonts w:ascii="Times New Roman" w:eastAsia="Times New Roman" w:hAnsi="Times New Roman" w:cs="Times New Roman"/>
          <w:color w:val="000000"/>
          <w:spacing w:val="0"/>
          <w:w w:val="100"/>
          <w:position w:val="0"/>
          <w:sz w:val="18"/>
          <w:szCs w:val="18"/>
        </w:rPr>
        <w:t>19,275,350.77</w:t>
      </w:r>
      <w:r>
        <w:rPr>
          <w:color w:val="000000"/>
          <w:spacing w:val="0"/>
          <w:w w:val="100"/>
          <w:position w:val="0"/>
        </w:rPr>
        <w:t>元，占本期研究开发项目支出总额的</w:t>
      </w:r>
      <w:r>
        <w:rPr>
          <w:rFonts w:ascii="Times New Roman" w:eastAsia="Times New Roman" w:hAnsi="Times New Roman" w:cs="Times New Roman"/>
          <w:color w:val="000000"/>
          <w:spacing w:val="0"/>
          <w:w w:val="100"/>
          <w:position w:val="0"/>
          <w:sz w:val="18"/>
          <w:szCs w:val="18"/>
        </w:rPr>
        <w:t>23.47%</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both"/>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13</w:t>
      </w:r>
      <w:r>
        <w:rPr>
          <w:color w:val="000000"/>
          <w:spacing w:val="0"/>
          <w:w w:val="100"/>
          <w:position w:val="0"/>
        </w:rPr>
        <w:t>、商誉</w:t>
      </w:r>
      <w:bookmarkEnd w:id="1247"/>
      <w:bookmarkEnd w:id="1248"/>
      <w:bookmarkEnd w:id="1249"/>
    </w:p>
    <w:p>
      <w:pPr>
        <w:pStyle w:val="Style44"/>
        <w:keepNext/>
        <w:keepLines/>
        <w:widowControl w:val="0"/>
        <w:shd w:val="clear" w:color="auto" w:fill="auto"/>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0"/>
      <w:bookmarkEnd w:id="1251"/>
      <w:bookmarkEnd w:id="125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北京亿美软通科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151,738,925.12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151,738,925.12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安科创新（深圳）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3,878,999.54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3,878,999.54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155,617,924.66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155,617,924.66</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54"/>
      <w:bookmarkEnd w:id="1255"/>
      <w:bookmarkEnd w:id="125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北京亿美软通科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安科创新（深圳）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商誉所在资产组或资产组组合的相关信息</w:t>
      </w:r>
    </w:p>
    <w:p>
      <w:pPr>
        <w:pStyle w:val="Style17"/>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北京亿美软通科技有限公司</w:t>
      </w:r>
    </w:p>
    <w:tbl>
      <w:tblPr>
        <w:tblOverlap w:val="never"/>
        <w:jc w:val="center"/>
        <w:tblLayout w:type="fixed"/>
      </w:tblPr>
      <w:tblGrid>
        <w:gridCol w:w="4848"/>
        <w:gridCol w:w="4829"/>
      </w:tblGrid>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北京亿美软通科技有限公司</w:t>
            </w:r>
          </w:p>
        </w:tc>
      </w:tr>
      <w:tr>
        <w:trPr>
          <w:trHeight w:val="9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北京亿美软通科技有限公司</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固定资产、无形资产、长期待摊费用、商誉和表外可识别无形 资产</w:t>
            </w:r>
          </w:p>
        </w:tc>
      </w:tr>
    </w:tbl>
    <w:p>
      <w:pPr>
        <w:spacing w:lineRule="exact" w:line="1"/>
        <w:rPr>
          <w:sz w:val="2"/>
          <w:szCs w:val="2"/>
        </w:rPr>
      </w:pPr>
      <w:r>
        <w:br w:type="page"/>
      </w:r>
    </w:p>
    <w:tbl>
      <w:tblPr>
        <w:tblOverlap w:val="never"/>
        <w:jc w:val="center"/>
        <w:tblLayout w:type="fixed"/>
      </w:tblPr>
      <w:tblGrid>
        <w:gridCol w:w="4848"/>
        <w:gridCol w:w="4829"/>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959. </w:t>
            </w:r>
            <w:r>
              <w:rPr>
                <w:color w:val="000000"/>
                <w:spacing w:val="0"/>
                <w:w w:val="100"/>
                <w:position w:val="0"/>
                <w:sz w:val="18"/>
                <w:szCs w:val="18"/>
              </w:rPr>
              <w:t>35</w:t>
            </w:r>
            <w:r>
              <w:rPr>
                <w:color w:val="000000"/>
                <w:spacing w:val="0"/>
                <w:w w:val="100"/>
                <w:position w:val="0"/>
              </w:rPr>
              <w:t>万元</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资产组或资产组组合的确定方法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亿美软通生产的产品存在活跃市场，可以带来独立的现金流， 可将其认定为一个单独的资产组。</w:t>
            </w:r>
          </w:p>
        </w:tc>
      </w:tr>
      <w:tr>
        <w:trPr>
          <w:trHeight w:val="6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41"/>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安科创新（深圳）有限公司</w:t>
      </w:r>
    </w:p>
    <w:tbl>
      <w:tblPr>
        <w:tblOverlap w:val="never"/>
        <w:jc w:val="center"/>
        <w:tblLayout w:type="fixed"/>
      </w:tblPr>
      <w:tblGrid>
        <w:gridCol w:w="4848"/>
        <w:gridCol w:w="4829"/>
      </w:tblGrid>
      <w:tr>
        <w:trPr>
          <w:trHeight w:val="36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安科创新（深圳）有限公司</w:t>
            </w:r>
          </w:p>
        </w:tc>
      </w:tr>
      <w:tr>
        <w:trPr>
          <w:trHeight w:val="9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安科创新（深圳）有限公司</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货币资金、经营性权益资产、商誉、存货、固定资产和可辨识 无形资产及待摊费用</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11,570.97</w:t>
            </w:r>
            <w:r>
              <w:rPr>
                <w:color w:val="000000"/>
                <w:spacing w:val="0"/>
                <w:w w:val="100"/>
                <w:position w:val="0"/>
              </w:rPr>
              <w:t>万元</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资产组或资产组组合的确定方法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安科创新的产品存在活跃市场，可以带来独立的现金流，可将 其认定为一个单独的资产组。</w:t>
            </w:r>
          </w:p>
        </w:tc>
      </w:tr>
      <w:tr>
        <w:trPr>
          <w:trHeight w:val="6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资产组或资产组组合是否与购买日、以前年度商誉减值测试时 所确定的资产组或资产组组合一致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79" w:line="1" w:lineRule="exact"/>
      </w:pPr>
    </w:p>
    <w:p>
      <w:pPr>
        <w:pStyle w:val="Style17"/>
        <w:keepNext w:val="0"/>
        <w:keepLines w:val="0"/>
        <w:widowControl w:val="0"/>
        <w:shd w:val="clear" w:color="auto" w:fill="auto"/>
        <w:bidi w:val="0"/>
        <w:spacing w:before="0" w:after="22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41"/>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商誉减值测试情况</w:t>
      </w:r>
    </w:p>
    <w:tbl>
      <w:tblPr>
        <w:tblOverlap w:val="never"/>
        <w:jc w:val="center"/>
        <w:tblLayout w:type="fixed"/>
      </w:tblPr>
      <w:tblGrid>
        <w:gridCol w:w="4099"/>
        <w:gridCol w:w="2837"/>
        <w:gridCol w:w="2736"/>
      </w:tblGrid>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北京亿美软通科技有限公司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安科创新（深圳）有限公司</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151,738,925.12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3,878,999.54</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151,738,925.12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3,878,999.54</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 xml:space="preserve">3,726, </w:t>
            </w:r>
            <w:r>
              <w:rPr>
                <w:color w:val="000000"/>
                <w:spacing w:val="0"/>
                <w:w w:val="100"/>
                <w:position w:val="0"/>
                <w:sz w:val="18"/>
                <w:szCs w:val="18"/>
              </w:rPr>
              <w:t>881.91</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包含未确认归属于少数股东权益的商誉价值⑤=</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④+③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151,738,925.12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7,605,881.45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拆分后分摊至各资产组的包含未确认归属于少数 股东权益的商誉价值⑥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151,738,925.12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7,605,881.45</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959.35</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11,570.97 </w:t>
            </w:r>
            <w:r>
              <w:rPr>
                <w:color w:val="000000"/>
                <w:spacing w:val="0"/>
                <w:w w:val="100"/>
                <w:position w:val="0"/>
              </w:rPr>
              <w:t>万元</w:t>
            </w:r>
          </w:p>
        </w:tc>
      </w:tr>
      <w:tr>
        <w:trPr>
          <w:trHeight w:val="46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包含整体商誉的资产组的账面价值⑧</w:t>
            </w:r>
            <w:r>
              <w:rPr>
                <w:color w:val="000000"/>
                <w:spacing w:val="0"/>
                <w:w w:val="100"/>
                <w:position w:val="0"/>
              </w:rPr>
              <w:t>=©+</w:t>
            </w:r>
            <w:r>
              <w:rPr>
                <w:color w:val="000000"/>
                <w:spacing w:val="0"/>
                <w:w w:val="100"/>
                <w:position w:val="0"/>
              </w:rPr>
              <w:t>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16,133.24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12,331.56 </w:t>
            </w:r>
            <w:r>
              <w:rPr>
                <w:color w:val="000000"/>
                <w:spacing w:val="0"/>
                <w:w w:val="100"/>
                <w:position w:val="0"/>
              </w:rPr>
              <w:t>万元</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资产组或资产组组合可收回金额⑨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17,032.00 </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both"/>
            </w:pPr>
            <w:r>
              <w:rPr>
                <w:color w:val="000000"/>
                <w:spacing w:val="0"/>
                <w:w w:val="100"/>
                <w:position w:val="0"/>
                <w:sz w:val="18"/>
                <w:szCs w:val="18"/>
              </w:rPr>
              <w:t xml:space="preserve">55,658. </w:t>
            </w:r>
            <w:r>
              <w:rPr>
                <w:color w:val="000000"/>
                <w:spacing w:val="0"/>
                <w:w w:val="100"/>
                <w:position w:val="0"/>
                <w:sz w:val="18"/>
                <w:szCs w:val="18"/>
              </w:rPr>
              <w:t xml:space="preserve">21 </w:t>
            </w:r>
            <w:r>
              <w:rPr>
                <w:color w:val="000000"/>
                <w:spacing w:val="0"/>
                <w:w w:val="100"/>
                <w:position w:val="0"/>
              </w:rPr>
              <w:t>万元</w:t>
            </w:r>
          </w:p>
        </w:tc>
      </w:tr>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商誉减值损失（⑩大于</w:t>
            </w:r>
            <w:r>
              <w:rPr>
                <w:color w:val="000000"/>
                <w:spacing w:val="0"/>
                <w:w w:val="100"/>
                <w:position w:val="0"/>
                <w:sz w:val="18"/>
                <w:szCs w:val="18"/>
              </w:rPr>
              <w:t>0</w:t>
            </w:r>
            <w:r>
              <w:rPr>
                <w:color w:val="000000"/>
                <w:spacing w:val="0"/>
                <w:w w:val="100"/>
                <w:position w:val="0"/>
              </w:rPr>
              <w:t>时）⑩二⑧-⑨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归属于本公司的商誉减值损失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119" w:line="1" w:lineRule="exact"/>
      </w:pPr>
    </w:p>
    <w:p>
      <w:pPr>
        <w:pStyle w:val="Style17"/>
        <w:keepNext w:val="0"/>
        <w:keepLines w:val="0"/>
        <w:widowControl w:val="0"/>
        <w:shd w:val="clear" w:color="auto" w:fill="auto"/>
        <w:bidi w:val="0"/>
        <w:spacing w:before="0" w:after="28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可收回金额的确定方法及依据</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北京亿美软通科技有限公司资产组的可收回金额参考利用万隆（上海）资产评估有限公司于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日出具的万隆 </w:t>
      </w:r>
      <w:r>
        <w:rPr>
          <w:color w:val="000000"/>
          <w:spacing w:val="0"/>
          <w:w w:val="100"/>
          <w:position w:val="0"/>
        </w:rPr>
        <w:t>评字（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10225</w:t>
      </w:r>
      <w:r>
        <w:rPr>
          <w:color w:val="000000"/>
          <w:spacing w:val="0"/>
          <w:w w:val="100"/>
          <w:position w:val="0"/>
        </w:rPr>
        <w:t>号《深圳市银之杰科技股份有限公司拟以财务报告为目的商誉减值测试涉及的合并北京亿美软通科技 有限公司后商誉所在的资产组可回收价值资产评估报告》资产评估报告，按被评估资产预计未来现金流量的现值确定资产组 的可回收价值。</w:t>
      </w:r>
    </w:p>
    <w:p>
      <w:pPr>
        <w:pStyle w:val="Style17"/>
        <w:keepNext w:val="0"/>
        <w:keepLines w:val="0"/>
        <w:widowControl w:val="0"/>
        <w:shd w:val="clear" w:color="auto" w:fill="auto"/>
        <w:bidi w:val="0"/>
        <w:spacing w:before="0" w:after="240" w:line="472" w:lineRule="exact"/>
        <w:ind w:left="0" w:right="0" w:firstLine="360"/>
        <w:jc w:val="both"/>
      </w:pPr>
      <w:r>
        <w:rPr>
          <w:color w:val="000000"/>
          <w:spacing w:val="0"/>
          <w:w w:val="100"/>
          <w:position w:val="0"/>
        </w:rPr>
        <w:t>安科创新（深圳）有限公司资产组的可收回金额参考管理层根据盈利预测提编制的收益法评估表，按被评估资产预计未 来现金流量的现值与公允价值减处置费用和相关税费后的净额孰高原则确定资产组的可回收价值。</w:t>
      </w:r>
    </w:p>
    <w:p>
      <w:pPr>
        <w:pStyle w:val="Style41"/>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关键参数:</w:t>
      </w:r>
    </w:p>
    <w:tbl>
      <w:tblPr>
        <w:tblOverlap w:val="never"/>
        <w:jc w:val="center"/>
        <w:tblLayout w:type="fixed"/>
      </w:tblPr>
      <w:tblGrid>
        <w:gridCol w:w="1622"/>
        <w:gridCol w:w="1766"/>
        <w:gridCol w:w="1877"/>
        <w:gridCol w:w="1320"/>
        <w:gridCol w:w="2246"/>
        <w:gridCol w:w="840"/>
      </w:tblGrid>
      <w:tr>
        <w:trPr>
          <w:trHeight w:val="47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稳定期增长率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北京亿美软通科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 xml:space="preserve">-2025 </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（后续为稳定期）</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840" w:val="left"/>
              </w:tabs>
              <w:bidi w:val="0"/>
              <w:spacing w:before="0" w:after="100" w:line="240" w:lineRule="auto"/>
              <w:ind w:left="0" w:right="0" w:firstLine="0"/>
              <w:jc w:val="left"/>
            </w:pPr>
            <w:r>
              <w:rPr>
                <w:color w:val="000000"/>
                <w:spacing w:val="0"/>
                <w:w w:val="100"/>
                <w:position w:val="0"/>
                <w:sz w:val="18"/>
                <w:szCs w:val="18"/>
              </w:rPr>
              <w:t>8.26%</w:t>
            </w:r>
            <w:r>
              <w:rPr>
                <w:color w:val="000000"/>
                <w:spacing w:val="0"/>
                <w:w w:val="100"/>
                <w:position w:val="0"/>
              </w:rPr>
              <w:t>、</w:t>
              <w:tab/>
            </w:r>
            <w:r>
              <w:rPr>
                <w:color w:val="000000"/>
                <w:spacing w:val="0"/>
                <w:w w:val="100"/>
                <w:position w:val="0"/>
                <w:sz w:val="18"/>
                <w:szCs w:val="18"/>
              </w:rPr>
              <w:t>12.77%</w:t>
            </w:r>
            <w:r>
              <w:rPr>
                <w:color w:val="000000"/>
                <w:spacing w:val="0"/>
                <w:w w:val="100"/>
                <w:position w:val="0"/>
              </w:rPr>
              <w:t>、</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11.84%</w:t>
            </w:r>
            <w:r>
              <w:rPr>
                <w:color w:val="000000"/>
                <w:spacing w:val="0"/>
                <w:w w:val="100"/>
                <w:position w:val="0"/>
              </w:rPr>
              <w:t>、</w:t>
            </w:r>
            <w:r>
              <w:rPr>
                <w:color w:val="000000"/>
                <w:spacing w:val="0"/>
                <w:w w:val="100"/>
                <w:position w:val="0"/>
                <w:sz w:val="18"/>
                <w:szCs w:val="18"/>
              </w:rPr>
              <w:t>11.23%</w:t>
            </w:r>
            <w:r>
              <w:rPr>
                <w:color w:val="000000"/>
                <w:spacing w:val="0"/>
                <w:w w:val="100"/>
                <w:position w:val="0"/>
              </w:rPr>
              <w:t>、</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4.93%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6.68%</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8.37%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13.31%</w:t>
            </w:r>
          </w:p>
        </w:tc>
      </w:tr>
      <w:tr>
        <w:trPr>
          <w:trHeight w:val="76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安科创新（深圳）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 xml:space="preserve">-2025 </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（后续为稳定期）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888" w:val="left"/>
              </w:tabs>
              <w:bidi w:val="0"/>
              <w:spacing w:before="0" w:after="100" w:line="240" w:lineRule="auto"/>
              <w:ind w:left="0" w:right="0" w:firstLine="0"/>
              <w:jc w:val="left"/>
            </w:pPr>
            <w:r>
              <w:rPr>
                <w:color w:val="000000"/>
                <w:spacing w:val="0"/>
                <w:w w:val="100"/>
                <w:position w:val="0"/>
                <w:sz w:val="18"/>
                <w:szCs w:val="18"/>
              </w:rPr>
              <w:t>7.00%</w:t>
            </w:r>
            <w:r>
              <w:rPr>
                <w:color w:val="000000"/>
                <w:spacing w:val="0"/>
                <w:w w:val="100"/>
                <w:position w:val="0"/>
              </w:rPr>
              <w:t>、</w:t>
              <w:tab/>
            </w:r>
            <w:r>
              <w:rPr>
                <w:color w:val="000000"/>
                <w:spacing w:val="0"/>
                <w:w w:val="100"/>
                <w:position w:val="0"/>
                <w:sz w:val="18"/>
                <w:szCs w:val="18"/>
              </w:rPr>
              <w:t>9.00%</w:t>
            </w:r>
            <w:r>
              <w:rPr>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w:t>
            </w:r>
            <w:r>
              <w:rPr>
                <w:color w:val="000000"/>
                <w:spacing w:val="0"/>
                <w:w w:val="100"/>
                <w:position w:val="0"/>
                <w:sz w:val="16"/>
                <w:szCs w:val="16"/>
              </w:rPr>
              <w:t>、</w:t>
            </w:r>
            <w:r>
              <w:rPr>
                <w:color w:val="000000"/>
                <w:spacing w:val="0"/>
                <w:w w:val="100"/>
                <w:position w:val="0"/>
                <w:sz w:val="18"/>
                <w:szCs w:val="18"/>
              </w:rPr>
              <w:t>8.50%</w:t>
            </w:r>
            <w:r>
              <w:rPr>
                <w:color w:val="000000"/>
                <w:spacing w:val="0"/>
                <w:w w:val="100"/>
                <w:position w:val="0"/>
                <w:sz w:val="16"/>
                <w:szCs w:val="16"/>
              </w:rPr>
              <w:t>、</w:t>
            </w: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12.18%</w:t>
            </w:r>
            <w:r>
              <w:rPr>
                <w:color w:val="000000"/>
                <w:spacing w:val="0"/>
                <w:w w:val="100"/>
                <w:position w:val="0"/>
              </w:rPr>
              <w:t>、</w:t>
            </w:r>
          </w:p>
          <w:p>
            <w:pPr>
              <w:pStyle w:val="Style29"/>
              <w:keepNext w:val="0"/>
              <w:keepLines w:val="0"/>
              <w:widowControl w:val="0"/>
              <w:shd w:val="clear" w:color="auto" w:fill="auto"/>
              <w:tabs>
                <w:tab w:pos="73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w:t>
              <w:tab/>
              <w:t>11.5%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14.03%</w:t>
            </w:r>
          </w:p>
        </w:tc>
      </w:tr>
    </w:tbl>
    <w:p>
      <w:pPr>
        <w:widowControl w:val="0"/>
        <w:spacing w:after="139" w:line="1" w:lineRule="exact"/>
      </w:pPr>
    </w:p>
    <w:p>
      <w:pPr>
        <w:pStyle w:val="Style17"/>
        <w:keepNext w:val="0"/>
        <w:keepLines w:val="0"/>
        <w:widowControl w:val="0"/>
        <w:shd w:val="clear" w:color="auto" w:fill="auto"/>
        <w:bidi w:val="0"/>
        <w:spacing w:before="0" w:after="240" w:line="240" w:lineRule="auto"/>
        <w:ind w:left="0" w:right="0" w:firstLine="360"/>
        <w:jc w:val="both"/>
      </w:pPr>
      <w:r>
        <w:rPr>
          <w:color w:val="000000"/>
          <w:spacing w:val="0"/>
          <w:w w:val="100"/>
          <w:position w:val="0"/>
        </w:rPr>
        <w:t>经测试，公司管理层预计报告期内，商誉无需计提减值准备。</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商誉减值测试的影响</w:t>
      </w:r>
    </w:p>
    <w:p>
      <w:pPr>
        <w:pStyle w:val="Style17"/>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both"/>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14</w:t>
      </w:r>
      <w:r>
        <w:rPr>
          <w:color w:val="000000"/>
          <w:spacing w:val="0"/>
          <w:w w:val="100"/>
          <w:position w:val="0"/>
        </w:rPr>
        <w:t>、长期待摊费用</w:t>
      </w:r>
      <w:bookmarkEnd w:id="1258"/>
      <w:bookmarkEnd w:id="1259"/>
      <w:bookmarkEnd w:id="126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987,551.60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418,183.13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638,675.41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企业邮箱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122,574.47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170,283.01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201,114.97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模具开发费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160,195.04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106,796.64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53,398.40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3,556,940.99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1,379,658.73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953,359.47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3,983,240.25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644,969.66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77,605.66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478,157.94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244,417.38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5,472,231.76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1,696,854.34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2,048,239.69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5,120,846.41</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61"/>
      <w:bookmarkEnd w:id="1262"/>
      <w:bookmarkEnd w:id="1263"/>
    </w:p>
    <w:p>
      <w:pPr>
        <w:pStyle w:val="Style44"/>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64"/>
      <w:bookmarkEnd w:id="1265"/>
      <w:bookmarkEnd w:id="126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2,205,730.90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330,859.64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68,954,319.58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10,450,101.47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61,417,693.88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9,339,639.17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2,367,203.33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44,823.67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1,422,163.50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231,930.79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167,976,874.86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25,713,746.44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224,491,779.09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35,437,372.75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241,504,128.67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36,539,531.22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287,331,636.47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45,008,942.71</w:t>
            </w:r>
          </w:p>
        </w:tc>
      </w:tr>
    </w:tbl>
    <w:p>
      <w:pPr>
        <w:widowControl w:val="0"/>
        <w:spacing w:after="319" w:line="1" w:lineRule="exact"/>
      </w:pPr>
    </w:p>
    <w:p>
      <w:pPr>
        <w:pStyle w:val="Style44"/>
        <w:keepNext/>
        <w:keepLines/>
        <w:widowControl w:val="0"/>
        <w:numPr>
          <w:ilvl w:val="0"/>
          <w:numId w:val="111"/>
        </w:numPr>
        <w:shd w:val="clear" w:color="auto" w:fill="auto"/>
        <w:bidi w:val="0"/>
        <w:spacing w:before="0" w:after="40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未经抵销的递延所得税负债</w:t>
      </w:r>
      <w:bookmarkEnd w:id="1267"/>
      <w:bookmarkEnd w:id="1268"/>
      <w:bookmarkEnd w:id="1270"/>
    </w:p>
    <w:p>
      <w:pPr>
        <w:pStyle w:val="Style17"/>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待摊票据贴现利息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792,443.75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18,931,727.98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2,839,759.19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25,737,954.60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3,860,693.19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19,724,171.73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2,958,625.75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25,737,954.60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3,860,693.19</w:t>
            </w:r>
          </w:p>
        </w:tc>
      </w:tr>
    </w:tbl>
    <w:p>
      <w:pPr>
        <w:widowControl w:val="0"/>
        <w:spacing w:after="319" w:line="1" w:lineRule="exact"/>
      </w:pPr>
    </w:p>
    <w:p>
      <w:pPr>
        <w:pStyle w:val="Style44"/>
        <w:keepNext/>
        <w:keepLines/>
        <w:widowControl w:val="0"/>
        <w:numPr>
          <w:ilvl w:val="0"/>
          <w:numId w:val="111"/>
        </w:numPr>
        <w:shd w:val="clear" w:color="auto" w:fill="auto"/>
        <w:bidi w:val="0"/>
        <w:spacing w:before="0" w:after="400" w:line="240" w:lineRule="auto"/>
        <w:ind w:left="0" w:right="0" w:firstLine="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以抵销后净额列示的递延所得税资产或负债</w:t>
      </w:r>
      <w:bookmarkEnd w:id="1271"/>
      <w:bookmarkEnd w:id="1272"/>
      <w:bookmarkEnd w:id="1274"/>
    </w:p>
    <w:p>
      <w:pPr>
        <w:pStyle w:val="Style17"/>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910"/>
        <w:gridCol w:w="1910"/>
        <w:gridCol w:w="1915"/>
        <w:gridCol w:w="192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36,539,531.22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45,008,942.71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2,958,625.75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3,860,693.19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275"/>
      <w:bookmarkEnd w:id="1276"/>
      <w:bookmarkEnd w:id="1278"/>
    </w:p>
    <w:p>
      <w:pPr>
        <w:pStyle w:val="Style17"/>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279"/>
      <w:bookmarkEnd w:id="1280"/>
      <w:bookmarkEnd w:id="1282"/>
    </w:p>
    <w:p>
      <w:pPr>
        <w:pStyle w:val="Style44"/>
        <w:keepNext/>
        <w:keepLines/>
        <w:widowControl w:val="0"/>
        <w:shd w:val="clear" w:color="auto" w:fill="auto"/>
        <w:bidi w:val="0"/>
        <w:spacing w:before="0" w:after="400" w:line="240" w:lineRule="auto"/>
        <w:ind w:left="0" w:right="0" w:firstLine="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83"/>
      <w:bookmarkEnd w:id="1284"/>
      <w:bookmarkEnd w:id="1285"/>
    </w:p>
    <w:p>
      <w:pPr>
        <w:pStyle w:val="Style17"/>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234,900,000.00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保证借款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54,900,000.00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质押及保证借款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763,195.60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456,086.25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465,563,195.60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330,456,086.25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7"/>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保证借款期末余额其中：</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万元系本公司取得的借款，由深圳市高新投融资担保有限公司提供连带责任保 证；</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万元系本公司之全资子公司北京亿美软通科技有限公司取得的借款，由本公司提供连带责任保证；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 系本公司之全资子公司深圳银之杰智慧科技有限公司取得的借款，由本公司提供连带责任保证；</w:t>
      </w:r>
      <w:r>
        <w:rPr>
          <w:rFonts w:ascii="Times New Roman" w:eastAsia="Times New Roman" w:hAnsi="Times New Roman" w:cs="Times New Roman"/>
          <w:color w:val="000000"/>
          <w:spacing w:val="0"/>
          <w:w w:val="100"/>
          <w:position w:val="0"/>
          <w:sz w:val="18"/>
          <w:szCs w:val="18"/>
        </w:rPr>
        <w:t>990.00</w:t>
      </w:r>
      <w:r>
        <w:rPr>
          <w:color w:val="000000"/>
          <w:spacing w:val="0"/>
          <w:w w:val="100"/>
          <w:position w:val="0"/>
        </w:rPr>
        <w:t>万元系本公司之控股 子公司安科创新(深圳)有限公司取得的借款，由本公司提供连带责任保证。</w:t>
      </w:r>
    </w:p>
    <w:p>
      <w:pPr>
        <w:pStyle w:val="Style17"/>
        <w:keepNext w:val="0"/>
        <w:keepLines w:val="0"/>
        <w:widowControl w:val="0"/>
        <w:shd w:val="clear" w:color="auto" w:fill="auto"/>
        <w:bidi w:val="0"/>
        <w:spacing w:before="0" w:after="460" w:line="485"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质押及保证借款期末余额</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万元系本公司之全资子公司北京亿美软通科技有限公司取得的借款，由该公司应 收账款质押担保，并由该公司董事长冯军及配偶刘佳提供连带责任保证。</w:t>
      </w:r>
    </w:p>
    <w:p>
      <w:pPr>
        <w:pStyle w:val="Style44"/>
        <w:keepNext/>
        <w:keepLines/>
        <w:widowControl w:val="0"/>
        <w:shd w:val="clear" w:color="auto" w:fill="auto"/>
        <w:bidi w:val="0"/>
        <w:spacing w:before="0" w:after="460" w:line="240" w:lineRule="auto"/>
        <w:ind w:left="0" w:right="0" w:firstLine="0"/>
        <w:jc w:val="both"/>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86"/>
      <w:bookmarkEnd w:id="1287"/>
      <w:bookmarkEnd w:id="1288"/>
    </w:p>
    <w:p>
      <w:pPr>
        <w:pStyle w:val="Style17"/>
        <w:keepNext w:val="0"/>
        <w:keepLines w:val="0"/>
        <w:widowControl w:val="0"/>
        <w:shd w:val="clear" w:color="auto" w:fill="auto"/>
        <w:bidi w:val="0"/>
        <w:spacing w:before="0" w:after="460" w:line="472" w:lineRule="exact"/>
        <w:ind w:left="0" w:right="0" w:firstLine="36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8</w:t>
      </w:r>
      <w:r>
        <w:rPr>
          <w:color w:val="000000"/>
          <w:spacing w:val="0"/>
          <w:w w:val="100"/>
          <w:position w:val="0"/>
        </w:rPr>
        <w:t>、交易性金融负债</w:t>
      </w:r>
      <w:bookmarkEnd w:id="1289"/>
      <w:bookmarkEnd w:id="1290"/>
      <w:bookmarkEnd w:id="129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其中：远期外汇交易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both"/>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93"/>
      <w:bookmarkEnd w:id="1294"/>
      <w:bookmarkEnd w:id="129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46,769,379.06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22,159,856.89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46,769,379.06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25,159,856.89</w:t>
            </w:r>
          </w:p>
        </w:tc>
      </w:tr>
    </w:tbl>
    <w:p>
      <w:pPr>
        <w:pStyle w:val="Style4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6"/>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97"/>
      <w:bookmarkEnd w:id="1298"/>
      <w:bookmarkEnd w:id="1300"/>
    </w:p>
    <w:p>
      <w:pPr>
        <w:pStyle w:val="Style44"/>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1"/>
      <w:bookmarkEnd w:id="1302"/>
      <w:bookmarkEnd w:id="130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58,443,391.30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54,740,409.48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3,982,903.27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2,172,908.34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752,800.64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1,150,548.84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268,327.43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433,360.24</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63,447,422.64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58,497,226.90</w:t>
            </w:r>
          </w:p>
        </w:tc>
      </w:tr>
    </w:tbl>
    <w:p>
      <w:pPr>
        <w:widowControl w:val="0"/>
        <w:spacing w:after="319" w:line="1" w:lineRule="exact"/>
      </w:pPr>
    </w:p>
    <w:p>
      <w:pPr>
        <w:pStyle w:val="Style44"/>
        <w:keepNext/>
        <w:keepLines/>
        <w:widowControl w:val="0"/>
        <w:shd w:val="clear" w:color="auto" w:fill="auto"/>
        <w:bidi w:val="0"/>
        <w:spacing w:before="0" w:after="460" w:line="240" w:lineRule="auto"/>
        <w:ind w:left="0" w:right="0" w:firstLine="0"/>
        <w:jc w:val="left"/>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4"/>
      <w:bookmarkEnd w:id="1305"/>
      <w:bookmarkEnd w:id="1306"/>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年的重要应付款项。</w:t>
      </w:r>
    </w:p>
    <w:p>
      <w:pPr>
        <w:pStyle w:val="Style36"/>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07"/>
      <w:bookmarkEnd w:id="1308"/>
      <w:bookmarkEnd w:id="1310"/>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31,667,217.15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25,452,214.79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7,745,119.07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14,751,110.26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9,051,260.52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16,256,125.23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9,295,746.67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30,432,739.85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57,759,343.41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86,892,190.13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99" w:line="1" w:lineRule="exact"/>
      </w:pPr>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11"/>
      <w:bookmarkEnd w:id="1312"/>
      <w:bookmarkEnd w:id="1314"/>
    </w:p>
    <w:p>
      <w:pPr>
        <w:pStyle w:val="Style44"/>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5"/>
      <w:bookmarkEnd w:id="1316"/>
      <w:bookmarkEnd w:id="131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14,901,735.86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145,158,552.94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147,392,891.51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12,667,397.29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463,340.60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1,378,642.56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1,338,602.17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503,380.99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15,365,076.46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146,537,195.50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148,731,493.68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13,170,778.28</w:t>
            </w:r>
          </w:p>
        </w:tc>
      </w:tr>
    </w:tbl>
    <w:p>
      <w:pPr>
        <w:spacing w:lineRule="exact" w:line="1"/>
        <w:rPr>
          <w:sz w:val="2"/>
          <w:szCs w:val="2"/>
        </w:rPr>
      </w:pPr>
      <w:r>
        <w:br w:type="page"/>
      </w:r>
    </w:p>
    <w:p>
      <w:pPr>
        <w:pStyle w:val="Style44"/>
        <w:keepNext/>
        <w:keepLines/>
        <w:widowControl w:val="0"/>
        <w:shd w:val="clear" w:color="auto" w:fill="auto"/>
        <w:bidi w:val="0"/>
        <w:spacing w:before="0" w:after="400" w:line="240" w:lineRule="auto"/>
        <w:ind w:left="0" w:right="0" w:firstLine="0"/>
        <w:jc w:val="left"/>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8"/>
      <w:bookmarkEnd w:id="1319"/>
      <w:bookmarkEnd w:id="1320"/>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14,171,419.25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131,605,058.54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133,794,443.83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11,982,033.96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319,178.00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2,905,236.62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2,964,614.62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329,872.37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4,755,154.83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4,725,436.11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359,591.09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296,128.48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4,393,114.96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4,360,505.37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328,738.07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23,951.76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25,227.60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342,698.05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340,978.98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26,946.67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53,746.24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5,563,870.54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5,569,628.54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47,988.24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、商业保险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324,505.17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334,041.17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17,984.00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14,901,735.86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145,158,552.94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147,392,891.51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12,667,397.29</w:t>
            </w:r>
          </w:p>
        </w:tc>
      </w:tr>
    </w:tbl>
    <w:p>
      <w:pPr>
        <w:widowControl w:val="0"/>
        <w:spacing w:after="319" w:line="1" w:lineRule="exact"/>
      </w:pPr>
    </w:p>
    <w:p>
      <w:pPr>
        <w:pStyle w:val="Style44"/>
        <w:keepNext/>
        <w:keepLines/>
        <w:widowControl w:val="0"/>
        <w:numPr>
          <w:ilvl w:val="0"/>
          <w:numId w:val="113"/>
        </w:numPr>
        <w:shd w:val="clear" w:color="auto" w:fill="auto"/>
        <w:bidi w:val="0"/>
        <w:spacing w:before="0" w:after="40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设定提存计划列示</w:t>
      </w:r>
      <w:bookmarkEnd w:id="1321"/>
      <w:bookmarkEnd w:id="1322"/>
      <w:bookmarkEnd w:id="1324"/>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442,655.44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987,699.89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1,187,034.80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243,320.53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20,685.16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59,064.82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7,324.46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残疾人就业保障金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345,238.55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252,736.00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463,340.60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1,378,642.56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1,338,602.17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503,380.99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25"/>
      <w:bookmarkEnd w:id="1326"/>
      <w:bookmarkEnd w:id="1328"/>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31,002,560.03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32,000,730.72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19,335,703.76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43,127,851.82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410,982.94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418,137.56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534,019.82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422,293.91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381,442.75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301,638.53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31,280.50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28,286.87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51,695,989.80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76,298,939.41</w:t>
            </w:r>
          </w:p>
        </w:tc>
      </w:tr>
    </w:tbl>
    <w:p>
      <w:pPr>
        <w:pStyle w:val="Style36"/>
        <w:keepNext/>
        <w:keepLines/>
        <w:widowControl w:val="0"/>
        <w:shd w:val="clear" w:color="auto" w:fill="auto"/>
        <w:bidi w:val="0"/>
        <w:spacing w:before="0" w:after="38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329"/>
      <w:bookmarkEnd w:id="1330"/>
      <w:bookmarkEnd w:id="133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3,235,208.22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4,023,030.58</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3,235,208.22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4,023,030.58</w:t>
            </w:r>
          </w:p>
        </w:tc>
      </w:tr>
    </w:tbl>
    <w:p>
      <w:pPr>
        <w:widowControl w:val="0"/>
        <w:spacing w:after="319" w:line="1" w:lineRule="exact"/>
      </w:pPr>
    </w:p>
    <w:p>
      <w:pPr>
        <w:pStyle w:val="Style44"/>
        <w:keepNext/>
        <w:keepLines/>
        <w:widowControl w:val="0"/>
        <w:shd w:val="clear" w:color="auto" w:fill="auto"/>
        <w:tabs>
          <w:tab w:pos="493" w:val="left"/>
        </w:tabs>
        <w:bidi w:val="0"/>
        <w:spacing w:before="0" w:after="4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333"/>
      <w:bookmarkEnd w:id="1334"/>
      <w:bookmarkEnd w:id="1336"/>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460" w:line="240" w:lineRule="auto"/>
        <w:ind w:left="0" w:right="0" w:firstLine="0"/>
        <w:jc w:val="both"/>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337"/>
      <w:bookmarkEnd w:id="1338"/>
      <w:bookmarkEnd w:id="1340"/>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341"/>
      <w:bookmarkEnd w:id="1342"/>
      <w:bookmarkEnd w:id="1344"/>
    </w:p>
    <w:p>
      <w:pPr>
        <w:pStyle w:val="Style65"/>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1</w:t>
      </w:r>
      <w:bookmarkEnd w:id="1347"/>
      <w:r>
        <w:rPr>
          <w:color w:val="000000"/>
          <w:spacing w:val="0"/>
          <w:w w:val="100"/>
          <w:position w:val="0"/>
        </w:rPr>
        <w:t>）按款项性质列示其他应付款</w:t>
      </w:r>
      <w:bookmarkEnd w:id="1345"/>
      <w:bookmarkEnd w:id="1346"/>
      <w:bookmarkEnd w:id="134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333,255.47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1,468,669.13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3,003,640.55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622,793.81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943,165.38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105,124.90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686,134.56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3,235,208.22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4,023,030.58</w:t>
            </w:r>
          </w:p>
        </w:tc>
      </w:tr>
    </w:tbl>
    <w:p>
      <w:pPr>
        <w:widowControl w:val="0"/>
        <w:spacing w:after="319" w:line="1" w:lineRule="exact"/>
      </w:pPr>
    </w:p>
    <w:p>
      <w:pPr>
        <w:pStyle w:val="Style65"/>
        <w:keepNext/>
        <w:keepLines/>
        <w:widowControl w:val="0"/>
        <w:shd w:val="clear" w:color="auto" w:fill="auto"/>
        <w:bidi w:val="0"/>
        <w:spacing w:before="0" w:after="46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49"/>
      <w:bookmarkEnd w:id="1350"/>
      <w:bookmarkEnd w:id="1352"/>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年的大额其他应付款。</w:t>
      </w:r>
    </w:p>
    <w:p>
      <w:pPr>
        <w:pStyle w:val="Style36"/>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353"/>
      <w:bookmarkEnd w:id="1354"/>
      <w:bookmarkEnd w:id="135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169,897.26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110,169,897.26</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357"/>
      <w:bookmarkEnd w:id="1358"/>
      <w:bookmarkEnd w:id="1360"/>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3,556,823.78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5,288,534.50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3,556,823.78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5,288,534.50</w:t>
            </w:r>
          </w:p>
        </w:tc>
      </w:tr>
    </w:tbl>
    <w:p>
      <w:pPr>
        <w:widowControl w:val="0"/>
        <w:spacing w:after="99" w:line="1" w:lineRule="exact"/>
      </w:pP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短期应付债券的增减变动:</w:t>
      </w:r>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7</w:t>
      </w:r>
      <w:r>
        <w:rPr>
          <w:color w:val="000000"/>
          <w:spacing w:val="0"/>
          <w:w w:val="100"/>
          <w:position w:val="0"/>
        </w:rPr>
        <w:t>、</w:t>
        <w:tab/>
        <w:t>长期借款</w:t>
      </w:r>
      <w:bookmarkEnd w:id="1361"/>
      <w:bookmarkEnd w:id="1362"/>
      <w:bookmarkEnd w:id="1364"/>
    </w:p>
    <w:p>
      <w:pPr>
        <w:pStyle w:val="Style44"/>
        <w:keepNext/>
        <w:keepLines/>
        <w:widowControl w:val="0"/>
        <w:shd w:val="clear" w:color="auto" w:fill="auto"/>
        <w:bidi w:val="0"/>
        <w:spacing w:before="0" w:after="460" w:line="240" w:lineRule="auto"/>
        <w:ind w:left="0" w:right="0" w:firstLine="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65"/>
      <w:bookmarkEnd w:id="1366"/>
      <w:bookmarkEnd w:id="1367"/>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1368"/>
      <w:bookmarkEnd w:id="1369"/>
      <w:bookmarkEnd w:id="1371"/>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预计的销售退回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2,985,529.94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2,985,529.94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bookmarkEnd w:id="1374"/>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372"/>
      <w:bookmarkEnd w:id="1373"/>
      <w:bookmarkEnd w:id="1375"/>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4,370,890.19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685,935.60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4,370,890.19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685,935.60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3,684,954.59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6"/>
                <w:szCs w:val="16"/>
              </w:rPr>
              <w:t>企业人才安 居房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2,232,183.46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2,196,382.78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大数据征信 平台研发经 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2,138,706.73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650,134.92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1,488,571.81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460" w:line="480"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本公司根据《深圳市保障性住房条例》、《深圳市人才安居暂行办法》、《福田区企业人才住房配售管理办法》、《福 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年度企业人才住房配售方案》等规定，向深圳市福田区政府申请并取得企业人才住房，公司将取得企业人才住房购买 价与公允价值之间的差异确认为政府补助。</w:t>
      </w:r>
    </w:p>
    <w:p>
      <w:pPr>
        <w:pStyle w:val="Style36"/>
        <w:keepNext/>
        <w:keepLines/>
        <w:widowControl w:val="0"/>
        <w:shd w:val="clear" w:color="auto" w:fill="auto"/>
        <w:bidi w:val="0"/>
        <w:spacing w:before="0" w:after="400" w:line="240" w:lineRule="auto"/>
        <w:ind w:left="0" w:right="0" w:firstLine="0"/>
        <w:jc w:val="left"/>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376"/>
      <w:bookmarkEnd w:id="1377"/>
      <w:bookmarkEnd w:id="1378"/>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706,640,535.00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706,640,535.00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31</w:t>
      </w:r>
      <w:r>
        <w:rPr>
          <w:color w:val="000000"/>
          <w:spacing w:val="0"/>
          <w:w w:val="100"/>
          <w:position w:val="0"/>
        </w:rPr>
        <w:t>、资本公积</w:t>
      </w:r>
      <w:bookmarkEnd w:id="1379"/>
      <w:bookmarkEnd w:id="1380"/>
      <w:bookmarkEnd w:id="138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374,051,960.37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374,051,960.37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15,314,521.73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911,955.33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9,894,267.05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6,332,210.01</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389,366,482.10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911,955.33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9,894,267.05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380,384,170.38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tabs>
          <w:tab w:pos="757" w:val="left"/>
        </w:tabs>
        <w:bidi w:val="0"/>
        <w:spacing w:before="0" w:after="0" w:line="473" w:lineRule="exact"/>
        <w:ind w:left="0" w:right="0"/>
        <w:jc w:val="both"/>
      </w:pPr>
      <w:bookmarkStart w:id="1382" w:name="bookmark1382"/>
      <w:r>
        <w:rPr>
          <w:rFonts w:ascii="Times New Roman" w:eastAsia="Times New Roman" w:hAnsi="Times New Roman" w:cs="Times New Roman"/>
          <w:color w:val="000000"/>
          <w:spacing w:val="0"/>
          <w:w w:val="100"/>
          <w:position w:val="0"/>
          <w:sz w:val="18"/>
          <w:szCs w:val="18"/>
        </w:rPr>
        <w:t>（</w:t>
      </w:r>
      <w:bookmarkEnd w:id="138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其他资本公积本期减少</w:t>
      </w:r>
      <w:r>
        <w:rPr>
          <w:rFonts w:ascii="Times New Roman" w:eastAsia="Times New Roman" w:hAnsi="Times New Roman" w:cs="Times New Roman"/>
          <w:color w:val="000000"/>
          <w:spacing w:val="0"/>
          <w:w w:val="100"/>
          <w:position w:val="0"/>
          <w:sz w:val="18"/>
          <w:szCs w:val="18"/>
        </w:rPr>
        <w:t>8,982,311.72</w:t>
      </w:r>
      <w:r>
        <w:rPr>
          <w:color w:val="000000"/>
          <w:spacing w:val="0"/>
          <w:w w:val="100"/>
          <w:position w:val="0"/>
        </w:rPr>
        <w:t>元，系本公司收购子公司安科创新（深圳）有限公司少数股东股权而形成的其他 资本公积变动；其他资本公积本期减少</w:t>
      </w:r>
      <w:r>
        <w:rPr>
          <w:rFonts w:ascii="Times New Roman" w:eastAsia="Times New Roman" w:hAnsi="Times New Roman" w:cs="Times New Roman"/>
          <w:color w:val="000000"/>
          <w:spacing w:val="0"/>
          <w:w w:val="100"/>
          <w:position w:val="0"/>
          <w:sz w:val="18"/>
          <w:szCs w:val="18"/>
        </w:rPr>
        <w:t>911,955.33</w:t>
      </w:r>
      <w:r>
        <w:rPr>
          <w:color w:val="000000"/>
          <w:spacing w:val="0"/>
          <w:w w:val="100"/>
          <w:position w:val="0"/>
        </w:rPr>
        <w:t>元，系本公司对百可录持股比例被动稀释，且本公司未在百可录董事会中 继续派驻人员，导致公司失去对百可录的经营管理重大影响所致。</w:t>
      </w:r>
    </w:p>
    <w:p>
      <w:pPr>
        <w:pStyle w:val="Style17"/>
        <w:keepNext w:val="0"/>
        <w:keepLines w:val="0"/>
        <w:widowControl w:val="0"/>
        <w:shd w:val="clear" w:color="auto" w:fill="auto"/>
        <w:tabs>
          <w:tab w:pos="762" w:val="left"/>
        </w:tabs>
        <w:bidi w:val="0"/>
        <w:spacing w:before="0" w:after="460" w:line="473" w:lineRule="exact"/>
        <w:ind w:left="0" w:right="0"/>
        <w:jc w:val="both"/>
      </w:pPr>
      <w:bookmarkStart w:id="1383" w:name="bookmark1383"/>
      <w:r>
        <w:rPr>
          <w:rFonts w:ascii="Times New Roman" w:eastAsia="Times New Roman" w:hAnsi="Times New Roman" w:cs="Times New Roman"/>
          <w:color w:val="000000"/>
          <w:spacing w:val="0"/>
          <w:w w:val="100"/>
          <w:position w:val="0"/>
          <w:sz w:val="18"/>
          <w:szCs w:val="18"/>
        </w:rPr>
        <w:t>（</w:t>
      </w:r>
      <w:bookmarkEnd w:id="138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其他资本公积本期增加</w:t>
      </w:r>
      <w:r>
        <w:rPr>
          <w:rFonts w:ascii="Times New Roman" w:eastAsia="Times New Roman" w:hAnsi="Times New Roman" w:cs="Times New Roman"/>
          <w:color w:val="000000"/>
          <w:spacing w:val="0"/>
          <w:w w:val="100"/>
          <w:position w:val="0"/>
          <w:sz w:val="18"/>
          <w:szCs w:val="18"/>
        </w:rPr>
        <w:t>911,955.33</w:t>
      </w:r>
      <w:r>
        <w:rPr>
          <w:color w:val="000000"/>
          <w:spacing w:val="0"/>
          <w:w w:val="100"/>
          <w:position w:val="0"/>
        </w:rPr>
        <w:t>元，系本公司全资子公司北京亿美软通科技有限公司原联营企业百可录（北京）科 技有限公司于报告期内完成注册资本增资，本公司原持股比例被动稀释，按照新持股比例重新确认应享有的净资产，差额计 入其他资本公积。</w:t>
      </w:r>
    </w:p>
    <w:p>
      <w:pPr>
        <w:pStyle w:val="Style36"/>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32</w:t>
      </w:r>
      <w:r>
        <w:rPr>
          <w:color w:val="000000"/>
          <w:spacing w:val="0"/>
          <w:w w:val="100"/>
          <w:position w:val="0"/>
        </w:rPr>
        <w:t>、其他综合收益</w:t>
      </w:r>
      <w:bookmarkEnd w:id="1384"/>
      <w:bookmarkEnd w:id="1385"/>
      <w:bookmarkEnd w:id="138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w:t>
            </w:r>
          </w:p>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 益当期转入 损益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bl>
    <w:p>
      <w:pPr>
        <w:spacing w:lineRule="exact" w:line="1"/>
        <w:rPr>
          <w:sz w:val="2"/>
          <w:szCs w:val="2"/>
        </w:rPr>
      </w:pPr>
      <w:r>
        <w:br w:type="page"/>
      </w:r>
    </w:p>
    <w:tbl>
      <w:tblPr>
        <w:tblOverlap w:val="never"/>
        <w:jc w:val="center"/>
        <w:tblLayout w:type="fixed"/>
      </w:tblPr>
      <w:tblGrid>
        <w:gridCol w:w="2563"/>
        <w:gridCol w:w="974"/>
        <w:gridCol w:w="850"/>
        <w:gridCol w:w="1051"/>
        <w:gridCol w:w="850"/>
        <w:gridCol w:w="854"/>
        <w:gridCol w:w="854"/>
        <w:gridCol w:w="850"/>
        <w:gridCol w:w="734"/>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310,475.25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310,475.25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310,475.25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766,881.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3</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387"/>
      <w:bookmarkEnd w:id="1388"/>
      <w:bookmarkEnd w:id="139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28,766,052.06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29,860,118.08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28,766,052.06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1,094,066.02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29,860,118.08</w:t>
            </w:r>
          </w:p>
        </w:tc>
      </w:tr>
    </w:tbl>
    <w:p>
      <w:pPr>
        <w:widowControl w:val="0"/>
        <w:spacing w:after="79" w:line="1" w:lineRule="exact"/>
      </w:pP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盈余公积说明，包括本期增减变动情况、变动原因说明：</w:t>
      </w:r>
    </w:p>
    <w:p>
      <w:pPr>
        <w:pStyle w:val="Style17"/>
        <w:keepNext w:val="0"/>
        <w:keepLines w:val="0"/>
        <w:widowControl w:val="0"/>
        <w:shd w:val="clear" w:color="auto" w:fill="auto"/>
        <w:bidi w:val="0"/>
        <w:spacing w:before="0" w:after="240" w:line="240" w:lineRule="auto"/>
        <w:ind w:left="0" w:right="0"/>
        <w:jc w:val="left"/>
      </w:pPr>
      <w:r>
        <w:rPr>
          <w:color w:val="000000"/>
          <w:spacing w:val="0"/>
          <w:w w:val="100"/>
          <w:position w:val="0"/>
        </w:rPr>
        <w:t>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提取法定盈余公积。法定盈余公积累计额达到本公司注册资 </w:t>
      </w:r>
      <w:r>
        <w:rPr>
          <w:color w:val="000000"/>
          <w:spacing w:val="0"/>
          <w:w w:val="100"/>
          <w:position w:val="0"/>
        </w:rPr>
        <w:t>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以上的，不再提取。</w:t>
      </w:r>
    </w:p>
    <w:p>
      <w:pPr>
        <w:pStyle w:val="Style17"/>
        <w:keepNext w:val="0"/>
        <w:keepLines w:val="0"/>
        <w:widowControl w:val="0"/>
        <w:shd w:val="clear" w:color="auto" w:fill="auto"/>
        <w:bidi w:val="0"/>
        <w:spacing w:before="0" w:after="240" w:line="240" w:lineRule="auto"/>
        <w:ind w:left="0" w:right="0"/>
        <w:jc w:val="left"/>
      </w:pPr>
      <w:r>
        <w:rPr>
          <w:color w:val="000000"/>
          <w:spacing w:val="0"/>
          <w:w w:val="100"/>
          <w:position w:val="0"/>
        </w:rPr>
        <w:t>本公司在提取法定盈余公积金后，可提取任意盈余公积金。经批准，任意盈余公积金可用于弥补以前年度亏损或增加股</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w:t>
      </w:r>
    </w:p>
    <w:p>
      <w:pPr>
        <w:pStyle w:val="Style36"/>
        <w:keepNext/>
        <w:keepLines/>
        <w:widowControl w:val="0"/>
        <w:shd w:val="clear" w:color="auto" w:fill="auto"/>
        <w:bidi w:val="0"/>
        <w:spacing w:before="0" w:after="40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391"/>
      <w:bookmarkEnd w:id="1392"/>
      <w:bookmarkEnd w:id="139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228,084,840.87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253,412,946.83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-15,168,540.56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228,084,840.87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238,244,406.27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20,858,331.68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4,917,894.10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1,094,066.02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944,648.80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14,132,810.70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247,849,106.53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228,084,840.87</w:t>
            </w:r>
          </w:p>
        </w:tc>
      </w:tr>
    </w:tbl>
    <w:p>
      <w:pPr>
        <w:widowControl w:val="0"/>
        <w:spacing w:after="79" w:line="1" w:lineRule="exact"/>
      </w:pP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调整期初未分配利润明细：</w:t>
      </w:r>
    </w:p>
    <w:p>
      <w:pPr>
        <w:pStyle w:val="Style17"/>
        <w:keepNext w:val="0"/>
        <w:keepLines w:val="0"/>
        <w:widowControl w:val="0"/>
        <w:shd w:val="clear" w:color="auto" w:fill="auto"/>
        <w:tabs>
          <w:tab w:pos="710" w:val="left"/>
        </w:tabs>
        <w:bidi w:val="0"/>
        <w:spacing w:before="0" w:after="240" w:line="240" w:lineRule="auto"/>
        <w:ind w:left="0" w:right="0"/>
        <w:jc w:val="left"/>
      </w:pPr>
      <w:bookmarkStart w:id="1395" w:name="bookmark1395"/>
      <w:r>
        <w:rPr>
          <w:rFonts w:ascii="Times New Roman" w:eastAsia="Times New Roman" w:hAnsi="Times New Roman" w:cs="Times New Roman"/>
          <w:color w:val="000000"/>
          <w:spacing w:val="0"/>
          <w:w w:val="100"/>
          <w:position w:val="0"/>
          <w:sz w:val="18"/>
          <w:szCs w:val="18"/>
        </w:rPr>
        <w:t>1</w:t>
      </w:r>
      <w:bookmarkEnd w:id="13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17"/>
        <w:keepNext w:val="0"/>
        <w:keepLines w:val="0"/>
        <w:widowControl w:val="0"/>
        <w:shd w:val="clear" w:color="auto" w:fill="auto"/>
        <w:tabs>
          <w:tab w:pos="729" w:val="left"/>
        </w:tabs>
        <w:bidi w:val="0"/>
        <w:spacing w:before="0" w:after="240" w:line="240" w:lineRule="auto"/>
        <w:ind w:left="0" w:right="0"/>
        <w:jc w:val="left"/>
      </w:pPr>
      <w:bookmarkStart w:id="1396" w:name="bookmark1396"/>
      <w:r>
        <w:rPr>
          <w:rFonts w:ascii="Times New Roman" w:eastAsia="Times New Roman" w:hAnsi="Times New Roman" w:cs="Times New Roman"/>
          <w:color w:val="000000"/>
          <w:spacing w:val="0"/>
          <w:w w:val="100"/>
          <w:position w:val="0"/>
          <w:sz w:val="18"/>
          <w:szCs w:val="18"/>
        </w:rPr>
        <w:t>2</w:t>
      </w:r>
      <w:bookmarkEnd w:id="13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17"/>
        <w:keepNext w:val="0"/>
        <w:keepLines w:val="0"/>
        <w:widowControl w:val="0"/>
        <w:shd w:val="clear" w:color="auto" w:fill="auto"/>
        <w:tabs>
          <w:tab w:pos="729" w:val="left"/>
        </w:tabs>
        <w:bidi w:val="0"/>
        <w:spacing w:before="0" w:after="240" w:line="240" w:lineRule="auto"/>
        <w:ind w:left="0" w:right="0"/>
        <w:jc w:val="left"/>
      </w:pPr>
      <w:bookmarkStart w:id="1397" w:name="bookmark1397"/>
      <w:r>
        <w:rPr>
          <w:rFonts w:ascii="Times New Roman" w:eastAsia="Times New Roman" w:hAnsi="Times New Roman" w:cs="Times New Roman"/>
          <w:color w:val="000000"/>
          <w:spacing w:val="0"/>
          <w:w w:val="100"/>
          <w:position w:val="0"/>
          <w:sz w:val="18"/>
          <w:szCs w:val="18"/>
        </w:rPr>
        <w:t>3</w:t>
      </w:r>
      <w:bookmarkEnd w:id="13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17"/>
        <w:keepNext w:val="0"/>
        <w:keepLines w:val="0"/>
        <w:widowControl w:val="0"/>
        <w:shd w:val="clear" w:color="auto" w:fill="auto"/>
        <w:tabs>
          <w:tab w:pos="729" w:val="left"/>
        </w:tabs>
        <w:bidi w:val="0"/>
        <w:spacing w:before="0" w:after="240" w:line="240" w:lineRule="auto"/>
        <w:ind w:left="0" w:right="0"/>
        <w:jc w:val="left"/>
      </w:pPr>
      <w:bookmarkStart w:id="1398" w:name="bookmark1398"/>
      <w:r>
        <w:rPr>
          <w:rFonts w:ascii="Times New Roman" w:eastAsia="Times New Roman" w:hAnsi="Times New Roman" w:cs="Times New Roman"/>
          <w:color w:val="000000"/>
          <w:spacing w:val="0"/>
          <w:w w:val="100"/>
          <w:position w:val="0"/>
          <w:sz w:val="18"/>
          <w:szCs w:val="18"/>
        </w:rPr>
        <w:t>4</w:t>
      </w:r>
      <w:bookmarkEnd w:id="13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r>
        <w:br w:type="page"/>
      </w:r>
    </w:p>
    <w:p>
      <w:pPr>
        <w:pStyle w:val="Style17"/>
        <w:keepNext w:val="0"/>
        <w:keepLines w:val="0"/>
        <w:widowControl w:val="0"/>
        <w:shd w:val="clear" w:color="auto" w:fill="auto"/>
        <w:bidi w:val="0"/>
        <w:spacing w:before="0" w:after="420" w:line="240" w:lineRule="auto"/>
        <w:ind w:left="0" w:right="0" w:firstLine="360"/>
        <w:jc w:val="left"/>
      </w:pPr>
      <w:bookmarkStart w:id="1399" w:name="bookmark1399"/>
      <w:r>
        <w:rPr>
          <w:rFonts w:ascii="Times New Roman" w:eastAsia="Times New Roman" w:hAnsi="Times New Roman" w:cs="Times New Roman"/>
          <w:color w:val="000000"/>
          <w:spacing w:val="0"/>
          <w:w w:val="100"/>
          <w:position w:val="0"/>
          <w:sz w:val="18"/>
          <w:szCs w:val="18"/>
        </w:rPr>
        <w:t>5</w:t>
      </w:r>
      <w:bookmarkEnd w:id="1399"/>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6"/>
        <w:keepNext/>
        <w:keepLines/>
        <w:widowControl w:val="0"/>
        <w:shd w:val="clear" w:color="auto" w:fill="auto"/>
        <w:bidi w:val="0"/>
        <w:spacing w:before="0" w:after="42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400"/>
      <w:bookmarkEnd w:id="1401"/>
      <w:bookmarkEnd w:id="140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1,037,751,280.09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1,181,006,553.61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809,406,939.98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1,037,751,280.09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1,181,006,553.61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809,406,939.98</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81,494,826.69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81,494,826.69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134,331,932.99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134,331,932.99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短彩信通讯服务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641,356,235.73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641,356,235.73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移动互联网应用服务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102,431,928.16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102,431,928.16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430,845,284.01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430,845,284.01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968,551,135.65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968,551,135.65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421,909,071.93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421,909,071.93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1,390,460,207.58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1,390,460,207.58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220" w:line="468" w:lineRule="exact"/>
        <w:ind w:left="0" w:right="0" w:firstLine="360"/>
        <w:jc w:val="left"/>
      </w:pPr>
      <w:r>
        <w:rPr>
          <w:color w:val="000000"/>
          <w:spacing w:val="0"/>
          <w:w w:val="100"/>
          <w:position w:val="0"/>
        </w:rPr>
        <w:t>对于销售商品类交易，本公司在客户取得相关商品的控制权时完成履约义务；对于软件开发、短彩信服务及其应用服务， 本公司在客户验收或结算核对时完成履约义务；对于提供运营维护类交易，本公司根据合同内容，在服务提供期间按期确认 已完成的履约义务。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140" w:line="461" w:lineRule="exact"/>
        <w:ind w:left="0" w:right="0" w:firstLine="36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5,150,720.60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4,326,742.72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686,448.07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137,529.81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br w:type="page"/>
      </w:r>
    </w:p>
    <w:p>
      <w:pPr>
        <w:pStyle w:val="Style36"/>
        <w:keepNext/>
        <w:keepLines/>
        <w:widowControl w:val="0"/>
        <w:shd w:val="clear" w:color="auto" w:fill="auto"/>
        <w:bidi w:val="0"/>
        <w:spacing w:before="0" w:after="40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04"/>
      <w:bookmarkEnd w:id="1405"/>
      <w:bookmarkEnd w:id="140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1,192,980.07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711,392.08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877,255.27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507,001.91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223,715.83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153,508.27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2,298,651.17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1,379,402.26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计缴标准详见本附注六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6"/>
        <w:keepNext/>
        <w:keepLines/>
        <w:widowControl w:val="0"/>
        <w:shd w:val="clear" w:color="auto" w:fill="auto"/>
        <w:bidi w:val="0"/>
        <w:spacing w:before="0" w:after="40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08"/>
      <w:bookmarkEnd w:id="1409"/>
      <w:bookmarkEnd w:id="141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30,161,150.70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29,460,242.38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56,185,056.39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59,026,999.06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186,105.10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33,975,718.96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广告咨询费及服务费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41,671,359.02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36,336,089.02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2,880,558.69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5,237,809.91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13,041,298.75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7,026,550.45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24,306,364.45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21,137,712.49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168,431,893.10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192,201,122.27</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12"/>
      <w:bookmarkEnd w:id="1413"/>
      <w:bookmarkEnd w:id="141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20,898,774.46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21,125,069.78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租赁管理费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10,013,336.06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9,569,935.64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11,017,541.99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9,851,630.99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5,549,139.65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6,942,506.54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7,042,297.66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8,465,730.46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631,548.63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721,640.21</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5,631,486.63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5,382,093.07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60,784,125.08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62,058,606.69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416"/>
      <w:bookmarkEnd w:id="1417"/>
      <w:bookmarkEnd w:id="1419"/>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47,444,083.57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43,401,844.56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12,452,972.65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13,866,137.95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租赁管理费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2,336,711.63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2,335,559.24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3,129,271.67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3,829,605.12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2,071,697.07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1,566,138.28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5,720,634.96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3,327,674.87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873,039.96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485,244.28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74,028,411.51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68,812,204.30</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20"/>
      <w:bookmarkEnd w:id="1421"/>
      <w:bookmarkEnd w:id="1423"/>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21,687,368.93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25,658,645.54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6,777,194.75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9,478,079.31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减：财政贴息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2,847,895.83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291,350.77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-1,067,278.74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1,184,247.37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1,919,560.38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13,537,876.49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17,032,847.87</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424"/>
      <w:bookmarkEnd w:id="1425"/>
      <w:bookmarkEnd w:id="1427"/>
    </w:p>
    <w:p>
      <w:pPr>
        <w:pStyle w:val="Style1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可抵扣进项税额加计抵减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4,291,674.00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2,494,419.52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软件即征即退税款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2,611,564.79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1,425,226.45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35,800.68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个税代扣手续费返还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5,495,795.80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4,221,123.28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12,468,031.26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8,176,569.93</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428"/>
      <w:bookmarkEnd w:id="1429"/>
      <w:bookmarkEnd w:id="143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-6,155,501.78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-35,887,523.89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1,185,745.59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17,653,245.86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交易性金融资产持有期间取得的投资收益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2,333,152.76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1,229,995.89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-2,636,603.43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-17,004,282.14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432"/>
      <w:bookmarkEnd w:id="1433"/>
      <w:bookmarkEnd w:id="143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汇率锁定收益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17"/>
        <w:keepNext w:val="0"/>
        <w:keepLines w:val="0"/>
        <w:widowControl w:val="0"/>
        <w:shd w:val="clear" w:color="auto" w:fill="auto"/>
        <w:bidi w:val="0"/>
        <w:spacing w:before="0" w:after="44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本期公允价值变动收益相关业务情况详见本报告附注七、</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bidi w:val="0"/>
        <w:spacing w:before="0" w:after="40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436"/>
      <w:bookmarkEnd w:id="1437"/>
      <w:bookmarkEnd w:id="143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213,097.28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-158,873.40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-12,466,922.82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-15,383,645.58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-12,253,825.54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-15,542,518.98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440"/>
      <w:bookmarkEnd w:id="1441"/>
      <w:bookmarkEnd w:id="144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-801,245.61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-801,245.61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444"/>
      <w:bookmarkEnd w:id="1445"/>
      <w:bookmarkEnd w:id="1447"/>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-15,688.52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44,819.75</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-60,508.27</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448"/>
      <w:bookmarkEnd w:id="1449"/>
      <w:bookmarkEnd w:id="1451"/>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108,713.74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108,713.74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108,713.74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108,713.74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110,521.14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1,615.10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110,328.84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123,111.14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110,328.84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219" w:line="1" w:lineRule="exact"/>
      </w:pPr>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4</w:t>
      </w:r>
      <w:bookmarkEnd w:id="1454"/>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452"/>
      <w:bookmarkEnd w:id="1453"/>
      <w:bookmarkEnd w:id="145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395"/>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19,904.87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19,904.87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68,991.05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131,232.55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68,991.05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其中：固定资产毁损报废损失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68,991.05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131,232.55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68,991.05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465,055.60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89,801.58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599,928.97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89,801.58</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both"/>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456"/>
      <w:bookmarkEnd w:id="1457"/>
      <w:bookmarkEnd w:id="1459"/>
    </w:p>
    <w:p>
      <w:pPr>
        <w:pStyle w:val="Style44"/>
        <w:keepNext/>
        <w:keepLines/>
        <w:widowControl w:val="0"/>
        <w:shd w:val="clear" w:color="auto" w:fill="auto"/>
        <w:bidi w:val="0"/>
        <w:spacing w:before="0" w:after="400" w:line="240" w:lineRule="auto"/>
        <w:ind w:left="0" w:right="0" w:firstLine="0"/>
        <w:jc w:val="both"/>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60"/>
      <w:bookmarkEnd w:id="1461"/>
      <w:bookmarkEnd w:id="146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-12,781,648.93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8,615,618.05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7,555,935.65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-11,616,225.48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-5,225,713.28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-3,000,607.43</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14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63"/>
      <w:bookmarkEnd w:id="1464"/>
      <w:bookmarkEnd w:id="1465"/>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30,274,855.96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4,541,228.37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2,478,008.72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-6,656,210.38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2,483,512.34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11,408.40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-1,083,816.03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-6,999,844.70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-5,225,713.28</w:t>
            </w:r>
          </w:p>
        </w:tc>
      </w:tr>
    </w:tbl>
    <w:p>
      <w:pPr>
        <w:widowControl w:val="0"/>
        <w:spacing w:after="319" w:line="1" w:lineRule="exact"/>
      </w:pPr>
    </w:p>
    <w:p>
      <w:pPr>
        <w:pStyle w:val="Style36"/>
        <w:keepNext/>
        <w:keepLines/>
        <w:widowControl w:val="0"/>
        <w:shd w:val="clear" w:color="auto" w:fill="auto"/>
        <w:tabs>
          <w:tab w:pos="483" w:val="left"/>
        </w:tabs>
        <w:bidi w:val="0"/>
        <w:spacing w:before="0" w:after="46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466"/>
      <w:bookmarkEnd w:id="1467"/>
      <w:bookmarkEnd w:id="1469"/>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470"/>
      <w:bookmarkEnd w:id="1471"/>
      <w:bookmarkEnd w:id="1473"/>
    </w:p>
    <w:p>
      <w:pPr>
        <w:pStyle w:val="Style44"/>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74"/>
      <w:bookmarkEnd w:id="1475"/>
      <w:bookmarkEnd w:id="147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7,727,697.87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3,842,203.98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3,381,520.18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4,646,149.74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821,193.45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36,326,846.92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436,277.78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757,620.47</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12,366,689.28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45,572,821.11</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40"/>
        <w:jc w:val="left"/>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7"/>
      <w:bookmarkEnd w:id="1478"/>
      <w:bookmarkEnd w:id="147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1,543,546.31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1,565,273.04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183,641,414.93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160,113,326.44</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3,602,467.82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59,425,629.00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279,701.33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635,863.51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189,067,130.39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221,740,091.99</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80"/>
      <w:bookmarkEnd w:id="1481"/>
      <w:bookmarkEnd w:id="1483"/>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102,969,000.00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405,004,444.44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962,568.45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102,969,000.00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405,967,012.89</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84"/>
      <w:bookmarkEnd w:id="1485"/>
      <w:bookmarkEnd w:id="148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403,104,000.00</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88"/>
      <w:bookmarkEnd w:id="1489"/>
      <w:bookmarkEnd w:id="149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29,403,404.80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209,411.03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退回融资担保费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30,012,815.83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31,950,000.00</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92"/>
      <w:bookmarkEnd w:id="1493"/>
      <w:bookmarkEnd w:id="149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126,178,067.92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28,580,186.29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信用卡保证金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2,092,860.00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616,008.00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结售汇业务保证金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209,411.01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融资担保费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126,798,069.83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32,022,465.30</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496"/>
      <w:bookmarkEnd w:id="1497"/>
      <w:bookmarkEnd w:id="1499"/>
    </w:p>
    <w:p>
      <w:pPr>
        <w:pStyle w:val="Style44"/>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0"/>
      <w:bookmarkEnd w:id="1501"/>
      <w:bookmarkEnd w:id="150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35,500,569.24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7,401,599.02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945,039.83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801,245.61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12,253,825.54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15,542,518.98</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4,389,593.99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4,176,264.78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19,696,555.82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19,844,660.70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2,048,239.69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3,254,649.36</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15,688.52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-39,722.69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118,642.55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19,956,750.74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19,178,793.14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2,636,603.43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17,004,282.14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递延所得税资产减少（增加以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8,469,411.49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-13,565,084.88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-902,067.44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1,205,484.53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-18,987,465.47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25,800,462.99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85,271,643.98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-100,898,816.44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-27,267,631.12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-54,042,455.89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685,935.60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685,935.60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144,663,486.53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-53,425,673.79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452,415,549.35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270,664,139.41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270,664,139.41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377,399,461.89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181,751,409.94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-106,735,322.48</w:t>
            </w:r>
          </w:p>
        </w:tc>
      </w:tr>
    </w:tbl>
    <w:p>
      <w:pPr>
        <w:widowControl w:val="0"/>
        <w:spacing w:after="319" w:line="1" w:lineRule="exact"/>
      </w:pPr>
    </w:p>
    <w:p>
      <w:pPr>
        <w:pStyle w:val="Style44"/>
        <w:keepNext/>
        <w:keepLines/>
        <w:widowControl w:val="0"/>
        <w:shd w:val="clear" w:color="auto" w:fill="auto"/>
        <w:tabs>
          <w:tab w:pos="493" w:val="left"/>
        </w:tabs>
        <w:bidi w:val="0"/>
        <w:spacing w:before="0" w:after="46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503"/>
      <w:bookmarkEnd w:id="1504"/>
      <w:bookmarkEnd w:id="1506"/>
    </w:p>
    <w:p>
      <w:pPr>
        <w:pStyle w:val="Style17"/>
        <w:keepNext w:val="0"/>
        <w:keepLines w:val="0"/>
        <w:widowControl w:val="0"/>
        <w:shd w:val="clear" w:color="auto" w:fill="auto"/>
        <w:bidi w:val="0"/>
        <w:spacing w:before="0" w:after="460" w:line="240" w:lineRule="auto"/>
        <w:ind w:left="0" w:right="0" w:firstLine="360"/>
        <w:jc w:val="both"/>
      </w:pPr>
      <w:r>
        <w:rPr>
          <w:color w:val="000000"/>
          <w:spacing w:val="0"/>
          <w:w w:val="100"/>
          <w:position w:val="0"/>
        </w:rPr>
        <w:t>无。</w:t>
      </w:r>
    </w:p>
    <w:p>
      <w:pPr>
        <w:pStyle w:val="Style44"/>
        <w:keepNext/>
        <w:keepLines/>
        <w:widowControl w:val="0"/>
        <w:shd w:val="clear" w:color="auto" w:fill="auto"/>
        <w:tabs>
          <w:tab w:pos="493" w:val="left"/>
        </w:tabs>
        <w:bidi w:val="0"/>
        <w:spacing w:before="0" w:after="46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507"/>
      <w:bookmarkEnd w:id="1508"/>
      <w:bookmarkEnd w:id="1510"/>
    </w:p>
    <w:p>
      <w:pPr>
        <w:pStyle w:val="Style17"/>
        <w:keepNext w:val="0"/>
        <w:keepLines w:val="0"/>
        <w:widowControl w:val="0"/>
        <w:shd w:val="clear" w:color="auto" w:fill="auto"/>
        <w:bidi w:val="0"/>
        <w:spacing w:before="0" w:after="460" w:line="240" w:lineRule="auto"/>
        <w:ind w:left="0" w:right="0" w:firstLine="360"/>
        <w:jc w:val="both"/>
      </w:pPr>
      <w:r>
        <w:rPr>
          <w:color w:val="000000"/>
          <w:spacing w:val="0"/>
          <w:w w:val="100"/>
          <w:position w:val="0"/>
        </w:rPr>
        <w:t>无。</w:t>
      </w:r>
    </w:p>
    <w:p>
      <w:pPr>
        <w:pStyle w:val="Style44"/>
        <w:keepNext/>
        <w:keepLines/>
        <w:widowControl w:val="0"/>
        <w:shd w:val="clear" w:color="auto" w:fill="auto"/>
        <w:tabs>
          <w:tab w:pos="493" w:val="left"/>
        </w:tabs>
        <w:bidi w:val="0"/>
        <w:spacing w:before="0" w:after="40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w:t>
      </w:r>
      <w:bookmarkEnd w:id="1513"/>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511"/>
      <w:bookmarkEnd w:id="1512"/>
      <w:bookmarkEnd w:id="1514"/>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452,415,549.35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270,664,139.41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676,058.71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234,702.18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290,717,644.26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262,448,825.14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161,021,846.38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7,980,612.09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452,415,549.35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270,664,139.41</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148,707.14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sz w:val="18"/>
          <w:szCs w:val="18"/>
        </w:rPr>
        <w:t>452,415,549.35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日资产负债表中货币资金期末数为</w:t>
      </w:r>
      <w:r>
        <w:rPr>
          <w:rFonts w:ascii="Times New Roman" w:eastAsia="Times New Roman" w:hAnsi="Times New Roman" w:cs="Times New Roman"/>
          <w:color w:val="000000"/>
          <w:spacing w:val="0"/>
          <w:w w:val="100"/>
          <w:position w:val="0"/>
          <w:sz w:val="18"/>
          <w:szCs w:val="18"/>
        </w:rPr>
        <w:t xml:space="preserve">562,391,953.61 </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109,976,404.26</w:t>
      </w:r>
      <w:r>
        <w:rPr>
          <w:color w:val="000000"/>
          <w:spacing w:val="0"/>
          <w:w w:val="100"/>
          <w:position w:val="0"/>
        </w:rPr>
        <w:t>元，系现金流量表现金期末数扣除了不符合现金及现金等价物标准的定期存款</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元，银行 承兑汇票保证金</w:t>
      </w:r>
      <w:r>
        <w:rPr>
          <w:rFonts w:ascii="Times New Roman" w:eastAsia="Times New Roman" w:hAnsi="Times New Roman" w:cs="Times New Roman"/>
          <w:color w:val="000000"/>
          <w:spacing w:val="0"/>
          <w:w w:val="100"/>
          <w:position w:val="0"/>
          <w:sz w:val="18"/>
          <w:szCs w:val="18"/>
        </w:rPr>
        <w:t>45,334,849.4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元，未到期应收利息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,978,305.55</w:t>
      </w:r>
      <w:r>
        <w:rPr>
          <w:color w:val="000000"/>
          <w:spacing w:val="0"/>
          <w:w w:val="100"/>
          <w:position w:val="0"/>
        </w:rPr>
        <w:t>元，信用卡保证金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,971,247.41</w:t>
      </w:r>
      <w:r>
        <w:rPr>
          <w:color w:val="000000"/>
          <w:spacing w:val="0"/>
          <w:w w:val="100"/>
          <w:position w:val="0"/>
        </w:rPr>
        <w:t>元，保函保证金</w:t>
      </w:r>
      <w:r>
        <w:rPr>
          <w:rFonts w:ascii="Times New Roman" w:eastAsia="Times New Roman" w:hAnsi="Times New Roman" w:cs="Times New Roman"/>
          <w:color w:val="000000"/>
          <w:spacing w:val="0"/>
          <w:w w:val="100"/>
          <w:position w:val="0"/>
          <w:sz w:val="18"/>
          <w:szCs w:val="18"/>
        </w:rPr>
        <w:t>592,000.00</w:t>
      </w:r>
      <w:r>
        <w:rPr>
          <w:color w:val="000000"/>
          <w:spacing w:val="0"/>
          <w:w w:val="100"/>
          <w:position w:val="0"/>
        </w:rPr>
        <w:t>元， 履约保证金</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元，结售汇保证金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元。</w:t>
      </w:r>
    </w:p>
    <w:p>
      <w:pPr>
        <w:pStyle w:val="Style17"/>
        <w:keepNext w:val="0"/>
        <w:keepLines w:val="0"/>
        <w:widowControl w:val="0"/>
        <w:shd w:val="clear" w:color="auto" w:fill="auto"/>
        <w:bidi w:val="0"/>
        <w:spacing w:before="0" w:after="420" w:line="468"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sz w:val="18"/>
          <w:szCs w:val="18"/>
        </w:rPr>
        <w:t>270,664,139.41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日资产负债表中货币资金期末数为</w:t>
      </w:r>
      <w:r>
        <w:rPr>
          <w:rFonts w:ascii="Times New Roman" w:eastAsia="Times New Roman" w:hAnsi="Times New Roman" w:cs="Times New Roman"/>
          <w:color w:val="000000"/>
          <w:spacing w:val="0"/>
          <w:w w:val="100"/>
          <w:position w:val="0"/>
          <w:sz w:val="18"/>
          <w:szCs w:val="18"/>
        </w:rPr>
        <w:t xml:space="preserve">282,192,104.71 </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11,527,965.3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元，系现金流量表现金期末数扣除了不符合现金及现金等价物标准的银行承兑汇票保证金</w:t>
      </w:r>
      <w:r>
        <w:rPr>
          <w:rFonts w:ascii="Times New Roman" w:eastAsia="Times New Roman" w:hAnsi="Times New Roman" w:cs="Times New Roman"/>
          <w:color w:val="000000"/>
          <w:spacing w:val="0"/>
          <w:w w:val="100"/>
          <w:position w:val="0"/>
          <w:sz w:val="18"/>
          <w:szCs w:val="18"/>
        </w:rPr>
        <w:t xml:space="preserve">8,560,186.29 </w:t>
      </w:r>
      <w:r>
        <w:rPr>
          <w:color w:val="000000"/>
          <w:spacing w:val="0"/>
          <w:w w:val="100"/>
          <w:position w:val="0"/>
        </w:rPr>
        <w:t>元，信用卡保证金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,092,860.00</w:t>
      </w:r>
      <w:r>
        <w:rPr>
          <w:color w:val="000000"/>
          <w:spacing w:val="0"/>
          <w:w w:val="100"/>
          <w:position w:val="0"/>
        </w:rPr>
        <w:t>元，保函保证金</w:t>
      </w:r>
      <w:r>
        <w:rPr>
          <w:rFonts w:ascii="Times New Roman" w:eastAsia="Times New Roman" w:hAnsi="Times New Roman" w:cs="Times New Roman"/>
          <w:color w:val="000000"/>
          <w:spacing w:val="0"/>
          <w:w w:val="100"/>
          <w:position w:val="0"/>
          <w:sz w:val="18"/>
          <w:szCs w:val="18"/>
        </w:rPr>
        <w:t>665,508.00</w:t>
      </w:r>
      <w:r>
        <w:rPr>
          <w:color w:val="000000"/>
          <w:spacing w:val="0"/>
          <w:w w:val="100"/>
          <w:position w:val="0"/>
        </w:rPr>
        <w:t>元，结售汇保证金</w:t>
      </w:r>
      <w:r>
        <w:rPr>
          <w:rFonts w:ascii="Times New Roman" w:eastAsia="Times New Roman" w:hAnsi="Times New Roman" w:cs="Times New Roman"/>
          <w:color w:val="000000"/>
          <w:spacing w:val="0"/>
          <w:w w:val="100"/>
          <w:position w:val="0"/>
          <w:sz w:val="18"/>
          <w:szCs w:val="18"/>
        </w:rPr>
        <w:t>209,411.01</w:t>
      </w:r>
      <w:r>
        <w:rPr>
          <w:color w:val="000000"/>
          <w:spacing w:val="0"/>
          <w:w w:val="100"/>
          <w:position w:val="0"/>
        </w:rPr>
        <w:t>元。</w:t>
      </w:r>
      <w:r>
        <w:br w:type="page"/>
      </w:r>
    </w:p>
    <w:p>
      <w:pPr>
        <w:pStyle w:val="Style36"/>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5</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515"/>
      <w:bookmarkEnd w:id="1516"/>
      <w:bookmarkEnd w:id="151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148,707.14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冻结的活期存款</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107,998,098.71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定期存款质押及保证金等</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20,099,496.00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银行借款质押担保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128,246,301.85</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2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定期存款质押系本公司将</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万元定期存款质押银行开具银行票据；</w:t>
      </w:r>
    </w:p>
    <w:p>
      <w:pPr>
        <w:pStyle w:val="Style17"/>
        <w:keepNext w:val="0"/>
        <w:keepLines w:val="0"/>
        <w:widowControl w:val="0"/>
        <w:shd w:val="clear" w:color="auto" w:fill="auto"/>
        <w:bidi w:val="0"/>
        <w:spacing w:before="0" w:after="46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子公司北京亿美软通科技有限公司向北京银行借款</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20,099,496.00</w:t>
      </w:r>
      <w:r>
        <w:rPr>
          <w:color w:val="000000"/>
          <w:spacing w:val="0"/>
          <w:w w:val="100"/>
          <w:position w:val="0"/>
        </w:rPr>
        <w:t>元的应收账款作为质押。</w:t>
      </w:r>
    </w:p>
    <w:p>
      <w:pPr>
        <w:pStyle w:val="Style36"/>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5</w:t>
      </w:r>
      <w:bookmarkEnd w:id="1521"/>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519"/>
      <w:bookmarkEnd w:id="1520"/>
      <w:bookmarkEnd w:id="1522"/>
    </w:p>
    <w:p>
      <w:pPr>
        <w:pStyle w:val="Style44"/>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23"/>
      <w:bookmarkEnd w:id="1524"/>
      <w:bookmarkEnd w:id="152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3,296,945.01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21,512,982.89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1,820,137.57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14,606,604.00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888,821.20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7,901,887.11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2,905,706.36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18,959,443.43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875,951.58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7,029,511.43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522,240.64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4,642,875.96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6,398,539.32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41,749,829.21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686,903.78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3,843.09</w:t>
            </w:r>
          </w:p>
        </w:tc>
      </w:tr>
    </w:tbl>
    <w:p>
      <w:pPr>
        <w:widowControl w:val="0"/>
        <w:spacing w:after="239" w:line="1" w:lineRule="exact"/>
      </w:pPr>
    </w:p>
    <w:p>
      <w:pPr>
        <w:pStyle w:val="Style44"/>
        <w:keepNext/>
        <w:keepLines/>
        <w:widowControl w:val="0"/>
        <w:shd w:val="clear" w:color="auto" w:fill="auto"/>
        <w:bidi w:val="0"/>
        <w:spacing w:before="0" w:after="380" w:line="317" w:lineRule="exact"/>
        <w:ind w:left="0" w:right="0" w:firstLine="0"/>
        <w:jc w:val="left"/>
      </w:pPr>
      <w:bookmarkStart w:id="1526" w:name="bookmark1526"/>
      <w:bookmarkStart w:id="1527" w:name="bookmark1527"/>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26"/>
      <w:bookmarkEnd w:id="1527"/>
      <w:bookmarkEnd w:id="1528"/>
    </w:p>
    <w:p>
      <w:pPr>
        <w:pStyle w:val="Style1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5</w:t>
      </w:r>
      <w:bookmarkEnd w:id="1531"/>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1529"/>
      <w:bookmarkEnd w:id="1530"/>
      <w:bookmarkEnd w:id="1532"/>
    </w:p>
    <w:p>
      <w:pPr>
        <w:pStyle w:val="Style44"/>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33"/>
      <w:bookmarkEnd w:id="1534"/>
      <w:bookmarkEnd w:id="1535"/>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1,443,529.90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21,545.28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930,169.00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14,255.40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大数据平台研究项目补贴摊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484,631.05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96,925.92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大数据平台研究项目补贴摊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1,041,196.00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200,643.12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大数据平台研究项目补贴摊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1,762,830.00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352,565.88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科技金融信贷贴息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2,847,895.83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2,847,895.83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软件即征即退税款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2,611,564.79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2,611,564.79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企业研究开发资助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1,903,800.00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1,903,800.00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战略性新兴产业数字经济专 项扶持资金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760,000.00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综合贡献奖励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445,100.00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352,115.91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352,115.91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331,180.97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331,180.97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科技创新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战新产业企业成长 支持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中央外经贸发展专项资金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173,324.00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173,324.00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职业技能补贴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107,000.00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青年人才培训补贴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123,140.00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123,140.00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10,991,057.10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36"/>
      <w:bookmarkEnd w:id="1537"/>
      <w:bookmarkEnd w:id="1538"/>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本期收到政府补助</w:t>
      </w:r>
      <w:r>
        <w:rPr>
          <w:rFonts w:ascii="Times New Roman" w:eastAsia="Times New Roman" w:hAnsi="Times New Roman" w:cs="Times New Roman"/>
          <w:color w:val="000000"/>
          <w:spacing w:val="0"/>
          <w:w w:val="100"/>
          <w:position w:val="0"/>
          <w:sz w:val="18"/>
          <w:szCs w:val="18"/>
        </w:rPr>
        <w:t>10,305,121.50</w:t>
      </w:r>
      <w:r>
        <w:rPr>
          <w:color w:val="000000"/>
          <w:spacing w:val="0"/>
          <w:w w:val="100"/>
          <w:position w:val="0"/>
        </w:rPr>
        <w:t>元。其中：</w:t>
      </w:r>
    </w:p>
    <w:p>
      <w:pPr>
        <w:pStyle w:val="Style17"/>
        <w:keepNext w:val="0"/>
        <w:keepLines w:val="0"/>
        <w:widowControl w:val="0"/>
        <w:shd w:val="clear" w:color="auto" w:fill="auto"/>
        <w:bidi w:val="0"/>
        <w:spacing w:before="0" w:after="0" w:line="240" w:lineRule="auto"/>
        <w:ind w:left="0" w:right="0" w:firstLine="360"/>
        <w:jc w:val="left"/>
      </w:pPr>
      <w:bookmarkStart w:id="1539" w:name="bookmark1539"/>
      <w:r>
        <w:rPr>
          <w:rFonts w:ascii="Times New Roman" w:eastAsia="Times New Roman" w:hAnsi="Times New Roman" w:cs="Times New Roman"/>
          <w:color w:val="000000"/>
          <w:spacing w:val="0"/>
          <w:w w:val="100"/>
          <w:position w:val="0"/>
          <w:sz w:val="18"/>
          <w:szCs w:val="18"/>
        </w:rPr>
        <w:t>1</w:t>
      </w:r>
      <w:bookmarkEnd w:id="1539"/>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根据福田区产业发展专项资金联审委员办公室下发的《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年福田区产业发展专项资金科技创新分项第三批支持项目 </w:t>
      </w:r>
      <w:r>
        <w:rPr>
          <w:color w:val="000000"/>
          <w:spacing w:val="0"/>
          <w:w w:val="100"/>
          <w:position w:val="0"/>
        </w:rPr>
        <w:t>及企业的公示》，公司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年度收到科技金融信贷贴息支持</w:t>
      </w:r>
      <w:r>
        <w:rPr>
          <w:rFonts w:ascii="Times New Roman" w:eastAsia="Times New Roman" w:hAnsi="Times New Roman" w:cs="Times New Roman"/>
          <w:color w:val="000000"/>
          <w:spacing w:val="0"/>
          <w:w w:val="100"/>
          <w:position w:val="0"/>
          <w:sz w:val="18"/>
          <w:szCs w:val="18"/>
        </w:rPr>
        <w:t>758,600.00</w:t>
      </w:r>
      <w:r>
        <w:rPr>
          <w:color w:val="000000"/>
          <w:spacing w:val="0"/>
          <w:w w:val="100"/>
          <w:position w:val="0"/>
        </w:rPr>
        <w:t>元，系与收益相关的政府补助，且与公司日常经营活 动相关，已全额计入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年度其他收益。根据福田区产业发展专项资金联审委员会办公室下发的《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年福田区产业发展专 项资金科创局分项第三批支持企业及项目的公示》，公司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年度收到战新产业企业成长支持补贴</w:t>
      </w:r>
      <w:r>
        <w:rPr>
          <w:rFonts w:ascii="Times New Roman" w:eastAsia="Times New Roman" w:hAnsi="Times New Roman" w:cs="Times New Roman"/>
          <w:color w:val="000000"/>
          <w:spacing w:val="0"/>
          <w:w w:val="100"/>
          <w:position w:val="0"/>
          <w:sz w:val="18"/>
          <w:szCs w:val="18"/>
        </w:rPr>
        <w:t>924,900.00</w:t>
      </w:r>
      <w:r>
        <w:rPr>
          <w:color w:val="000000"/>
          <w:spacing w:val="0"/>
          <w:w w:val="100"/>
          <w:position w:val="0"/>
        </w:rPr>
        <w:t>元，系与收益 相关的政府补助，且与公司日常经营活动相关，已全额计入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年度其他收益。根据福田区产业发展专项资金联审委员会办 公室下发的《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年福田区科技创新、生物医药分项第五、六批支持项目及企业的公示》，全资子公司深圳银之杰智慧科技 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年收到科技金融信贷贴息支持</w:t>
      </w:r>
      <w:r>
        <w:rPr>
          <w:rFonts w:ascii="Times New Roman" w:eastAsia="Times New Roman" w:hAnsi="Times New Roman" w:cs="Times New Roman"/>
          <w:color w:val="000000"/>
          <w:spacing w:val="0"/>
          <w:w w:val="100"/>
          <w:position w:val="0"/>
          <w:sz w:val="18"/>
          <w:szCs w:val="18"/>
        </w:rPr>
        <w:t>789,000.00</w:t>
      </w:r>
      <w:r>
        <w:rPr>
          <w:color w:val="000000"/>
          <w:spacing w:val="0"/>
          <w:w w:val="100"/>
          <w:position w:val="0"/>
        </w:rPr>
        <w:t>元，系与收益相关的政府补助，且与公司日常经营活动相关，已全额 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年度其他收益。根据深圳市中小企业服务局下发的《市中小企业服务局关于应对疫情中小微企业贷款贴息项目公 示》，公司及子公司安科创新（深圳）有限公司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w:t>
      </w:r>
      <w:r>
        <w:rPr>
          <w:rFonts w:ascii="Times New Roman" w:eastAsia="Times New Roman" w:hAnsi="Times New Roman" w:cs="Times New Roman"/>
          <w:color w:val="000000"/>
          <w:spacing w:val="0"/>
          <w:w w:val="100"/>
          <w:position w:val="0"/>
          <w:sz w:val="18"/>
          <w:szCs w:val="18"/>
        </w:rPr>
        <w:t>375,395.83</w:t>
      </w:r>
      <w:r>
        <w:rPr>
          <w:color w:val="000000"/>
          <w:spacing w:val="0"/>
          <w:w w:val="100"/>
          <w:position w:val="0"/>
        </w:rPr>
        <w:t>元，系与收益相关的政府补助，且与公司日常经营 活动相关，已全额计入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年度其他收益。</w:t>
      </w:r>
    </w:p>
    <w:p>
      <w:pPr>
        <w:pStyle w:val="Style17"/>
        <w:keepNext w:val="0"/>
        <w:keepLines w:val="0"/>
        <w:widowControl w:val="0"/>
        <w:shd w:val="clear" w:color="auto" w:fill="auto"/>
        <w:tabs>
          <w:tab w:pos="644" w:val="left"/>
        </w:tabs>
        <w:bidi w:val="0"/>
        <w:spacing w:before="0" w:after="0" w:line="469" w:lineRule="exact"/>
        <w:ind w:left="0" w:right="0"/>
        <w:jc w:val="both"/>
      </w:pPr>
      <w:bookmarkStart w:id="1540" w:name="bookmark1540"/>
      <w:r>
        <w:rPr>
          <w:rFonts w:ascii="Times New Roman" w:eastAsia="Times New Roman" w:hAnsi="Times New Roman" w:cs="Times New Roman"/>
          <w:color w:val="000000"/>
          <w:spacing w:val="0"/>
          <w:w w:val="100"/>
          <w:position w:val="0"/>
          <w:sz w:val="18"/>
          <w:szCs w:val="18"/>
        </w:rPr>
        <w:t>2</w:t>
      </w:r>
      <w:bookmarkEnd w:id="15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[2011]10 0</w:t>
      </w:r>
      <w:r>
        <w:rPr>
          <w:color w:val="000000"/>
          <w:spacing w:val="0"/>
          <w:w w:val="100"/>
          <w:position w:val="0"/>
        </w:rPr>
        <w:t>号文件，本公司及全资子公司深圳银之 杰智慧科技有限公司、深圳银之杰拓扑技术有限公司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年度收到软件收入增值税即征即退款共计</w:t>
      </w:r>
      <w:r>
        <w:rPr>
          <w:rFonts w:ascii="Times New Roman" w:eastAsia="Times New Roman" w:hAnsi="Times New Roman" w:cs="Times New Roman"/>
          <w:color w:val="000000"/>
          <w:spacing w:val="0"/>
          <w:w w:val="100"/>
          <w:position w:val="0"/>
          <w:sz w:val="18"/>
          <w:szCs w:val="18"/>
        </w:rPr>
        <w:t>2,611,564.79</w:t>
      </w:r>
      <w:r>
        <w:rPr>
          <w:color w:val="000000"/>
          <w:spacing w:val="0"/>
          <w:w w:val="100"/>
          <w:position w:val="0"/>
        </w:rPr>
        <w:t>元，系与收 益相关的政府补助，且与公司日常经营活动相关，已全额计入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年度其他收益。</w:t>
      </w:r>
    </w:p>
    <w:p>
      <w:pPr>
        <w:pStyle w:val="Style17"/>
        <w:keepNext w:val="0"/>
        <w:keepLines w:val="0"/>
        <w:widowControl w:val="0"/>
        <w:shd w:val="clear" w:color="auto" w:fill="auto"/>
        <w:tabs>
          <w:tab w:pos="654" w:val="left"/>
        </w:tabs>
        <w:bidi w:val="0"/>
        <w:spacing w:before="0" w:after="0" w:line="469" w:lineRule="exact"/>
        <w:ind w:left="0" w:right="0"/>
        <w:jc w:val="both"/>
      </w:pPr>
      <w:bookmarkStart w:id="1541" w:name="bookmark1541"/>
      <w:r>
        <w:rPr>
          <w:rFonts w:ascii="Times New Roman" w:eastAsia="Times New Roman" w:hAnsi="Times New Roman" w:cs="Times New Roman"/>
          <w:color w:val="000000"/>
          <w:spacing w:val="0"/>
          <w:w w:val="100"/>
          <w:position w:val="0"/>
          <w:sz w:val="18"/>
          <w:szCs w:val="18"/>
        </w:rPr>
        <w:t>3</w:t>
      </w:r>
      <w:bookmarkEnd w:id="15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根据深圳市科技创新委员会下发的《关于公示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年度企业研究开发资助计划拟资助企业名单的通知》，公司及子公 司安科创新（深圳）有限公司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年度收到企业研发资助补贴</w:t>
      </w:r>
      <w:r>
        <w:rPr>
          <w:rFonts w:ascii="Times New Roman" w:eastAsia="Times New Roman" w:hAnsi="Times New Roman" w:cs="Times New Roman"/>
          <w:color w:val="000000"/>
          <w:spacing w:val="0"/>
          <w:w w:val="100"/>
          <w:position w:val="0"/>
          <w:sz w:val="18"/>
          <w:szCs w:val="18"/>
        </w:rPr>
        <w:t>379,000.00</w:t>
      </w:r>
      <w:r>
        <w:rPr>
          <w:color w:val="000000"/>
          <w:spacing w:val="0"/>
          <w:w w:val="100"/>
          <w:position w:val="0"/>
        </w:rPr>
        <w:t>元，系与收益相关的政府补助，且与公司日常经营 活动相关，已全额计入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其他收益。根据福田区产业发展专项资金联审委员办公室下发的《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年福田区产业发展专项资 金科技创新发展分项第四批支持项目及企业的公示》，公司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年收到产业发展专项资金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,367,300.00</w:t>
      </w:r>
      <w:r>
        <w:rPr>
          <w:color w:val="000000"/>
          <w:spacing w:val="0"/>
          <w:w w:val="100"/>
          <w:position w:val="0"/>
        </w:rPr>
        <w:t>元，系与收益相关的 政府补助，且与公司日常经营活动相关，已全额计入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年度其他收益。根据深圳市龙岗区科技创新局下发的《深圳市龙岗 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年（第七批）科技企业研发投入激励公示》，子公司安科创新（深圳）有限公司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年收到研发投入激励</w:t>
      </w:r>
      <w:r>
        <w:rPr>
          <w:rFonts w:ascii="Times New Roman" w:eastAsia="Times New Roman" w:hAnsi="Times New Roman" w:cs="Times New Roman"/>
          <w:color w:val="000000"/>
          <w:spacing w:val="0"/>
          <w:w w:val="100"/>
          <w:position w:val="0"/>
          <w:sz w:val="18"/>
          <w:szCs w:val="18"/>
        </w:rPr>
        <w:t xml:space="preserve">157,500.00 </w:t>
      </w:r>
      <w:r>
        <w:rPr>
          <w:color w:val="000000"/>
          <w:spacing w:val="0"/>
          <w:w w:val="100"/>
          <w:position w:val="0"/>
        </w:rPr>
        <w:t>元，系与收益相关的政府补助，且与公司日常经营活动相关，已全额计入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年度其他收益。</w:t>
      </w:r>
    </w:p>
    <w:p>
      <w:pPr>
        <w:pStyle w:val="Style17"/>
        <w:keepNext w:val="0"/>
        <w:keepLines w:val="0"/>
        <w:widowControl w:val="0"/>
        <w:shd w:val="clear" w:color="auto" w:fill="auto"/>
        <w:tabs>
          <w:tab w:pos="658" w:val="left"/>
        </w:tabs>
        <w:bidi w:val="0"/>
        <w:spacing w:before="0" w:after="440" w:line="469" w:lineRule="exact"/>
        <w:ind w:left="0" w:right="0"/>
        <w:jc w:val="both"/>
      </w:pPr>
      <w:bookmarkStart w:id="1542" w:name="bookmark1542"/>
      <w:r>
        <w:rPr>
          <w:rFonts w:ascii="Times New Roman" w:eastAsia="Times New Roman" w:hAnsi="Times New Roman" w:cs="Times New Roman"/>
          <w:color w:val="000000"/>
          <w:spacing w:val="0"/>
          <w:w w:val="100"/>
          <w:position w:val="0"/>
          <w:sz w:val="18"/>
          <w:szCs w:val="18"/>
        </w:rPr>
        <w:t>4</w:t>
      </w:r>
      <w:bookmarkEnd w:id="1542"/>
      <w:r>
        <w:rPr>
          <w:color w:val="000000"/>
          <w:spacing w:val="0"/>
          <w:w w:val="100"/>
          <w:position w:val="0"/>
        </w:rPr>
        <w:t>）</w:t>
        <w:tab/>
        <w:t>根据深圳市工业和信息化局下发的《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年深圳市数字经济产业扶持计划第一批资助项目公示通知》，子公司安科 创新（深圳）有限公司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年度收到战略性新兴产业数字经济专项扶持资金</w:t>
      </w:r>
      <w:r>
        <w:rPr>
          <w:rFonts w:ascii="Times New Roman" w:eastAsia="Times New Roman" w:hAnsi="Times New Roman" w:cs="Times New Roman"/>
          <w:color w:val="000000"/>
          <w:spacing w:val="0"/>
          <w:w w:val="100"/>
          <w:position w:val="0"/>
          <w:sz w:val="18"/>
          <w:szCs w:val="18"/>
        </w:rPr>
        <w:t>760,000.00</w:t>
      </w:r>
      <w:r>
        <w:rPr>
          <w:color w:val="000000"/>
          <w:spacing w:val="0"/>
          <w:w w:val="100"/>
          <w:position w:val="0"/>
        </w:rPr>
        <w:t>元，系与收益相关的政府补助，且与 公司日常经营活动相关，已全额计入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年度其他收益。</w:t>
      </w:r>
    </w:p>
    <w:p>
      <w:pPr>
        <w:pStyle w:val="Style32"/>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sz w:val="24"/>
          <w:szCs w:val="24"/>
        </w:rPr>
        <w:t>八</w:t>
      </w:r>
      <w:bookmarkEnd w:id="1545"/>
      <w:r>
        <w:rPr>
          <w:color w:val="000000"/>
          <w:spacing w:val="0"/>
          <w:w w:val="100"/>
          <w:position w:val="0"/>
          <w:sz w:val="24"/>
          <w:szCs w:val="24"/>
        </w:rPr>
        <w:t>、合并范围的变更</w:t>
      </w:r>
      <w:bookmarkEnd w:id="1543"/>
      <w:bookmarkEnd w:id="1544"/>
      <w:bookmarkEnd w:id="1546"/>
    </w:p>
    <w:p>
      <w:pPr>
        <w:pStyle w:val="Style36"/>
        <w:keepNext/>
        <w:keepLines/>
        <w:widowControl w:val="0"/>
        <w:shd w:val="clear" w:color="auto" w:fill="auto"/>
        <w:bidi w:val="0"/>
        <w:spacing w:before="0" w:after="100" w:line="240"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47"/>
      <w:bookmarkEnd w:id="1548"/>
      <w:bookmarkEnd w:id="1549"/>
    </w:p>
    <w:p>
      <w:pPr>
        <w:pStyle w:val="Style17"/>
        <w:keepNext w:val="0"/>
        <w:keepLines w:val="0"/>
        <w:widowControl w:val="0"/>
        <w:shd w:val="clear" w:color="auto" w:fill="auto"/>
        <w:bidi w:val="0"/>
        <w:spacing w:before="0" w:after="0" w:line="469" w:lineRule="exact"/>
        <w:ind w:left="0" w:right="0" w:firstLine="0"/>
        <w:jc w:val="left"/>
      </w:pPr>
      <w:r>
        <w:rPr>
          <w:color w:val="000000"/>
          <w:spacing w:val="0"/>
          <w:w w:val="100"/>
          <w:position w:val="0"/>
        </w:rPr>
        <w:t>说明其他原因导致的合并范围变动（如，新设子公司、清算子公司等）及其相关情况：</w:t>
      </w:r>
    </w:p>
    <w:p>
      <w:pPr>
        <w:pStyle w:val="Style17"/>
        <w:keepNext w:val="0"/>
        <w:keepLines w:val="0"/>
        <w:widowControl w:val="0"/>
        <w:shd w:val="clear" w:color="auto" w:fill="auto"/>
        <w:bidi w:val="0"/>
        <w:spacing w:before="0" w:after="0" w:line="468" w:lineRule="exact"/>
        <w:ind w:left="0" w:right="0"/>
        <w:jc w:val="both"/>
      </w:pPr>
      <w:r>
        <w:rPr>
          <w:color w:val="000000"/>
          <w:spacing w:val="0"/>
          <w:w w:val="100"/>
          <w:position w:val="0"/>
        </w:rPr>
        <w:t>①以直接设立或投资等方式增加的子公司</w:t>
      </w:r>
    </w:p>
    <w:p>
      <w:pPr>
        <w:pStyle w:val="Style17"/>
        <w:keepNext w:val="0"/>
        <w:keepLines w:val="0"/>
        <w:widowControl w:val="0"/>
        <w:shd w:val="clear" w:color="auto" w:fill="auto"/>
        <w:bidi w:val="0"/>
        <w:spacing w:before="0" w:after="420" w:line="468"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月，本公司子公司北京杰智融软件有限公司出资设立河南图柏创新信息科技有限公司。该公司于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 完成工商设立登记，注册资本为人民币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万元，全部由北京杰智融软件有限公司出资，拥有对其的实质控制权，故自该 公司成立之日起，将其纳入合并财务报表范围。截至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日，河南图柏创新信息科技有限公司的净资产为</w:t>
      </w:r>
      <w:r>
        <w:rPr>
          <w:rFonts w:ascii="Times New Roman" w:eastAsia="Times New Roman" w:hAnsi="Times New Roman" w:cs="Times New Roman"/>
          <w:color w:val="000000"/>
          <w:spacing w:val="0"/>
          <w:w w:val="100"/>
          <w:position w:val="0"/>
          <w:sz w:val="18"/>
          <w:szCs w:val="18"/>
        </w:rPr>
        <w:t>210,149.75</w:t>
        <w:br w:type="page"/>
      </w:r>
      <w:r>
        <w:rPr>
          <w:color w:val="000000"/>
          <w:spacing w:val="0"/>
          <w:w w:val="100"/>
          <w:position w:val="0"/>
        </w:rPr>
        <w:t>元，成立日至期末的净利润为</w:t>
      </w:r>
      <w:r>
        <w:rPr>
          <w:rFonts w:ascii="Times New Roman" w:eastAsia="Times New Roman" w:hAnsi="Times New Roman" w:cs="Times New Roman"/>
          <w:color w:val="000000"/>
          <w:spacing w:val="0"/>
          <w:w w:val="100"/>
          <w:position w:val="0"/>
          <w:sz w:val="18"/>
          <w:szCs w:val="18"/>
        </w:rPr>
        <w:t>210,149.75</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sz w:val="24"/>
          <w:szCs w:val="24"/>
        </w:rPr>
        <w:t>九</w:t>
      </w:r>
      <w:bookmarkEnd w:id="1552"/>
      <w:r>
        <w:rPr>
          <w:color w:val="000000"/>
          <w:spacing w:val="0"/>
          <w:w w:val="100"/>
          <w:position w:val="0"/>
          <w:sz w:val="24"/>
          <w:szCs w:val="24"/>
        </w:rPr>
        <w:t>、在其他主体中的权益</w:t>
      </w:r>
      <w:bookmarkEnd w:id="1550"/>
      <w:bookmarkEnd w:id="1551"/>
      <w:bookmarkEnd w:id="1553"/>
    </w:p>
    <w:p>
      <w:pPr>
        <w:pStyle w:val="Style36"/>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54"/>
      <w:bookmarkEnd w:id="1555"/>
      <w:bookmarkEnd w:id="1556"/>
    </w:p>
    <w:p>
      <w:pPr>
        <w:pStyle w:val="Style44"/>
        <w:keepNext/>
        <w:keepLines/>
        <w:widowControl w:val="0"/>
        <w:shd w:val="clear" w:color="auto" w:fill="auto"/>
        <w:bidi w:val="0"/>
        <w:spacing w:before="0" w:after="32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57"/>
      <w:bookmarkEnd w:id="1558"/>
      <w:bookmarkEnd w:id="155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深圳银之杰拓扑 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深圳银之杰智慧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深圳市银之杰金 融设备有限公司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北京亿美软通科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深圳银之杰资产 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安科创新（深圳）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安科创新（香港）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深圳市科安电子 商务有限公司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北京杰智融软件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河南图柏创新信 息科技有限公司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遂平县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遂平县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17"/>
        <w:keepNext w:val="0"/>
        <w:keepLines w:val="0"/>
        <w:widowControl w:val="0"/>
        <w:shd w:val="clear" w:color="auto" w:fill="auto"/>
        <w:bidi w:val="0"/>
        <w:spacing w:before="0" w:after="220" w:line="432" w:lineRule="exact"/>
        <w:ind w:left="360" w:right="0" w:hanging="360"/>
        <w:jc w:val="left"/>
      </w:pPr>
      <w:r>
        <w:rPr>
          <w:color w:val="000000"/>
          <w:spacing w:val="0"/>
          <w:w w:val="100"/>
          <w:position w:val="0"/>
        </w:rPr>
        <w:t>在子公司的持股比例不同于表决权比例的说明: 无。</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after="480" w:line="240" w:lineRule="auto"/>
        <w:ind w:left="0" w:right="0" w:firstLine="360"/>
        <w:jc w:val="left"/>
      </w:pPr>
      <w:r>
        <w:rPr>
          <w:color w:val="000000"/>
          <w:spacing w:val="0"/>
          <w:w w:val="100"/>
          <w:position w:val="0"/>
        </w:rPr>
        <w:t>无。</w:t>
      </w:r>
    </w:p>
    <w:p>
      <w:pPr>
        <w:pStyle w:val="Style44"/>
        <w:keepNext/>
        <w:keepLines/>
        <w:widowControl w:val="0"/>
        <w:shd w:val="clear" w:color="auto" w:fill="auto"/>
        <w:bidi w:val="0"/>
        <w:spacing w:before="0" w:after="42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60"/>
      <w:bookmarkEnd w:id="1561"/>
      <w:bookmarkEnd w:id="1562"/>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7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安科创新（深圳）有限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16,145,967.16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21,697,707.48</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北京杰智融软件有限公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-1,503,729.60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4,126,612.71</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14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63"/>
      <w:bookmarkEnd w:id="1564"/>
      <w:bookmarkEnd w:id="156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安科创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新（深</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5,615,38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197,380,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143,136,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2,985,52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158,397,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17,777,7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143,687,</w:t>
            </w:r>
          </w:p>
        </w:tc>
      </w:tr>
      <w:tr>
        <w:trPr>
          <w:trHeight w:val="653"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圳）有限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318.74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6.68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705.42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515.44</w:t>
            </w:r>
          </w:p>
        </w:tc>
      </w:tr>
      <w:tr>
        <w:trPr>
          <w:trHeight w:val="3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智融软</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9,351,04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21,219,5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30,570,5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19,581,7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1,818,52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21,400,3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33,992,6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20,342,7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54,335,3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42,801,0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2,022,47</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44,823,4</w:t>
            </w:r>
          </w:p>
        </w:tc>
      </w:tr>
      <w:tr>
        <w:trPr>
          <w:trHeight w:val="658" w:hRule="exact"/>
        </w:trPr>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件有限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8.25</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07.82</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56.07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05.62</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02.83</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40.50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96.09</w:t>
            </w:r>
          </w:p>
        </w:tc>
      </w:tr>
    </w:tbl>
    <w:p>
      <w:pPr>
        <w:widowControl w:val="0"/>
        <w:spacing w:after="7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安科创新（深 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430,845,284.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33,769,833.4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33,769,833.4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48,761,877.4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375,965,856.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2,761,470.37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2,761,470.37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27,995,283.0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北京杰智融 软件有限公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36,323,124.0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-3,341,621.34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-3,341,621.34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-12,691,276.3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8,938,246.11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2,511,844.41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2,511,844.41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-1,020,795.21</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67"/>
      <w:bookmarkEnd w:id="1568"/>
      <w:bookmarkEnd w:id="1569"/>
    </w:p>
    <w:p>
      <w:pPr>
        <w:pStyle w:val="Style44"/>
        <w:keepNext/>
        <w:keepLines/>
        <w:widowControl w:val="0"/>
        <w:shd w:val="clear" w:color="auto" w:fill="auto"/>
        <w:bidi w:val="0"/>
        <w:spacing w:before="0" w:after="200" w:line="240" w:lineRule="auto"/>
        <w:ind w:left="0" w:right="0" w:firstLine="0"/>
        <w:jc w:val="left"/>
      </w:pPr>
      <w:bookmarkStart w:id="1570" w:name="bookmark1570"/>
      <w:bookmarkStart w:id="1571" w:name="bookmark1571"/>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570"/>
      <w:bookmarkEnd w:id="1571"/>
      <w:bookmarkEnd w:id="1572"/>
    </w:p>
    <w:p>
      <w:pPr>
        <w:pStyle w:val="Style17"/>
        <w:keepNext w:val="0"/>
        <w:keepLines w:val="0"/>
        <w:widowControl w:val="0"/>
        <w:shd w:val="clear" w:color="auto" w:fill="auto"/>
        <w:bidi w:val="0"/>
        <w:spacing w:before="0" w:after="260" w:line="468"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月，本公司以现金方式收购李俊旗下控股子公司深圳市弘顺投资咨询合伙企业（有限合伙）持有安科创新</w:t>
      </w:r>
      <w:r>
        <w:rPr>
          <w:rFonts w:ascii="Times New Roman" w:eastAsia="Times New Roman" w:hAnsi="Times New Roman" w:cs="Times New Roman"/>
          <w:color w:val="000000"/>
          <w:spacing w:val="0"/>
          <w:w w:val="100"/>
          <w:position w:val="0"/>
          <w:sz w:val="18"/>
          <w:szCs w:val="18"/>
        </w:rPr>
        <w:t xml:space="preserve">6.67% </w:t>
      </w:r>
      <w:r>
        <w:rPr>
          <w:color w:val="000000"/>
          <w:spacing w:val="0"/>
          <w:w w:val="100"/>
          <w:position w:val="0"/>
        </w:rPr>
        <w:t>的股权。本次收购完成后，公司持有安科创新（深圳）有限公司股权比例由</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57.67%</w:t>
      </w:r>
      <w:r>
        <w:rPr>
          <w:color w:val="000000"/>
          <w:spacing w:val="0"/>
          <w:w w:val="100"/>
          <w:position w:val="0"/>
        </w:rPr>
        <w:t>。安科创新（深圳）有限 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日办理完毕工商变更登记及备案手续。</w:t>
      </w:r>
      <w:r>
        <w:br w:type="page"/>
      </w:r>
    </w:p>
    <w:p>
      <w:pPr>
        <w:pStyle w:val="Style44"/>
        <w:keepNext/>
        <w:keepLines/>
        <w:widowControl w:val="0"/>
        <w:shd w:val="clear" w:color="auto" w:fill="auto"/>
        <w:bidi w:val="0"/>
        <w:spacing w:before="0" w:after="40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573"/>
      <w:bookmarkEnd w:id="1574"/>
      <w:bookmarkEnd w:id="1575"/>
    </w:p>
    <w:p>
      <w:pPr>
        <w:pStyle w:val="Style17"/>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安科创新(深圳)有限公司</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2,102,250.00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9,897,750.00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3,017,688.28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8,982,311.72</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8,982,311.72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color w:val="000000"/>
          <w:spacing w:val="0"/>
          <w:w w:val="100"/>
          <w:position w:val="0"/>
        </w:rPr>
        <w:t>、在合营安排或联营企业中的权益</w:t>
      </w:r>
      <w:bookmarkEnd w:id="1576"/>
      <w:bookmarkEnd w:id="1577"/>
      <w:bookmarkEnd w:id="1579"/>
    </w:p>
    <w:p>
      <w:pPr>
        <w:pStyle w:val="Style44"/>
        <w:keepNext/>
        <w:keepLines/>
        <w:widowControl w:val="0"/>
        <w:shd w:val="clear" w:color="auto" w:fill="auto"/>
        <w:bidi w:val="0"/>
        <w:spacing w:before="0" w:after="320" w:line="240" w:lineRule="auto"/>
        <w:ind w:left="0" w:right="0" w:firstLine="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80"/>
      <w:bookmarkEnd w:id="1581"/>
      <w:bookmarkEnd w:id="158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北京华道征信有</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个人征信服务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东亚前海证券有 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国誉创富国际金 融服务(深圳)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恒银(嘉兴)资 产管理有限公司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83"/>
      <w:bookmarkEnd w:id="1584"/>
      <w:bookmarkEnd w:id="1585"/>
    </w:p>
    <w:p>
      <w:pPr>
        <w:pStyle w:val="Style17"/>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华道征信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国誉金服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恒银资产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东亚前海 证券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华道征信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易安保险</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国誉金服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恒银资产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东亚前海 证券</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百可录</w:t>
            </w:r>
          </w:p>
        </w:tc>
      </w:tr>
      <w:tr>
        <w:trPr>
          <w:trHeight w:val="379"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21,492,884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48,080,891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3,548,348.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21,641,360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792,437,31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57,969,866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408,062,99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7,336,334.</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77,875,070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238,347.65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105,947,07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71,554,786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519,773,60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471,074.16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3,088,588,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12,107,902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99,367,955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48,319,238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5,488,348.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3,442,377,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93,196,147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58,440,940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5,826,591.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3,496,651,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19,444,237</w:t>
            </w:r>
          </w:p>
        </w:tc>
      </w:tr>
    </w:tbl>
    <w:p>
      <w:pPr>
        <w:spacing w:lineRule="exact" w:line="1"/>
        <w:rPr>
          <w:sz w:val="2"/>
          <w:szCs w:val="2"/>
        </w:rPr>
      </w:pPr>
      <w:r>
        <w:br w:type="page"/>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863.94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910.61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74"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124,869,47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45,345,667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1,906,440,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88,535,910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703,150,93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49,968,076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2,088,224,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1,080,772.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052.99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152.80</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非流动负</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86,380,601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3,786,126.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124,869,47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45,345,667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1,992,820,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88,535,910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703,720,57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49,968,076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2,092,010,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1,080,772.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654.89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279.75</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52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归属于母 公司股东 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-25,501,51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2,973,571.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3,382,148.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1,449,557,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4,660,236.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608,490,34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8,472,864.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4,166,583.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1,404,641,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18,363,464</w:t>
            </w:r>
          </w:p>
        </w:tc>
      </w:tr>
      <w:tr>
        <w:trPr>
          <w:trHeight w:val="49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209.05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630.86</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按持股比 例计算的 净资产份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-9,716,077</w:t>
            </w:r>
          </w:p>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1,457,050.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676,429.72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378,334,43</w:t>
            </w:r>
          </w:p>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1,775,550.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91,273,552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4,151,703.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833,316.64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366,611,46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3,121,788.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68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 业权益投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1,456,411.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1,649,209.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377,781,92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1,767,131.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91,273,552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4,150,978.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1,758,496.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366,058,95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16,420,351</w:t>
            </w:r>
          </w:p>
        </w:tc>
      </w:tr>
      <w:tr>
        <w:trPr>
          <w:trHeight w:val="653"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资的账面</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79"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37,827,118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612,204,93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18,804,784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1,202,533,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253,620,92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15,221,663</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379"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-30,095,06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-5,499,115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43,166,895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-666,332.8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2,352,938.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-1,321,112</w:t>
            </w: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37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1,954,037.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-30,095,06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-5,499,115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44,915,578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-7,569,969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-666,332.8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4,306,975.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-1,321,112</w:t>
            </w:r>
          </w:p>
        </w:tc>
      </w:tr>
      <w:tr>
        <w:trPr>
          <w:trHeight w:val="346" w:hRule="exact"/>
        </w:trPr>
        <w:tc>
          <w:tcPr>
            <w:tcBorders>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widowControl w:val="0"/>
        <w:spacing w:after="299" w:line="1" w:lineRule="exact"/>
      </w:pPr>
    </w:p>
    <w:p>
      <w:pPr>
        <w:pStyle w:val="Style32"/>
        <w:keepNext/>
        <w:keepLines/>
        <w:widowControl w:val="0"/>
        <w:shd w:val="clear" w:color="auto" w:fill="auto"/>
        <w:bidi w:val="0"/>
        <w:spacing w:before="0" w:after="180" w:line="240" w:lineRule="auto"/>
        <w:ind w:left="0" w:right="0" w:firstLine="0"/>
        <w:jc w:val="left"/>
      </w:pPr>
      <w:bookmarkStart w:id="1586" w:name="bookmark1586"/>
      <w:bookmarkStart w:id="1587" w:name="bookmark1587"/>
      <w:bookmarkStart w:id="1588" w:name="bookmark1588"/>
      <w:r>
        <w:rPr>
          <w:color w:val="000000"/>
          <w:spacing w:val="0"/>
          <w:w w:val="100"/>
          <w:position w:val="0"/>
          <w:sz w:val="24"/>
          <w:szCs w:val="24"/>
        </w:rPr>
        <w:t>十、与金融工具相关的风险</w:t>
      </w:r>
      <w:bookmarkEnd w:id="1586"/>
      <w:bookmarkEnd w:id="1587"/>
      <w:bookmarkEnd w:id="1588"/>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本公司在日常活动中面临各种金融工具的风险，主要包括信用风险、市场风险和流动性风险。本公司的主要金融工具包 括货币资金、股权投资、债权投资、借款、应收账款、应付账款等，各项金融工具的详细情况说明见本附注七相关项目。与 这些金融工具有关的风险，以及本公司为降低这些风险所采取的风险管理政策如下所述：</w:t>
      </w:r>
    </w:p>
    <w:p>
      <w:pPr>
        <w:pStyle w:val="Style17"/>
        <w:keepNext w:val="0"/>
        <w:keepLines w:val="0"/>
        <w:widowControl w:val="0"/>
        <w:shd w:val="clear" w:color="auto" w:fill="auto"/>
        <w:bidi w:val="0"/>
        <w:spacing w:before="0" w:after="180" w:line="468" w:lineRule="exact"/>
        <w:ind w:left="0" w:right="0" w:firstLine="36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理政策及系统进行更新。本公司的风险管理由审计委员会按照董事会批准的政策开展。审计委员会通过与本公司其他业务部 门的紧密合作来识别、评价和规避相关风险。</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17"/>
        <w:keepNext w:val="0"/>
        <w:keepLines w:val="0"/>
        <w:widowControl w:val="0"/>
        <w:shd w:val="clear" w:color="auto" w:fill="auto"/>
        <w:tabs>
          <w:tab w:pos="891" w:val="left"/>
        </w:tabs>
        <w:bidi w:val="0"/>
        <w:spacing w:before="0" w:after="0" w:line="469" w:lineRule="exact"/>
        <w:ind w:left="0" w:right="0" w:firstLine="360"/>
        <w:jc w:val="both"/>
      </w:pPr>
      <w:bookmarkStart w:id="1589" w:name="bookmark1589"/>
      <w:r>
        <w:rPr>
          <w:color w:val="000000"/>
          <w:spacing w:val="0"/>
          <w:w w:val="100"/>
          <w:position w:val="0"/>
        </w:rPr>
        <w:t>（</w:t>
      </w:r>
      <w:bookmarkEnd w:id="1589"/>
      <w:r>
        <w:rPr>
          <w:color w:val="000000"/>
          <w:spacing w:val="0"/>
          <w:w w:val="100"/>
          <w:position w:val="0"/>
        </w:rPr>
        <w:t>一）</w:t>
        <w:tab/>
        <w:t>市场风险</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金融工具的市场风险，是指金融工具的公允价值或未来现金流量因市场价格变动而发生波动的风险，包括外汇风险、利 率风险和其他价格风险。</w:t>
      </w:r>
    </w:p>
    <w:p>
      <w:pPr>
        <w:pStyle w:val="Style17"/>
        <w:keepNext w:val="0"/>
        <w:keepLines w:val="0"/>
        <w:widowControl w:val="0"/>
        <w:shd w:val="clear" w:color="auto" w:fill="auto"/>
        <w:tabs>
          <w:tab w:pos="695" w:val="left"/>
        </w:tabs>
        <w:bidi w:val="0"/>
        <w:spacing w:before="0" w:after="0" w:line="545" w:lineRule="auto"/>
        <w:ind w:left="0" w:right="0" w:firstLine="360"/>
        <w:jc w:val="both"/>
      </w:pPr>
      <w:bookmarkStart w:id="1590" w:name="bookmark1590"/>
      <w:r>
        <w:rPr>
          <w:rFonts w:ascii="Times New Roman" w:eastAsia="Times New Roman" w:hAnsi="Times New Roman" w:cs="Times New Roman"/>
          <w:color w:val="000000"/>
          <w:spacing w:val="0"/>
          <w:w w:val="100"/>
          <w:position w:val="0"/>
          <w:sz w:val="18"/>
          <w:szCs w:val="18"/>
        </w:rPr>
        <w:t>1</w:t>
      </w:r>
      <w:bookmarkEnd w:id="1590"/>
      <w:r>
        <w:rPr>
          <w:color w:val="000000"/>
          <w:spacing w:val="0"/>
          <w:w w:val="100"/>
          <w:position w:val="0"/>
        </w:rPr>
        <w:t>、</w:t>
        <w:tab/>
        <w:t>汇率风险</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汇率风险是指金融工具的公允价值或未来现金流量因外汇汇率变动而发生波动的风险。本公司的主要经营位于中国境 内，主要业务以人民币结算。因此，本公司所承担的外汇变动市场风险不重大，但本公司已确认的外币资产和负债及未来的 外币交易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外币资产和负债及外币交易的计价货币主要为美元、英镑、欧元、</w:t>
      </w:r>
      <w:r>
        <w:rPr>
          <w:color w:val="000000"/>
          <w:spacing w:val="0"/>
          <w:w w:val="100"/>
          <w:position w:val="0"/>
          <w:sz w:val="18"/>
          <w:szCs w:val="18"/>
        </w:rPr>
        <w:t>）</w:t>
      </w:r>
      <w:r>
        <w:rPr>
          <w:color w:val="000000"/>
          <w:spacing w:val="0"/>
          <w:w w:val="100"/>
          <w:position w:val="0"/>
        </w:rPr>
        <w:t>依然存在外汇风险。相关外币资产及外币负债 包括：以外币计价的货币资金、应收账款、应付账款。外币金融资产和外币金融负债折算成人民币的金额见附注七、</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外 币货币性项目</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本公司尽可能将外币收入与外币支出相匹配以降低外汇风险。此外，公司还签署远期外汇合约以防范本公司以美元结算 的收入存在的汇兑风险。本期末，本公司面临的外汇风险主要来源于以美元计价的金融资产和金融负债，外币金融资产和外 币金融负债折算成人民币的金额见附注七、</w:t>
      </w:r>
      <w:r>
        <w:rPr>
          <w:rFonts w:ascii="Times New Roman" w:eastAsia="Times New Roman" w:hAnsi="Times New Roman" w:cs="Times New Roman"/>
          <w:color w:val="000000"/>
          <w:spacing w:val="0"/>
          <w:w w:val="100"/>
          <w:position w:val="0"/>
          <w:sz w:val="18"/>
          <w:szCs w:val="18"/>
        </w:rPr>
        <w:t>54 “</w:t>
      </w:r>
      <w:r>
        <w:rPr>
          <w:color w:val="000000"/>
          <w:spacing w:val="0"/>
          <w:w w:val="100"/>
          <w:position w:val="0"/>
        </w:rPr>
        <w:t>外币货币性项目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7"/>
        <w:keepNext w:val="0"/>
        <w:keepLines w:val="0"/>
        <w:widowControl w:val="0"/>
        <w:shd w:val="clear" w:color="auto" w:fill="auto"/>
        <w:tabs>
          <w:tab w:pos="714" w:val="left"/>
        </w:tabs>
        <w:bidi w:val="0"/>
        <w:spacing w:before="0" w:after="0" w:line="545" w:lineRule="auto"/>
        <w:ind w:left="0" w:right="0" w:firstLine="360"/>
        <w:jc w:val="both"/>
      </w:pPr>
      <w:bookmarkStart w:id="1591" w:name="bookmark1591"/>
      <w:r>
        <w:rPr>
          <w:rFonts w:ascii="Times New Roman" w:eastAsia="Times New Roman" w:hAnsi="Times New Roman" w:cs="Times New Roman"/>
          <w:color w:val="000000"/>
          <w:spacing w:val="0"/>
          <w:w w:val="100"/>
          <w:position w:val="0"/>
          <w:sz w:val="18"/>
          <w:szCs w:val="18"/>
        </w:rPr>
        <w:t>2</w:t>
      </w:r>
      <w:bookmarkEnd w:id="1591"/>
      <w:r>
        <w:rPr>
          <w:color w:val="000000"/>
          <w:spacing w:val="0"/>
          <w:w w:val="100"/>
          <w:position w:val="0"/>
        </w:rPr>
        <w:t>、</w:t>
        <w:tab/>
        <w:t>利率风险</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利率风险，是指金融工具的公允价值或未来现金流量因市场利率变动而发生波动的风险。截至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 向银行借款均系固定利率借款。因此，本公司不会受到利率变动所导致的现金流量变动风险的影响。</w:t>
      </w:r>
    </w:p>
    <w:p>
      <w:pPr>
        <w:pStyle w:val="Style17"/>
        <w:keepNext w:val="0"/>
        <w:keepLines w:val="0"/>
        <w:widowControl w:val="0"/>
        <w:shd w:val="clear" w:color="auto" w:fill="auto"/>
        <w:tabs>
          <w:tab w:pos="704" w:val="left"/>
        </w:tabs>
        <w:bidi w:val="0"/>
        <w:spacing w:before="0" w:after="0" w:line="545" w:lineRule="auto"/>
        <w:ind w:left="0" w:right="0" w:firstLine="360"/>
        <w:jc w:val="left"/>
      </w:pPr>
      <w:bookmarkStart w:id="1592" w:name="bookmark1592"/>
      <w:r>
        <w:rPr>
          <w:rFonts w:ascii="Times New Roman" w:eastAsia="Times New Roman" w:hAnsi="Times New Roman" w:cs="Times New Roman"/>
          <w:color w:val="000000"/>
          <w:spacing w:val="0"/>
          <w:w w:val="100"/>
          <w:position w:val="0"/>
          <w:sz w:val="18"/>
          <w:szCs w:val="18"/>
        </w:rPr>
        <w:t>3</w:t>
      </w:r>
      <w:bookmarkEnd w:id="1592"/>
      <w:r>
        <w:rPr>
          <w:color w:val="000000"/>
          <w:spacing w:val="0"/>
          <w:w w:val="100"/>
          <w:position w:val="0"/>
        </w:rPr>
        <w:t>、</w:t>
        <w:tab/>
        <w:t>其他价格风险</w:t>
      </w:r>
    </w:p>
    <w:p>
      <w:pPr>
        <w:pStyle w:val="Style17"/>
        <w:keepNext w:val="0"/>
        <w:keepLines w:val="0"/>
        <w:widowControl w:val="0"/>
        <w:shd w:val="clear" w:color="auto" w:fill="auto"/>
        <w:bidi w:val="0"/>
        <w:spacing w:before="0" w:after="0" w:line="469" w:lineRule="exact"/>
        <w:ind w:left="0" w:right="0" w:firstLine="360"/>
        <w:jc w:val="left"/>
      </w:pPr>
      <w:r>
        <w:rPr>
          <w:color w:val="000000"/>
          <w:spacing w:val="0"/>
          <w:w w:val="100"/>
          <w:position w:val="0"/>
        </w:rPr>
        <w:t>本公司未持有其他上市公司的权益投资，不存在其他价格风险。</w:t>
      </w:r>
    </w:p>
    <w:p>
      <w:pPr>
        <w:pStyle w:val="Style17"/>
        <w:keepNext w:val="0"/>
        <w:keepLines w:val="0"/>
        <w:widowControl w:val="0"/>
        <w:shd w:val="clear" w:color="auto" w:fill="auto"/>
        <w:tabs>
          <w:tab w:pos="891" w:val="left"/>
        </w:tabs>
        <w:bidi w:val="0"/>
        <w:spacing w:before="0" w:after="0" w:line="469" w:lineRule="exact"/>
        <w:ind w:left="0" w:right="0" w:firstLine="360"/>
        <w:jc w:val="both"/>
      </w:pPr>
      <w:bookmarkStart w:id="1593" w:name="bookmark1593"/>
      <w:r>
        <w:rPr>
          <w:color w:val="000000"/>
          <w:spacing w:val="0"/>
          <w:w w:val="100"/>
          <w:position w:val="0"/>
        </w:rPr>
        <w:t>（</w:t>
      </w:r>
      <w:bookmarkEnd w:id="1593"/>
      <w:r>
        <w:rPr>
          <w:color w:val="000000"/>
          <w:spacing w:val="0"/>
          <w:w w:val="100"/>
          <w:position w:val="0"/>
        </w:rPr>
        <w:t>二）</w:t>
        <w:tab/>
        <w:t>信用风险</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信用风险，是指交易对手方未能履行合同义务而导致本公司产生财务损失的风险。本公司信用风险主要产生于银行存款 和应收款项等。</w:t>
      </w:r>
    </w:p>
    <w:p>
      <w:pPr>
        <w:pStyle w:val="Style17"/>
        <w:keepNext w:val="0"/>
        <w:keepLines w:val="0"/>
        <w:widowControl w:val="0"/>
        <w:shd w:val="clear" w:color="auto" w:fill="auto"/>
        <w:tabs>
          <w:tab w:pos="695" w:val="left"/>
        </w:tabs>
        <w:bidi w:val="0"/>
        <w:spacing w:before="0" w:after="0" w:line="545" w:lineRule="auto"/>
        <w:ind w:left="0" w:right="0" w:firstLine="360"/>
        <w:jc w:val="both"/>
      </w:pPr>
      <w:bookmarkStart w:id="1594" w:name="bookmark1594"/>
      <w:r>
        <w:rPr>
          <w:rFonts w:ascii="Times New Roman" w:eastAsia="Times New Roman" w:hAnsi="Times New Roman" w:cs="Times New Roman"/>
          <w:color w:val="000000"/>
          <w:spacing w:val="0"/>
          <w:w w:val="100"/>
          <w:position w:val="0"/>
          <w:sz w:val="18"/>
          <w:szCs w:val="18"/>
        </w:rPr>
        <w:t>1</w:t>
      </w:r>
      <w:bookmarkEnd w:id="1594"/>
      <w:r>
        <w:rPr>
          <w:color w:val="000000"/>
          <w:spacing w:val="0"/>
          <w:w w:val="100"/>
          <w:position w:val="0"/>
        </w:rPr>
        <w:t>、</w:t>
        <w:tab/>
        <w:t>银行存款</w:t>
      </w:r>
    </w:p>
    <w:p>
      <w:pPr>
        <w:pStyle w:val="Style17"/>
        <w:keepNext w:val="0"/>
        <w:keepLines w:val="0"/>
        <w:widowControl w:val="0"/>
        <w:shd w:val="clear" w:color="auto" w:fill="auto"/>
        <w:bidi w:val="0"/>
        <w:spacing w:before="0" w:after="260" w:line="469" w:lineRule="exact"/>
        <w:ind w:left="0" w:right="0" w:firstLine="360"/>
        <w:jc w:val="both"/>
      </w:pPr>
      <w:r>
        <w:rPr>
          <w:color w:val="000000"/>
          <w:spacing w:val="0"/>
          <w:w w:val="100"/>
          <w:position w:val="0"/>
        </w:rPr>
        <w:t>本公司银行存款主要存放于国有银行和其它大中型上市银行，本公司预期银行存款不存在重大的信用风险。</w:t>
      </w:r>
    </w:p>
    <w:p>
      <w:pPr>
        <w:pStyle w:val="Style17"/>
        <w:keepNext w:val="0"/>
        <w:keepLines w:val="0"/>
        <w:widowControl w:val="0"/>
        <w:shd w:val="clear" w:color="auto" w:fill="auto"/>
        <w:tabs>
          <w:tab w:pos="714" w:val="left"/>
        </w:tabs>
        <w:bidi w:val="0"/>
        <w:spacing w:before="0" w:after="0" w:line="545" w:lineRule="auto"/>
        <w:ind w:left="0" w:right="0" w:firstLine="360"/>
        <w:jc w:val="both"/>
      </w:pPr>
      <w:bookmarkStart w:id="1595" w:name="bookmark1595"/>
      <w:r>
        <w:rPr>
          <w:rFonts w:ascii="Times New Roman" w:eastAsia="Times New Roman" w:hAnsi="Times New Roman" w:cs="Times New Roman"/>
          <w:color w:val="000000"/>
          <w:spacing w:val="0"/>
          <w:w w:val="100"/>
          <w:position w:val="0"/>
          <w:sz w:val="18"/>
          <w:szCs w:val="18"/>
        </w:rPr>
        <w:t>2</w:t>
      </w:r>
      <w:bookmarkEnd w:id="1595"/>
      <w:r>
        <w:rPr>
          <w:color w:val="000000"/>
          <w:spacing w:val="0"/>
          <w:w w:val="100"/>
          <w:position w:val="0"/>
        </w:rPr>
        <w:t>、</w:t>
        <w:tab/>
        <w:t>应收款项</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对于应收款项，本公司按照客户管理信用风险集中度，设定相关政策以控制信用风险敞口。本公司持续对采用信用方式 交易的客户进行信用评估。根据信用评估结果，本公司选择与经认可的且信用良好的客户进行交易，并对其应收款项余额进 行监控，以确保本公司不会面临重大坏账风险。本公司无重大信用集中风险。</w:t>
      </w:r>
    </w:p>
    <w:p>
      <w:pPr>
        <w:pStyle w:val="Style17"/>
        <w:keepNext w:val="0"/>
        <w:keepLines w:val="0"/>
        <w:widowControl w:val="0"/>
        <w:shd w:val="clear" w:color="auto" w:fill="auto"/>
        <w:tabs>
          <w:tab w:pos="891" w:val="left"/>
        </w:tabs>
        <w:bidi w:val="0"/>
        <w:spacing w:before="0" w:after="0" w:line="469" w:lineRule="exact"/>
        <w:ind w:left="0" w:right="0" w:firstLine="360"/>
        <w:jc w:val="both"/>
      </w:pPr>
      <w:bookmarkStart w:id="1596" w:name="bookmark1596"/>
      <w:r>
        <w:rPr>
          <w:color w:val="000000"/>
          <w:spacing w:val="0"/>
          <w:w w:val="100"/>
          <w:position w:val="0"/>
        </w:rPr>
        <w:t>（</w:t>
      </w:r>
      <w:bookmarkEnd w:id="1596"/>
      <w:r>
        <w:rPr>
          <w:color w:val="000000"/>
          <w:spacing w:val="0"/>
          <w:w w:val="100"/>
          <w:position w:val="0"/>
        </w:rPr>
        <w:t>三）</w:t>
        <w:tab/>
        <w:t>流动风险</w:t>
      </w:r>
    </w:p>
    <w:p>
      <w:pPr>
        <w:pStyle w:val="Style17"/>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流动风险，是指企业在履行以交付现金或其他金融资产的方式结算的义务时发生资金短缺的风险。为控制该项风险，本</w:t>
        <w:br w:type="page"/>
      </w:r>
      <w:r>
        <w:rPr>
          <w:color w:val="000000"/>
          <w:spacing w:val="0"/>
          <w:w w:val="100"/>
          <w:position w:val="0"/>
        </w:rPr>
        <w:t>公司运用银行借款等融资手段，并采取长、短期融资方式适当结合，优化融资结构的方法，保持融资持续性与灵活性之间的 平衡。本公司已从多家商业银行取得银行授信额度以满足营运资金需求和资本开支。</w:t>
      </w:r>
    </w:p>
    <w:p>
      <w:pPr>
        <w:pStyle w:val="Style17"/>
        <w:keepNext w:val="0"/>
        <w:keepLines w:val="0"/>
        <w:widowControl w:val="0"/>
        <w:shd w:val="clear" w:color="auto" w:fill="auto"/>
        <w:bidi w:val="0"/>
        <w:spacing w:before="0" w:after="240" w:line="475" w:lineRule="exact"/>
        <w:ind w:left="0" w:right="0" w:firstLine="480"/>
        <w:jc w:val="both"/>
      </w:pPr>
      <w:r>
        <w:rPr>
          <w:color w:val="000000"/>
          <w:spacing w:val="0"/>
          <w:w w:val="100"/>
          <w:position w:val="0"/>
        </w:rPr>
        <w:t>财务部门通过监控现金余额、可随时变现的有价证券以及对未来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 的情况下拥有充足的资金偿还债务，满足本公司经营需要，并降低现金流量波动的影响。</w:t>
      </w:r>
    </w:p>
    <w:p>
      <w:pPr>
        <w:pStyle w:val="Style41"/>
        <w:keepNext w:val="0"/>
        <w:keepLines w:val="0"/>
        <w:widowControl w:val="0"/>
        <w:shd w:val="clear" w:color="auto" w:fill="auto"/>
        <w:bidi w:val="0"/>
        <w:spacing w:before="0" w:after="0" w:line="240" w:lineRule="auto"/>
        <w:ind w:left="461" w:right="0" w:firstLine="0"/>
        <w:jc w:val="left"/>
      </w:pPr>
      <w:r>
        <w:rPr>
          <w:color w:val="000000"/>
          <w:spacing w:val="0"/>
          <w:w w:val="100"/>
          <w:position w:val="0"/>
        </w:rPr>
        <w:t>本公司持有的金融负债和表外担保项目按未折现剩余合同现金流量的到期期限分析如下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单位：人民币万元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bl>
      <w:tblPr>
        <w:tblOverlap w:val="never"/>
        <w:jc w:val="center"/>
        <w:tblLayout w:type="fixed"/>
      </w:tblPr>
      <w:tblGrid>
        <w:gridCol w:w="2501"/>
        <w:gridCol w:w="1939"/>
        <w:gridCol w:w="1195"/>
        <w:gridCol w:w="1195"/>
        <w:gridCol w:w="1195"/>
        <w:gridCol w:w="1853"/>
      </w:tblGrid>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一至两年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两至三年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三年以上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46,480.00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46,480.00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11,021.68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11,021.68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323.52</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57,825.20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57,825.20</w:t>
            </w:r>
          </w:p>
        </w:tc>
      </w:tr>
    </w:tbl>
    <w:p>
      <w:pPr>
        <w:widowControl w:val="0"/>
        <w:spacing w:after="119" w:line="1" w:lineRule="exact"/>
      </w:pPr>
    </w:p>
    <w:p>
      <w:pPr>
        <w:pStyle w:val="Style41"/>
        <w:keepNext w:val="0"/>
        <w:keepLines w:val="0"/>
        <w:widowControl w:val="0"/>
        <w:shd w:val="clear" w:color="auto" w:fill="auto"/>
        <w:bidi w:val="0"/>
        <w:spacing w:before="0" w:after="0" w:line="240" w:lineRule="auto"/>
        <w:ind w:left="461" w:right="0" w:firstLine="0"/>
        <w:jc w:val="left"/>
      </w:pPr>
      <w:r>
        <w:rPr>
          <w:color w:val="000000"/>
          <w:spacing w:val="0"/>
          <w:w w:val="100"/>
          <w:position w:val="0"/>
        </w:rPr>
        <w:t>续上表:</w:t>
      </w:r>
    </w:p>
    <w:tbl>
      <w:tblPr>
        <w:tblOverlap w:val="never"/>
        <w:jc w:val="center"/>
        <w:tblLayout w:type="fixed"/>
      </w:tblPr>
      <w:tblGrid>
        <w:gridCol w:w="2429"/>
        <w:gridCol w:w="1637"/>
        <w:gridCol w:w="1474"/>
        <w:gridCol w:w="1474"/>
        <w:gridCol w:w="1210"/>
        <w:gridCol w:w="1656"/>
      </w:tblGrid>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一至两年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两至三年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三年以上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8,365.71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8,365.71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402.</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402.30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11,000.00</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52,768.01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52,768.01</w:t>
            </w:r>
          </w:p>
        </w:tc>
      </w:tr>
    </w:tbl>
    <w:p>
      <w:pPr>
        <w:widowControl w:val="0"/>
        <w:spacing w:after="119" w:line="1" w:lineRule="exact"/>
      </w:pPr>
    </w:p>
    <w:p>
      <w:pPr>
        <w:pStyle w:val="Style17"/>
        <w:keepNext w:val="0"/>
        <w:keepLines w:val="0"/>
        <w:widowControl w:val="0"/>
        <w:shd w:val="clear" w:color="auto" w:fill="auto"/>
        <w:bidi w:val="0"/>
        <w:spacing w:before="0" w:after="240" w:line="240" w:lineRule="auto"/>
        <w:ind w:left="0" w:right="0" w:firstLine="480"/>
        <w:jc w:val="both"/>
      </w:pPr>
      <w:r>
        <w:rPr>
          <w:color w:val="000000"/>
          <w:spacing w:val="0"/>
          <w:w w:val="100"/>
          <w:position w:val="0"/>
        </w:rPr>
        <w:t>上表中披露的金融负债金额为未经折现的合同现金流量，因而可能与资产负债表中的账面金额有所不同。</w:t>
      </w:r>
    </w:p>
    <w:p>
      <w:pPr>
        <w:pStyle w:val="Style17"/>
        <w:keepNext w:val="0"/>
        <w:keepLines w:val="0"/>
        <w:widowControl w:val="0"/>
        <w:shd w:val="clear" w:color="auto" w:fill="auto"/>
        <w:bidi w:val="0"/>
        <w:spacing w:before="0" w:after="0" w:line="240" w:lineRule="auto"/>
        <w:ind w:left="0" w:right="0" w:firstLine="480"/>
        <w:jc w:val="both"/>
      </w:pPr>
      <w:bookmarkStart w:id="1597" w:name="bookmark1597"/>
      <w:r>
        <w:rPr>
          <w:color w:val="000000"/>
          <w:spacing w:val="0"/>
          <w:w w:val="100"/>
          <w:position w:val="0"/>
        </w:rPr>
        <w:t>（</w:t>
      </w:r>
      <w:bookmarkEnd w:id="1597"/>
      <w:r>
        <w:rPr>
          <w:color w:val="000000"/>
          <w:spacing w:val="0"/>
          <w:w w:val="100"/>
          <w:position w:val="0"/>
        </w:rPr>
        <w:t>四）资本管理</w:t>
      </w:r>
    </w:p>
    <w:p>
      <w:pPr>
        <w:pStyle w:val="Style17"/>
        <w:keepNext w:val="0"/>
        <w:keepLines w:val="0"/>
        <w:widowControl w:val="0"/>
        <w:shd w:val="clear" w:color="auto" w:fill="auto"/>
        <w:bidi w:val="0"/>
        <w:spacing w:before="0" w:after="420" w:line="464" w:lineRule="exact"/>
        <w:ind w:left="0" w:right="0" w:firstLine="480"/>
        <w:jc w:val="both"/>
      </w:pPr>
      <w:r>
        <w:rPr>
          <w:color w:val="000000"/>
          <w:spacing w:val="0"/>
          <w:w w:val="100"/>
          <w:position w:val="0"/>
        </w:rPr>
        <w:t>本公司资本管理政策的目标是为了保障本公司能够持续经营，从而为股东提供回报，并使其他利益相关者获益，同时维 持最佳的资本结构以降低资本成本。为了维持或调整资本结构，本公司可能会调整支付给股东的股利金额、向股东返还资本、 发行新股或出售资产以减低债务。本公司以资产负债率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即总负债除以总资产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为基础对资本结构进行监控。于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日，本公司的资产负债率为</w:t>
      </w:r>
      <w:r>
        <w:rPr>
          <w:rFonts w:ascii="Times New Roman" w:eastAsia="Times New Roman" w:hAnsi="Times New Roman" w:cs="Times New Roman"/>
          <w:color w:val="000000"/>
          <w:spacing w:val="0"/>
          <w:w w:val="100"/>
          <w:position w:val="0"/>
          <w:sz w:val="18"/>
          <w:szCs w:val="18"/>
        </w:rPr>
        <w:t>34.12% （2019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34.39%）</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r>
        <w:rPr>
          <w:color w:val="000000"/>
          <w:spacing w:val="0"/>
          <w:w w:val="100"/>
          <w:position w:val="0"/>
          <w:sz w:val="24"/>
          <w:szCs w:val="24"/>
        </w:rPr>
        <w:t>十一、公允价值的披露</w:t>
      </w:r>
      <w:bookmarkEnd w:id="1598"/>
      <w:bookmarkEnd w:id="1599"/>
      <w:bookmarkEnd w:id="1600"/>
    </w:p>
    <w:p>
      <w:pPr>
        <w:pStyle w:val="Style36"/>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01"/>
      <w:bookmarkEnd w:id="1602"/>
      <w:bookmarkEnd w:id="1603"/>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7589"/>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tbl>
      <w:tblPr>
        <w:tblOverlap w:val="never"/>
        <w:jc w:val="center"/>
        <w:tblLayout w:type="fixed"/>
      </w:tblPr>
      <w:tblGrid>
        <w:gridCol w:w="1997"/>
        <w:gridCol w:w="1838"/>
        <w:gridCol w:w="1915"/>
        <w:gridCol w:w="1910"/>
        <w:gridCol w:w="192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168,278,587.19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168,278,587.19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168,278,587.19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168,278,587.19</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shd w:val="clear" w:color="auto" w:fill="auto"/>
        <w:tabs>
          <w:tab w:pos="378" w:val="left"/>
        </w:tabs>
        <w:bidi w:val="0"/>
        <w:spacing w:before="0" w:after="12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bookmarkEnd w:id="1606"/>
      <w:r>
        <w:rPr>
          <w:color w:val="000000"/>
          <w:spacing w:val="0"/>
          <w:w w:val="100"/>
          <w:position w:val="0"/>
        </w:rPr>
        <w:t>、</w:t>
        <w:tab/>
        <w:t>持续和非持续第一层次公允价值计量项目市价的确定依据</w:t>
      </w:r>
      <w:bookmarkEnd w:id="1604"/>
      <w:bookmarkEnd w:id="1605"/>
      <w:bookmarkEnd w:id="1607"/>
    </w:p>
    <w:p>
      <w:pPr>
        <w:pStyle w:val="Style17"/>
        <w:keepNext w:val="0"/>
        <w:keepLines w:val="0"/>
        <w:widowControl w:val="0"/>
        <w:shd w:val="clear" w:color="auto" w:fill="auto"/>
        <w:bidi w:val="0"/>
        <w:spacing w:before="0" w:after="380" w:line="469" w:lineRule="exact"/>
        <w:ind w:left="0" w:right="0"/>
        <w:jc w:val="left"/>
      </w:pPr>
      <w:r>
        <w:rPr>
          <w:color w:val="000000"/>
          <w:spacing w:val="0"/>
          <w:w w:val="100"/>
          <w:position w:val="0"/>
        </w:rPr>
        <w:t>不适用。</w:t>
      </w:r>
    </w:p>
    <w:p>
      <w:pPr>
        <w:pStyle w:val="Style36"/>
        <w:keepNext/>
        <w:keepLines/>
        <w:widowControl w:val="0"/>
        <w:shd w:val="clear" w:color="auto" w:fill="auto"/>
        <w:tabs>
          <w:tab w:pos="378" w:val="left"/>
        </w:tabs>
        <w:bidi w:val="0"/>
        <w:spacing w:before="0" w:after="12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color w:val="000000"/>
          <w:spacing w:val="0"/>
          <w:w w:val="100"/>
          <w:position w:val="0"/>
        </w:rPr>
        <w:t>、</w:t>
        <w:tab/>
        <w:t>持续和非持续第二层次公允价值计量项目，采用的估值技术和重要参数的定性及定量信息</w:t>
      </w:r>
      <w:bookmarkEnd w:id="1608"/>
      <w:bookmarkEnd w:id="1609"/>
      <w:bookmarkEnd w:id="1611"/>
    </w:p>
    <w:p>
      <w:pPr>
        <w:pStyle w:val="Style17"/>
        <w:keepNext w:val="0"/>
        <w:keepLines w:val="0"/>
        <w:widowControl w:val="0"/>
        <w:shd w:val="clear" w:color="auto" w:fill="auto"/>
        <w:bidi w:val="0"/>
        <w:spacing w:before="0" w:after="380" w:line="469" w:lineRule="exact"/>
        <w:ind w:left="0" w:right="0"/>
        <w:jc w:val="left"/>
      </w:pPr>
      <w:r>
        <w:rPr>
          <w:color w:val="000000"/>
          <w:spacing w:val="0"/>
          <w:w w:val="100"/>
          <w:position w:val="0"/>
        </w:rPr>
        <w:t>不适用。</w:t>
      </w:r>
    </w:p>
    <w:p>
      <w:pPr>
        <w:pStyle w:val="Style36"/>
        <w:keepNext/>
        <w:keepLines/>
        <w:widowControl w:val="0"/>
        <w:shd w:val="clear" w:color="auto" w:fill="auto"/>
        <w:tabs>
          <w:tab w:pos="378" w:val="left"/>
        </w:tabs>
        <w:bidi w:val="0"/>
        <w:spacing w:before="0" w:after="200" w:line="240" w:lineRule="auto"/>
        <w:ind w:left="0" w:right="0" w:firstLine="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4</w:t>
      </w:r>
      <w:bookmarkEnd w:id="1614"/>
      <w:r>
        <w:rPr>
          <w:color w:val="000000"/>
          <w:spacing w:val="0"/>
          <w:w w:val="100"/>
          <w:position w:val="0"/>
        </w:rPr>
        <w:t>、</w:t>
        <w:tab/>
        <w:t>持续和非持续第三层次公允价值计量项目，采用的估值技术和重要参数的定性及定量信息</w:t>
      </w:r>
      <w:bookmarkEnd w:id="1612"/>
      <w:bookmarkEnd w:id="1613"/>
      <w:bookmarkEnd w:id="1615"/>
    </w:p>
    <w:p>
      <w:pPr>
        <w:pStyle w:val="Style17"/>
        <w:keepNext w:val="0"/>
        <w:keepLines w:val="0"/>
        <w:widowControl w:val="0"/>
        <w:shd w:val="clear" w:color="auto" w:fill="auto"/>
        <w:bidi w:val="0"/>
        <w:spacing w:before="0" w:after="440" w:line="469" w:lineRule="exact"/>
        <w:ind w:left="0" w:right="0"/>
        <w:jc w:val="both"/>
      </w:pPr>
      <w:r>
        <w:rPr>
          <w:color w:val="000000"/>
          <w:spacing w:val="0"/>
          <w:w w:val="100"/>
          <w:position w:val="0"/>
        </w:rPr>
        <w:t>由于公司持有被投资单位股权较低，无重大影响，对被投资公司股权采用收益法或者市场法进行估值不切实可行，且近 期内被投资单位并无引入外部投资者、股东之间转让股权等可作为确定公允价值的参考依据，此外，公司从可获取的相关信 息分析，未发现被投资单位内外部环境自年初以来已发生重大变化，因此属于可用账面成本作为公允价值最佳估计的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 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，因此年末以成本作为公允价值。其中对百可录（北京）科技有限公司权益工具投资，近期引入外部投资者，以外部 投资者投资价格作为公允价值的参考依据。</w:t>
      </w:r>
    </w:p>
    <w:p>
      <w:pPr>
        <w:pStyle w:val="Style36"/>
        <w:keepNext/>
        <w:keepLines/>
        <w:widowControl w:val="0"/>
        <w:shd w:val="clear" w:color="auto" w:fill="auto"/>
        <w:tabs>
          <w:tab w:pos="378" w:val="left"/>
        </w:tabs>
        <w:bidi w:val="0"/>
        <w:spacing w:before="0" w:after="20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color w:val="000000"/>
          <w:spacing w:val="0"/>
          <w:w w:val="100"/>
          <w:position w:val="0"/>
        </w:rPr>
        <w:t>、</w:t>
        <w:tab/>
        <w:t>不以公允价值计量的金融资产和金融负债的公允价值情况</w:t>
      </w:r>
      <w:bookmarkEnd w:id="1616"/>
      <w:bookmarkEnd w:id="1617"/>
      <w:bookmarkEnd w:id="1619"/>
    </w:p>
    <w:p>
      <w:pPr>
        <w:pStyle w:val="Style17"/>
        <w:keepNext w:val="0"/>
        <w:keepLines w:val="0"/>
        <w:widowControl w:val="0"/>
        <w:shd w:val="clear" w:color="auto" w:fill="auto"/>
        <w:bidi w:val="0"/>
        <w:spacing w:before="0" w:after="380" w:line="466" w:lineRule="exact"/>
        <w:ind w:left="0" w:right="0"/>
        <w:jc w:val="both"/>
      </w:pPr>
      <w:r>
        <w:rPr>
          <w:color w:val="000000"/>
          <w:spacing w:val="0"/>
          <w:w w:val="100"/>
          <w:position w:val="0"/>
        </w:rPr>
        <w:t>本公司以摊余成本计量的金融资产和金融负债主要包括：货币资金、应收票据、应收账款、其他应收款、短期借款、应 付票据、应付账款、其他应付款、长期应付款等。本公司不以公允价值计量的金融资产和金融负债的账面价值与公允价值相 差很小。</w:t>
      </w:r>
    </w:p>
    <w:p>
      <w:pPr>
        <w:pStyle w:val="Style32"/>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r>
        <w:rPr>
          <w:color w:val="000000"/>
          <w:spacing w:val="0"/>
          <w:w w:val="100"/>
          <w:position w:val="0"/>
          <w:sz w:val="24"/>
          <w:szCs w:val="24"/>
        </w:rPr>
        <w:t>十二、关联方及关联交易</w:t>
      </w:r>
      <w:bookmarkEnd w:id="1620"/>
      <w:bookmarkEnd w:id="1621"/>
      <w:bookmarkEnd w:id="1622"/>
    </w:p>
    <w:p>
      <w:pPr>
        <w:pStyle w:val="Style36"/>
        <w:keepNext/>
        <w:keepLines/>
        <w:widowControl w:val="0"/>
        <w:shd w:val="clear" w:color="auto" w:fill="auto"/>
        <w:bidi w:val="0"/>
        <w:spacing w:before="0" w:after="32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23"/>
      <w:bookmarkEnd w:id="1624"/>
      <w:bookmarkEnd w:id="1625"/>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17"/>
        <w:keepNext w:val="0"/>
        <w:keepLines w:val="0"/>
        <w:widowControl w:val="0"/>
        <w:shd w:val="clear" w:color="auto" w:fill="auto"/>
        <w:bidi w:val="0"/>
        <w:spacing w:before="0" w:after="380" w:line="432" w:lineRule="exact"/>
        <w:ind w:left="0" w:right="0"/>
        <w:jc w:val="left"/>
      </w:pPr>
      <w:r>
        <w:rPr>
          <w:color w:val="000000"/>
          <w:spacing w:val="0"/>
          <w:w w:val="100"/>
          <w:position w:val="0"/>
        </w:rPr>
        <w:t>注：张学君、陈向军、李军三人以一致行动人的方式对公司实施共同控制，为本公司实际控制人。 本企业最终控制方是张学君、陈向军、李军。</w:t>
      </w:r>
    </w:p>
    <w:p>
      <w:pPr>
        <w:pStyle w:val="Style36"/>
        <w:keepNext/>
        <w:keepLines/>
        <w:widowControl w:val="0"/>
        <w:shd w:val="clear" w:color="auto" w:fill="auto"/>
        <w:tabs>
          <w:tab w:pos="378" w:val="left"/>
        </w:tabs>
        <w:bidi w:val="0"/>
        <w:spacing w:before="0" w:after="24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bookmarkEnd w:id="1628"/>
      <w:r>
        <w:rPr>
          <w:color w:val="000000"/>
          <w:spacing w:val="0"/>
          <w:w w:val="100"/>
          <w:position w:val="0"/>
        </w:rPr>
        <w:t>、</w:t>
        <w:tab/>
        <w:t>本企业的子公司情况</w:t>
      </w:r>
      <w:bookmarkEnd w:id="1626"/>
      <w:bookmarkEnd w:id="1627"/>
      <w:bookmarkEnd w:id="1629"/>
    </w:p>
    <w:p>
      <w:pPr>
        <w:pStyle w:val="Style17"/>
        <w:keepNext w:val="0"/>
        <w:keepLines w:val="0"/>
        <w:widowControl w:val="0"/>
        <w:shd w:val="clear" w:color="auto" w:fill="auto"/>
        <w:bidi w:val="0"/>
        <w:spacing w:before="0" w:after="460" w:line="432" w:lineRule="exact"/>
        <w:ind w:left="0" w:right="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6"/>
        <w:keepNext/>
        <w:keepLines/>
        <w:widowControl w:val="0"/>
        <w:shd w:val="clear" w:color="auto" w:fill="auto"/>
        <w:tabs>
          <w:tab w:pos="378" w:val="left"/>
        </w:tabs>
        <w:bidi w:val="0"/>
        <w:spacing w:before="0" w:after="46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color w:val="000000"/>
          <w:spacing w:val="0"/>
          <w:w w:val="100"/>
          <w:position w:val="0"/>
        </w:rPr>
        <w:t>、</w:t>
        <w:tab/>
        <w:t>本企业合营和联营企业情况</w:t>
      </w:r>
      <w:bookmarkEnd w:id="1630"/>
      <w:bookmarkEnd w:id="1631"/>
      <w:bookmarkEnd w:id="1633"/>
    </w:p>
    <w:p>
      <w:pPr>
        <w:pStyle w:val="Style17"/>
        <w:keepNext w:val="0"/>
        <w:keepLines w:val="0"/>
        <w:widowControl w:val="0"/>
        <w:shd w:val="clear" w:color="auto" w:fill="auto"/>
        <w:bidi w:val="0"/>
        <w:spacing w:before="0" w:after="460" w:line="240" w:lineRule="auto"/>
        <w:ind w:left="0" w:right="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keepLines/>
        <w:widowControl w:val="0"/>
        <w:shd w:val="clear" w:color="auto" w:fill="auto"/>
        <w:bidi w:val="0"/>
        <w:spacing w:before="0" w:after="32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4</w:t>
      </w:r>
      <w:bookmarkEnd w:id="1636"/>
      <w:r>
        <w:rPr>
          <w:color w:val="000000"/>
          <w:spacing w:val="0"/>
          <w:w w:val="100"/>
          <w:position w:val="0"/>
        </w:rPr>
        <w:t>、其他关联方情况</w:t>
      </w:r>
      <w:bookmarkEnd w:id="1634"/>
      <w:bookmarkEnd w:id="1635"/>
      <w:bookmarkEnd w:id="163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本公司之董事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刘佳</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本公司之董事冯军配偶</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本公司控股子公司法人</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深圳市铭科电子商务管理企业（有限合伙）</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本公司控股子公司股东</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color w:val="000000"/>
          <w:spacing w:val="0"/>
          <w:w w:val="100"/>
          <w:position w:val="0"/>
        </w:rPr>
        <w:t>、关联交易情况</w:t>
      </w:r>
      <w:bookmarkEnd w:id="1638"/>
      <w:bookmarkEnd w:id="1639"/>
      <w:bookmarkEnd w:id="1641"/>
    </w:p>
    <w:p>
      <w:pPr>
        <w:pStyle w:val="Style44"/>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2"/>
      <w:bookmarkEnd w:id="1643"/>
      <w:bookmarkEnd w:id="1644"/>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百可录（北京）科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172,785.15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809,216.57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1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30,700,115.52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14,056,564.06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电信服务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3,144,398.42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3,232,434.26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电信服务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1,225,110.34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439,060.86</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电信服务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169,799.43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160,503.08</w:t>
            </w:r>
          </w:p>
        </w:tc>
      </w:tr>
    </w:tbl>
    <w:tbl>
      <w:tblPr>
        <w:tblOverlap w:val="never"/>
        <w:jc w:val="center"/>
        <w:tblLayout w:type="fixed"/>
      </w:tblPr>
      <w:tblGrid>
        <w:gridCol w:w="2400"/>
        <w:gridCol w:w="2261"/>
        <w:gridCol w:w="2261"/>
        <w:gridCol w:w="2659"/>
      </w:tblGrid>
      <w:tr>
        <w:trPr>
          <w:trHeight w:val="72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国誉创富国际金融服务（深圳）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133,983.28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447.92</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北京智帆金科信息服务有限公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4,726.21</w:t>
            </w:r>
          </w:p>
        </w:tc>
      </w:tr>
    </w:tbl>
    <w:p>
      <w:pPr>
        <w:widowControl w:val="0"/>
        <w:spacing w:after="319" w:line="1" w:lineRule="exact"/>
      </w:pPr>
    </w:p>
    <w:p>
      <w:pPr>
        <w:pStyle w:val="Style44"/>
        <w:keepNext/>
        <w:keepLines/>
        <w:widowControl w:val="0"/>
        <w:shd w:val="clear" w:color="auto" w:fill="auto"/>
        <w:tabs>
          <w:tab w:pos="493" w:val="left"/>
        </w:tabs>
        <w:bidi w:val="0"/>
        <w:spacing w:before="0" w:after="400" w:line="240" w:lineRule="auto"/>
        <w:ind w:left="0" w:right="0" w:firstLine="0"/>
        <w:jc w:val="both"/>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45"/>
      <w:bookmarkEnd w:id="1646"/>
      <w:bookmarkEnd w:id="1648"/>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7"/>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无。</w:t>
      </w:r>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460" w:line="240" w:lineRule="auto"/>
        <w:ind w:left="0" w:right="0" w:firstLine="0"/>
        <w:jc w:val="both"/>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649"/>
      <w:bookmarkEnd w:id="1650"/>
      <w:bookmarkEnd w:id="1652"/>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400" w:line="240" w:lineRule="auto"/>
        <w:ind w:left="0" w:right="0" w:firstLine="0"/>
        <w:jc w:val="both"/>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653"/>
      <w:bookmarkEnd w:id="1654"/>
      <w:bookmarkEnd w:id="1656"/>
    </w:p>
    <w:p>
      <w:pPr>
        <w:pStyle w:val="Style17"/>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本公司作为担保方</w:t>
      </w:r>
    </w:p>
    <w:p>
      <w:pPr>
        <w:pStyle w:val="Style17"/>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无。</w:t>
      </w:r>
    </w:p>
    <w:p>
      <w:pPr>
        <w:pStyle w:val="Style1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本公司作为被担保方</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冯军、刘佳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44"/>
        <w:keepNext/>
        <w:keepLines/>
        <w:widowControl w:val="0"/>
        <w:shd w:val="clear" w:color="auto" w:fill="auto"/>
        <w:tabs>
          <w:tab w:pos="493" w:val="left"/>
        </w:tabs>
        <w:bidi w:val="0"/>
        <w:spacing w:before="0" w:after="46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657"/>
      <w:bookmarkEnd w:id="1658"/>
      <w:bookmarkEnd w:id="1660"/>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46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661"/>
      <w:bookmarkEnd w:id="1662"/>
      <w:bookmarkEnd w:id="1664"/>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40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w:t>
      </w:r>
      <w:bookmarkEnd w:id="1667"/>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665"/>
      <w:bookmarkEnd w:id="1666"/>
      <w:bookmarkEnd w:id="166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2,906,654.58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69"/>
      <w:bookmarkEnd w:id="1670"/>
      <w:bookmarkEnd w:id="1672"/>
    </w:p>
    <w:p>
      <w:pPr>
        <w:pStyle w:val="Style17"/>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6</w:t>
      </w:r>
      <w:bookmarkEnd w:id="1675"/>
      <w:r>
        <w:rPr>
          <w:color w:val="000000"/>
          <w:spacing w:val="0"/>
          <w:w w:val="100"/>
          <w:position w:val="0"/>
        </w:rPr>
        <w:t>、关联方应收应付款项</w:t>
      </w:r>
      <w:bookmarkEnd w:id="1673"/>
      <w:bookmarkEnd w:id="1674"/>
      <w:bookmarkEnd w:id="1676"/>
    </w:p>
    <w:p>
      <w:pPr>
        <w:pStyle w:val="Style44"/>
        <w:keepNext/>
        <w:keepLines/>
        <w:widowControl w:val="0"/>
        <w:shd w:val="clear" w:color="auto" w:fill="auto"/>
        <w:bidi w:val="0"/>
        <w:spacing w:before="0" w:after="380" w:line="240" w:lineRule="auto"/>
        <w:ind w:left="0" w:right="0" w:firstLine="14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7"/>
      <w:bookmarkEnd w:id="1678"/>
      <w:bookmarkEnd w:id="1679"/>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北京华道征信有限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43,934,825.51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13,180,447.65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40,851,858.52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5,891,210.34</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深圳票联金融服务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2,184,359.62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1,747,487.70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2,197,559.62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1,142,731.00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易安财产保险股份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164,308.10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309,318.19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15,465.91</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东亚前海证券有限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118,590.24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5,929.51</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国誉创富国际金融 服务（深圳）有限公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2,649.39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北京智帆金科信息 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百可录（北京）科技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162,113.36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8,105.67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46,436,152.40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14,944,044.31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43,642,045.80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7,063,572.72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国誉创富国际金融 服务（深圳）有限公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23,970,000.00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1,198,500.00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23,970,001.44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1,198,500.07</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百可录（北京）科技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1,516,888.88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1,261,056.00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140,614.81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10,787,540.31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581,336.89</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深圳市铭科电子商 务管理企业（有限合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8,558.00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26,790,734.88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1,436,354.25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34,800,331.75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1,788,394.96</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百可录（北京）科技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499,631.85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682,784.11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北京华道征信有限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12,618,410.00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499,631.85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13,301,194.11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both"/>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80"/>
      <w:bookmarkEnd w:id="1681"/>
      <w:bookmarkEnd w:id="1682"/>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332,362.39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345,562.39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327,683.15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350,758.62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673,245.54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东亚前海证券有限责任公司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32,797.10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59,474.74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百可录（北京）科技有限公司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18,535.17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20,245.25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4,419.10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易安财产保险股份有限公司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30,862.71</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54,847.77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115,001.80</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r>
        <w:rPr>
          <w:color w:val="000000"/>
          <w:spacing w:val="0"/>
          <w:w w:val="100"/>
          <w:position w:val="0"/>
          <w:sz w:val="24"/>
          <w:szCs w:val="24"/>
        </w:rPr>
        <w:t>十三、承诺及或有事项</w:t>
      </w:r>
      <w:bookmarkEnd w:id="1683"/>
      <w:bookmarkEnd w:id="1684"/>
      <w:bookmarkEnd w:id="1685"/>
    </w:p>
    <w:p>
      <w:pPr>
        <w:pStyle w:val="Style36"/>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86"/>
      <w:bookmarkEnd w:id="1687"/>
      <w:bookmarkEnd w:id="1688"/>
    </w:p>
    <w:p>
      <w:pPr>
        <w:pStyle w:val="Style17"/>
        <w:keepNext w:val="0"/>
        <w:keepLines w:val="0"/>
        <w:widowControl w:val="0"/>
        <w:shd w:val="clear" w:color="auto" w:fill="auto"/>
        <w:bidi w:val="0"/>
        <w:spacing w:before="0" w:after="0" w:line="468" w:lineRule="exact"/>
        <w:ind w:left="0" w:right="0" w:firstLine="0"/>
        <w:jc w:val="left"/>
      </w:pPr>
      <w:r>
        <w:rPr>
          <w:color w:val="000000"/>
          <w:spacing w:val="0"/>
          <w:w w:val="100"/>
          <w:position w:val="0"/>
        </w:rPr>
        <w:t>资产负债表日存在的重要承诺</w:t>
      </w:r>
    </w:p>
    <w:p>
      <w:pPr>
        <w:pStyle w:val="Style17"/>
        <w:keepNext w:val="0"/>
        <w:keepLines w:val="0"/>
        <w:widowControl w:val="0"/>
        <w:shd w:val="clear" w:color="auto" w:fill="auto"/>
        <w:bidi w:val="0"/>
        <w:spacing w:before="0" w:after="0" w:line="468"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、募集资金使用承诺情况</w:t>
      </w:r>
    </w:p>
    <w:p>
      <w:pPr>
        <w:pStyle w:val="Style17"/>
        <w:keepNext w:val="0"/>
        <w:keepLines w:val="0"/>
        <w:widowControl w:val="0"/>
        <w:shd w:val="clear" w:color="auto" w:fill="auto"/>
        <w:bidi w:val="0"/>
        <w:spacing w:before="0" w:after="0" w:line="468" w:lineRule="exact"/>
        <w:ind w:left="0" w:right="0" w:firstLine="360"/>
        <w:jc w:val="both"/>
      </w:pPr>
      <w:r>
        <w:rPr>
          <w:color w:val="000000"/>
          <w:spacing w:val="0"/>
          <w:w w:val="100"/>
          <w:position w:val="0"/>
        </w:rPr>
        <w:t>经中国证券监督管理委员会《关于核准深圳市银之杰科技股份有限公司非公开发行股票的批复》（证监许可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2017]559 </w:t>
      </w:r>
      <w:r>
        <w:rPr>
          <w:color w:val="000000"/>
          <w:spacing w:val="0"/>
          <w:w w:val="100"/>
          <w:position w:val="0"/>
        </w:rPr>
        <w:t>号）核准，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月公司向同方金融控股（深圳）有限公司、武汉亘星投资有限公司、财通基金管理有限公司非公开发行 人民币普通股</w:t>
      </w:r>
      <w:r>
        <w:rPr>
          <w:rFonts w:ascii="Times New Roman" w:eastAsia="Times New Roman" w:hAnsi="Times New Roman" w:cs="Times New Roman"/>
          <w:color w:val="000000"/>
          <w:spacing w:val="0"/>
          <w:w w:val="100"/>
          <w:position w:val="0"/>
          <w:sz w:val="18"/>
          <w:szCs w:val="18"/>
        </w:rPr>
        <w:t>22,626,766</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元，每股发行价格</w:t>
      </w:r>
      <w:r>
        <w:rPr>
          <w:rFonts w:ascii="Times New Roman" w:eastAsia="Times New Roman" w:hAnsi="Times New Roman" w:cs="Times New Roman"/>
          <w:color w:val="000000"/>
          <w:spacing w:val="0"/>
          <w:w w:val="100"/>
          <w:position w:val="0"/>
          <w:sz w:val="18"/>
          <w:szCs w:val="18"/>
        </w:rPr>
        <w:t>15.99</w:t>
      </w:r>
      <w:r>
        <w:rPr>
          <w:color w:val="000000"/>
          <w:spacing w:val="0"/>
          <w:w w:val="100"/>
          <w:position w:val="0"/>
        </w:rPr>
        <w:t>元，发行募集资金总额为人民币</w:t>
      </w:r>
      <w:r>
        <w:rPr>
          <w:rFonts w:ascii="Times New Roman" w:eastAsia="Times New Roman" w:hAnsi="Times New Roman" w:cs="Times New Roman"/>
          <w:color w:val="000000"/>
          <w:spacing w:val="0"/>
          <w:w w:val="100"/>
          <w:position w:val="0"/>
          <w:sz w:val="18"/>
          <w:szCs w:val="18"/>
        </w:rPr>
        <w:t>361,801,988.34</w:t>
      </w:r>
      <w:r>
        <w:rPr>
          <w:color w:val="000000"/>
          <w:spacing w:val="0"/>
          <w:w w:val="100"/>
          <w:position w:val="0"/>
        </w:rPr>
        <w:t>元，扣除各 项发行费用人民币</w:t>
      </w:r>
      <w:r>
        <w:rPr>
          <w:rFonts w:ascii="Times New Roman" w:eastAsia="Times New Roman" w:hAnsi="Times New Roman" w:cs="Times New Roman"/>
          <w:color w:val="000000"/>
          <w:spacing w:val="0"/>
          <w:w w:val="100"/>
          <w:position w:val="0"/>
          <w:sz w:val="18"/>
          <w:szCs w:val="18"/>
        </w:rPr>
        <w:t>16,909,930.00</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344,892,058.34</w:t>
      </w:r>
      <w:r>
        <w:rPr>
          <w:color w:val="000000"/>
          <w:spacing w:val="0"/>
          <w:w w:val="100"/>
          <w:position w:val="0"/>
        </w:rPr>
        <w:t>元。</w:t>
      </w:r>
    </w:p>
    <w:p>
      <w:pPr>
        <w:pStyle w:val="Style17"/>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日召开第四届董事会第二十一次会议、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 了《关于变更募集资金用途的议案》，公司为了适应行业发展趋势和市场环境的变化，已经进行新的业务规划，并拟通过非 公开发行股票募集资金实现公司战略发展规划。为更科学、审慎和有效的使用募集资金，防范募集资金投资风险，促进公司 业务长期稳定发展，保护公司及全体股东利益，经充分研究和论证，公司决定终止原银行数据分析应用系统建设项目，并将</w:t>
        <w:br w:type="page"/>
      </w:r>
      <w:r>
        <w:rPr>
          <w:color w:val="000000"/>
          <w:spacing w:val="0"/>
          <w:w w:val="100"/>
          <w:position w:val="0"/>
        </w:rPr>
        <w:t>尚未使用的剩余募集资金用于银行数字化转型解决方案项目、银行智能设备产业化项目和研发中心项目建设。</w:t>
      </w:r>
    </w:p>
    <w:p>
      <w:pPr>
        <w:pStyle w:val="Style17"/>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变更后的募集资金投向使用情况如下：</w:t>
      </w:r>
    </w:p>
    <w:tbl>
      <w:tblPr>
        <w:tblOverlap w:val="never"/>
        <w:jc w:val="center"/>
        <w:tblLayout w:type="fixed"/>
      </w:tblPr>
      <w:tblGrid>
        <w:gridCol w:w="3230"/>
        <w:gridCol w:w="3211"/>
        <w:gridCol w:w="3235"/>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承诺投资金额（万元）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color w:val="000000"/>
                <w:spacing w:val="0"/>
                <w:w w:val="100"/>
                <w:position w:val="0"/>
              </w:rPr>
              <w:t>实际投资金额（万元）</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银行数据分析应用系统建设项目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859.73</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银行数字化转型解决方案项目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717.31</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银行智能设备产业化项目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295.52</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325.89</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36,179.21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10,498.45</w:t>
            </w:r>
          </w:p>
        </w:tc>
      </w:tr>
    </w:tbl>
    <w:p>
      <w:pPr>
        <w:widowControl w:val="0"/>
        <w:spacing w:after="119" w:line="1" w:lineRule="exact"/>
      </w:pPr>
    </w:p>
    <w:p>
      <w:pPr>
        <w:pStyle w:val="Style17"/>
        <w:keepNext w:val="0"/>
        <w:keepLines w:val="0"/>
        <w:widowControl w:val="0"/>
        <w:shd w:val="clear" w:color="auto" w:fill="auto"/>
        <w:bidi w:val="0"/>
        <w:spacing w:before="0" w:after="26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、其他重大财务承诺事项</w:t>
      </w:r>
    </w:p>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合并范围内公司之间的财产抵押、质押担保情况，详见本财务报表附注十三、</w:t>
      </w:r>
      <w:r>
        <w:rPr>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资产负债表日存在的重要或有事</w:t>
      </w:r>
    </w:p>
    <w:p>
      <w:pPr>
        <w:pStyle w:val="Style17"/>
        <w:keepNext w:val="0"/>
        <w:keepLines w:val="0"/>
        <w:widowControl w:val="0"/>
        <w:shd w:val="clear" w:color="auto" w:fill="auto"/>
        <w:bidi w:val="0"/>
        <w:spacing w:before="0" w:after="0" w:line="456" w:lineRule="exact"/>
        <w:ind w:left="0" w:right="0" w:firstLine="0"/>
        <w:jc w:val="both"/>
      </w:pP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17"/>
        <w:keepNext w:val="0"/>
        <w:keepLines w:val="0"/>
        <w:widowControl w:val="0"/>
        <w:shd w:val="clear" w:color="auto" w:fill="auto"/>
        <w:bidi w:val="0"/>
        <w:spacing w:before="0" w:after="0" w:line="456"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合并范围内各公司为自身对外借款进行的财产质押担保情况</w:t>
      </w:r>
    </w:p>
    <w:p>
      <w:pPr>
        <w:pStyle w:val="Style17"/>
        <w:keepNext w:val="0"/>
        <w:keepLines w:val="0"/>
        <w:widowControl w:val="0"/>
        <w:shd w:val="clear" w:color="auto" w:fill="auto"/>
        <w:bidi w:val="0"/>
        <w:spacing w:before="0" w:after="460" w:line="456" w:lineRule="exact"/>
        <w:ind w:left="0" w:right="0" w:firstLine="480"/>
        <w:jc w:val="both"/>
      </w:pPr>
      <w:r>
        <w:rPr>
          <w:color w:val="000000"/>
          <w:spacing w:val="0"/>
          <w:w w:val="100"/>
          <w:position w:val="0"/>
        </w:rPr>
        <w:t xml:space="preserve">本公司全资子公司北京亿美软通科技有限公司申请短期借款两千万元，以其应收账款作为质押，质押应收账款金额为 </w:t>
      </w:r>
      <w:r>
        <w:rPr>
          <w:rFonts w:ascii="Times New Roman" w:eastAsia="Times New Roman" w:hAnsi="Times New Roman" w:cs="Times New Roman"/>
          <w:color w:val="000000"/>
          <w:spacing w:val="0"/>
          <w:w w:val="100"/>
          <w:position w:val="0"/>
          <w:sz w:val="18"/>
          <w:szCs w:val="18"/>
        </w:rPr>
        <w:t>20,099,496.00</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89"/>
      <w:bookmarkEnd w:id="1690"/>
      <w:bookmarkEnd w:id="1691"/>
    </w:p>
    <w:p>
      <w:pPr>
        <w:pStyle w:val="Style44"/>
        <w:keepNext/>
        <w:keepLines/>
        <w:widowControl w:val="0"/>
        <w:shd w:val="clear" w:color="auto" w:fill="auto"/>
        <w:bidi w:val="0"/>
        <w:spacing w:before="0" w:after="46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92"/>
      <w:bookmarkEnd w:id="1693"/>
      <w:bookmarkEnd w:id="1694"/>
    </w:p>
    <w:p>
      <w:pPr>
        <w:pStyle w:val="Style17"/>
        <w:keepNext w:val="0"/>
        <w:keepLines w:val="0"/>
        <w:widowControl w:val="0"/>
        <w:numPr>
          <w:ilvl w:val="0"/>
          <w:numId w:val="115"/>
        </w:numPr>
        <w:shd w:val="clear" w:color="auto" w:fill="auto"/>
        <w:bidi w:val="0"/>
        <w:spacing w:before="0" w:after="220" w:line="240" w:lineRule="auto"/>
        <w:ind w:left="0" w:right="0" w:firstLine="480"/>
        <w:jc w:val="both"/>
      </w:pPr>
      <w:bookmarkStart w:id="1695" w:name="bookmark1695"/>
      <w:bookmarkEnd w:id="1695"/>
      <w:r>
        <w:rPr>
          <w:color w:val="000000"/>
          <w:spacing w:val="0"/>
          <w:w w:val="100"/>
          <w:position w:val="0"/>
        </w:rPr>
        <w:t>本公司合并范围内公司之间的担保情况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单元：元</w:t>
      </w:r>
    </w:p>
    <w:tbl>
      <w:tblPr>
        <w:tblOverlap w:val="never"/>
        <w:jc w:val="center"/>
        <w:tblLayout w:type="fixed"/>
      </w:tblPr>
      <w:tblGrid>
        <w:gridCol w:w="2530"/>
        <w:gridCol w:w="2266"/>
        <w:gridCol w:w="1526"/>
        <w:gridCol w:w="1546"/>
        <w:gridCol w:w="1234"/>
        <w:gridCol w:w="778"/>
      </w:tblGrid>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贷款金融机构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担保借款余额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借款到期日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深圳市银之杰科技股份有限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深圳银之杰智慧科技有限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w:t>
            </w:r>
            <w:r>
              <w:rPr>
                <w:color w:val="000000"/>
                <w:spacing w:val="0"/>
                <w:w w:val="100"/>
                <w:position w:val="0"/>
                <w:sz w:val="18"/>
                <w:szCs w:val="18"/>
              </w:rPr>
              <w:t>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深圳市银之杰科技股份有限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安科创新（深圳）有限公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9,900,000.00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w:t>
            </w:r>
            <w:r>
              <w:rPr>
                <w:color w:val="000000"/>
                <w:spacing w:val="0"/>
                <w:w w:val="100"/>
                <w:position w:val="0"/>
                <w:sz w:val="18"/>
                <w:szCs w:val="18"/>
              </w:rPr>
              <w:t>1]</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深圳市银之杰科技股份有限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安科创新（深圳）有限公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9,267,027.35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w:t>
            </w:r>
            <w:r>
              <w:rPr>
                <w:color w:val="000000"/>
                <w:spacing w:val="0"/>
                <w:w w:val="100"/>
                <w:position w:val="0"/>
                <w:sz w:val="18"/>
                <w:szCs w:val="18"/>
              </w:rPr>
              <w:t>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深圳市银之杰科技股份有限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北京亿美软通科技有限公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[注</w:t>
            </w:r>
            <w:r>
              <w:rPr>
                <w:color w:val="000000"/>
                <w:spacing w:val="0"/>
                <w:w w:val="100"/>
                <w:position w:val="0"/>
                <w:sz w:val="18"/>
                <w:szCs w:val="18"/>
              </w:rPr>
              <w:t>1]</w:t>
            </w:r>
          </w:p>
        </w:tc>
      </w:tr>
      <w:tr>
        <w:trPr>
          <w:trHeight w:val="4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44,167,027.35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240" w:line="470" w:lineRule="exact"/>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1 ]2020</w:t>
      </w:r>
      <w:r>
        <w:rPr>
          <w:color w:val="000000"/>
          <w:spacing w:val="0"/>
          <w:w w:val="100"/>
          <w:position w:val="0"/>
        </w:rPr>
        <w:t>年度，公司为控股子公司向银行等金融机构申请融资提供担保的总金额为不超过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亿元。本公司全资子公司 深圳银之杰智慧科技有限公司短期借款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万元、控股子公司安科创新（深圳）有限公司短期借款</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万元、全资子公司北京 亿美软通科技有限公司短期借款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万元，由本公司提供连带责任保证。</w:t>
      </w:r>
    </w:p>
    <w:p>
      <w:pPr>
        <w:pStyle w:val="Style17"/>
        <w:keepNext w:val="0"/>
        <w:keepLines w:val="0"/>
        <w:widowControl w:val="0"/>
        <w:shd w:val="clear" w:color="auto" w:fill="auto"/>
        <w:bidi w:val="0"/>
        <w:spacing w:before="0" w:after="440" w:line="475"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公司控股子公司安科创新（深圳）有限公司向兴业银行申请银行承兑汇票</w:t>
      </w:r>
      <w:r>
        <w:rPr>
          <w:rFonts w:ascii="Times New Roman" w:eastAsia="Times New Roman" w:hAnsi="Times New Roman" w:cs="Times New Roman"/>
          <w:color w:val="000000"/>
          <w:spacing w:val="0"/>
          <w:w w:val="100"/>
          <w:position w:val="0"/>
          <w:sz w:val="18"/>
          <w:szCs w:val="18"/>
        </w:rPr>
        <w:t>926.7</w:t>
      </w:r>
      <w:r>
        <w:rPr>
          <w:color w:val="000000"/>
          <w:spacing w:val="0"/>
          <w:w w:val="100"/>
          <w:position w:val="0"/>
        </w:rPr>
        <w:t>万元，由本公司提供连带责任保证, 票据均未到期。</w:t>
      </w:r>
    </w:p>
    <w:p>
      <w:pPr>
        <w:pStyle w:val="Style44"/>
        <w:keepNext/>
        <w:keepLines/>
        <w:widowControl w:val="0"/>
        <w:shd w:val="clear" w:color="auto" w:fill="auto"/>
        <w:bidi w:val="0"/>
        <w:spacing w:before="0" w:after="180" w:line="240" w:lineRule="auto"/>
        <w:ind w:left="0" w:right="0" w:firstLine="0"/>
        <w:jc w:val="left"/>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96"/>
      <w:bookmarkEnd w:id="1697"/>
      <w:bookmarkEnd w:id="1698"/>
    </w:p>
    <w:p>
      <w:pPr>
        <w:pStyle w:val="Style17"/>
        <w:keepNext w:val="0"/>
        <w:keepLines w:val="0"/>
        <w:widowControl w:val="0"/>
        <w:shd w:val="clear" w:color="auto" w:fill="auto"/>
        <w:bidi w:val="0"/>
        <w:spacing w:before="0" w:after="440" w:line="475" w:lineRule="exact"/>
        <w:ind w:left="0" w:right="0"/>
        <w:jc w:val="both"/>
      </w:pPr>
      <w:r>
        <w:rPr>
          <w:color w:val="000000"/>
          <w:spacing w:val="0"/>
          <w:w w:val="100"/>
          <w:position w:val="0"/>
        </w:rPr>
        <w:t>公司不存在需要披露的重要或有事项。</w:t>
      </w:r>
    </w:p>
    <w:p>
      <w:pPr>
        <w:pStyle w:val="Style36"/>
        <w:keepNext/>
        <w:keepLines/>
        <w:widowControl w:val="0"/>
        <w:shd w:val="clear" w:color="auto" w:fill="auto"/>
        <w:bidi w:val="0"/>
        <w:spacing w:before="0" w:after="180" w:line="240" w:lineRule="auto"/>
        <w:ind w:left="0" w:right="0" w:firstLine="0"/>
        <w:jc w:val="both"/>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3</w:t>
      </w:r>
      <w:bookmarkEnd w:id="1701"/>
      <w:r>
        <w:rPr>
          <w:color w:val="000000"/>
          <w:spacing w:val="0"/>
          <w:w w:val="100"/>
          <w:position w:val="0"/>
        </w:rPr>
        <w:t>、其他</w:t>
      </w:r>
      <w:bookmarkEnd w:id="1699"/>
      <w:bookmarkEnd w:id="1700"/>
      <w:bookmarkEnd w:id="1702"/>
    </w:p>
    <w:p>
      <w:pPr>
        <w:pStyle w:val="Style17"/>
        <w:keepNext w:val="0"/>
        <w:keepLines w:val="0"/>
        <w:widowControl w:val="0"/>
        <w:shd w:val="clear" w:color="auto" w:fill="auto"/>
        <w:bidi w:val="0"/>
        <w:spacing w:before="0" w:after="440" w:line="475" w:lineRule="exact"/>
        <w:ind w:left="0" w:right="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both"/>
      </w:pPr>
      <w:bookmarkStart w:id="1703" w:name="bookmark1703"/>
      <w:bookmarkStart w:id="1704" w:name="bookmark1704"/>
      <w:bookmarkStart w:id="1705" w:name="bookmark1705"/>
      <w:r>
        <w:rPr>
          <w:color w:val="000000"/>
          <w:spacing w:val="0"/>
          <w:w w:val="100"/>
          <w:position w:val="0"/>
          <w:sz w:val="24"/>
          <w:szCs w:val="24"/>
        </w:rPr>
        <w:t>十四、资产负债表日后事项</w:t>
      </w:r>
      <w:bookmarkEnd w:id="1703"/>
      <w:bookmarkEnd w:id="1704"/>
      <w:bookmarkEnd w:id="1705"/>
    </w:p>
    <w:p>
      <w:pPr>
        <w:pStyle w:val="Style36"/>
        <w:keepNext/>
        <w:keepLines/>
        <w:widowControl w:val="0"/>
        <w:shd w:val="clear" w:color="auto" w:fill="auto"/>
        <w:bidi w:val="0"/>
        <w:spacing w:before="0" w:after="360" w:line="240" w:lineRule="auto"/>
        <w:ind w:left="0" w:right="0" w:firstLine="0"/>
        <w:jc w:val="both"/>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06"/>
      <w:bookmarkEnd w:id="1707"/>
      <w:bookmarkEnd w:id="170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7,066,405.35</w:t>
            </w:r>
          </w:p>
        </w:tc>
      </w:tr>
    </w:tbl>
    <w:p>
      <w:pPr>
        <w:widowControl w:val="0"/>
        <w:spacing w:after="359" w:line="1" w:lineRule="exact"/>
      </w:pPr>
    </w:p>
    <w:p>
      <w:pPr>
        <w:pStyle w:val="Style36"/>
        <w:keepNext/>
        <w:keepLines/>
        <w:widowControl w:val="0"/>
        <w:shd w:val="clear" w:color="auto" w:fill="auto"/>
        <w:bidi w:val="0"/>
        <w:spacing w:before="0" w:after="180" w:line="240" w:lineRule="auto"/>
        <w:ind w:left="0" w:right="0" w:firstLine="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09"/>
      <w:bookmarkEnd w:id="1710"/>
      <w:bookmarkEnd w:id="1711"/>
    </w:p>
    <w:p>
      <w:pPr>
        <w:pStyle w:val="Style17"/>
        <w:keepNext w:val="0"/>
        <w:keepLines w:val="0"/>
        <w:widowControl w:val="0"/>
        <w:shd w:val="clear" w:color="auto" w:fill="auto"/>
        <w:bidi w:val="0"/>
        <w:spacing w:before="0" w:after="440" w:line="475"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日公司第五届董事会第七次会议审议通过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年度利润分配预案，以报告期末总股本</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7,066,405.35</w:t>
      </w:r>
      <w:r>
        <w:rPr>
          <w:color w:val="000000"/>
          <w:spacing w:val="0"/>
          <w:w w:val="100"/>
          <w:position w:val="0"/>
        </w:rPr>
        <w:t>元。以上股利分配预案尚须提交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 后方可实施。</w:t>
      </w:r>
    </w:p>
    <w:p>
      <w:pPr>
        <w:pStyle w:val="Style32"/>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color w:val="000000"/>
          <w:spacing w:val="0"/>
          <w:w w:val="100"/>
          <w:position w:val="0"/>
          <w:sz w:val="24"/>
          <w:szCs w:val="24"/>
        </w:rPr>
        <w:t>十五、其他重要事项</w:t>
      </w:r>
      <w:bookmarkEnd w:id="1712"/>
      <w:bookmarkEnd w:id="1713"/>
      <w:bookmarkEnd w:id="1714"/>
    </w:p>
    <w:p>
      <w:pPr>
        <w:pStyle w:val="Style36"/>
        <w:keepNext/>
        <w:keepLines/>
        <w:widowControl w:val="0"/>
        <w:shd w:val="clear" w:color="auto" w:fill="auto"/>
        <w:bidi w:val="0"/>
        <w:spacing w:before="0" w:after="360" w:line="240" w:lineRule="auto"/>
        <w:ind w:left="0" w:right="0" w:firstLine="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15"/>
      <w:bookmarkEnd w:id="1716"/>
      <w:bookmarkEnd w:id="1717"/>
    </w:p>
    <w:p>
      <w:pPr>
        <w:pStyle w:val="Style44"/>
        <w:keepNext/>
        <w:keepLines/>
        <w:widowControl w:val="0"/>
        <w:shd w:val="clear" w:color="auto" w:fill="auto"/>
        <w:bidi w:val="0"/>
        <w:spacing w:before="0" w:after="18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718"/>
      <w:bookmarkEnd w:id="1719"/>
      <w:bookmarkEnd w:id="1720"/>
    </w:p>
    <w:p>
      <w:pPr>
        <w:pStyle w:val="Style17"/>
        <w:keepNext w:val="0"/>
        <w:keepLines w:val="0"/>
        <w:widowControl w:val="0"/>
        <w:shd w:val="clear" w:color="auto" w:fill="auto"/>
        <w:bidi w:val="0"/>
        <w:spacing w:before="0" w:after="0" w:line="480" w:lineRule="exact"/>
        <w:ind w:left="0" w:right="0"/>
        <w:jc w:val="both"/>
      </w:pPr>
      <w:r>
        <w:rPr>
          <w:color w:val="000000"/>
          <w:spacing w:val="0"/>
          <w:w w:val="100"/>
          <w:position w:val="0"/>
        </w:rPr>
        <w:t>公司以内部组织结构、管理要求、内部报告制度等为依据确定经营分部。公司的经营分部是指同时满足下列条件的组成 部分：</w:t>
      </w:r>
    </w:p>
    <w:p>
      <w:pPr>
        <w:pStyle w:val="Style17"/>
        <w:keepNext w:val="0"/>
        <w:keepLines w:val="0"/>
        <w:widowControl w:val="0"/>
        <w:numPr>
          <w:ilvl w:val="0"/>
          <w:numId w:val="117"/>
        </w:numPr>
        <w:shd w:val="clear" w:color="auto" w:fill="auto"/>
        <w:tabs>
          <w:tab w:pos="753" w:val="left"/>
        </w:tabs>
        <w:bidi w:val="0"/>
        <w:spacing w:before="0" w:after="0" w:line="478" w:lineRule="exact"/>
        <w:ind w:left="0" w:right="0"/>
        <w:jc w:val="both"/>
      </w:pPr>
      <w:bookmarkStart w:id="1721" w:name="bookmark1721"/>
      <w:bookmarkEnd w:id="1721"/>
      <w:r>
        <w:rPr>
          <w:color w:val="000000"/>
          <w:spacing w:val="0"/>
          <w:w w:val="100"/>
          <w:position w:val="0"/>
        </w:rPr>
        <w:t>该组成部分能够在日常活动中产生收入、发生费用；</w:t>
      </w:r>
    </w:p>
    <w:p>
      <w:pPr>
        <w:pStyle w:val="Style17"/>
        <w:keepNext w:val="0"/>
        <w:keepLines w:val="0"/>
        <w:widowControl w:val="0"/>
        <w:numPr>
          <w:ilvl w:val="0"/>
          <w:numId w:val="117"/>
        </w:numPr>
        <w:shd w:val="clear" w:color="auto" w:fill="auto"/>
        <w:tabs>
          <w:tab w:pos="753" w:val="left"/>
        </w:tabs>
        <w:bidi w:val="0"/>
        <w:spacing w:before="0" w:after="0" w:line="478" w:lineRule="exact"/>
        <w:ind w:left="0" w:right="0"/>
        <w:jc w:val="both"/>
      </w:pPr>
      <w:bookmarkStart w:id="1722" w:name="bookmark1722"/>
      <w:bookmarkEnd w:id="1722"/>
      <w:r>
        <w:rPr>
          <w:color w:val="000000"/>
          <w:spacing w:val="0"/>
          <w:w w:val="100"/>
          <w:position w:val="0"/>
        </w:rPr>
        <w:t>管理层能够定期评价该组成部分的经营成果，以决定向其配置资源、评价其业绩；</w:t>
      </w:r>
    </w:p>
    <w:p>
      <w:pPr>
        <w:pStyle w:val="Style17"/>
        <w:keepNext w:val="0"/>
        <w:keepLines w:val="0"/>
        <w:widowControl w:val="0"/>
        <w:numPr>
          <w:ilvl w:val="0"/>
          <w:numId w:val="117"/>
        </w:numPr>
        <w:shd w:val="clear" w:color="auto" w:fill="auto"/>
        <w:tabs>
          <w:tab w:pos="753" w:val="left"/>
        </w:tabs>
        <w:bidi w:val="0"/>
        <w:spacing w:before="0" w:after="0" w:line="478" w:lineRule="exact"/>
        <w:ind w:left="0" w:right="0"/>
        <w:jc w:val="both"/>
      </w:pPr>
      <w:bookmarkStart w:id="1723" w:name="bookmark1723"/>
      <w:bookmarkEnd w:id="1723"/>
      <w:r>
        <w:rPr>
          <w:color w:val="000000"/>
          <w:spacing w:val="0"/>
          <w:w w:val="100"/>
          <w:position w:val="0"/>
        </w:rPr>
        <w:t>能够通过分析取得该组成部分的财务状况、经营成果和现金流量等有关会计信息。</w:t>
      </w:r>
    </w:p>
    <w:p>
      <w:pPr>
        <w:pStyle w:val="Style17"/>
        <w:keepNext w:val="0"/>
        <w:keepLines w:val="0"/>
        <w:widowControl w:val="0"/>
        <w:shd w:val="clear" w:color="auto" w:fill="auto"/>
        <w:bidi w:val="0"/>
        <w:spacing w:before="0" w:after="360" w:line="478" w:lineRule="exact"/>
        <w:ind w:left="0" w:right="0"/>
        <w:jc w:val="both"/>
      </w:pPr>
      <w:r>
        <w:rPr>
          <w:color w:val="000000"/>
          <w:spacing w:val="0"/>
          <w:w w:val="100"/>
          <w:position w:val="0"/>
        </w:rPr>
        <w:t>本公司以行业分部为基础确定报告分部，与各分部共同使用的资产、负债按照规模比例在不同的分部之间分配。</w:t>
      </w:r>
    </w:p>
    <w:p>
      <w:pPr>
        <w:pStyle w:val="Style44"/>
        <w:keepNext/>
        <w:keepLines/>
        <w:widowControl w:val="0"/>
        <w:shd w:val="clear" w:color="auto" w:fill="auto"/>
        <w:bidi w:val="0"/>
        <w:spacing w:before="0" w:after="380" w:line="240" w:lineRule="auto"/>
        <w:ind w:left="0" w:right="0" w:firstLine="140"/>
        <w:jc w:val="both"/>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724"/>
      <w:bookmarkEnd w:id="1725"/>
      <w:bookmarkEnd w:id="1726"/>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金融信息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移动信息服务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电子商务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215,826,759.68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743,788,163.89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430,845,284.01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1,390,460,207.58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105,235,421.10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646,928,171.78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285,587,687.21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1,037,751,280.09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1,751,923,870.15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470,023,856.24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197,380,705.42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313,176,049.17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2,106,152,382.64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483,849,386.81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149,383,908.47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146,122,242.18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64,528,286.39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714,827,251.07</w:t>
            </w:r>
          </w:p>
        </w:tc>
      </w:tr>
    </w:tbl>
    <w:p>
      <w:pPr>
        <w:widowControl w:val="0"/>
        <w:spacing w:after="319" w:line="1" w:lineRule="exact"/>
      </w:pPr>
    </w:p>
    <w:p>
      <w:pPr>
        <w:pStyle w:val="Style36"/>
        <w:keepNext/>
        <w:keepLines/>
        <w:widowControl w:val="0"/>
        <w:shd w:val="clear" w:color="auto" w:fill="auto"/>
        <w:bidi w:val="0"/>
        <w:spacing w:before="0" w:after="180" w:line="240" w:lineRule="auto"/>
        <w:ind w:left="0" w:right="0" w:firstLine="0"/>
        <w:jc w:val="left"/>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727"/>
      <w:bookmarkEnd w:id="1728"/>
      <w:bookmarkEnd w:id="1729"/>
    </w:p>
    <w:p>
      <w:pPr>
        <w:pStyle w:val="Style17"/>
        <w:keepNext w:val="0"/>
        <w:keepLines w:val="0"/>
        <w:widowControl w:val="0"/>
        <w:numPr>
          <w:ilvl w:val="0"/>
          <w:numId w:val="119"/>
        </w:numPr>
        <w:shd w:val="clear" w:color="auto" w:fill="auto"/>
        <w:tabs>
          <w:tab w:pos="752" w:val="left"/>
        </w:tabs>
        <w:bidi w:val="0"/>
        <w:spacing w:before="0" w:after="0" w:line="470" w:lineRule="exact"/>
        <w:ind w:left="0" w:right="0"/>
        <w:jc w:val="left"/>
      </w:pPr>
      <w:bookmarkStart w:id="1730" w:name="bookmark1730"/>
      <w:bookmarkEnd w:id="1730"/>
      <w:r>
        <w:rPr>
          <w:color w:val="000000"/>
          <w:spacing w:val="0"/>
          <w:w w:val="100"/>
          <w:position w:val="0"/>
        </w:rPr>
        <w:t>共同控制公司股东李军质押本公司的股份情况</w:t>
      </w:r>
    </w:p>
    <w:p>
      <w:pPr>
        <w:pStyle w:val="Style17"/>
        <w:keepNext w:val="0"/>
        <w:keepLines w:val="0"/>
        <w:widowControl w:val="0"/>
        <w:shd w:val="clear" w:color="auto" w:fill="auto"/>
        <w:bidi w:val="0"/>
        <w:spacing w:before="0" w:after="0" w:line="470"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日，公司控股股东、实际控制人李军持有公司股份数量</w:t>
      </w:r>
      <w:r>
        <w:rPr>
          <w:rFonts w:ascii="Times New Roman" w:eastAsia="Times New Roman" w:hAnsi="Times New Roman" w:cs="Times New Roman"/>
          <w:color w:val="000000"/>
          <w:spacing w:val="0"/>
          <w:w w:val="100"/>
          <w:position w:val="0"/>
          <w:sz w:val="18"/>
          <w:szCs w:val="18"/>
        </w:rPr>
        <w:t>56,011,200</w:t>
      </w:r>
      <w:r>
        <w:rPr>
          <w:color w:val="000000"/>
          <w:spacing w:val="0"/>
          <w:w w:val="100"/>
          <w:position w:val="0"/>
        </w:rPr>
        <w:t>股，占公司总股本比例</w:t>
      </w:r>
      <w:r>
        <w:rPr>
          <w:rFonts w:ascii="Times New Roman" w:eastAsia="Times New Roman" w:hAnsi="Times New Roman" w:cs="Times New Roman"/>
          <w:color w:val="000000"/>
          <w:spacing w:val="0"/>
          <w:w w:val="100"/>
          <w:position w:val="0"/>
          <w:sz w:val="18"/>
          <w:szCs w:val="18"/>
        </w:rPr>
        <w:t>7.93%</w:t>
      </w:r>
      <w:r>
        <w:rPr>
          <w:color w:val="000000"/>
          <w:spacing w:val="0"/>
          <w:w w:val="100"/>
          <w:position w:val="0"/>
        </w:rPr>
        <w:t>，累 计被质押股份数量</w:t>
      </w:r>
      <w:r>
        <w:rPr>
          <w:rFonts w:ascii="Times New Roman" w:eastAsia="Times New Roman" w:hAnsi="Times New Roman" w:cs="Times New Roman"/>
          <w:color w:val="000000"/>
          <w:spacing w:val="0"/>
          <w:w w:val="100"/>
          <w:position w:val="0"/>
          <w:sz w:val="18"/>
          <w:szCs w:val="18"/>
        </w:rPr>
        <w:t>33,500,000</w:t>
      </w:r>
      <w:r>
        <w:rPr>
          <w:color w:val="000000"/>
          <w:spacing w:val="0"/>
          <w:w w:val="100"/>
          <w:position w:val="0"/>
        </w:rPr>
        <w:t>股，占其所持有上市公司股份比例</w:t>
      </w:r>
      <w:r>
        <w:rPr>
          <w:rFonts w:ascii="Times New Roman" w:eastAsia="Times New Roman" w:hAnsi="Times New Roman" w:cs="Times New Roman"/>
          <w:color w:val="000000"/>
          <w:spacing w:val="0"/>
          <w:w w:val="100"/>
          <w:position w:val="0"/>
          <w:sz w:val="18"/>
          <w:szCs w:val="18"/>
        </w:rPr>
        <w:t>59.81%</w:t>
      </w:r>
      <w:r>
        <w:rPr>
          <w:color w:val="000000"/>
          <w:spacing w:val="0"/>
          <w:w w:val="100"/>
          <w:position w:val="0"/>
        </w:rPr>
        <w:t>，占公司总股本比例</w:t>
      </w:r>
      <w:r>
        <w:rPr>
          <w:rFonts w:ascii="Times New Roman" w:eastAsia="Times New Roman" w:hAnsi="Times New Roman" w:cs="Times New Roman"/>
          <w:color w:val="000000"/>
          <w:spacing w:val="0"/>
          <w:w w:val="100"/>
          <w:position w:val="0"/>
          <w:sz w:val="18"/>
          <w:szCs w:val="18"/>
        </w:rPr>
        <w:t>4.74%</w:t>
      </w:r>
      <w:r>
        <w:rPr>
          <w:color w:val="000000"/>
          <w:spacing w:val="0"/>
          <w:w w:val="100"/>
          <w:position w:val="0"/>
        </w:rPr>
        <w:t>。</w:t>
      </w:r>
    </w:p>
    <w:p>
      <w:pPr>
        <w:pStyle w:val="Style17"/>
        <w:keepNext w:val="0"/>
        <w:keepLines w:val="0"/>
        <w:widowControl w:val="0"/>
        <w:numPr>
          <w:ilvl w:val="0"/>
          <w:numId w:val="119"/>
        </w:numPr>
        <w:shd w:val="clear" w:color="auto" w:fill="auto"/>
        <w:tabs>
          <w:tab w:pos="752" w:val="left"/>
        </w:tabs>
        <w:bidi w:val="0"/>
        <w:spacing w:before="0" w:after="0" w:line="470" w:lineRule="exact"/>
        <w:ind w:left="0" w:right="0"/>
        <w:jc w:val="left"/>
      </w:pPr>
      <w:bookmarkStart w:id="1731" w:name="bookmark1731"/>
      <w:bookmarkEnd w:id="1731"/>
      <w:r>
        <w:rPr>
          <w:color w:val="000000"/>
          <w:spacing w:val="0"/>
          <w:w w:val="100"/>
          <w:position w:val="0"/>
        </w:rPr>
        <w:t>原联营公司易安财产保险股份有限公司被接管机构接管</w:t>
      </w:r>
    </w:p>
    <w:p>
      <w:pPr>
        <w:pStyle w:val="Style17"/>
        <w:keepNext w:val="0"/>
        <w:keepLines w:val="0"/>
        <w:widowControl w:val="0"/>
        <w:shd w:val="clear" w:color="auto" w:fill="auto"/>
        <w:bidi w:val="0"/>
        <w:spacing w:before="0" w:after="0" w:line="470"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日，中国银保监会发布了《中国银保监会依法对天安财产保险股份有限公司等六家机构实施接管的公告》， 按照公告要求，易安财产保险股份有限公司被中国银保监会实施接管。接管期限自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日止，可 依法适当延长。被接管后，易安保险继续照常经营，债权债务关系不因接管而变化。自接管之日起，易安保险股东大会、董 事会、监事会停止履行职责，相关职能由接管组承担，接管组行使易安保险经营管理权，接管组组长行使易安保险法定代表 人职责。</w:t>
      </w:r>
    </w:p>
    <w:p>
      <w:pPr>
        <w:pStyle w:val="Style17"/>
        <w:keepNext w:val="0"/>
        <w:keepLines w:val="0"/>
        <w:widowControl w:val="0"/>
        <w:shd w:val="clear" w:color="auto" w:fill="auto"/>
        <w:bidi w:val="0"/>
        <w:spacing w:before="0" w:after="380" w:line="470" w:lineRule="exact"/>
        <w:ind w:left="0" w:right="0"/>
        <w:jc w:val="left"/>
      </w:pPr>
      <w:r>
        <w:rPr>
          <w:color w:val="000000"/>
          <w:spacing w:val="0"/>
          <w:w w:val="100"/>
          <w:position w:val="0"/>
        </w:rPr>
        <w:t>易安保险系本公司投资的联营公司，投资比例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月，公司向易安保险委派了董事并担任董事 长，公司按权益法对易安保险长期股权投资进行核算。鉴于公司对易安保险的投资目的发生改变，且公司向易安保险委派的 董事李军于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日辞去易安保险董事、董事长、法人代表等一切职务，之后公司未再向易安保险委派或提名董事参 与经营管理，根据《企业会计准则第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号——长期股权投资》的相关规定，公司自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日起对易安保险股权的核算 方法由长期股权投资变更为其他权益工具投资核算。易安保险被中国银保监会实施接管不对公司的当期净利润产生影响。</w:t>
      </w:r>
    </w:p>
    <w:p>
      <w:pPr>
        <w:pStyle w:val="Style32"/>
        <w:keepNext/>
        <w:keepLines/>
        <w:widowControl w:val="0"/>
        <w:shd w:val="clear" w:color="auto" w:fill="auto"/>
        <w:bidi w:val="0"/>
        <w:spacing w:before="0" w:after="380" w:line="240" w:lineRule="auto"/>
        <w:ind w:left="0" w:right="0" w:firstLine="0"/>
        <w:jc w:val="both"/>
      </w:pPr>
      <w:bookmarkStart w:id="1732" w:name="bookmark1732"/>
      <w:bookmarkStart w:id="1733" w:name="bookmark1733"/>
      <w:bookmarkStart w:id="1734" w:name="bookmark1734"/>
      <w:r>
        <w:rPr>
          <w:color w:val="000000"/>
          <w:spacing w:val="0"/>
          <w:w w:val="100"/>
          <w:position w:val="0"/>
          <w:sz w:val="24"/>
          <w:szCs w:val="24"/>
        </w:rPr>
        <w:t>十六、母公司财务报表主要项目注释</w:t>
      </w:r>
      <w:bookmarkEnd w:id="1732"/>
      <w:bookmarkEnd w:id="1733"/>
      <w:bookmarkEnd w:id="1734"/>
    </w:p>
    <w:p>
      <w:pPr>
        <w:pStyle w:val="Style36"/>
        <w:keepNext/>
        <w:keepLines/>
        <w:widowControl w:val="0"/>
        <w:shd w:val="clear" w:color="auto" w:fill="auto"/>
        <w:bidi w:val="0"/>
        <w:spacing w:before="0" w:after="380" w:line="240" w:lineRule="auto"/>
        <w:ind w:left="0" w:right="0" w:firstLine="0"/>
        <w:jc w:val="both"/>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35"/>
      <w:bookmarkEnd w:id="1736"/>
      <w:bookmarkEnd w:id="1737"/>
    </w:p>
    <w:p>
      <w:pPr>
        <w:pStyle w:val="Style44"/>
        <w:keepNext/>
        <w:keepLines/>
        <w:widowControl w:val="0"/>
        <w:shd w:val="clear" w:color="auto" w:fill="auto"/>
        <w:bidi w:val="0"/>
        <w:spacing w:before="0" w:after="380" w:line="240" w:lineRule="auto"/>
        <w:ind w:left="0" w:right="0" w:firstLine="0"/>
        <w:jc w:val="both"/>
      </w:pPr>
      <w:bookmarkStart w:id="1738" w:name="bookmark1738"/>
      <w:bookmarkStart w:id="1739" w:name="bookmark1739"/>
      <w:bookmarkStart w:id="1740" w:name="bookmark17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38"/>
      <w:bookmarkEnd w:id="1739"/>
      <w:bookmarkEnd w:id="174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2"/>
        <w:gridCol w:w="1512"/>
        <w:gridCol w:w="816"/>
        <w:gridCol w:w="1560"/>
        <w:gridCol w:w="1589"/>
        <w:gridCol w:w="94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748,930.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1,747,503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196,002,</w:t>
            </w:r>
          </w:p>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894.97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33,756,3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162,246,5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205,752,9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177,291,77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198,499,</w:t>
            </w:r>
          </w:p>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328.70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34,505,2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163,994,0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205,752,9</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177,291,77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按单项计提坏账准备：</w:t>
      </w:r>
      <w:r>
        <w:rPr>
          <w:rFonts w:ascii="Times New Roman" w:eastAsia="Times New Roman" w:hAnsi="Times New Roman" w:cs="Times New Roman"/>
          <w:color w:val="000000"/>
          <w:spacing w:val="0"/>
          <w:w w:val="100"/>
          <w:position w:val="0"/>
          <w:sz w:val="18"/>
          <w:szCs w:val="18"/>
        </w:rPr>
        <w:t>748,930.12</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2,496,433.73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748,930.12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连续亏损</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按组合计提坏账准备：</w:t>
      </w:r>
      <w:r>
        <w:rPr>
          <w:rFonts w:ascii="Times New Roman" w:eastAsia="Times New Roman" w:hAnsi="Times New Roman" w:cs="Times New Roman"/>
          <w:color w:val="000000"/>
          <w:spacing w:val="0"/>
          <w:w w:val="100"/>
          <w:position w:val="0"/>
          <w:sz w:val="18"/>
          <w:szCs w:val="18"/>
        </w:rPr>
        <w:t>33,756,328.22</w:t>
      </w:r>
    </w:p>
    <w:p>
      <w:pPr>
        <w:widowControl w:val="0"/>
        <w:spacing w:after="139" w:line="1" w:lineRule="exact"/>
      </w:pP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：质保金款项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36,727,570.49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1,836,378.52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：金融信息化业务类款 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159,275,324.48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31,919,949.70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196,002,894.97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33,756,328.22</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105,743,771.67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49,679,898.75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17,914,308.32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25,161,349.96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6,044,730.04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8,740,545.95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10,376,073.97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198,499,328.70</w:t>
            </w:r>
          </w:p>
        </w:tc>
      </w:tr>
    </w:tbl>
    <w:p>
      <w:pPr>
        <w:spacing w:lineRule="exact" w:line="1"/>
        <w:rPr>
          <w:sz w:val="2"/>
          <w:szCs w:val="2"/>
        </w:rPr>
      </w:pPr>
      <w:r>
        <w:br w:type="page"/>
      </w:r>
    </w:p>
    <w:p>
      <w:pPr>
        <w:pStyle w:val="Style44"/>
        <w:keepNext/>
        <w:keepLines/>
        <w:widowControl w:val="0"/>
        <w:shd w:val="clear" w:color="auto" w:fill="auto"/>
        <w:bidi w:val="0"/>
        <w:spacing w:before="0" w:after="400" w:line="240" w:lineRule="auto"/>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41"/>
      <w:bookmarkEnd w:id="1742"/>
      <w:bookmarkEnd w:id="1743"/>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748,930.12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748,930.12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28,461,160.27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9,715,451.30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4,420,283.35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33,756,328.22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28,461,160.27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10,464,381.42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4,420,283.35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34,505,258.34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219" w:line="1" w:lineRule="exact"/>
      </w:pPr>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4"/>
        <w:keepNext/>
        <w:keepLines/>
        <w:widowControl w:val="0"/>
        <w:shd w:val="clear" w:color="auto" w:fill="auto"/>
        <w:bidi w:val="0"/>
        <w:spacing w:before="0" w:after="40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44"/>
      <w:bookmarkEnd w:id="1745"/>
      <w:bookmarkEnd w:id="174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4,420,283.35</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48"/>
      <w:bookmarkEnd w:id="1749"/>
      <w:bookmarkEnd w:id="1751"/>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13,495,263.42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674,763.17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5,809,569.78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605,697.45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5,788,232.00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289,411.60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5,463,346.46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273,167.32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4,051,196.75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202,559.84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34,607,608.41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tabs>
          <w:tab w:pos="493" w:val="left"/>
        </w:tabs>
        <w:bidi w:val="0"/>
        <w:spacing w:before="0" w:after="46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52"/>
      <w:bookmarkEnd w:id="1753"/>
      <w:bookmarkEnd w:id="1755"/>
    </w:p>
    <w:p>
      <w:pPr>
        <w:pStyle w:val="Style17"/>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无。</w:t>
      </w:r>
    </w:p>
    <w:p>
      <w:pPr>
        <w:pStyle w:val="Style44"/>
        <w:keepNext/>
        <w:keepLines/>
        <w:widowControl w:val="0"/>
        <w:shd w:val="clear" w:color="auto" w:fill="auto"/>
        <w:tabs>
          <w:tab w:pos="493" w:val="left"/>
        </w:tabs>
        <w:bidi w:val="0"/>
        <w:spacing w:before="0" w:after="46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w:t>
      </w:r>
      <w:bookmarkEnd w:id="175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56"/>
      <w:bookmarkEnd w:id="1757"/>
      <w:bookmarkEnd w:id="1759"/>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无。</w:t>
      </w:r>
      <w:r>
        <w:br w:type="page"/>
      </w:r>
    </w:p>
    <w:p>
      <w:pPr>
        <w:pStyle w:val="Style36"/>
        <w:keepNext/>
        <w:keepLines/>
        <w:widowControl w:val="0"/>
        <w:shd w:val="clear" w:color="auto" w:fill="auto"/>
        <w:bidi w:val="0"/>
        <w:spacing w:before="0" w:after="360" w:line="240" w:lineRule="auto"/>
        <w:ind w:left="0" w:right="0" w:firstLine="0"/>
        <w:jc w:val="left"/>
      </w:pPr>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60"/>
      <w:bookmarkEnd w:id="1761"/>
      <w:bookmarkEnd w:id="1762"/>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30,994,577.00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72,231,918.77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38,994,577.00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122,231,918.77</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763"/>
      <w:bookmarkEnd w:id="1764"/>
      <w:bookmarkEnd w:id="1765"/>
    </w:p>
    <w:p>
      <w:pPr>
        <w:pStyle w:val="Style65"/>
        <w:keepNext/>
        <w:keepLines/>
        <w:widowControl w:val="0"/>
        <w:shd w:val="clear" w:color="auto" w:fill="auto"/>
        <w:bidi w:val="0"/>
        <w:spacing w:before="0" w:after="36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1</w:t>
      </w:r>
      <w:bookmarkEnd w:id="1768"/>
      <w:r>
        <w:rPr>
          <w:color w:val="000000"/>
          <w:spacing w:val="0"/>
          <w:w w:val="100"/>
          <w:position w:val="0"/>
        </w:rPr>
        <w:t>）应收股利分类</w:t>
      </w:r>
      <w:bookmarkEnd w:id="1766"/>
      <w:bookmarkEnd w:id="1767"/>
      <w:bookmarkEnd w:id="1769"/>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深圳银之杰智慧科技有限公司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北京亿美软通科技有限公司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after="359" w:line="1" w:lineRule="exact"/>
      </w:pPr>
    </w:p>
    <w:p>
      <w:pPr>
        <w:pStyle w:val="Style65"/>
        <w:keepNext/>
        <w:keepLines/>
        <w:widowControl w:val="0"/>
        <w:shd w:val="clear" w:color="auto" w:fill="auto"/>
        <w:tabs>
          <w:tab w:pos="397" w:val="left"/>
        </w:tabs>
        <w:bidi w:val="0"/>
        <w:spacing w:before="0" w:after="4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bookmarkEnd w:id="177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770"/>
      <w:bookmarkEnd w:id="1771"/>
      <w:bookmarkEnd w:id="1773"/>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36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3</w:t>
      </w:r>
      <w:bookmarkEnd w:id="1776"/>
      <w:r>
        <w:rPr>
          <w:color w:val="000000"/>
          <w:spacing w:val="0"/>
          <w:w w:val="100"/>
          <w:position w:val="0"/>
        </w:rPr>
        <w:t>）</w:t>
        <w:tab/>
        <w:t>坏账准备计提情况</w:t>
      </w:r>
      <w:bookmarkEnd w:id="1774"/>
      <w:bookmarkEnd w:id="1775"/>
      <w:bookmarkEnd w:id="1777"/>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78"/>
      <w:bookmarkEnd w:id="1779"/>
      <w:bookmarkEnd w:id="1780"/>
    </w:p>
    <w:p>
      <w:pPr>
        <w:pStyle w:val="Style65"/>
        <w:keepNext/>
        <w:keepLines/>
        <w:widowControl w:val="0"/>
        <w:shd w:val="clear" w:color="auto" w:fill="auto"/>
        <w:bidi w:val="0"/>
        <w:spacing w:before="0" w:after="360" w:line="240" w:lineRule="auto"/>
        <w:ind w:left="0" w:right="0" w:firstLine="0"/>
        <w:jc w:val="left"/>
      </w:pPr>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81"/>
      <w:bookmarkEnd w:id="1782"/>
      <w:bookmarkEnd w:id="1783"/>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子公司及外部往来款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23,796,987.98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64,402,424.51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3,615,994.51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1,619,551.85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3,725,111.45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3,779,386.93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252,295.53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193,070.55</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31,390,389.47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72,994,433.84</w:t>
            </w:r>
          </w:p>
        </w:tc>
      </w:tr>
    </w:tbl>
    <w:p>
      <w:pPr>
        <w:spacing w:lineRule="exact" w:line="1"/>
        <w:rPr>
          <w:sz w:val="2"/>
          <w:szCs w:val="2"/>
        </w:rPr>
      </w:pPr>
      <w:r>
        <w:br w:type="page"/>
      </w:r>
    </w:p>
    <w:p>
      <w:pPr>
        <w:pStyle w:val="Style65"/>
        <w:keepNext/>
        <w:keepLines/>
        <w:widowControl w:val="0"/>
        <w:shd w:val="clear" w:color="auto" w:fill="auto"/>
        <w:bidi w:val="0"/>
        <w:spacing w:before="0" w:after="40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84"/>
      <w:bookmarkEnd w:id="1785"/>
      <w:bookmarkEnd w:id="1786"/>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762,515.07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762,515.07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-366,702.60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-366,702.60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395,812.47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395,812.47</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11,637,591.50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14,919,202.88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3,390,110.89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1,443,484.20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326,751.30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662,201.20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454,531.70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31,390,389.47</w:t>
            </w:r>
          </w:p>
        </w:tc>
      </w:tr>
    </w:tbl>
    <w:p>
      <w:pPr>
        <w:widowControl w:val="0"/>
        <w:spacing w:after="319" w:line="1" w:lineRule="exact"/>
      </w:pPr>
    </w:p>
    <w:p>
      <w:pPr>
        <w:pStyle w:val="Style65"/>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3</w:t>
      </w:r>
      <w:bookmarkEnd w:id="1789"/>
      <w:r>
        <w:rPr>
          <w:color w:val="000000"/>
          <w:spacing w:val="0"/>
          <w:w w:val="100"/>
          <w:position w:val="0"/>
        </w:rPr>
        <w:t>）本期计提、收回或转回的坏账准备情况</w:t>
      </w:r>
      <w:bookmarkEnd w:id="1787"/>
      <w:bookmarkEnd w:id="1788"/>
      <w:bookmarkEnd w:id="1790"/>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762,515.07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-366,702.60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395,812.47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762,515.07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-366,702.60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395,812.47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4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4</w:t>
      </w:r>
      <w:bookmarkEnd w:id="1793"/>
      <w:r>
        <w:rPr>
          <w:color w:val="000000"/>
          <w:spacing w:val="0"/>
          <w:w w:val="100"/>
          <w:position w:val="0"/>
        </w:rPr>
        <w:t>）</w:t>
        <w:tab/>
        <w:t>本期实际核销的其他应收款情况</w:t>
      </w:r>
      <w:bookmarkEnd w:id="1791"/>
      <w:bookmarkEnd w:id="1792"/>
      <w:bookmarkEnd w:id="1794"/>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5</w:t>
      </w:r>
      <w:bookmarkEnd w:id="1797"/>
      <w:r>
        <w:rPr>
          <w:color w:val="000000"/>
          <w:spacing w:val="0"/>
          <w:w w:val="100"/>
          <w:position w:val="0"/>
        </w:rPr>
        <w:t>）</w:t>
        <w:tab/>
        <w:t>按欠款方归集的期末余额前五名的其他应收款情况</w:t>
      </w:r>
      <w:bookmarkEnd w:id="1795"/>
      <w:bookmarkEnd w:id="1796"/>
      <w:bookmarkEnd w:id="179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1,222,403.91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61,120.20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967,873.81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48,393.69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四至五年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532,184.56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26,609.23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339,494.40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16,974.72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3,660,956.68</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183,047.84</w:t>
            </w:r>
          </w:p>
        </w:tc>
      </w:tr>
    </w:tbl>
    <w:p>
      <w:pPr>
        <w:widowControl w:val="0"/>
        <w:spacing w:after="319" w:line="1" w:lineRule="exact"/>
      </w:pPr>
    </w:p>
    <w:p>
      <w:pPr>
        <w:pStyle w:val="Style65"/>
        <w:keepNext/>
        <w:keepLines/>
        <w:widowControl w:val="0"/>
        <w:shd w:val="clear" w:color="auto" w:fill="auto"/>
        <w:tabs>
          <w:tab w:pos="397" w:val="left"/>
        </w:tabs>
        <w:bidi w:val="0"/>
        <w:spacing w:before="0" w:after="4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6</w:t>
      </w:r>
      <w:bookmarkEnd w:id="1801"/>
      <w:r>
        <w:rPr>
          <w:color w:val="000000"/>
          <w:spacing w:val="0"/>
          <w:w w:val="100"/>
          <w:position w:val="0"/>
        </w:rPr>
        <w:t>）</w:t>
        <w:tab/>
        <w:t>涉及政府补助的应收款项</w:t>
      </w:r>
      <w:bookmarkEnd w:id="1799"/>
      <w:bookmarkEnd w:id="1800"/>
      <w:bookmarkEnd w:id="1802"/>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4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color w:val="000000"/>
          <w:spacing w:val="0"/>
          <w:w w:val="100"/>
          <w:position w:val="0"/>
        </w:rPr>
        <w:t>）</w:t>
        <w:tab/>
        <w:t>因金融资产转移而终止确认的其他应收款</w:t>
      </w:r>
      <w:bookmarkEnd w:id="1803"/>
      <w:bookmarkEnd w:id="1804"/>
      <w:bookmarkEnd w:id="1806"/>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65"/>
        <w:keepNext/>
        <w:keepLines/>
        <w:widowControl w:val="0"/>
        <w:shd w:val="clear" w:color="auto" w:fill="auto"/>
        <w:tabs>
          <w:tab w:pos="397" w:val="left"/>
        </w:tabs>
        <w:bidi w:val="0"/>
        <w:spacing w:before="0" w:after="48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8</w:t>
      </w:r>
      <w:bookmarkEnd w:id="1809"/>
      <w:r>
        <w:rPr>
          <w:color w:val="000000"/>
          <w:spacing w:val="0"/>
          <w:w w:val="100"/>
          <w:position w:val="0"/>
        </w:rPr>
        <w:t>）</w:t>
        <w:tab/>
        <w:t>转移其他应收款且继续涉入形成的资产、负债金额</w:t>
      </w:r>
      <w:bookmarkEnd w:id="1807"/>
      <w:bookmarkEnd w:id="1808"/>
      <w:bookmarkEnd w:id="1810"/>
    </w:p>
    <w:p>
      <w:pPr>
        <w:pStyle w:val="Style17"/>
        <w:keepNext w:val="0"/>
        <w:keepLines w:val="0"/>
        <w:widowControl w:val="0"/>
        <w:shd w:val="clear" w:color="auto" w:fill="auto"/>
        <w:bidi w:val="0"/>
        <w:spacing w:before="0" w:after="480" w:line="240" w:lineRule="auto"/>
        <w:ind w:left="0" w:right="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3</w:t>
      </w:r>
      <w:bookmarkEnd w:id="1813"/>
      <w:r>
        <w:rPr>
          <w:color w:val="000000"/>
          <w:spacing w:val="0"/>
          <w:w w:val="100"/>
          <w:position w:val="0"/>
        </w:rPr>
        <w:t>、长期股权投资</w:t>
      </w:r>
      <w:bookmarkEnd w:id="1811"/>
      <w:bookmarkEnd w:id="1812"/>
      <w:bookmarkEnd w:id="1814"/>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403,064,393.37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403,064,393.37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387,314,393.37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387,314,393.37</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377,781,921.35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377,781,921.35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459,099,639.04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459,099,639.04</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780,846,314.72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780,846,314.72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846,414,032.41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846,414,032.41</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15"/>
      <w:bookmarkEnd w:id="1816"/>
      <w:bookmarkEnd w:id="1817"/>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深圳银之杰拓 扑技术有限公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深圳银之杰智 慧科技有限公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北京亿美软通 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359,999,976.3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359,999,976.37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安科创新（深 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11,564,417.00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23,564,417.00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深圳银之杰资 产管理有限公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北京杰智融软 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深圳市银之杰 金融设备有限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387,314,393.3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403,064,393.37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18"/>
      <w:bookmarkEnd w:id="1819"/>
      <w:bookmarkEnd w:id="1820"/>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9"/>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9"/>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北京华道 征信有限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1,767,131</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-1,767,13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易安财产 保险股份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91,273,55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-12,629,2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-78,644,2</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东亚前海 证券有限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366,058,9</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11,266,55</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377,781,9</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459,099,6</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-3,129,83</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-78,644,2</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377,781,9</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459,099,6</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-3,129,83</w:t>
            </w:r>
          </w:p>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456,406.1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-78,644,2</w:t>
            </w:r>
          </w:p>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377,781,9</w:t>
            </w:r>
          </w:p>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color w:val="000000"/>
          <w:spacing w:val="0"/>
          <w:w w:val="100"/>
          <w:position w:val="0"/>
        </w:rPr>
        <w:t>、营业收入和营业成本</w:t>
      </w:r>
      <w:bookmarkEnd w:id="1821"/>
      <w:bookmarkEnd w:id="1822"/>
      <w:bookmarkEnd w:id="1824"/>
    </w:p>
    <w:p>
      <w:pPr>
        <w:pStyle w:val="Style1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208,792,786.44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136,788,538.62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170,450,465.69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116,986,961.33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208,792,786.44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136,788,538.62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170,450,465.69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116,986,961.33</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74,460,853.45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74,460,853.45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134,331,932.99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134,331,932.99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208,792,786.44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208,792,786.44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208,792,786.44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208,792,786.44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99" w:line="1" w:lineRule="exact"/>
      </w:pPr>
    </w:p>
    <w:p>
      <w:pPr>
        <w:pStyle w:val="Style17"/>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对于销售商品类交易，本公司在客户取得相关商品的控制权时完成履约义务；对于软件开发、短彩信服务及其应用服务，</w:t>
      </w:r>
    </w:p>
    <w:p>
      <w:pPr>
        <w:pStyle w:val="Style17"/>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本公司在客户验收或结算核对时完成履约义务；对于提供运营维护类交易，本公司根据合同内容，在服务提供期间按期确认</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已完成的履约义务。</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280" w:line="240" w:lineRule="auto"/>
        <w:ind w:left="0" w:right="0"/>
        <w:jc w:val="left"/>
        <w:rPr>
          <w:sz w:val="18"/>
          <w:szCs w:val="18"/>
        </w:rPr>
      </w:pPr>
      <w:r>
        <w:rPr>
          <w:color w:val="000000"/>
          <w:spacing w:val="0"/>
          <w:w w:val="100"/>
          <w:position w:val="0"/>
          <w:sz w:val="16"/>
          <w:szCs w:val="16"/>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5,150,720.60</w:t>
      </w:r>
      <w:r>
        <w:rPr>
          <w:color w:val="000000"/>
          <w:spacing w:val="0"/>
          <w:w w:val="100"/>
          <w:position w:val="0"/>
          <w:sz w:val="16"/>
          <w:szCs w:val="16"/>
        </w:rPr>
        <w:t>元，其中，</w:t>
      </w:r>
      <w:r>
        <w:rPr>
          <w:rFonts w:ascii="Times New Roman" w:eastAsia="Times New Roman" w:hAnsi="Times New Roman" w:cs="Times New Roman"/>
          <w:color w:val="000000"/>
          <w:spacing w:val="0"/>
          <w:w w:val="100"/>
          <w:position w:val="0"/>
          <w:sz w:val="18"/>
          <w:szCs w:val="18"/>
        </w:rPr>
        <w:t>4,326,742.72</w:t>
      </w:r>
    </w:p>
    <w:p>
      <w:pPr>
        <w:pStyle w:val="Style1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686,448.07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137,529.81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w:t>
      </w:r>
      <w:bookmarkEnd w:id="1827"/>
      <w:r>
        <w:rPr>
          <w:color w:val="000000"/>
          <w:spacing w:val="0"/>
          <w:w w:val="100"/>
          <w:position w:val="0"/>
        </w:rPr>
        <w:t>、投资收益</w:t>
      </w:r>
      <w:bookmarkEnd w:id="1825"/>
      <w:bookmarkEnd w:id="1826"/>
      <w:bookmarkEnd w:id="1828"/>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-3,129,836.89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-30,111,066.04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9,498,551.91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交易性金融资产持有期间取得的投资收益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2,282,697.26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1,229,995.89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14,802,860.37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30,617,481.76</w:t>
            </w:r>
          </w:p>
        </w:tc>
      </w:tr>
    </w:tbl>
    <w:p>
      <w:pPr>
        <w:widowControl w:val="0"/>
        <w:spacing w:after="279" w:line="1" w:lineRule="exact"/>
      </w:pPr>
    </w:p>
    <w:p>
      <w:pPr>
        <w:pStyle w:val="Style32"/>
        <w:keepNext/>
        <w:keepLines/>
        <w:widowControl w:val="0"/>
        <w:shd w:val="clear" w:color="auto" w:fill="auto"/>
        <w:bidi w:val="0"/>
        <w:spacing w:before="0" w:after="380" w:line="240" w:lineRule="auto"/>
        <w:ind w:left="0" w:right="0" w:firstLine="0"/>
        <w:jc w:val="both"/>
      </w:pPr>
      <w:bookmarkStart w:id="1829" w:name="bookmark1829"/>
      <w:bookmarkStart w:id="1830" w:name="bookmark1830"/>
      <w:bookmarkStart w:id="1831" w:name="bookmark1831"/>
      <w:r>
        <w:rPr>
          <w:color w:val="000000"/>
          <w:spacing w:val="0"/>
          <w:w w:val="100"/>
          <w:position w:val="0"/>
          <w:sz w:val="24"/>
          <w:szCs w:val="24"/>
        </w:rPr>
        <w:t>十七、补充资料</w:t>
      </w:r>
      <w:bookmarkEnd w:id="1829"/>
      <w:bookmarkEnd w:id="1830"/>
      <w:bookmarkEnd w:id="1831"/>
    </w:p>
    <w:p>
      <w:pPr>
        <w:pStyle w:val="Style36"/>
        <w:keepNext/>
        <w:keepLines/>
        <w:widowControl w:val="0"/>
        <w:shd w:val="clear" w:color="auto" w:fill="auto"/>
        <w:bidi w:val="0"/>
        <w:spacing w:before="0" w:after="380" w:line="240" w:lineRule="auto"/>
        <w:ind w:left="0" w:right="0" w:firstLine="0"/>
        <w:jc w:val="both"/>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2"/>
      <w:bookmarkEnd w:id="1833"/>
      <w:bookmarkEnd w:id="1834"/>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1,219,264.38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8,343,691.63</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2,333,152.76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4,291,674.00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2,313,934.65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665,249.22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13,189,403.47</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17"/>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20" w:line="240" w:lineRule="auto"/>
        <w:ind w:left="0" w:right="0" w:firstLine="0"/>
        <w:jc w:val="both"/>
      </w:pPr>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35"/>
      <w:bookmarkEnd w:id="1836"/>
      <w:bookmarkEnd w:id="1837"/>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0.0295</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0.0109</w:t>
            </w:r>
          </w:p>
        </w:tc>
      </w:tr>
    </w:tbl>
    <w:p>
      <w:pPr>
        <w:widowControl w:val="0"/>
        <w:spacing w:after="279" w:line="1" w:lineRule="exact"/>
      </w:pPr>
    </w:p>
    <w:p>
      <w:pPr>
        <w:pStyle w:val="Style36"/>
        <w:keepNext/>
        <w:keepLines/>
        <w:widowControl w:val="0"/>
        <w:shd w:val="clear" w:color="auto" w:fill="auto"/>
        <w:bidi w:val="0"/>
        <w:spacing w:before="0" w:after="280" w:line="326" w:lineRule="exact"/>
        <w:ind w:left="0" w:right="0" w:firstLine="0"/>
        <w:jc w:val="both"/>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3</w:t>
      </w:r>
      <w:bookmarkEnd w:id="1840"/>
      <w:r>
        <w:rPr>
          <w:color w:val="000000"/>
          <w:spacing w:val="0"/>
          <w:w w:val="100"/>
          <w:position w:val="0"/>
        </w:rPr>
        <w:t>、境内外会计准则下会计数据差异</w:t>
      </w:r>
      <w:bookmarkEnd w:id="1838"/>
      <w:bookmarkEnd w:id="1839"/>
      <w:bookmarkEnd w:id="1841"/>
    </w:p>
    <w:p>
      <w:pPr>
        <w:pStyle w:val="Style44"/>
        <w:keepNext/>
        <w:keepLines/>
        <w:widowControl w:val="0"/>
        <w:shd w:val="clear" w:color="auto" w:fill="auto"/>
        <w:tabs>
          <w:tab w:pos="493" w:val="left"/>
        </w:tabs>
        <w:bidi w:val="0"/>
        <w:spacing w:before="0" w:after="380" w:line="326" w:lineRule="exact"/>
        <w:ind w:left="0" w:right="0" w:firstLine="0"/>
        <w:jc w:val="both"/>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42"/>
      <w:bookmarkEnd w:id="1843"/>
      <w:bookmarkEnd w:id="1845"/>
    </w:p>
    <w:p>
      <w:pPr>
        <w:pStyle w:val="Style1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380" w:line="326" w:lineRule="exact"/>
        <w:ind w:left="0" w:right="0" w:firstLine="0"/>
        <w:jc w:val="both"/>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46"/>
      <w:bookmarkEnd w:id="1847"/>
      <w:bookmarkEnd w:id="1849"/>
    </w:p>
    <w:p>
      <w:pPr>
        <w:pStyle w:val="Style1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280" w:line="326" w:lineRule="exact"/>
        <w:ind w:left="0" w:right="0" w:firstLine="0"/>
        <w:jc w:val="both"/>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299" w:right="1010" w:bottom="1343" w:left="1011" w:header="0" w:footer="3" w:gutter="0"/>
          <w:cols w:space="720"/>
          <w:noEndnote/>
          <w:titlePg/>
          <w:rtlGutter w:val="0"/>
          <w:docGrid w:linePitch="360"/>
        </w:sectPr>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50"/>
      <w:bookmarkEnd w:id="1851"/>
      <w:bookmarkEnd w:id="1853"/>
    </w:p>
    <w:p>
      <w:pPr>
        <w:pStyle w:val="Style9"/>
        <w:keepNext/>
        <w:keepLines/>
        <w:widowControl w:val="0"/>
        <w:shd w:val="clear" w:color="auto" w:fill="auto"/>
        <w:bidi w:val="0"/>
        <w:spacing w:before="0" w:after="680" w:line="240" w:lineRule="auto"/>
        <w:ind w:left="0" w:right="0" w:firstLine="0"/>
        <w:jc w:val="center"/>
      </w:pPr>
      <w:bookmarkStart w:id="1854" w:name="bookmark1854"/>
      <w:bookmarkStart w:id="1855" w:name="bookmark1855"/>
      <w:bookmarkStart w:id="1856" w:name="bookmark1856"/>
      <w:r>
        <w:rPr>
          <w:color w:val="000000"/>
          <w:spacing w:val="0"/>
          <w:w w:val="100"/>
          <w:position w:val="0"/>
        </w:rPr>
        <w:t>第十三节备查文件目录</w:t>
      </w:r>
      <w:bookmarkEnd w:id="1854"/>
      <w:bookmarkEnd w:id="1855"/>
      <w:bookmarkEnd w:id="1856"/>
    </w:p>
    <w:p>
      <w:pPr>
        <w:pStyle w:val="Style17"/>
        <w:keepNext w:val="0"/>
        <w:keepLines w:val="0"/>
        <w:widowControl w:val="0"/>
        <w:numPr>
          <w:ilvl w:val="0"/>
          <w:numId w:val="121"/>
        </w:numPr>
        <w:shd w:val="clear" w:color="auto" w:fill="auto"/>
        <w:tabs>
          <w:tab w:pos="700" w:val="left"/>
        </w:tabs>
        <w:bidi w:val="0"/>
        <w:spacing w:before="0" w:after="260" w:line="240" w:lineRule="auto"/>
        <w:ind w:left="0" w:right="0"/>
        <w:jc w:val="left"/>
      </w:pPr>
      <w:bookmarkStart w:id="1857" w:name="bookmark1857"/>
      <w:bookmarkStart w:id="1858" w:name="bookmark1858"/>
      <w:bookmarkEnd w:id="1858"/>
      <w:r>
        <w:rPr>
          <w:color w:val="000000"/>
          <w:spacing w:val="0"/>
          <w:w w:val="100"/>
          <w:position w:val="0"/>
        </w:rPr>
        <w:t>载有公司法定代表人陈向军、主管会计工作负责人宋卢亮、会计机构负责人张春雷签名并盖章的财务报表。</w:t>
      </w:r>
      <w:bookmarkEnd w:id="1857"/>
    </w:p>
    <w:p>
      <w:pPr>
        <w:pStyle w:val="Style17"/>
        <w:keepNext w:val="0"/>
        <w:keepLines w:val="0"/>
        <w:widowControl w:val="0"/>
        <w:numPr>
          <w:ilvl w:val="0"/>
          <w:numId w:val="121"/>
        </w:numPr>
        <w:shd w:val="clear" w:color="auto" w:fill="auto"/>
        <w:tabs>
          <w:tab w:pos="719" w:val="left"/>
        </w:tabs>
        <w:bidi w:val="0"/>
        <w:spacing w:before="0" w:after="260" w:line="240" w:lineRule="auto"/>
        <w:ind w:left="0" w:right="0"/>
        <w:jc w:val="left"/>
      </w:pPr>
      <w:bookmarkStart w:id="1859" w:name="bookmark1859"/>
      <w:bookmarkEnd w:id="1859"/>
      <w:r>
        <w:rPr>
          <w:color w:val="000000"/>
          <w:spacing w:val="0"/>
          <w:w w:val="100"/>
          <w:position w:val="0"/>
        </w:rPr>
        <w:t>载有中汇会计师事务所盖章、注册会计师章归鸿、王甫荣签名并盖章的审计报告原件。</w:t>
      </w:r>
    </w:p>
    <w:p>
      <w:pPr>
        <w:pStyle w:val="Style17"/>
        <w:keepNext w:val="0"/>
        <w:keepLines w:val="0"/>
        <w:widowControl w:val="0"/>
        <w:numPr>
          <w:ilvl w:val="0"/>
          <w:numId w:val="121"/>
        </w:numPr>
        <w:shd w:val="clear" w:color="auto" w:fill="auto"/>
        <w:tabs>
          <w:tab w:pos="719" w:val="left"/>
        </w:tabs>
        <w:bidi w:val="0"/>
        <w:spacing w:before="0" w:after="260" w:line="240" w:lineRule="auto"/>
        <w:ind w:left="0" w:right="0"/>
        <w:jc w:val="left"/>
      </w:pPr>
      <w:bookmarkStart w:id="1860" w:name="bookmark1860"/>
      <w:bookmarkEnd w:id="1860"/>
      <w:r>
        <w:rPr>
          <w:color w:val="000000"/>
          <w:spacing w:val="0"/>
          <w:w w:val="100"/>
          <w:position w:val="0"/>
        </w:rPr>
        <w:t>载有公司董事长陈向军签名的公司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p>
      <w:pPr>
        <w:pStyle w:val="Style17"/>
        <w:keepNext w:val="0"/>
        <w:keepLines w:val="0"/>
        <w:widowControl w:val="0"/>
        <w:numPr>
          <w:ilvl w:val="0"/>
          <w:numId w:val="121"/>
        </w:numPr>
        <w:shd w:val="clear" w:color="auto" w:fill="auto"/>
        <w:tabs>
          <w:tab w:pos="719" w:val="left"/>
        </w:tabs>
        <w:bidi w:val="0"/>
        <w:spacing w:before="0" w:after="260" w:line="240" w:lineRule="auto"/>
        <w:ind w:left="0" w:right="0"/>
        <w:jc w:val="left"/>
      </w:pPr>
      <w:bookmarkStart w:id="1861" w:name="bookmark1861"/>
      <w:bookmarkEnd w:id="1861"/>
      <w:r>
        <w:rPr>
          <w:color w:val="000000"/>
          <w:spacing w:val="0"/>
          <w:w w:val="100"/>
          <w:position w:val="0"/>
        </w:rPr>
        <w:t>报告期内公司在中国证监会指定网站上公开披露过的所有文件的正本及公告的原件。</w:t>
      </w:r>
    </w:p>
    <w:p>
      <w:pPr>
        <w:pStyle w:val="Style17"/>
        <w:keepNext w:val="0"/>
        <w:keepLines w:val="0"/>
        <w:widowControl w:val="0"/>
        <w:numPr>
          <w:ilvl w:val="0"/>
          <w:numId w:val="121"/>
        </w:numPr>
        <w:shd w:val="clear" w:color="auto" w:fill="auto"/>
        <w:tabs>
          <w:tab w:pos="719" w:val="left"/>
        </w:tabs>
        <w:bidi w:val="0"/>
        <w:spacing w:before="0" w:after="260" w:line="240" w:lineRule="auto"/>
        <w:ind w:left="0" w:right="0"/>
        <w:jc w:val="left"/>
      </w:pPr>
      <w:bookmarkStart w:id="1862" w:name="bookmark1862"/>
      <w:bookmarkEnd w:id="1862"/>
      <w:r>
        <w:rPr>
          <w:color w:val="000000"/>
          <w:spacing w:val="0"/>
          <w:w w:val="100"/>
          <w:position w:val="0"/>
        </w:rPr>
        <w:t>其他有关资料。</w:t>
      </w:r>
    </w:p>
    <w:p>
      <w:pPr>
        <w:pStyle w:val="Style17"/>
        <w:keepNext w:val="0"/>
        <w:keepLines w:val="0"/>
        <w:widowControl w:val="0"/>
        <w:shd w:val="clear" w:color="auto" w:fill="auto"/>
        <w:bidi w:val="0"/>
        <w:spacing w:before="0" w:after="260" w:line="240" w:lineRule="auto"/>
        <w:ind w:left="0" w:right="0"/>
        <w:jc w:val="left"/>
      </w:pPr>
      <w:r>
        <w:rPr>
          <w:color w:val="000000"/>
          <w:spacing w:val="0"/>
          <w:w w:val="100"/>
          <w:position w:val="0"/>
        </w:rPr>
        <w:t>以上备查文件的备置地点：深圳市福田区天安数码城天祥大厦</w:t>
      </w:r>
      <w:r>
        <w:rPr>
          <w:rFonts w:ascii="Times New Roman" w:eastAsia="Times New Roman" w:hAnsi="Times New Roman" w:cs="Times New Roman"/>
          <w:color w:val="000000"/>
          <w:spacing w:val="0"/>
          <w:w w:val="100"/>
          <w:position w:val="0"/>
          <w:sz w:val="18"/>
          <w:szCs w:val="18"/>
        </w:rPr>
        <w:t>AB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10A</w:t>
      </w:r>
      <w:r>
        <w:rPr>
          <w:color w:val="000000"/>
          <w:spacing w:val="0"/>
          <w:w w:val="100"/>
          <w:position w:val="0"/>
        </w:rPr>
        <w:t>,</w:t>
      </w:r>
      <w:r>
        <w:rPr>
          <w:color w:val="000000"/>
          <w:spacing w:val="0"/>
          <w:w w:val="100"/>
          <w:position w:val="0"/>
        </w:rPr>
        <w:t>公司董事会办公室。</w:t>
      </w:r>
    </w:p>
    <w:sectPr>
      <w:footnotePr>
        <w:pos w:val="pageBottom"/>
        <w:numFmt w:val="decimal"/>
        <w:numRestart w:val="continuous"/>
      </w:footnotePr>
      <w:pgSz w:w="11900" w:h="16840"/>
      <w:pgMar w:top="1662" w:right="110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3718560</wp:posOffset>
              </wp:positionH>
              <wp:positionV relativeFrom="page">
                <wp:posOffset>9965690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2.80000000000001pt;margin-top:784.70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6393180</wp:posOffset>
              </wp:positionH>
              <wp:positionV relativeFrom="page">
                <wp:posOffset>9449435</wp:posOffset>
              </wp:positionV>
              <wp:extent cx="445135" cy="106680"/>
              <wp:wrapNone/>
              <wp:docPr id="21" name="Shape 21"/>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47" type="#_x0000_t202" style="position:absolute;margin-left:503.40000000000003pt;margin-top:744.05000000000007pt;width:35.050000000000004pt;height:8.4000000000000004pt;z-index:-18874405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3726180</wp:posOffset>
              </wp:positionH>
              <wp:positionV relativeFrom="page">
                <wp:posOffset>9958070</wp:posOffset>
              </wp:positionV>
              <wp:extent cx="103505" cy="79375"/>
              <wp:wrapNone/>
              <wp:docPr id="23" name="Shape 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293.40000000000003pt;margin-top:784.10000000000002pt;width:8.1500000000000004pt;height:6.25pt;z-index:-18874405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3718560</wp:posOffset>
              </wp:positionH>
              <wp:positionV relativeFrom="page">
                <wp:posOffset>9965690</wp:posOffset>
              </wp:positionV>
              <wp:extent cx="97790" cy="79375"/>
              <wp:wrapNone/>
              <wp:docPr id="28" name="Shape 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292.80000000000001pt;margin-top:784.70000000000005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3718560</wp:posOffset>
              </wp:positionH>
              <wp:positionV relativeFrom="page">
                <wp:posOffset>9965690</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2.80000000000001pt;margin-top:784.70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6414770</wp:posOffset>
              </wp:positionH>
              <wp:positionV relativeFrom="page">
                <wp:posOffset>9788525</wp:posOffset>
              </wp:positionV>
              <wp:extent cx="445135" cy="106680"/>
              <wp:wrapNone/>
              <wp:docPr id="38" name="Shape 3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4" type="#_x0000_t202" style="position:absolute;margin-left:505.10000000000002pt;margin-top:770.75pt;width:35.050000000000004pt;height:8.4000000000000004pt;z-index:-1887440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3747770</wp:posOffset>
              </wp:positionH>
              <wp:positionV relativeFrom="page">
                <wp:posOffset>10169525</wp:posOffset>
              </wp:positionV>
              <wp:extent cx="103505" cy="79375"/>
              <wp:wrapNone/>
              <wp:docPr id="40" name="Shape 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5.10000000000002pt;margin-top:800.75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4159250</wp:posOffset>
              </wp:positionH>
              <wp:positionV relativeFrom="page">
                <wp:posOffset>529590</wp:posOffset>
              </wp:positionV>
              <wp:extent cx="2679065" cy="106680"/>
              <wp:wrapNone/>
              <wp:docPr id="2" name="Shape 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深圳市银之杰科技股份有限公司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5pt;margin-top:41.700000000000003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深圳市银之杰科技股份有限公司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4159250</wp:posOffset>
              </wp:positionH>
              <wp:positionV relativeFrom="page">
                <wp:posOffset>558165</wp:posOffset>
              </wp:positionV>
              <wp:extent cx="2679065" cy="106680"/>
              <wp:wrapNone/>
              <wp:docPr id="18" name="Shape 18"/>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4" type="#_x0000_t202" style="position:absolute;margin-left:327.5pt;margin-top:43.950000000000003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4159250</wp:posOffset>
              </wp:positionH>
              <wp:positionV relativeFrom="page">
                <wp:posOffset>529590</wp:posOffset>
              </wp:positionV>
              <wp:extent cx="2679065" cy="106680"/>
              <wp:wrapNone/>
              <wp:docPr id="25" name="Shape 25"/>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深圳市银之杰科技股份有限公司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51" type="#_x0000_t202" style="position:absolute;margin-left:327.5pt;margin-top:41.700000000000003pt;width:210.95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深圳市银之杰科技股份有限公司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27" name="Shape 2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4159250</wp:posOffset>
              </wp:positionH>
              <wp:positionV relativeFrom="page">
                <wp:posOffset>529590</wp:posOffset>
              </wp:positionV>
              <wp:extent cx="2679065" cy="106680"/>
              <wp:wrapNone/>
              <wp:docPr id="30" name="Shape 30"/>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深圳市银之杰科技股份有限公司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56" type="#_x0000_t202" style="position:absolute;margin-left:327.5pt;margin-top:41.700000000000003pt;width:210.95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深圳市银之杰科技股份有限公司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32" name="Shape 3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4180840</wp:posOffset>
              </wp:positionH>
              <wp:positionV relativeFrom="page">
                <wp:posOffset>769620</wp:posOffset>
              </wp:positionV>
              <wp:extent cx="2679065" cy="106680"/>
              <wp:wrapNone/>
              <wp:docPr id="35" name="Shape 35"/>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329.19999999999999pt;margin-top:60.600000000000001pt;width:210.95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918845</wp:posOffset>
              </wp:positionV>
              <wp:extent cx="6160135" cy="0"/>
              <wp:wrapNone/>
              <wp:docPr id="37" name="Shape 3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2.350000000000009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Hei" w:eastAsia="SimHei" w:hAnsi="SimHei" w:cs="SimHei"/>
      <w:b w:val="0"/>
      <w:bCs w:val="0"/>
      <w:i w:val="0"/>
      <w:iCs w:val="0"/>
      <w:smallCaps w:val="0"/>
      <w:strike w:val="0"/>
      <w:sz w:val="50"/>
      <w:szCs w:val="50"/>
      <w:u w:val="none"/>
      <w:shd w:val="clear" w:color="auto" w:fill="auto"/>
    </w:rPr>
  </w:style>
  <w:style w:type="character" w:customStyle="1" w:styleId="CharStyle5">
    <w:name w:val="正文文本 (3)_"/>
    <w:basedOn w:val="DefaultParagraphFont"/>
    <w:link w:val="Style4"/>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0"/>
      <w:szCs w:val="20"/>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16"/>
      <w:szCs w:val="16"/>
      <w:u w:val="none"/>
      <w:shd w:val="clear" w:color="auto" w:fill="auto"/>
    </w:rPr>
  </w:style>
  <w:style w:type="character" w:customStyle="1" w:styleId="CharStyle23">
    <w:name w:val="正文文本 (6)_"/>
    <w:basedOn w:val="DefaultParagraphFont"/>
    <w:link w:val="Style22"/>
    <w:rPr>
      <w:rFonts w:ascii="SimSun" w:eastAsia="SimSun" w:hAnsi="SimSun" w:cs="SimSun"/>
      <w:b/>
      <w:bCs/>
      <w:i w:val="0"/>
      <w:iCs w:val="0"/>
      <w:smallCaps w:val="0"/>
      <w:strike w:val="0"/>
      <w:sz w:val="36"/>
      <w:szCs w:val="36"/>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正文文本 (5)_"/>
    <w:basedOn w:val="DefaultParagraphFont"/>
    <w:link w:val="Style27"/>
    <w:rPr>
      <w:rFonts w:ascii="SimSun" w:eastAsia="SimSun" w:hAnsi="SimSun" w:cs="SimSun"/>
      <w:b/>
      <w:bCs/>
      <w:i w:val="0"/>
      <w:iCs w:val="0"/>
      <w:smallCaps w:val="0"/>
      <w:strike w:val="0"/>
      <w:sz w:val="32"/>
      <w:szCs w:val="32"/>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16"/>
      <w:szCs w:val="16"/>
      <w:u w:val="none"/>
      <w:shd w:val="clear" w:color="auto" w:fill="auto"/>
    </w:rPr>
  </w:style>
  <w:style w:type="character" w:customStyle="1" w:styleId="CharStyle33">
    <w:name w:val="标题 #2_"/>
    <w:basedOn w:val="DefaultParagraphFont"/>
    <w:link w:val="Style32"/>
    <w:rPr>
      <w:rFonts w:ascii="SimSun" w:eastAsia="SimSun" w:hAnsi="SimSun" w:cs="SimSun"/>
      <w:b/>
      <w:bCs/>
      <w:i w:val="0"/>
      <w:iCs w:val="0"/>
      <w:smallCaps w:val="0"/>
      <w:strike w:val="0"/>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2">
    <w:name w:val="表格标题_"/>
    <w:basedOn w:val="DefaultParagraphFont"/>
    <w:link w:val="Style41"/>
    <w:rPr>
      <w:rFonts w:ascii="SimSun" w:eastAsia="SimSun" w:hAnsi="SimSun" w:cs="SimSun"/>
      <w:b w:val="0"/>
      <w:bCs w:val="0"/>
      <w:i w:val="0"/>
      <w:iCs w:val="0"/>
      <w:smallCaps w:val="0"/>
      <w:strike w:val="0"/>
      <w:sz w:val="16"/>
      <w:szCs w:val="16"/>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6"/>
      <w:szCs w:val="16"/>
      <w:u w:val="none"/>
      <w:shd w:val="clear" w:color="auto" w:fill="auto"/>
    </w:rPr>
  </w:style>
  <w:style w:type="character" w:customStyle="1" w:styleId="CharStyle66">
    <w:name w:val="标题 #5_"/>
    <w:basedOn w:val="DefaultParagraphFont"/>
    <w:link w:val="Style65"/>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after="2350"/>
      <w:jc w:val="center"/>
    </w:pPr>
    <w:rPr>
      <w:rFonts w:ascii="SimHei" w:eastAsia="SimHei" w:hAnsi="SimHei" w:cs="SimHei"/>
      <w:b w:val="0"/>
      <w:bCs w:val="0"/>
      <w:i w:val="0"/>
      <w:iCs w:val="0"/>
      <w:smallCaps w:val="0"/>
      <w:strike w:val="0"/>
      <w:sz w:val="50"/>
      <w:szCs w:val="50"/>
      <w:u w:val="none"/>
      <w:shd w:val="clear" w:color="auto" w:fill="auto"/>
    </w:rPr>
  </w:style>
  <w:style w:type="paragraph" w:customStyle="1" w:styleId="Style4">
    <w:name w:val="正文文本 (3)"/>
    <w:basedOn w:val="Normal"/>
    <w:link w:val="CharStyle5"/>
    <w:pPr>
      <w:widowControl w:val="0"/>
      <w:shd w:val="clear" w:color="auto" w:fill="auto"/>
      <w:spacing w:after="1340"/>
      <w:jc w:val="center"/>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9">
    <w:name w:val="标题 #1"/>
    <w:basedOn w:val="Normal"/>
    <w:link w:val="CharStyle10"/>
    <w:pPr>
      <w:widowControl w:val="0"/>
      <w:shd w:val="clear" w:color="auto" w:fill="auto"/>
      <w:spacing w:before="33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正文文本 (2)"/>
    <w:basedOn w:val="Normal"/>
    <w:link w:val="CharStyle16"/>
    <w:pPr>
      <w:widowControl w:val="0"/>
      <w:shd w:val="clear" w:color="auto" w:fill="auto"/>
      <w:spacing w:after="80" w:line="475" w:lineRule="exact"/>
      <w:ind w:firstLine="440"/>
    </w:pPr>
    <w:rPr>
      <w:rFonts w:ascii="SimSun" w:eastAsia="SimSun" w:hAnsi="SimSun" w:cs="SimSun"/>
      <w:b/>
      <w:bCs/>
      <w:i w:val="0"/>
      <w:iCs w:val="0"/>
      <w:smallCaps w:val="0"/>
      <w:strike w:val="0"/>
      <w:sz w:val="20"/>
      <w:szCs w:val="20"/>
      <w:u w:val="none"/>
      <w:shd w:val="clear" w:color="auto" w:fill="auto"/>
    </w:rPr>
  </w:style>
  <w:style w:type="paragraph" w:customStyle="1" w:styleId="Style17">
    <w:name w:val="正文文本"/>
    <w:basedOn w:val="Normal"/>
    <w:link w:val="CharStyle18"/>
    <w:pPr>
      <w:widowControl w:val="0"/>
      <w:shd w:val="clear" w:color="auto" w:fill="auto"/>
      <w:spacing w:line="480"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22">
    <w:name w:val="正文文本 (6)"/>
    <w:basedOn w:val="Normal"/>
    <w:link w:val="CharStyle23"/>
    <w:pPr>
      <w:widowControl w:val="0"/>
      <w:shd w:val="clear" w:color="auto" w:fill="auto"/>
      <w:spacing w:before="1400" w:after="15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7">
    <w:name w:val="正文文本 (5)"/>
    <w:basedOn w:val="Normal"/>
    <w:link w:val="CharStyle28"/>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9">
    <w:name w:val="其他"/>
    <w:basedOn w:val="Normal"/>
    <w:link w:val="CharStyle30"/>
    <w:pPr>
      <w:widowControl w:val="0"/>
      <w:shd w:val="clear" w:color="auto" w:fill="auto"/>
      <w:spacing w:line="480"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32">
    <w:name w:val="标题 #2"/>
    <w:basedOn w:val="Normal"/>
    <w:link w:val="CharStyle3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6">
    <w:name w:val="标题 #3"/>
    <w:basedOn w:val="Normal"/>
    <w:link w:val="CharStyle37"/>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表格标题"/>
    <w:basedOn w:val="Normal"/>
    <w:link w:val="CharStyle42"/>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44">
    <w:name w:val="标题 #4"/>
    <w:basedOn w:val="Normal"/>
    <w:link w:val="CharStyle45"/>
    <w:pPr>
      <w:widowControl w:val="0"/>
      <w:shd w:val="clear" w:color="auto" w:fill="auto"/>
      <w:spacing w:after="2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65">
    <w:name w:val="标题 #5"/>
    <w:basedOn w:val="Normal"/>
    <w:link w:val="CharStyle66"/>
    <w:pPr>
      <w:widowControl w:val="0"/>
      <w:shd w:val="clear" w:color="auto" w:fill="auto"/>
      <w:spacing w:after="4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深圳市银之杰科技股份有限公司2020年年度报告全文</dc:title>
  <dc:subject/>
  <dc:creator>深圳市银之杰科技股份有限公司</dc:creator>
  <cp:keywords/>
</cp:coreProperties>
</file>