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9985pt;width:481.95pt;height:.1pt;mso-position-horizontal-relative:page;mso-position-vertical-relative:page;z-index:1048" coordorigin="1134,980" coordsize="9639,2">
            <v:shape style="position:absolute;left:1134;top:980;width:9639;height:2" coordorigin="1134,980" coordsize="9639,0" path="m1134,980l10772,980e" filled="false" stroked="true" strokeweight=".72003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line="2352" w:lineRule="exact"/>
        <w:ind w:left="20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290.4pt;height:117.6pt;mso-position-horizontal-relative:char;mso-position-vertical-relative:line" coordorigin="0,0" coordsize="5808,2352">
            <v:shape style="position:absolute;left:29;top:0;width:1882;height:173" type="#_x0000_t75" stroked="false">
              <v:imagedata r:id="rId7" o:title=""/>
            </v:shape>
            <v:shape style="position:absolute;left:0;top:144;width:5808;height:2208" type="#_x0000_t75" stroked="false">
              <v:imagedata r:id="rId8" o:title=""/>
            </v:shape>
          </v:group>
        </w:pict>
      </w:r>
      <w:r>
        <w:rPr>
          <w:rFonts w:ascii="Times New Roman" w:hAnsi="Times New Roman" w:cs="Times New Roman" w:eastAsia="Times New Roman" w:hint="default"/>
          <w:position w:val="-46"/>
          <w:sz w:val="20"/>
          <w:szCs w:val="20"/>
        </w:rPr>
      </w:r>
    </w:p>
    <w:p>
      <w:pPr>
        <w:spacing w:line="240" w:lineRule="auto" w:before="5"/>
        <w:rPr>
          <w:rFonts w:ascii="Times New Roman" w:hAnsi="Times New Roman" w:cs="Times New Roman" w:eastAsia="Times New Roman" w:hint="default"/>
          <w:sz w:val="22"/>
          <w:szCs w:val="22"/>
        </w:rPr>
      </w:pPr>
    </w:p>
    <w:p>
      <w:pPr>
        <w:spacing w:line="460" w:lineRule="exact" w:before="0"/>
        <w:ind w:left="87" w:right="83" w:firstLine="0"/>
        <w:jc w:val="center"/>
        <w:rPr>
          <w:rFonts w:ascii="宋体" w:hAnsi="宋体" w:cs="宋体" w:eastAsia="宋体" w:hint="default"/>
          <w:sz w:val="36"/>
          <w:szCs w:val="36"/>
        </w:rPr>
      </w:pPr>
      <w:r>
        <w:rPr>
          <w:rFonts w:ascii="宋体" w:hAnsi="宋体" w:cs="宋体" w:eastAsia="宋体" w:hint="default"/>
          <w:b/>
          <w:bCs/>
          <w:sz w:val="36"/>
          <w:szCs w:val="36"/>
        </w:rPr>
        <w:t>广东长城集团股份有限公司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87" w:right="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4"/>
        <w:rPr>
          <w:rFonts w:ascii="宋体" w:hAnsi="宋体" w:cs="宋体" w:eastAsia="宋体" w:hint="default"/>
          <w:b/>
          <w:bCs/>
          <w:sz w:val="32"/>
          <w:szCs w:val="32"/>
        </w:rPr>
      </w:pPr>
    </w:p>
    <w:p>
      <w:pPr>
        <w:spacing w:before="0"/>
        <w:ind w:left="87" w:right="85" w:firstLine="0"/>
        <w:jc w:val="center"/>
        <w:rPr>
          <w:rFonts w:ascii="Times New Roman" w:hAnsi="Times New Roman" w:cs="Times New Roman" w:eastAsia="Times New Roman" w:hint="default"/>
          <w:sz w:val="22"/>
          <w:szCs w:val="22"/>
        </w:rPr>
      </w:pPr>
      <w:r>
        <w:rPr>
          <w:rFonts w:ascii="Times New Roman"/>
          <w:b/>
          <w:sz w:val="22"/>
        </w:rPr>
        <w:t>2013-007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1"/>
        <w:ind w:left="87" w:right="8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0" w:top="1060" w:bottom="1160" w:left="1020" w:right="1020"/>
        </w:sectPr>
      </w:pPr>
    </w:p>
    <w:p>
      <w:pPr>
        <w:spacing w:line="240" w:lineRule="auto" w:before="12"/>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spacing w:before="1"/>
        <w:ind w:left="2766" w:right="92" w:firstLine="0"/>
        <w:jc w:val="left"/>
        <w:rPr>
          <w:rFonts w:ascii="宋体" w:hAnsi="宋体" w:cs="宋体" w:eastAsia="宋体" w:hint="default"/>
          <w:sz w:val="32"/>
          <w:szCs w:val="32"/>
        </w:rPr>
      </w:pPr>
      <w:r>
        <w:rPr>
          <w:rFonts w:ascii="宋体" w:hAnsi="宋体" w:cs="宋体" w:eastAsia="宋体" w:hint="default"/>
          <w:b/>
          <w:bCs/>
          <w:sz w:val="32"/>
          <w:szCs w:val="32"/>
        </w:rPr>
        <w:t>第一节</w:t>
      </w:r>
      <w:r>
        <w:rPr>
          <w:rFonts w:ascii="宋体" w:hAnsi="宋体" w:cs="宋体" w:eastAsia="宋体" w:hint="default"/>
          <w:b/>
          <w:bCs/>
          <w:spacing w:val="-2"/>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08" w:lineRule="auto" w:before="212"/>
        <w:ind w:left="113" w:right="118" w:firstLine="560"/>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8"/>
          <w:w w:val="95"/>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2"/>
        <w:ind w:left="674" w:right="92"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1"/>
        <w:rPr>
          <w:rFonts w:ascii="宋体" w:hAnsi="宋体" w:cs="宋体" w:eastAsia="宋体" w:hint="default"/>
          <w:b/>
          <w:bCs/>
          <w:sz w:val="20"/>
          <w:szCs w:val="20"/>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王铁军</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r>
    </w:tbl>
    <w:p>
      <w:pPr>
        <w:spacing w:line="240" w:lineRule="auto" w:before="2"/>
        <w:rPr>
          <w:rFonts w:ascii="宋体" w:hAnsi="宋体" w:cs="宋体" w:eastAsia="宋体" w:hint="default"/>
          <w:b/>
          <w:bCs/>
          <w:sz w:val="13"/>
          <w:szCs w:val="13"/>
        </w:rPr>
      </w:pPr>
    </w:p>
    <w:p>
      <w:pPr>
        <w:spacing w:line="386" w:lineRule="auto" w:before="13"/>
        <w:ind w:left="114" w:right="107" w:firstLine="560"/>
        <w:jc w:val="both"/>
        <w:rPr>
          <w:rFonts w:ascii="宋体" w:hAnsi="宋体" w:cs="宋体" w:eastAsia="宋体" w:hint="default"/>
          <w:sz w:val="28"/>
          <w:szCs w:val="28"/>
        </w:rPr>
      </w:pPr>
      <w:r>
        <w:rPr>
          <w:rFonts w:ascii="宋体" w:hAnsi="宋体" w:cs="宋体" w:eastAsia="宋体" w:hint="default"/>
          <w:b/>
          <w:bCs/>
          <w:w w:val="95"/>
          <w:sz w:val="28"/>
          <w:szCs w:val="28"/>
        </w:rPr>
        <w:t>公司负责人蔡廷祥、主管会计工作负责人翟振群及会计机构负责人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陈小媚声明：保证年度报告中财务报告的真实、准确、完整。</w:t>
      </w:r>
      <w:r>
        <w:rPr>
          <w:rFonts w:ascii="宋体" w:hAnsi="宋体" w:cs="宋体" w:eastAsia="宋体" w:hint="default"/>
          <w:sz w:val="28"/>
          <w:szCs w:val="28"/>
        </w:rPr>
      </w:r>
    </w:p>
    <w:p>
      <w:pPr>
        <w:spacing w:line="408" w:lineRule="auto" w:before="147"/>
        <w:ind w:left="114" w:right="118" w:firstLine="560"/>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18"/>
          <w:w w:val="95"/>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9"/>
          <w:pgSz w:w="11910" w:h="16840"/>
          <w:pgMar w:footer="980" w:header="747" w:top="1060" w:bottom="1160" w:left="1020" w:right="1020"/>
          <w:pgNumType w:start="2"/>
        </w:sectPr>
      </w:pPr>
    </w:p>
    <w:p>
      <w:pPr>
        <w:spacing w:line="240" w:lineRule="auto" w:before="12"/>
        <w:rPr>
          <w:rFonts w:ascii="宋体" w:hAnsi="宋体" w:cs="宋体" w:eastAsia="宋体" w:hint="default"/>
          <w:b/>
          <w:bCs/>
          <w:sz w:val="2"/>
          <w:szCs w:val="2"/>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591" w:right="457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620"/>
        <w:gridCol w:w="8841"/>
        <w:gridCol w:w="236"/>
      </w:tblGrid>
      <w:tr>
        <w:trPr>
          <w:trHeight w:val="371"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
              <w:jc w:val="center"/>
              <w:rPr>
                <w:rFonts w:ascii="宋体" w:hAnsi="宋体" w:cs="宋体" w:eastAsia="宋体" w:hint="default"/>
                <w:sz w:val="18"/>
                <w:szCs w:val="18"/>
              </w:rPr>
            </w:pPr>
            <w:r>
              <w:rPr>
                <w:rFonts w:ascii="宋体" w:hAnsi="宋体" w:cs="宋体" w:eastAsia="宋体" w:hint="default"/>
                <w:sz w:val="18"/>
                <w:szCs w:val="18"/>
              </w:rPr>
              <w:t>第一节</w:t>
            </w:r>
          </w:p>
        </w:tc>
        <w:tc>
          <w:tcPr>
            <w:tcW w:w="88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重要提示、目录和释义</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6" w:right="0"/>
              <w:jc w:val="center"/>
              <w:rPr>
                <w:rFonts w:ascii="Times New Roman" w:hAnsi="Times New Roman" w:cs="Times New Roman" w:eastAsia="Times New Roman" w:hint="default"/>
                <w:sz w:val="18"/>
                <w:szCs w:val="18"/>
              </w:rPr>
            </w:pPr>
            <w:r>
              <w:rPr>
                <w:rFonts w:ascii="Times New Roman"/>
                <w:sz w:val="18"/>
              </w:rPr>
              <w:t>4</w:t>
            </w:r>
          </w:p>
        </w:tc>
      </w:tr>
      <w:tr>
        <w:trPr>
          <w:trHeight w:val="35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第二节</w:t>
            </w:r>
          </w:p>
        </w:tc>
        <w:tc>
          <w:tcPr>
            <w:tcW w:w="88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公司基本情况简介</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6" w:right="0"/>
              <w:jc w:val="center"/>
              <w:rPr>
                <w:rFonts w:ascii="Times New Roman" w:hAnsi="Times New Roman" w:cs="Times New Roman" w:eastAsia="Times New Roman" w:hint="default"/>
                <w:sz w:val="18"/>
                <w:szCs w:val="18"/>
              </w:rPr>
            </w:pPr>
            <w:r>
              <w:rPr>
                <w:rFonts w:ascii="Times New Roman"/>
                <w:sz w:val="18"/>
              </w:rPr>
              <w:t>5</w:t>
            </w:r>
          </w:p>
        </w:tc>
      </w:tr>
      <w:tr>
        <w:trPr>
          <w:trHeight w:val="35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第三节</w:t>
            </w:r>
          </w:p>
        </w:tc>
        <w:tc>
          <w:tcPr>
            <w:tcW w:w="88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会计数据和财务指标摘要</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6" w:right="0"/>
              <w:jc w:val="center"/>
              <w:rPr>
                <w:rFonts w:ascii="Times New Roman" w:hAnsi="Times New Roman" w:cs="Times New Roman" w:eastAsia="Times New Roman" w:hint="default"/>
                <w:sz w:val="18"/>
                <w:szCs w:val="18"/>
              </w:rPr>
            </w:pPr>
            <w:r>
              <w:rPr>
                <w:rFonts w:ascii="Times New Roman"/>
                <w:sz w:val="18"/>
              </w:rPr>
              <w:t>7</w:t>
            </w:r>
          </w:p>
        </w:tc>
      </w:tr>
      <w:tr>
        <w:trPr>
          <w:trHeight w:val="353"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第四节</w:t>
            </w:r>
          </w:p>
        </w:tc>
        <w:tc>
          <w:tcPr>
            <w:tcW w:w="88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4"/>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董事会报告</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
              <w:jc w:val="center"/>
              <w:rPr>
                <w:rFonts w:ascii="Times New Roman" w:hAnsi="Times New Roman" w:cs="Times New Roman" w:eastAsia="Times New Roman" w:hint="default"/>
                <w:sz w:val="18"/>
                <w:szCs w:val="18"/>
              </w:rPr>
            </w:pPr>
            <w:r>
              <w:rPr>
                <w:rFonts w:ascii="Times New Roman"/>
                <w:sz w:val="18"/>
              </w:rPr>
              <w:t>10</w:t>
            </w:r>
          </w:p>
        </w:tc>
      </w:tr>
      <w:tr>
        <w:trPr>
          <w:trHeight w:val="35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第五节</w:t>
            </w:r>
          </w:p>
        </w:tc>
        <w:tc>
          <w:tcPr>
            <w:tcW w:w="88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4"/>
              <w:jc w:val="center"/>
              <w:rPr>
                <w:rFonts w:ascii="Times New Roman" w:hAnsi="Times New Roman" w:cs="Times New Roman" w:eastAsia="Times New Roman" w:hint="default"/>
                <w:sz w:val="18"/>
                <w:szCs w:val="18"/>
              </w:rPr>
            </w:pPr>
            <w:r>
              <w:rPr>
                <w:rFonts w:ascii="宋体" w:hAnsi="宋体" w:cs="宋体" w:eastAsia="宋体" w:hint="default"/>
                <w:sz w:val="18"/>
                <w:szCs w:val="18"/>
              </w:rPr>
              <w:t>重要事项</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
              <w:jc w:val="center"/>
              <w:rPr>
                <w:rFonts w:ascii="Times New Roman" w:hAnsi="Times New Roman" w:cs="Times New Roman" w:eastAsia="Times New Roman" w:hint="default"/>
                <w:sz w:val="18"/>
                <w:szCs w:val="18"/>
              </w:rPr>
            </w:pPr>
            <w:r>
              <w:rPr>
                <w:rFonts w:ascii="Times New Roman"/>
                <w:sz w:val="18"/>
              </w:rPr>
              <w:t>29</w:t>
            </w:r>
          </w:p>
        </w:tc>
      </w:tr>
      <w:tr>
        <w:trPr>
          <w:trHeight w:val="35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第六节</w:t>
            </w:r>
          </w:p>
        </w:tc>
        <w:tc>
          <w:tcPr>
            <w:tcW w:w="88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4"/>
              <w:jc w:val="center"/>
              <w:rPr>
                <w:rFonts w:ascii="Times New Roman" w:hAnsi="Times New Roman" w:cs="Times New Roman" w:eastAsia="Times New Roman" w:hint="default"/>
                <w:sz w:val="18"/>
                <w:szCs w:val="18"/>
              </w:rPr>
            </w:pPr>
            <w:r>
              <w:rPr>
                <w:rFonts w:ascii="宋体" w:hAnsi="宋体" w:cs="宋体" w:eastAsia="宋体" w:hint="default"/>
                <w:sz w:val="18"/>
                <w:szCs w:val="18"/>
              </w:rPr>
              <w:t>股份变动及股东情况</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
              <w:jc w:val="center"/>
              <w:rPr>
                <w:rFonts w:ascii="Times New Roman" w:hAnsi="Times New Roman" w:cs="Times New Roman" w:eastAsia="Times New Roman" w:hint="default"/>
                <w:sz w:val="18"/>
                <w:szCs w:val="18"/>
              </w:rPr>
            </w:pPr>
            <w:r>
              <w:rPr>
                <w:rFonts w:ascii="Times New Roman"/>
                <w:sz w:val="18"/>
              </w:rPr>
              <w:t>37</w:t>
            </w:r>
          </w:p>
        </w:tc>
      </w:tr>
      <w:tr>
        <w:trPr>
          <w:trHeight w:val="371"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第七节</w:t>
            </w:r>
          </w:p>
        </w:tc>
        <w:tc>
          <w:tcPr>
            <w:tcW w:w="88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董事、监事、高级管理人员和员工情况</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
              <w:jc w:val="center"/>
              <w:rPr>
                <w:rFonts w:ascii="Times New Roman" w:hAnsi="Times New Roman" w:cs="Times New Roman" w:eastAsia="Times New Roman" w:hint="default"/>
                <w:sz w:val="18"/>
                <w:szCs w:val="18"/>
              </w:rPr>
            </w:pPr>
            <w:r>
              <w:rPr>
                <w:rFonts w:ascii="Times New Roman"/>
                <w:sz w:val="18"/>
              </w:rPr>
              <w:t>42</w:t>
            </w:r>
          </w:p>
        </w:tc>
      </w:tr>
    </w:tbl>
    <w:sdt>
      <w:sdtPr>
        <w:docPartObj>
          <w:docPartGallery w:val="Table of Contents"/>
          <w:docPartUnique/>
        </w:docPartObj>
      </w:sdtPr>
      <w:sdtEndPr/>
      <w:sdtContent>
        <w:p>
          <w:pPr>
            <w:pStyle w:val="TOC1"/>
            <w:tabs>
              <w:tab w:pos="9781" w:val="right" w:leader="dot"/>
            </w:tabs>
            <w:spacing w:line="240" w:lineRule="auto" w:before="7"/>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2">
            <w:r>
              <w:rPr/>
              <w:t>第八节 公司治理</w:t>
            </w:r>
            <w:r>
              <w:rPr>
                <w:rFonts w:ascii="Times New Roman" w:hAnsi="Times New Roman" w:cs="Times New Roman" w:eastAsia="Times New Roman" w:hint="default"/>
              </w:rPr>
              <w:tab/>
            </w:r>
            <w:r>
              <w:rPr>
                <w:rFonts w:ascii="Times New Roman" w:hAnsi="Times New Roman" w:cs="Times New Roman" w:eastAsia="Times New Roman" w:hint="default"/>
              </w:rPr>
              <w:t>47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1">
            <w:r>
              <w:rPr/>
              <w:t>第九节 财务报告</w:t>
            </w:r>
            <w:r>
              <w:rPr>
                <w:rFonts w:ascii="Times New Roman" w:hAnsi="Times New Roman" w:cs="Times New Roman" w:eastAsia="Times New Roman" w:hint="default"/>
              </w:rPr>
              <w:tab/>
            </w:r>
            <w:r>
              <w:rPr>
                <w:rFonts w:ascii="Times New Roman" w:hAnsi="Times New Roman" w:cs="Times New Roman" w:eastAsia="Times New Roman" w:hint="default"/>
              </w:rPr>
              <w:t>50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第十节 备查文件目录</w:t>
            </w:r>
            <w:r>
              <w:rPr>
                <w:rFonts w:ascii="Times New Roman" w:hAnsi="Times New Roman" w:cs="Times New Roman" w:eastAsia="Times New Roman" w:hint="default"/>
              </w:rPr>
              <w:tab/>
            </w:r>
            <w:r>
              <w:rPr>
                <w:rFonts w:ascii="Times New Roman" w:hAnsi="Times New Roman" w:cs="Times New Roman" w:eastAsia="Times New Roman" w:hint="default"/>
              </w:rPr>
              <w:t>124</w:t>
            </w:r>
          </w:hyperlink>
        </w:p>
        <w:p>
          <w:pPr/>
          <w:r>
            <w:fldChar w:fldCharType="end"/>
          </w:r>
        </w:p>
      </w:sdtContent>
    </w:sdt>
    <w:p>
      <w:pPr>
        <w:spacing w:after="0"/>
        <w:sectPr>
          <w:pgSz w:w="11910" w:h="16840"/>
          <w:pgMar w:header="747" w:footer="980" w:top="1060" w:bottom="1160" w:left="980" w:right="100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7"/>
        <w:rPr>
          <w:rFonts w:ascii="Times New Roman" w:hAnsi="Times New Roman" w:cs="Times New Roman" w:eastAsia="Times New Roman" w:hint="default"/>
          <w:sz w:val="30"/>
          <w:szCs w:val="30"/>
        </w:rPr>
      </w:pPr>
    </w:p>
    <w:p>
      <w:pPr>
        <w:spacing w:before="0"/>
        <w:ind w:left="87" w:right="8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2"/>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公司、本公司或长城集团</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广发证券、保荐机构</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1"/>
        <w:ind w:left="3086" w:right="92" w:firstLine="0"/>
        <w:jc w:val="left"/>
        <w:rPr>
          <w:rFonts w:ascii="宋体" w:hAnsi="宋体" w:cs="宋体" w:eastAsia="宋体" w:hint="default"/>
          <w:sz w:val="32"/>
          <w:szCs w:val="32"/>
        </w:rPr>
      </w:pPr>
      <w:r>
        <w:rPr>
          <w:rFonts w:ascii="宋体" w:hAnsi="宋体" w:cs="宋体" w:eastAsia="宋体" w:hint="default"/>
          <w:b/>
          <w:bCs/>
          <w:sz w:val="32"/>
          <w:szCs w:val="32"/>
        </w:rPr>
        <w:t>第二节</w:t>
      </w:r>
      <w:r>
        <w:rPr>
          <w:rFonts w:ascii="宋体" w:hAnsi="宋体" w:cs="宋体" w:eastAsia="宋体" w:hint="default"/>
          <w:b/>
          <w:bCs/>
          <w:spacing w:val="-2"/>
          <w:sz w:val="32"/>
          <w:szCs w:val="32"/>
        </w:rPr>
        <w:t> </w:t>
      </w:r>
      <w:r>
        <w:rPr>
          <w:rFonts w:ascii="宋体" w:hAnsi="宋体" w:cs="宋体" w:eastAsia="宋体" w:hint="default"/>
          <w:b/>
          <w:bCs/>
          <w:sz w:val="32"/>
          <w:szCs w:val="32"/>
        </w:rPr>
        <w:t>公司基本情况简介</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2"/>
        <w:jc w:val="left"/>
        <w:rPr>
          <w:b w:val="0"/>
          <w:bCs w:val="0"/>
        </w:rPr>
      </w:pP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30"/>
        <w:gridCol w:w="2305"/>
        <w:gridCol w:w="2156"/>
        <w:gridCol w:w="217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长城集团</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300089</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长城集团</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The Great </w:t>
            </w:r>
            <w:r>
              <w:rPr>
                <w:rFonts w:ascii="Times New Roman"/>
                <w:spacing w:val="-4"/>
                <w:sz w:val="18"/>
              </w:rPr>
              <w:t>Wall </w:t>
            </w:r>
            <w:r>
              <w:rPr>
                <w:rFonts w:ascii="Times New Roman"/>
                <w:sz w:val="18"/>
              </w:rPr>
              <w:t>Group Co., Ltd.</w:t>
            </w:r>
            <w:r>
              <w:rPr>
                <w:rFonts w:ascii="Times New Roman"/>
                <w:spacing w:val="-5"/>
                <w:sz w:val="18"/>
              </w:rPr>
              <w:t> </w:t>
            </w:r>
            <w:r>
              <w:rPr>
                <w:rFonts w:ascii="Times New Roman"/>
                <w:sz w:val="18"/>
              </w:rPr>
              <w:t>Guangdong</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Great </w:t>
            </w:r>
            <w:r>
              <w:rPr>
                <w:rFonts w:ascii="Times New Roman"/>
                <w:spacing w:val="-4"/>
                <w:sz w:val="18"/>
              </w:rPr>
              <w:t>Wall</w:t>
            </w:r>
            <w:r>
              <w:rPr>
                <w:rFonts w:ascii="Times New Roman"/>
                <w:spacing w:val="-17"/>
                <w:sz w:val="18"/>
              </w:rPr>
              <w:t> </w:t>
            </w:r>
            <w:r>
              <w:rPr>
                <w:rFonts w:ascii="Times New Roman"/>
                <w:sz w:val="18"/>
              </w:rPr>
              <w:t>Guangdong</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521031</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521031</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www.thegreatwall-china.com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zqb@thegreatwall-china.com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广州市东风东路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号粤海集团大厦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2"/>
        <w:spacing w:line="240" w:lineRule="auto"/>
        <w:ind w:right="92"/>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王樱</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广东省深圳市福强路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号世纪工艺品 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0768-2932398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0755-36988132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0768-2931162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0755-36988180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zqb@thegreatwall-china.com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zqb@thegreatwall-china.com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92"/>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长城集团证券事务部</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b/>
          <w:bCs/>
          <w:sz w:val="23"/>
          <w:szCs w:val="23"/>
        </w:rPr>
      </w:pPr>
    </w:p>
    <w:p>
      <w:pPr>
        <w:pStyle w:val="Heading2"/>
        <w:spacing w:line="240" w:lineRule="auto"/>
        <w:ind w:right="92"/>
        <w:jc w:val="left"/>
        <w:rPr>
          <w:b w:val="0"/>
          <w:bCs w:val="0"/>
        </w:rPr>
      </w:pPr>
      <w:r>
        <w:rPr/>
        <w:t>四、公司历史沿革</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pacing w:val="-1"/>
                <w:w w:val="95"/>
                <w:sz w:val="18"/>
              </w:rPr>
              <w:t>44510123113011X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pacing w:val="-1"/>
                <w:w w:val="95"/>
                <w:sz w:val="18"/>
              </w:rPr>
              <w:t>44510123113011X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pacing w:val="-1"/>
                <w:w w:val="95"/>
                <w:sz w:val="18"/>
              </w:rPr>
              <w:t>44510123113011X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股份制改造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pacing w:val="-1"/>
                <w:w w:val="95"/>
                <w:sz w:val="18"/>
              </w:rPr>
              <w:t>44510123113011X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pacing w:val="-1"/>
                <w:w w:val="95"/>
                <w:sz w:val="18"/>
              </w:rPr>
              <w:t>44510123113011X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挂牌上市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pacing w:val="-1"/>
                <w:w w:val="95"/>
                <w:sz w:val="18"/>
              </w:rPr>
              <w:t>44510123113011X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23113011-X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广东省潮州市枫溪 区蔡陇大道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445100000000444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pacing w:val="-1"/>
                <w:w w:val="95"/>
                <w:sz w:val="18"/>
              </w:rPr>
              <w:t>44510123113011X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23113011-X</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1"/>
        <w:ind w:left="2606" w:right="92" w:firstLine="0"/>
        <w:jc w:val="left"/>
        <w:rPr>
          <w:rFonts w:ascii="宋体" w:hAnsi="宋体" w:cs="宋体" w:eastAsia="宋体" w:hint="default"/>
          <w:sz w:val="32"/>
          <w:szCs w:val="32"/>
        </w:rPr>
      </w:pPr>
      <w:r>
        <w:rPr>
          <w:rFonts w:ascii="宋体" w:hAnsi="宋体" w:cs="宋体" w:eastAsia="宋体" w:hint="default"/>
          <w:b/>
          <w:bCs/>
          <w:sz w:val="32"/>
          <w:szCs w:val="32"/>
        </w:rPr>
        <w:t>第三节</w:t>
      </w:r>
      <w:r>
        <w:rPr>
          <w:rFonts w:ascii="宋体" w:hAnsi="宋体" w:cs="宋体" w:eastAsia="宋体" w:hint="default"/>
          <w:b/>
          <w:bCs/>
          <w:spacing w:val="-2"/>
          <w:sz w:val="32"/>
          <w:szCs w:val="32"/>
        </w:rPr>
        <w:t> </w:t>
      </w:r>
      <w:r>
        <w:rPr>
          <w:rFonts w:ascii="宋体" w:hAnsi="宋体" w:cs="宋体" w:eastAsia="宋体" w:hint="default"/>
          <w:b/>
          <w:bCs/>
          <w:sz w:val="32"/>
          <w:szCs w:val="32"/>
        </w:rPr>
        <w:t>会计数据和财务指标摘要</w:t>
      </w:r>
      <w:r>
        <w:rPr>
          <w:rFonts w:ascii="宋体" w:hAnsi="宋体" w:cs="宋体" w:eastAsia="宋体" w:hint="default"/>
          <w:sz w:val="32"/>
          <w:szCs w:val="32"/>
        </w:rPr>
      </w:r>
    </w:p>
    <w:p>
      <w:pPr>
        <w:spacing w:line="240" w:lineRule="auto" w:before="11"/>
        <w:rPr>
          <w:rFonts w:ascii="宋体" w:hAnsi="宋体" w:cs="宋体" w:eastAsia="宋体" w:hint="default"/>
          <w:b/>
          <w:bCs/>
          <w:sz w:val="38"/>
          <w:szCs w:val="38"/>
        </w:rPr>
      </w:pPr>
    </w:p>
    <w:p>
      <w:pPr>
        <w:pStyle w:val="Heading2"/>
        <w:spacing w:line="240" w:lineRule="auto" w:before="0"/>
        <w:ind w:right="92"/>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2"/>
        <w:jc w:val="left"/>
      </w:pPr>
      <w:r>
        <w:rPr/>
        <w:t>公司是否因会计政策变更及会计差错更正等追溯调整或重述以前年度会计数据</w:t>
      </w:r>
    </w:p>
    <w:p>
      <w:pPr>
        <w:pStyle w:val="BodyText"/>
        <w:spacing w:line="340" w:lineRule="auto" w:before="116"/>
        <w:ind w:right="8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主要会计数据</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20"/>
        <w:gridCol w:w="1738"/>
        <w:gridCol w:w="1739"/>
        <w:gridCol w:w="1738"/>
        <w:gridCol w:w="1736"/>
      </w:tblGrid>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371,313,399.05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407,928,670.00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357,100,481.82</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13,534,427.86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40,098,318.53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32,241,614.03</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31,109,173.84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47,358,672.49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39,810,000.86</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20,473,736.69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37,741,441.85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32,678,522.20</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5,405,573.43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31,571,271.69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26,245,419.58</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11,636,018.31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20,140,432.34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40,279,251.38</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1,030,690,628.57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906,167,748.94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860,898,177.71</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252,822,977.25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136,773,834.31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129,245,704.93</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777,867,651.32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769,393,914.63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731,652,472.78</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100,000,000.00</w:t>
            </w:r>
          </w:p>
        </w:tc>
      </w:tr>
    </w:tbl>
    <w:p>
      <w:pPr>
        <w:pStyle w:val="BodyText"/>
        <w:spacing w:line="240" w:lineRule="auto" w:before="50"/>
        <w:ind w:right="92"/>
        <w:jc w:val="left"/>
      </w:pPr>
      <w:r>
        <w:rPr/>
        <w:t>主要财务指标</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4"/>
        <w:gridCol w:w="1738"/>
        <w:gridCol w:w="1735"/>
        <w:gridCol w:w="1736"/>
        <w:gridCol w:w="1736"/>
      </w:tblGrid>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0.22</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24"/>
        <w:gridCol w:w="1738"/>
        <w:gridCol w:w="1735"/>
        <w:gridCol w:w="1736"/>
        <w:gridCol w:w="1736"/>
      </w:tblGrid>
      <w:tr>
        <w:trPr>
          <w:trHeight w:val="36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714"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7.32</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1"/>
                <w:szCs w:val="11"/>
              </w:rPr>
            </w:pPr>
            <w:r>
              <w:rPr>
                <w:rFonts w:ascii="Times New Roman"/>
                <w:spacing w:val="-1"/>
                <w:sz w:val="18"/>
              </w:rPr>
              <w:t>15.01%</w:t>
            </w:r>
            <w:r>
              <w:rPr>
                <w:rFonts w:ascii="Times New Roman"/>
                <w:color w:val="FF0000"/>
                <w:spacing w:val="-1"/>
                <w:position w:val="6"/>
                <w:sz w:val="11"/>
              </w:rPr>
              <w:t>1</w:t>
            </w:r>
            <w:r>
              <w:rPr>
                <w:rFonts w:ascii="Times New Roman"/>
                <w:spacing w:val="-1"/>
                <w:sz w:val="11"/>
              </w:rPr>
            </w:r>
          </w:p>
        </w:tc>
      </w:tr>
    </w:tbl>
    <w:p>
      <w:pPr>
        <w:pStyle w:val="BodyText"/>
        <w:spacing w:line="300" w:lineRule="auto" w:before="50"/>
        <w:ind w:left="113" w:right="185"/>
        <w:jc w:val="both"/>
      </w:pPr>
      <w:r>
        <w:rPr/>
        <w:t>注：</w:t>
      </w:r>
      <w:r>
        <w:rPr>
          <w:rFonts w:ascii="Times New Roman" w:hAnsi="Times New Roman" w:cs="Times New Roman" w:eastAsia="Times New Roman" w:hint="default"/>
        </w:rPr>
        <w:t>1 (1)</w:t>
      </w:r>
      <w:r>
        <w:rPr/>
        <w:t>根据《公开发行证券的公司信息披露编报规则第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净资产收益率和每股收益的计算及披露》</w:t>
      </w:r>
      <w:r>
        <w:rPr>
          <w:rFonts w:ascii="Times New Roman" w:hAnsi="Times New Roman" w:cs="Times New Roman" w:eastAsia="Times New Roman" w:hint="default"/>
        </w:rPr>
        <w:t>(2010</w:t>
      </w:r>
      <w:r>
        <w:rPr>
          <w:rFonts w:ascii="Times New Roman" w:hAnsi="Times New Roman" w:cs="Times New Roman" w:eastAsia="Times New Roman" w:hint="default"/>
          <w:spacing w:val="40"/>
        </w:rPr>
        <w:t> </w:t>
      </w:r>
      <w:r>
        <w:rPr/>
        <w:t>年修订</w:t>
      </w:r>
      <w:r>
        <w:rPr>
          <w:rFonts w:ascii="Times New Roman" w:hAnsi="Times New Roman" w:cs="Times New Roman" w:eastAsia="Times New Roman" w:hint="default"/>
        </w:rPr>
        <w:t>)</w:t>
      </w:r>
      <w:r>
        <w:rPr/>
        <w:t>的 相关规定</w:t>
      </w:r>
      <w:r>
        <w:rPr>
          <w:rFonts w:ascii="Times New Roman" w:hAnsi="Times New Roman" w:cs="Times New Roman" w:eastAsia="Times New Roman" w:hint="default"/>
        </w:rPr>
        <w:t>,</w:t>
      </w:r>
      <w:r>
        <w:rPr/>
        <w:t>本报告期与上年同期均按资本公积转增后的总股本</w:t>
      </w:r>
      <w:r>
        <w:rPr>
          <w:spacing w:val="-34"/>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8"/>
        </w:rPr>
        <w:t> </w:t>
      </w:r>
      <w:r>
        <w:rPr>
          <w:spacing w:val="-3"/>
        </w:rPr>
        <w:t>万股来计算每股收益与稀释每股收益。</w:t>
      </w:r>
      <w:r>
        <w:rPr>
          <w:rFonts w:ascii="Times New Roman" w:hAnsi="Times New Roman" w:cs="Times New Roman" w:eastAsia="Times New Roman" w:hint="default"/>
          <w:spacing w:val="-3"/>
        </w:rPr>
        <w:t>(2)</w:t>
      </w:r>
      <w:r>
        <w:rPr>
          <w:spacing w:val="-3"/>
        </w:rPr>
        <w:t>计算</w:t>
      </w:r>
      <w:r>
        <w:rPr>
          <w:rFonts w:ascii="Times New Roman" w:hAnsi="Times New Roman" w:cs="Times New Roman" w:eastAsia="Times New Roman" w:hint="default"/>
          <w:spacing w:val="-3"/>
        </w:rPr>
        <w:t>“</w:t>
      </w:r>
      <w:r>
        <w:rPr>
          <w:spacing w:val="-3"/>
        </w:rPr>
        <w:t>归属于上</w:t>
      </w:r>
      <w:r>
        <w:rPr>
          <w:spacing w:val="-87"/>
        </w:rPr>
        <w:t> </w:t>
      </w:r>
      <w:r>
        <w:rPr/>
        <w:t>市公司股东的每股净资产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每股经营活动产生的现金流量净额</w:t>
      </w:r>
      <w:r>
        <w:rPr>
          <w:rFonts w:ascii="Times New Roman" w:hAnsi="Times New Roman" w:cs="Times New Roman" w:eastAsia="Times New Roman" w:hint="default"/>
        </w:rPr>
        <w:t>”</w:t>
      </w:r>
      <w:r>
        <w:rPr/>
        <w:t>的股本数使用对应的报告期期末公司实际股本数。</w:t>
      </w:r>
    </w:p>
    <w:p>
      <w:pPr>
        <w:spacing w:line="240" w:lineRule="auto" w:before="3"/>
        <w:rPr>
          <w:rFonts w:ascii="宋体" w:hAnsi="宋体" w:cs="宋体" w:eastAsia="宋体" w:hint="default"/>
          <w:sz w:val="20"/>
          <w:szCs w:val="20"/>
        </w:rPr>
      </w:pPr>
    </w:p>
    <w:p>
      <w:pPr>
        <w:pStyle w:val="Heading2"/>
        <w:spacing w:line="240" w:lineRule="auto" w:before="0"/>
        <w:ind w:right="0"/>
        <w:jc w:val="both"/>
        <w:rPr>
          <w:b w:val="0"/>
          <w:bCs w:val="0"/>
        </w:rPr>
      </w:pPr>
      <w:r>
        <w:rPr/>
        <w:t>二、报告期内非经常性损益的项目及金额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19"/>
        <w:gridCol w:w="1523"/>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-605.16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-680.25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-260.54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17,593,321.00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7,692,535.00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8,029,836.00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-17,969.86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-431,500.79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-461,188.63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2,506,582.72</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1,090,183.80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1,135,284.21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15,068,163.26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6,170,170.16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6,433,102.62</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both"/>
      </w:pPr>
      <w:r>
        <w:rPr>
          <w:spacing w:val="-3"/>
        </w:rPr>
        <w:t>对公司根据《公开发行证券的公司信息披露解释性公告第</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0" w:lineRule="auto" w:before="63"/>
        <w:ind w:right="189"/>
        <w:jc w:val="both"/>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0"/>
        <w:jc w:val="both"/>
        <w:rPr>
          <w:b w:val="0"/>
          <w:bCs w:val="0"/>
        </w:rPr>
      </w:pPr>
      <w:r>
        <w:rPr/>
        <w:t>三、重大风险提示</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74" w:right="91"/>
        <w:jc w:val="left"/>
      </w:pPr>
      <w:r>
        <w:rPr>
          <w:rFonts w:ascii="Times New Roman" w:hAnsi="Times New Roman" w:cs="Times New Roman" w:eastAsia="Times New Roman" w:hint="default"/>
        </w:rPr>
        <w:t>1</w:t>
      </w:r>
      <w:r>
        <w:rPr/>
        <w:t>、国内市场竞争加剧的风险 </w:t>
      </w:r>
      <w:r>
        <w:rPr>
          <w:spacing w:val="-2"/>
        </w:rPr>
        <w:t>由于外销经济环境整体的恶化，陶瓷企业对于国内市场的争夺日趋激烈，对优质营销资源的争夺，成为竞争的重点。这</w:t>
      </w:r>
    </w:p>
    <w:p>
      <w:pPr>
        <w:pStyle w:val="BodyText"/>
        <w:spacing w:line="316" w:lineRule="auto" w:before="2"/>
        <w:ind w:right="101"/>
        <w:jc w:val="both"/>
      </w:pPr>
      <w:r>
        <w:rPr>
          <w:spacing w:val="-4"/>
        </w:rPr>
        <w:t>对公司建立和完善内销渠道，提高内销收入，将构成一定的压力。公司将积极开发适销对路的产品，并加大市场推广的力度，</w:t>
      </w:r>
      <w:r>
        <w:rPr>
          <w:spacing w:val="-44"/>
        </w:rPr>
        <w:t> </w:t>
      </w:r>
      <w:r>
        <w:rPr>
          <w:spacing w:val="-44"/>
        </w:rPr>
      </w:r>
      <w:r>
        <w:rPr/>
        <w:t>同时制定有竞争力的渠道商务政策，多种方式并用，抢占优质的渠道资源。</w:t>
      </w:r>
    </w:p>
    <w:p>
      <w:pPr>
        <w:pStyle w:val="BodyText"/>
        <w:spacing w:line="340" w:lineRule="auto" w:before="58"/>
        <w:ind w:left="474" w:right="91"/>
        <w:jc w:val="left"/>
      </w:pPr>
      <w:r>
        <w:rPr>
          <w:rFonts w:ascii="Times New Roman" w:hAnsi="Times New Roman" w:cs="Times New Roman" w:eastAsia="Times New Roman" w:hint="default"/>
        </w:rPr>
        <w:t>2</w:t>
      </w:r>
      <w:r>
        <w:rPr/>
        <w:t>、募集资金投向风险 </w:t>
      </w:r>
      <w:r>
        <w:rPr>
          <w:spacing w:val="-2"/>
        </w:rPr>
        <w:t>由于募投项目建设周期的原因，公司募集资金的投入到实际产生效益仍需要一段时间，存在公司净资产收益率下降的风</w:t>
      </w:r>
    </w:p>
    <w:p>
      <w:pPr>
        <w:pStyle w:val="BodyText"/>
        <w:spacing w:line="309" w:lineRule="auto" w:before="1"/>
        <w:ind w:right="191"/>
        <w:jc w:val="both"/>
      </w:pPr>
      <w:r>
        <w:rPr>
          <w:spacing w:val="-2"/>
        </w:rPr>
        <w:t>险。尤其是新项目河南首期年产</w:t>
      </w:r>
      <w:r>
        <w:rPr>
          <w:rFonts w:ascii="Times New Roman" w:hAnsi="Times New Roman" w:cs="Times New Roman" w:eastAsia="Times New Roman" w:hint="default"/>
          <w:spacing w:val="-2"/>
        </w:rPr>
        <w:t>2000</w:t>
      </w:r>
      <w:r>
        <w:rPr>
          <w:spacing w:val="-2"/>
        </w:rPr>
        <w:t>万只酒瓶建设项目尚处于初步起步阶段，项目在实施过程中，可能遇到政策变化、市场</w:t>
      </w:r>
      <w:r>
        <w:rPr>
          <w:spacing w:val="-63"/>
        </w:rPr>
        <w:t> </w:t>
      </w:r>
      <w:r>
        <w:rPr>
          <w:spacing w:val="-63"/>
        </w:rPr>
      </w:r>
      <w:r>
        <w:rPr>
          <w:spacing w:val="-2"/>
        </w:rPr>
        <w:t>变化、设备采购价格变化、技术变化等诸多不确定因素的影响，直接影响项目的投资成本、回收期、预定达产规模和预期效</w:t>
      </w:r>
      <w:r>
        <w:rPr>
          <w:spacing w:val="-65"/>
        </w:rPr>
        <w:t> </w:t>
      </w:r>
      <w:r>
        <w:rPr>
          <w:spacing w:val="-65"/>
        </w:rPr>
      </w:r>
      <w:r>
        <w:rPr/>
        <w:t>益，存在较大的不确定性。对此，公司目前正在积极推进新项目建设，使项目尽早成熟并产生效益。</w:t>
      </w:r>
    </w:p>
    <w:p>
      <w:pPr>
        <w:spacing w:after="0" w:line="309" w:lineRule="auto"/>
        <w:jc w:val="both"/>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40" w:lineRule="auto" w:before="44"/>
        <w:ind w:left="473" w:right="91"/>
        <w:jc w:val="left"/>
      </w:pPr>
      <w:r>
        <w:rPr>
          <w:rFonts w:ascii="Times New Roman" w:hAnsi="Times New Roman" w:cs="Times New Roman" w:eastAsia="Times New Roman" w:hint="default"/>
        </w:rPr>
        <w:t>3</w:t>
      </w:r>
      <w:r>
        <w:rPr/>
        <w:t>、产能不足导致的市场拓展风险 报告期内，公司生产能力不足限制了公司在陶瓷市场份额的迅速扩大。尽管公司目前满负荷生产，但受生产能力限制，</w:t>
      </w:r>
    </w:p>
    <w:p>
      <w:pPr>
        <w:pStyle w:val="BodyText"/>
        <w:spacing w:line="316" w:lineRule="auto" w:before="1"/>
        <w:ind w:left="113" w:right="91"/>
        <w:jc w:val="left"/>
      </w:pPr>
      <w:r>
        <w:rPr/>
        <w:t>公司的生产和销售大部分集中在现有陶瓷品种上，无法全面兼顾生产其他产品。产能不足使公司面临丢失优质订单的情况； </w:t>
      </w:r>
      <w:r>
        <w:rPr>
          <w:spacing w:val="-2"/>
        </w:rPr>
        <w:t>其在影响公司经营业绩的同时，也会对公司优质客户资源的培育工作造成一定影响。公司认为，募投项目及超募资金投资项</w:t>
      </w:r>
      <w:r>
        <w:rPr>
          <w:spacing w:val="-65"/>
        </w:rPr>
        <w:t> </w:t>
      </w:r>
      <w:r>
        <w:rPr>
          <w:spacing w:val="-65"/>
        </w:rPr>
      </w:r>
      <w:r>
        <w:rPr>
          <w:spacing w:val="-2"/>
        </w:rPr>
        <w:t>目实施后公司将逐渐增加陶瓷产品种类，特别是高档骨质瓷和陶瓷酒瓶类产品，项目的建成投产将大幅提升公司产能，未来</w:t>
      </w:r>
      <w:r>
        <w:rPr>
          <w:spacing w:val="-64"/>
        </w:rPr>
        <w:t> </w:t>
      </w:r>
      <w:r>
        <w:rPr>
          <w:spacing w:val="-64"/>
        </w:rPr>
      </w:r>
      <w:r>
        <w:rPr>
          <w:spacing w:val="-2"/>
        </w:rPr>
        <w:t>公司将有能力接纳更多陶瓷种类的订单，满足更多客户的需求，为公司进一步扩大市场份额、提升销售收入提供有力的产能</w:t>
      </w:r>
      <w:r>
        <w:rPr>
          <w:spacing w:val="-65"/>
        </w:rPr>
        <w:t> </w:t>
      </w:r>
      <w:r>
        <w:rPr>
          <w:spacing w:val="-65"/>
        </w:rPr>
      </w:r>
      <w:r>
        <w:rPr/>
        <w:t>保障。</w:t>
      </w:r>
    </w:p>
    <w:p>
      <w:pPr>
        <w:pStyle w:val="BodyText"/>
        <w:spacing w:line="338" w:lineRule="auto" w:before="58"/>
        <w:ind w:left="473" w:right="91"/>
        <w:jc w:val="left"/>
      </w:pPr>
      <w:r>
        <w:rPr>
          <w:rFonts w:ascii="Times New Roman" w:hAnsi="Times New Roman" w:cs="Times New Roman" w:eastAsia="Times New Roman" w:hint="default"/>
        </w:rPr>
        <w:t>4</w:t>
      </w:r>
      <w:r>
        <w:rPr/>
        <w:t>、创意被模仿的风险 </w:t>
      </w:r>
      <w:r>
        <w:rPr>
          <w:spacing w:val="-2"/>
        </w:rPr>
        <w:t>近年来中国艺术陶瓷仿制仿冒的现象较多，公司客观上面临新产品上市不久就被他人仿制的风险。如果公司在创意设计</w:t>
      </w:r>
    </w:p>
    <w:p>
      <w:pPr>
        <w:pStyle w:val="BodyText"/>
        <w:spacing w:line="240" w:lineRule="auto" w:before="2"/>
        <w:ind w:left="113" w:right="91"/>
        <w:jc w:val="left"/>
      </w:pPr>
      <w:r>
        <w:rPr/>
        <w:t>方面不能持续创新，无法迅速推出适销的新产品，持续盈利能力将受到影响。</w:t>
      </w:r>
    </w:p>
    <w:p>
      <w:pPr>
        <w:pStyle w:val="BodyText"/>
        <w:spacing w:line="338" w:lineRule="auto" w:before="117"/>
        <w:ind w:left="473" w:right="91"/>
        <w:jc w:val="left"/>
      </w:pPr>
      <w:r>
        <w:rPr>
          <w:rFonts w:ascii="Times New Roman" w:hAnsi="Times New Roman" w:cs="Times New Roman" w:eastAsia="Times New Roman" w:hint="default"/>
        </w:rPr>
        <w:t>5</w:t>
      </w:r>
      <w:r>
        <w:rPr/>
        <w:t>、综合管理水平亟待提高的风险 </w:t>
      </w:r>
      <w:r>
        <w:rPr>
          <w:spacing w:val="-2"/>
        </w:rPr>
        <w:t>现阶段公司管理结构相对简单，随着公司业务不断成长，公司的资产规模、人员规模、业务规模逐渐扩大，未来公司在</w:t>
      </w:r>
    </w:p>
    <w:p>
      <w:pPr>
        <w:pStyle w:val="BodyText"/>
        <w:spacing w:line="316" w:lineRule="auto" w:before="2"/>
        <w:ind w:left="113" w:right="91"/>
        <w:jc w:val="left"/>
      </w:pPr>
      <w:r>
        <w:rPr>
          <w:spacing w:val="-2"/>
        </w:rPr>
        <w:t>机制建立、战略规划、组织设计、运营管理、人才引进、资金管理和内部控制等方面的管理水平将面临更大的挑战。为此公</w:t>
      </w:r>
      <w:r>
        <w:rPr>
          <w:spacing w:val="-66"/>
        </w:rPr>
        <w:t> </w:t>
      </w:r>
      <w:r>
        <w:rPr>
          <w:spacing w:val="-66"/>
        </w:rPr>
      </w:r>
      <w:r>
        <w:rPr/>
        <w:t>司不断创新管理机制，借鉴并推广适合公司发展的管理经验，致力于同步建立起较大规模企业所需的现代科学管理体系。</w:t>
      </w:r>
    </w:p>
    <w:p>
      <w:pPr>
        <w:pStyle w:val="BodyText"/>
        <w:spacing w:line="240" w:lineRule="auto" w:before="58"/>
        <w:ind w:left="473" w:right="91"/>
        <w:jc w:val="left"/>
      </w:pPr>
      <w:r>
        <w:rPr>
          <w:rFonts w:ascii="Times New Roman" w:hAnsi="Times New Roman" w:cs="Times New Roman" w:eastAsia="Times New Roman" w:hint="default"/>
        </w:rPr>
        <w:t>6</w:t>
      </w:r>
      <w:r>
        <w:rPr/>
        <w:t>、应收账款风险</w:t>
      </w:r>
    </w:p>
    <w:p>
      <w:pPr>
        <w:pStyle w:val="BodyText"/>
        <w:spacing w:line="300" w:lineRule="auto" w:before="103"/>
        <w:ind w:left="113" w:right="91" w:firstLine="360"/>
        <w:jc w:val="left"/>
      </w:pPr>
      <w:r>
        <w:rPr>
          <w:rFonts w:ascii="Times New Roman" w:hAnsi="Times New Roman" w:cs="Times New Roman" w:eastAsia="Times New Roman" w:hint="default"/>
        </w:rPr>
        <w:t>2012</w:t>
      </w:r>
      <w:r>
        <w:rPr/>
        <w:t>年末公司应收账款净值为</w:t>
      </w:r>
      <w:r>
        <w:rPr>
          <w:rFonts w:ascii="Times New Roman" w:hAnsi="Times New Roman" w:cs="Times New Roman" w:eastAsia="Times New Roman" w:hint="default"/>
        </w:rPr>
        <w:t>13,264.93</w:t>
      </w:r>
      <w:r>
        <w:rPr/>
        <w:t>万元，占当期期末总资产的比例为</w:t>
      </w:r>
      <w:r>
        <w:rPr>
          <w:rFonts w:ascii="Times New Roman" w:hAnsi="Times New Roman" w:cs="Times New Roman" w:eastAsia="Times New Roman" w:hint="default"/>
        </w:rPr>
        <w:t>12.87%</w:t>
      </w:r>
      <w:r>
        <w:rPr/>
        <w:t>，占当期营业收入的比例为</w:t>
      </w:r>
      <w:r>
        <w:rPr>
          <w:rFonts w:ascii="Times New Roman" w:hAnsi="Times New Roman" w:cs="Times New Roman" w:eastAsia="Times New Roman" w:hint="default"/>
        </w:rPr>
        <w:t>35.72%</w:t>
      </w:r>
      <w:r>
        <w:rPr/>
        <w:t>。 如果公司不能有效控制和管理应收账款，将会造成应收账款的回收风险。</w:t>
      </w:r>
    </w:p>
    <w:p>
      <w:pPr>
        <w:spacing w:after="0" w:line="300" w:lineRule="auto"/>
        <w:jc w:val="left"/>
        <w:sectPr>
          <w:pgSz w:w="11910" w:h="16840"/>
          <w:pgMar w:header="747" w:footer="980"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1"/>
        <w:ind w:left="455" w:right="528" w:firstLine="0"/>
        <w:jc w:val="center"/>
        <w:rPr>
          <w:rFonts w:ascii="宋体" w:hAnsi="宋体" w:cs="宋体" w:eastAsia="宋体" w:hint="default"/>
          <w:sz w:val="32"/>
          <w:szCs w:val="32"/>
        </w:rPr>
      </w:pPr>
      <w:r>
        <w:rPr>
          <w:rFonts w:ascii="宋体" w:hAnsi="宋体" w:cs="宋体" w:eastAsia="宋体" w:hint="default"/>
          <w:b/>
          <w:bCs/>
          <w:sz w:val="32"/>
          <w:szCs w:val="32"/>
        </w:rPr>
        <w:t>第四节</w:t>
      </w:r>
      <w:r>
        <w:rPr>
          <w:rFonts w:ascii="宋体" w:hAnsi="宋体" w:cs="宋体" w:eastAsia="宋体" w:hint="default"/>
          <w:b/>
          <w:bCs/>
          <w:spacing w:val="-2"/>
          <w:sz w:val="32"/>
          <w:szCs w:val="32"/>
        </w:rPr>
        <w:t> </w:t>
      </w:r>
      <w:r>
        <w:rPr>
          <w:rFonts w:ascii="宋体" w:hAnsi="宋体" w:cs="宋体" w:eastAsia="宋体" w:hint="default"/>
          <w:b/>
          <w:bCs/>
          <w:sz w:val="32"/>
          <w:szCs w:val="32"/>
        </w:rPr>
        <w:t>董事会报告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91"/>
        <w:jc w:val="left"/>
        <w:rPr>
          <w:b w:val="0"/>
          <w:bCs w:val="0"/>
        </w:rPr>
      </w:pPr>
      <w:r>
        <w:rPr/>
        <w:t>一、管理层讨论与分析</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13" w:right="182" w:firstLine="360"/>
        <w:jc w:val="both"/>
      </w:pPr>
      <w:r>
        <w:rPr>
          <w:rFonts w:ascii="Times New Roman" w:hAnsi="Times New Roman" w:cs="Times New Roman" w:eastAsia="Times New Roman" w:hint="default"/>
          <w:spacing w:val="-2"/>
        </w:rPr>
        <w:t>2012</w:t>
      </w:r>
      <w:r>
        <w:rPr>
          <w:spacing w:val="-2"/>
        </w:rPr>
        <w:t>年，是公司巩固经营成果、拓展经营领域、完善管理体制的一年。这一年，受有关</w:t>
      </w:r>
      <w:r>
        <w:rPr>
          <w:rFonts w:ascii="Times New Roman" w:hAnsi="Times New Roman" w:cs="Times New Roman" w:eastAsia="Times New Roman" w:hint="default"/>
          <w:spacing w:val="-2"/>
        </w:rPr>
        <w:t>“</w:t>
      </w:r>
      <w:r>
        <w:rPr>
          <w:spacing w:val="-2"/>
        </w:rPr>
        <w:t>中国梦</w:t>
      </w:r>
      <w:r>
        <w:rPr>
          <w:rFonts w:ascii="Times New Roman" w:hAnsi="Times New Roman" w:cs="Times New Roman" w:eastAsia="Times New Roman" w:hint="default"/>
          <w:spacing w:val="-2"/>
        </w:rPr>
        <w:t>”</w:t>
      </w:r>
      <w:r>
        <w:rPr>
          <w:spacing w:val="-2"/>
        </w:rPr>
        <w:t>概念的启发，我们提出</w:t>
      </w:r>
      <w:r>
        <w:rPr/>
        <w:t> 了</w:t>
      </w:r>
      <w:r>
        <w:rPr>
          <w:rFonts w:ascii="Times New Roman" w:hAnsi="Times New Roman" w:cs="Times New Roman" w:eastAsia="Times New Roman" w:hint="default"/>
        </w:rPr>
        <w:t>“</w:t>
      </w:r>
      <w:r>
        <w:rPr/>
        <w:t>中国梦，长城情</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中国礼，长城瓷</w:t>
      </w:r>
      <w:r>
        <w:rPr>
          <w:rFonts w:ascii="Times New Roman" w:hAnsi="Times New Roman" w:cs="Times New Roman" w:eastAsia="Times New Roman" w:hint="default"/>
        </w:rPr>
        <w:t>”</w:t>
      </w:r>
      <w:r>
        <w:rPr/>
        <w:t>的核心广告语，创新了</w:t>
      </w:r>
      <w:r>
        <w:rPr>
          <w:rFonts w:ascii="Times New Roman" w:hAnsi="Times New Roman" w:cs="Times New Roman" w:eastAsia="Times New Roman" w:hint="default"/>
        </w:rPr>
        <w:t>“</w:t>
      </w:r>
      <w:r>
        <w:rPr/>
        <w:t>长城瓷艺</w:t>
      </w:r>
      <w:r>
        <w:rPr>
          <w:rFonts w:ascii="Times New Roman" w:hAnsi="Times New Roman" w:cs="Times New Roman" w:eastAsia="Times New Roman" w:hint="default"/>
        </w:rPr>
        <w:t>”</w:t>
      </w:r>
      <w:r>
        <w:rPr/>
        <w:t>的礼品定位，使</w:t>
      </w:r>
      <w:r>
        <w:rPr>
          <w:rFonts w:ascii="Times New Roman" w:hAnsi="Times New Roman" w:cs="Times New Roman" w:eastAsia="Times New Roman" w:hint="default"/>
        </w:rPr>
        <w:t>“</w:t>
      </w:r>
      <w:r>
        <w:rPr/>
        <w:t>长城瓷艺</w:t>
      </w:r>
      <w:r>
        <w:rPr>
          <w:rFonts w:ascii="Times New Roman" w:hAnsi="Times New Roman" w:cs="Times New Roman" w:eastAsia="Times New Roman" w:hint="default"/>
        </w:rPr>
        <w:t>”</w:t>
      </w:r>
      <w:r>
        <w:rPr/>
        <w:t>在品牌建设和市场营 </w:t>
      </w:r>
      <w:r>
        <w:rPr>
          <w:spacing w:val="-2"/>
        </w:rPr>
        <w:t>销上取得新的突破。在坚守好品质的基础上，公司着力于提升品牌，开拓市场，加速了长城四大主营业务板块的建设，其中</w:t>
      </w:r>
      <w:r>
        <w:rPr>
          <w:spacing w:val="-64"/>
        </w:rPr>
        <w:t> </w:t>
      </w:r>
      <w:r>
        <w:rPr>
          <w:spacing w:val="-64"/>
        </w:rPr>
      </w:r>
      <w:r>
        <w:rPr>
          <w:spacing w:val="-2"/>
        </w:rPr>
        <w:t>外销受国际经济环境的影响略有下降、酒水包装器皿项目取得突破、艺术品运营不断创新、长城瓷艺连锁品牌成功塑造，提</w:t>
      </w:r>
      <w:r>
        <w:rPr>
          <w:spacing w:val="-64"/>
        </w:rPr>
        <w:t> </w:t>
      </w:r>
      <w:r>
        <w:rPr>
          <w:spacing w:val="-64"/>
        </w:rPr>
      </w:r>
      <w:r>
        <w:rPr/>
        <w:t>升了公司的综合竞争力。</w:t>
      </w:r>
    </w:p>
    <w:p>
      <w:pPr>
        <w:pStyle w:val="BodyText"/>
        <w:spacing w:line="312" w:lineRule="auto" w:before="24"/>
        <w:ind w:right="90" w:firstLine="360"/>
        <w:jc w:val="left"/>
      </w:pPr>
      <w:r>
        <w:rPr/>
        <w:t>子公司深圳长城世家商贸有限公司及广州长城世家投资有限公司经营管理的瓷艺体验馆与长城瓷艺专卖连锁体系一道， </w:t>
      </w:r>
      <w:r>
        <w:rPr>
          <w:spacing w:val="-4"/>
        </w:rPr>
        <w:t>已经逐步成为瓷艺礼品销售的主要场所。其中，深圳长城世家商贸有限公司利用其营销管理团队对酒水行业比较熟悉的特点，</w:t>
      </w:r>
      <w:r>
        <w:rPr>
          <w:spacing w:val="-43"/>
        </w:rPr>
        <w:t> </w:t>
      </w:r>
      <w:r>
        <w:rPr>
          <w:spacing w:val="-43"/>
        </w:rPr>
      </w:r>
      <w:r>
        <w:rPr>
          <w:spacing w:val="-2"/>
        </w:rPr>
        <w:t>深挖酒瓶为代表的包装器皿类业务，</w:t>
      </w:r>
      <w:r>
        <w:rPr>
          <w:rFonts w:ascii="Times New Roman" w:hAnsi="Times New Roman" w:cs="Times New Roman" w:eastAsia="Times New Roman" w:hint="default"/>
          <w:spacing w:val="-2"/>
        </w:rPr>
        <w:t>2012</w:t>
      </w:r>
      <w:r>
        <w:rPr>
          <w:spacing w:val="-2"/>
        </w:rPr>
        <w:t>年按照既定规划积极拓展市场，使得酒瓶合作的酒业企业已经有效增加，并开始建</w:t>
      </w:r>
      <w:r>
        <w:rPr>
          <w:spacing w:val="-60"/>
        </w:rPr>
        <w:t> </w:t>
      </w:r>
      <w:r>
        <w:rPr>
          <w:spacing w:val="-60"/>
        </w:rPr>
      </w:r>
      <w:r>
        <w:rPr/>
        <w:t>设设计公司与包装材料配套对接的联盟，使得客户对接可以批量化进行。同时，充分发挥可大规模批量化生产的判断条件， 新增加了食品领域多功能化的包装设计方式，新拓展多个市场领域。随着</w:t>
      </w:r>
      <w:r>
        <w:rPr>
          <w:rFonts w:ascii="Times New Roman" w:hAnsi="Times New Roman" w:cs="Times New Roman" w:eastAsia="Times New Roman" w:hint="default"/>
        </w:rPr>
        <w:t>“</w:t>
      </w:r>
      <w:r>
        <w:rPr/>
        <w:t>长城瓷艺</w:t>
      </w:r>
      <w:r>
        <w:rPr>
          <w:rFonts w:ascii="Times New Roman" w:hAnsi="Times New Roman" w:cs="Times New Roman" w:eastAsia="Times New Roman" w:hint="default"/>
        </w:rPr>
        <w:t>——</w:t>
      </w:r>
      <w:r>
        <w:rPr/>
        <w:t>酒瓶定制专家</w:t>
      </w:r>
      <w:r>
        <w:rPr>
          <w:rFonts w:ascii="Times New Roman" w:hAnsi="Times New Roman" w:cs="Times New Roman" w:eastAsia="Times New Roman" w:hint="default"/>
        </w:rPr>
        <w:t>”</w:t>
      </w:r>
      <w:r>
        <w:rPr/>
        <w:t>品牌知名度的提高， </w:t>
      </w:r>
      <w:r>
        <w:rPr>
          <w:spacing w:val="-2"/>
        </w:rPr>
        <w:t>酒瓶类为代表的包装器皿业务的拓展速度将会加快。广州长城世家投资有限公司全面启动连锁渠道拓展计划，实施跨省开拓</w:t>
      </w:r>
      <w:r>
        <w:rPr>
          <w:spacing w:val="-64"/>
        </w:rPr>
        <w:t> </w:t>
      </w:r>
      <w:r>
        <w:rPr>
          <w:spacing w:val="-64"/>
        </w:rPr>
      </w:r>
      <w:r>
        <w:rPr/>
        <w:t>战略，与众多合作伙伴携手，开始进驻各大城市的中高端商业广场。</w:t>
      </w:r>
    </w:p>
    <w:p>
      <w:pPr>
        <w:pStyle w:val="BodyText"/>
        <w:spacing w:line="300" w:lineRule="auto" w:before="22"/>
        <w:ind w:right="91" w:firstLine="360"/>
        <w:jc w:val="left"/>
      </w:pPr>
      <w:r>
        <w:rPr/>
        <w:t>报告期内，根据募投项目的运行及市场情况，经</w:t>
      </w:r>
      <w:r>
        <w:rPr>
          <w:rFonts w:ascii="Times New Roman" w:hAnsi="Times New Roman" w:cs="Times New Roman" w:eastAsia="Times New Roman" w:hint="default"/>
        </w:rPr>
        <w:t>2012</w:t>
      </w:r>
      <w:r>
        <w:rPr/>
        <w:t>年第二次临时股东大会审议通过，公司终止实施原募投项目</w:t>
      </w:r>
      <w:r>
        <w:rPr>
          <w:rFonts w:ascii="Times New Roman" w:hAnsi="Times New Roman" w:cs="Times New Roman" w:eastAsia="Times New Roman" w:hint="default"/>
        </w:rPr>
        <w:t>“</w:t>
      </w:r>
      <w:r>
        <w:rPr/>
        <w:t>废弃 陶瓷循环利用建设项目</w:t>
      </w:r>
      <w:r>
        <w:rPr>
          <w:rFonts w:ascii="Times New Roman" w:hAnsi="Times New Roman" w:cs="Times New Roman" w:eastAsia="Times New Roman" w:hint="default"/>
        </w:rPr>
        <w:t>”</w:t>
      </w:r>
      <w:r>
        <w:rPr/>
        <w:t>，调整了</w:t>
      </w:r>
      <w:r>
        <w:rPr>
          <w:rFonts w:ascii="Times New Roman" w:hAnsi="Times New Roman" w:cs="Times New Roman" w:eastAsia="Times New Roman" w:hint="default"/>
        </w:rPr>
        <w:t>“</w:t>
      </w:r>
      <w:r>
        <w:rPr/>
        <w:t>创意产品设计中心建设项目</w:t>
      </w:r>
      <w:r>
        <w:rPr>
          <w:rFonts w:ascii="Times New Roman" w:hAnsi="Times New Roman" w:cs="Times New Roman" w:eastAsia="Times New Roman" w:hint="default"/>
        </w:rPr>
        <w:t>”</w:t>
      </w:r>
      <w:r>
        <w:rPr/>
        <w:t>的实施进度与实施地点。</w:t>
      </w:r>
    </w:p>
    <w:p>
      <w:pPr>
        <w:pStyle w:val="BodyText"/>
        <w:spacing w:line="309" w:lineRule="auto" w:before="13"/>
        <w:ind w:right="188" w:firstLine="360"/>
        <w:jc w:val="both"/>
      </w:pPr>
      <w:r>
        <w:rPr>
          <w:spacing w:val="-2"/>
        </w:rPr>
        <w:t>报告期内，为更好的推进国内市场营销渠道建设，抢占我国北方地区的陶瓷酒瓶市场，降低陶瓷酒瓶生产成本提高经营</w:t>
      </w:r>
      <w:r>
        <w:rPr/>
        <w:t> </w:t>
      </w:r>
      <w:r>
        <w:rPr>
          <w:spacing w:val="-1"/>
        </w:rPr>
        <w:t>效益，经</w:t>
      </w:r>
      <w:r>
        <w:rPr>
          <w:rFonts w:ascii="Times New Roman" w:hAnsi="Times New Roman" w:cs="Times New Roman" w:eastAsia="Times New Roman" w:hint="default"/>
          <w:spacing w:val="-1"/>
        </w:rPr>
        <w:t>2012</w:t>
      </w:r>
      <w:r>
        <w:rPr>
          <w:spacing w:val="-1"/>
        </w:rPr>
        <w:t>年第三次临时股东大会审议通过，公司使用超募资金（含利息）</w:t>
      </w:r>
      <w:r>
        <w:rPr>
          <w:rFonts w:ascii="Times New Roman" w:hAnsi="Times New Roman" w:cs="Times New Roman" w:eastAsia="Times New Roman" w:hint="default"/>
          <w:spacing w:val="-1"/>
        </w:rPr>
        <w:t>22304.95</w:t>
      </w:r>
      <w:r>
        <w:rPr>
          <w:spacing w:val="-1"/>
        </w:rPr>
        <w:t>万元及自筹资金</w:t>
      </w:r>
      <w:r>
        <w:rPr>
          <w:rFonts w:ascii="Times New Roman" w:hAnsi="Times New Roman" w:cs="Times New Roman" w:eastAsia="Times New Roman" w:hint="default"/>
          <w:spacing w:val="-1"/>
        </w:rPr>
        <w:t>10,069.05</w:t>
      </w:r>
      <w:r>
        <w:rPr>
          <w:spacing w:val="-1"/>
        </w:rPr>
        <w:t>万元，投资</w:t>
      </w:r>
      <w:r>
        <w:rPr>
          <w:spacing w:val="-65"/>
        </w:rPr>
        <w:t> </w:t>
      </w:r>
      <w:r>
        <w:rPr>
          <w:spacing w:val="-65"/>
        </w:rPr>
      </w:r>
      <w:r>
        <w:rPr>
          <w:rFonts w:ascii="Times New Roman" w:hAnsi="Times New Roman" w:cs="Times New Roman" w:eastAsia="Times New Roman" w:hint="default"/>
        </w:rPr>
        <w:t>“</w:t>
      </w:r>
      <w:r>
        <w:rPr/>
        <w:t>河南首期年产</w:t>
      </w:r>
      <w:r>
        <w:rPr>
          <w:rFonts w:ascii="Times New Roman" w:hAnsi="Times New Roman" w:cs="Times New Roman" w:eastAsia="Times New Roman" w:hint="default"/>
        </w:rPr>
        <w:t>2000</w:t>
      </w:r>
      <w:r>
        <w:rPr>
          <w:rFonts w:ascii="Times New Roman" w:hAnsi="Times New Roman" w:cs="Times New Roman" w:eastAsia="Times New Roman" w:hint="default"/>
          <w:spacing w:val="43"/>
        </w:rPr>
        <w:t> </w:t>
      </w:r>
      <w:r>
        <w:rPr/>
        <w:t>万只陶瓷酒瓶项目</w:t>
      </w:r>
      <w:r>
        <w:rPr>
          <w:rFonts w:ascii="Times New Roman" w:hAnsi="Times New Roman" w:cs="Times New Roman" w:eastAsia="Times New Roman" w:hint="default"/>
        </w:rPr>
        <w:t>”</w:t>
      </w:r>
      <w:r>
        <w:rPr/>
        <w:t>。目前，公司正积极推进此项目。</w:t>
      </w:r>
    </w:p>
    <w:p>
      <w:pPr>
        <w:pStyle w:val="BodyText"/>
        <w:spacing w:line="312" w:lineRule="auto" w:before="5"/>
        <w:ind w:right="90" w:firstLine="360"/>
        <w:jc w:val="left"/>
      </w:pPr>
      <w:r>
        <w:rPr>
          <w:rFonts w:ascii="Times New Roman" w:hAnsi="Times New Roman" w:cs="Times New Roman" w:eastAsia="Times New Roman" w:hint="default"/>
        </w:rPr>
        <w:t>2012</w:t>
      </w:r>
      <w:r>
        <w:rPr/>
        <w:t>年度公司实现</w:t>
      </w:r>
      <w:r>
        <w:rPr>
          <w:rFonts w:ascii="Times New Roman" w:hAnsi="Times New Roman" w:cs="Times New Roman" w:eastAsia="Times New Roman" w:hint="default"/>
        </w:rPr>
        <w:t>(</w:t>
      </w:r>
      <w:r>
        <w:rPr/>
        <w:t>合并</w:t>
      </w:r>
      <w:r>
        <w:rPr>
          <w:rFonts w:ascii="Times New Roman" w:hAnsi="Times New Roman" w:cs="Times New Roman" w:eastAsia="Times New Roman" w:hint="default"/>
        </w:rPr>
        <w:t>)</w:t>
      </w:r>
      <w:r>
        <w:rPr/>
        <w:t>营业收入</w:t>
      </w:r>
      <w:r>
        <w:rPr>
          <w:rFonts w:ascii="Times New Roman" w:hAnsi="Times New Roman" w:cs="Times New Roman" w:eastAsia="Times New Roman" w:hint="default"/>
        </w:rPr>
        <w:t>371,313,399.05</w:t>
      </w:r>
      <w:r>
        <w:rPr/>
        <w:t>元，比去年同期下降</w:t>
      </w:r>
      <w:r>
        <w:rPr>
          <w:rFonts w:ascii="Times New Roman" w:hAnsi="Times New Roman" w:cs="Times New Roman" w:eastAsia="Times New Roman" w:hint="default"/>
        </w:rPr>
        <w:t>8.98%</w:t>
      </w:r>
      <w:r>
        <w:rPr/>
        <w:t>；利润总额为</w:t>
      </w:r>
      <w:r>
        <w:rPr>
          <w:rFonts w:ascii="Times New Roman" w:hAnsi="Times New Roman" w:cs="Times New Roman" w:eastAsia="Times New Roman" w:hint="default"/>
        </w:rPr>
        <w:t>31,109,173.84</w:t>
      </w:r>
      <w:r>
        <w:rPr/>
        <w:t>元，比去年同期</w:t>
      </w:r>
      <w:r>
        <w:rPr>
          <w:spacing w:val="1"/>
        </w:rPr>
        <w:t> </w:t>
      </w:r>
      <w:r>
        <w:rPr>
          <w:spacing w:val="-2"/>
        </w:rPr>
        <w:t>下降</w:t>
      </w:r>
      <w:r>
        <w:rPr>
          <w:rFonts w:ascii="Times New Roman" w:hAnsi="Times New Roman" w:cs="Times New Roman" w:eastAsia="Times New Roman" w:hint="default"/>
          <w:spacing w:val="-2"/>
        </w:rPr>
        <w:t>34.31%</w:t>
      </w:r>
      <w:r>
        <w:rPr>
          <w:spacing w:val="-2"/>
        </w:rPr>
        <w:t>；归属于上市公司股东的净利润为</w:t>
      </w:r>
      <w:r>
        <w:rPr>
          <w:rFonts w:ascii="Times New Roman" w:hAnsi="Times New Roman" w:cs="Times New Roman" w:eastAsia="Times New Roman" w:hint="default"/>
          <w:spacing w:val="-2"/>
        </w:rPr>
        <w:t>20,473,736.69</w:t>
      </w:r>
      <w:r>
        <w:rPr>
          <w:spacing w:val="-2"/>
        </w:rPr>
        <w:t>元，比去年同期下降</w:t>
      </w:r>
      <w:r>
        <w:rPr>
          <w:rFonts w:ascii="Times New Roman" w:hAnsi="Times New Roman" w:cs="Times New Roman" w:eastAsia="Times New Roman" w:hint="default"/>
          <w:spacing w:val="-2"/>
        </w:rPr>
        <w:t>45.75%</w:t>
      </w:r>
      <w:r>
        <w:rPr>
          <w:spacing w:val="-2"/>
        </w:rPr>
        <w:t>。主要原因是受国际经济环境不景气</w:t>
      </w:r>
      <w:r>
        <w:rPr>
          <w:spacing w:val="-26"/>
        </w:rPr>
        <w:t> </w:t>
      </w:r>
      <w:r>
        <w:rPr>
          <w:spacing w:val="-26"/>
        </w:rPr>
      </w:r>
      <w:r>
        <w:rPr>
          <w:spacing w:val="-2"/>
        </w:rPr>
        <w:t>影响，公司国外销售收入同比有所下降；同时募投项目建设及运营、公司扩张引起成本大幅增加所致，主要体现在：国内营</w:t>
      </w:r>
      <w:r>
        <w:rPr>
          <w:spacing w:val="-64"/>
        </w:rPr>
        <w:t> </w:t>
      </w:r>
      <w:r>
        <w:rPr>
          <w:spacing w:val="-64"/>
        </w:rPr>
      </w:r>
      <w:r>
        <w:rPr/>
        <w:t>销体系全面建设展开，深圳、广州、北京子公司业务扩展，规模扩大，人员大幅增加导致职工薪酬增加，子公司经营场所、 </w:t>
      </w:r>
      <w:r>
        <w:rPr>
          <w:spacing w:val="-2"/>
        </w:rPr>
        <w:t>店面增加引起租赁费增加；为了开拓市场，寻求适合的产品，大量开发新产品、样品导致研发费用增加；展厅装修完工导致</w:t>
      </w:r>
      <w:r>
        <w:rPr>
          <w:spacing w:val="-64"/>
        </w:rPr>
        <w:t> </w:t>
      </w:r>
      <w:r>
        <w:rPr>
          <w:spacing w:val="-64"/>
        </w:rPr>
      </w:r>
      <w:r>
        <w:rPr/>
        <w:t>摊销费用增加；募投项目运营导致相应的硬件设施增加引起折旧费用增加等。</w:t>
      </w:r>
    </w:p>
    <w:p>
      <w:pPr>
        <w:spacing w:line="240" w:lineRule="auto" w:before="0"/>
        <w:rPr>
          <w:rFonts w:ascii="宋体" w:hAnsi="宋体" w:cs="宋体" w:eastAsia="宋体" w:hint="default"/>
          <w:sz w:val="21"/>
          <w:szCs w:val="21"/>
        </w:rPr>
      </w:pPr>
    </w:p>
    <w:p>
      <w:pPr>
        <w:pStyle w:val="Heading2"/>
        <w:spacing w:line="240" w:lineRule="auto" w:before="0"/>
        <w:ind w:right="91"/>
        <w:jc w:val="left"/>
        <w:rPr>
          <w:b w:val="0"/>
          <w:bCs w:val="0"/>
        </w:rPr>
      </w:pPr>
      <w:r>
        <w:rPr/>
        <w:t>二、报告期内主要经营情况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说明</w:t>
      </w:r>
    </w:p>
    <w:p>
      <w:pPr>
        <w:pStyle w:val="BodyText"/>
        <w:spacing w:line="300" w:lineRule="auto" w:before="116"/>
        <w:ind w:right="91" w:firstLine="360"/>
        <w:jc w:val="left"/>
      </w:pPr>
      <w:r>
        <w:rPr>
          <w:rFonts w:ascii="Times New Roman" w:hAnsi="Times New Roman" w:cs="Times New Roman" w:eastAsia="Times New Roman" w:hint="default"/>
          <w:spacing w:val="-2"/>
        </w:rPr>
        <w:t>2012</w:t>
      </w:r>
      <w:r>
        <w:rPr>
          <w:spacing w:val="-2"/>
        </w:rPr>
        <w:t>年度，公司实现合并营业收入</w:t>
      </w:r>
      <w:r>
        <w:rPr>
          <w:rFonts w:ascii="Times New Roman" w:hAnsi="Times New Roman" w:cs="Times New Roman" w:eastAsia="Times New Roman" w:hint="default"/>
          <w:spacing w:val="-2"/>
        </w:rPr>
        <w:t>371,313,399.05</w:t>
      </w:r>
      <w:r>
        <w:rPr>
          <w:spacing w:val="-2"/>
        </w:rPr>
        <w:t>元，其中，主营业务收入</w:t>
      </w:r>
      <w:r>
        <w:rPr>
          <w:rFonts w:ascii="Times New Roman" w:hAnsi="Times New Roman" w:cs="Times New Roman" w:eastAsia="Times New Roman" w:hint="default"/>
          <w:spacing w:val="-2"/>
        </w:rPr>
        <w:t>371,300,288.05</w:t>
      </w:r>
      <w:r>
        <w:rPr>
          <w:spacing w:val="-2"/>
        </w:rPr>
        <w:t>元，其他业务收入</w:t>
      </w:r>
      <w:r>
        <w:rPr>
          <w:rFonts w:ascii="Times New Roman" w:hAnsi="Times New Roman" w:cs="Times New Roman" w:eastAsia="Times New Roman" w:hint="default"/>
          <w:spacing w:val="-2"/>
        </w:rPr>
        <w:t>13,111.00</w:t>
      </w:r>
      <w:r>
        <w:rPr>
          <w:spacing w:val="-2"/>
        </w:rPr>
        <w:t>元；</w:t>
      </w:r>
      <w:r>
        <w:rPr/>
        <w:t> 艺术陶瓷销售收入</w:t>
      </w:r>
      <w:r>
        <w:rPr>
          <w:rFonts w:ascii="Times New Roman" w:hAnsi="Times New Roman" w:cs="Times New Roman" w:eastAsia="Times New Roman" w:hint="default"/>
        </w:rPr>
        <w:t>371,300,288.05</w:t>
      </w:r>
      <w:r>
        <w:rPr/>
        <w:t>元，占营业收入的</w:t>
      </w:r>
      <w:r>
        <w:rPr>
          <w:rFonts w:ascii="Times New Roman" w:hAnsi="Times New Roman" w:cs="Times New Roman" w:eastAsia="Times New Roman" w:hint="default"/>
        </w:rPr>
        <w:t>99.996%</w:t>
      </w:r>
      <w:r>
        <w:rPr/>
        <w:t>；国内销售收入</w:t>
      </w:r>
      <w:r>
        <w:rPr>
          <w:rFonts w:ascii="Times New Roman" w:hAnsi="Times New Roman" w:cs="Times New Roman" w:eastAsia="Times New Roman" w:hint="default"/>
        </w:rPr>
        <w:t>89,015,078.91</w:t>
      </w:r>
      <w:r>
        <w:rPr/>
        <w:t>元，占主营业务收入的</w:t>
      </w:r>
      <w:r>
        <w:rPr>
          <w:rFonts w:ascii="Times New Roman" w:hAnsi="Times New Roman" w:cs="Times New Roman" w:eastAsia="Times New Roman" w:hint="default"/>
        </w:rPr>
        <w:t>23.97%</w:t>
      </w:r>
      <w:r>
        <w:rPr/>
        <w:t>，国</w:t>
      </w:r>
      <w:r>
        <w:rPr>
          <w:spacing w:val="-22"/>
        </w:rPr>
        <w:t> </w:t>
      </w:r>
      <w:r>
        <w:rPr/>
        <w:t>际销售</w:t>
      </w:r>
      <w:r>
        <w:rPr>
          <w:rFonts w:ascii="Times New Roman" w:hAnsi="Times New Roman" w:cs="Times New Roman" w:eastAsia="Times New Roman" w:hint="default"/>
        </w:rPr>
        <w:t>282,285,209.14</w:t>
      </w:r>
      <w:r>
        <w:rPr/>
        <w:t>元，占主营业务收入的</w:t>
      </w:r>
      <w:r>
        <w:rPr>
          <w:rFonts w:ascii="Times New Roman" w:hAnsi="Times New Roman" w:cs="Times New Roman" w:eastAsia="Times New Roman" w:hint="default"/>
        </w:rPr>
        <w:t>76.03%</w:t>
      </w:r>
      <w:r>
        <w:rPr/>
        <w:t>；实现营业利润</w:t>
      </w:r>
      <w:r>
        <w:rPr>
          <w:rFonts w:ascii="Times New Roman" w:hAnsi="Times New Roman" w:cs="Times New Roman" w:eastAsia="Times New Roman" w:hint="default"/>
        </w:rPr>
        <w:t>13,534,427.86</w:t>
      </w:r>
      <w:r>
        <w:rPr/>
        <w:t>元，净利润</w:t>
      </w:r>
      <w:r>
        <w:rPr>
          <w:rFonts w:ascii="Times New Roman" w:hAnsi="Times New Roman" w:cs="Times New Roman" w:eastAsia="Times New Roman" w:hint="default"/>
        </w:rPr>
        <w:t>20,473,736.69</w:t>
      </w:r>
      <w:r>
        <w:rPr/>
        <w:t>元。</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ind w:right="91"/>
        <w:jc w:val="left"/>
      </w:pPr>
      <w:r>
        <w:rPr/>
        <w:t>公司实物销售收入是否大于劳务收入</w:t>
      </w:r>
    </w:p>
    <w:p>
      <w:pPr>
        <w:pStyle w:val="BodyText"/>
        <w:spacing w:line="240" w:lineRule="auto" w:before="116"/>
        <w:ind w:right="91"/>
        <w:jc w:val="left"/>
      </w:pPr>
      <w:r>
        <w:rPr/>
        <w:t>√ 是 □ 否 </w:t>
      </w:r>
    </w:p>
    <w:p>
      <w:pPr>
        <w:spacing w:after="0" w:line="240" w:lineRule="auto"/>
        <w:jc w:val="left"/>
        <w:sectPr>
          <w:footerReference w:type="default" r:id="rId13"/>
          <w:pgSz w:w="11910" w:h="16840"/>
          <w:pgMar w:footer="980" w:header="747" w:top="1060" w:bottom="1160" w:left="1020" w:right="94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3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陶瓷制品业（万只）</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-14.31%</w:t>
            </w:r>
          </w:p>
        </w:tc>
      </w:tr>
      <w:tr>
        <w:trPr>
          <w:trHeight w:val="402" w:hRule="exact"/>
        </w:trPr>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-17.64%</w:t>
            </w: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bl>
    <w:p>
      <w:pPr>
        <w:pStyle w:val="BodyText"/>
        <w:spacing w:line="240" w:lineRule="auto" w:before="50"/>
        <w:ind w:right="92"/>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60" w:lineRule="auto" w:before="102"/>
        <w:ind w:left="113" w:right="7751"/>
        <w:jc w:val="left"/>
      </w:pPr>
      <w:r>
        <w:rPr/>
        <w:t>□ 适用 √ 不适用 公司重大的在手订单情况</w:t>
      </w:r>
    </w:p>
    <w:p>
      <w:pPr>
        <w:pStyle w:val="BodyText"/>
        <w:spacing w:line="357" w:lineRule="auto" w:before="26"/>
        <w:ind w:left="113" w:right="8111"/>
        <w:jc w:val="left"/>
      </w:pPr>
      <w:r>
        <w:rPr/>
        <w:t>□ 适用 √ 不适用 数量分散的订单情况</w:t>
      </w:r>
    </w:p>
    <w:p>
      <w:pPr>
        <w:pStyle w:val="BodyText"/>
        <w:spacing w:line="357" w:lineRule="auto" w:before="29"/>
        <w:ind w:left="113" w:right="5411"/>
        <w:jc w:val="left"/>
      </w:pPr>
      <w:r>
        <w:rPr/>
        <w:t>□ 适用 √ 不适用 公司报告期内产品或服务发生重大变化或调整有关情况</w:t>
      </w:r>
    </w:p>
    <w:p>
      <w:pPr>
        <w:pStyle w:val="BodyText"/>
        <w:spacing w:line="240" w:lineRule="auto" w:before="28"/>
        <w:ind w:left="113" w:right="92"/>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92"/>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陶瓷制品业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249,501,738.40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284,601,419.40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-12.33%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陶瓷制品业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215,920,516.50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241,438,620.00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84.83%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1"/>
                <w:szCs w:val="11"/>
              </w:rPr>
            </w:pPr>
            <w:r>
              <w:rPr>
                <w:rFonts w:ascii="Times New Roman"/>
                <w:spacing w:val="-1"/>
                <w:sz w:val="18"/>
              </w:rPr>
              <w:t>1.71%</w:t>
            </w:r>
            <w:r>
              <w:rPr>
                <w:rFonts w:ascii="Times New Roman"/>
                <w:color w:val="FF0000"/>
                <w:spacing w:val="-1"/>
                <w:position w:val="6"/>
                <w:sz w:val="11"/>
              </w:rPr>
              <w:t>1</w:t>
            </w:r>
            <w:r>
              <w:rPr>
                <w:rFonts w:ascii="Times New Roman"/>
                <w:spacing w:val="-1"/>
                <w:sz w:val="11"/>
              </w:rPr>
            </w:r>
          </w:p>
        </w:tc>
      </w:tr>
    </w:tbl>
    <w:p>
      <w:pPr>
        <w:pStyle w:val="BodyText"/>
        <w:spacing w:line="240" w:lineRule="auto" w:before="49"/>
        <w:ind w:right="92"/>
        <w:jc w:val="left"/>
      </w:pPr>
      <w:r>
        <w:rPr/>
        <w:t>注：</w:t>
      </w:r>
      <w:r>
        <w:rPr>
          <w:rFonts w:ascii="Times New Roman" w:hAnsi="Times New Roman" w:cs="Times New Roman" w:eastAsia="Times New Roman" w:hint="default"/>
        </w:rPr>
        <w:t>1  </w:t>
      </w:r>
      <w:r>
        <w:rPr/>
        <w:t>此表为母公司统计数据</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8"/>
        <w:gridCol w:w="1460"/>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46,380,287.82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35,193,246.41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spacing w:val="-2"/>
                <w:sz w:val="18"/>
                <w:szCs w:val="18"/>
              </w:rPr>
              <w:t>主要是由于公司拓展国内市场，增开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直营店及联营店，租赁费、工资薪酬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较上年有较大幅度的增长。</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41,613,184.06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38,165,405.96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2,005,545.22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1,076,142.66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主要是公司短期借款增加，利息支出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相应增加所致。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10,635,437.15</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9,617,230.64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92" w:firstLine="360"/>
        <w:jc w:val="left"/>
      </w:pPr>
      <w:r>
        <w:rPr>
          <w:rFonts w:ascii="Times New Roman" w:hAnsi="Times New Roman" w:cs="Times New Roman" w:eastAsia="Times New Roman" w:hint="default"/>
          <w:spacing w:val="-2"/>
        </w:rPr>
        <w:t>2012</w:t>
      </w:r>
      <w:r>
        <w:rPr>
          <w:spacing w:val="-2"/>
        </w:rPr>
        <w:t>年度，公司在现代陶瓷窑炉节能技术改造、陶瓷酒瓶生产关健技术研究、陶瓷镂空一次成型技术开发等方面进行的</w:t>
      </w:r>
      <w:r>
        <w:rPr/>
        <w:t> </w:t>
      </w:r>
      <w:r>
        <w:rPr>
          <w:spacing w:val="-2"/>
        </w:rPr>
        <w:t>研究开发，主要目的分别在于：促进节能减排和降本增效；攻克瓶口加工、容量误差控制、釉面针孔防止等关健技术，形成</w:t>
      </w:r>
    </w:p>
    <w:p>
      <w:pPr>
        <w:spacing w:after="0" w:line="300" w:lineRule="auto"/>
        <w:jc w:val="left"/>
        <w:sectPr>
          <w:footerReference w:type="default" r:id="rId14"/>
          <w:pgSz w:w="11910" w:h="16840"/>
          <w:pgMar w:footer="980" w:header="747" w:top="1060" w:bottom="1160" w:left="1020" w:right="1020"/>
          <w:pgNumType w:start="11"/>
        </w:sectPr>
      </w:pPr>
    </w:p>
    <w:p>
      <w:pPr>
        <w:spacing w:line="240" w:lineRule="auto" w:before="12"/>
        <w:rPr>
          <w:rFonts w:ascii="宋体" w:hAnsi="宋体" w:cs="宋体" w:eastAsia="宋体" w:hint="default"/>
          <w:sz w:val="25"/>
          <w:szCs w:val="25"/>
        </w:rPr>
      </w:pPr>
    </w:p>
    <w:p>
      <w:pPr>
        <w:pStyle w:val="BodyText"/>
        <w:spacing w:line="316" w:lineRule="auto" w:before="44"/>
        <w:ind w:left="113" w:right="190"/>
        <w:jc w:val="both"/>
      </w:pPr>
      <w:r>
        <w:rPr>
          <w:spacing w:val="-2"/>
        </w:rPr>
        <w:t>一整套高质量陶瓷酒瓶生产工艺技术，使陶瓷酒瓶合格品率提升；实现缕空陶瓷产品一次成型，不需经过手工雕刻，通过注</w:t>
      </w:r>
      <w:r>
        <w:rPr>
          <w:spacing w:val="-66"/>
        </w:rPr>
        <w:t> </w:t>
      </w:r>
      <w:r>
        <w:rPr>
          <w:spacing w:val="-66"/>
        </w:rPr>
      </w:r>
      <w:r>
        <w:rPr>
          <w:spacing w:val="-2"/>
        </w:rPr>
        <w:t>浆工艺批量生产，得到我们常见的镂空陶瓷产品，解决目前手工雕刻生产效率低，雕刻过程产生大量废泥的问题。目前，所</w:t>
      </w:r>
      <w:r>
        <w:rPr>
          <w:spacing w:val="-64"/>
        </w:rPr>
        <w:t> </w:t>
      </w:r>
      <w:r>
        <w:rPr>
          <w:spacing w:val="-64"/>
        </w:rPr>
      </w:r>
      <w:r>
        <w:rPr/>
        <w:t>有研究开发都在持续推进和顺利进展中。</w:t>
      </w:r>
    </w:p>
    <w:p>
      <w:pPr>
        <w:spacing w:line="240" w:lineRule="auto" w:before="0"/>
        <w:rPr>
          <w:rFonts w:ascii="宋体" w:hAnsi="宋体" w:cs="宋体" w:eastAsia="宋体" w:hint="default"/>
          <w:sz w:val="18"/>
          <w:szCs w:val="18"/>
        </w:rPr>
      </w:pPr>
    </w:p>
    <w:p>
      <w:pPr>
        <w:pStyle w:val="BodyText"/>
        <w:spacing w:line="240" w:lineRule="auto" w:before="136"/>
        <w:ind w:left="113" w:right="0"/>
        <w:jc w:val="both"/>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10,471,590.67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8,715,181.86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5,163,618.31</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1"/>
                <w:szCs w:val="11"/>
              </w:rPr>
            </w:pPr>
            <w:r>
              <w:rPr>
                <w:rFonts w:ascii="Times New Roman"/>
                <w:spacing w:val="-1"/>
                <w:sz w:val="18"/>
              </w:rPr>
              <w:t>1.45%</w:t>
            </w:r>
            <w:r>
              <w:rPr>
                <w:rFonts w:ascii="Times New Roman"/>
                <w:color w:val="FF0000"/>
                <w:spacing w:val="-1"/>
                <w:position w:val="6"/>
                <w:sz w:val="11"/>
              </w:rPr>
              <w:t>1</w:t>
            </w:r>
            <w:r>
              <w:rPr>
                <w:rFonts w:ascii="Times New Roman"/>
                <w:spacing w:val="-1"/>
                <w:sz w:val="11"/>
              </w:rPr>
            </w:r>
          </w:p>
        </w:tc>
      </w:tr>
    </w:tbl>
    <w:p>
      <w:pPr>
        <w:pStyle w:val="BodyText"/>
        <w:spacing w:line="300" w:lineRule="auto" w:before="50"/>
        <w:ind w:right="91"/>
        <w:jc w:val="left"/>
      </w:pPr>
      <w:r>
        <w:rPr/>
        <w:pict>
          <v:shape style="position:absolute;margin-left:170.399094pt;margin-top:-20.107983pt;width:125.35pt;height:19.7pt;mso-position-horizontal-relative:page;mso-position-vertical-relative:paragraph;z-index:-730600" type="#_x0000_t202" filled="false" stroked="false">
            <v:textbox inset="0,0,0,0">
              <w:txbxContent>
                <w:p>
                  <w:pPr>
                    <w:pStyle w:val="BodyText"/>
                    <w:spacing w:line="240" w:lineRule="auto" w:before="50"/>
                    <w:ind w:left="0" w:right="0"/>
                    <w:jc w:val="left"/>
                  </w:pPr>
                  <w:r>
                    <w:rPr/>
                    <w:t>）</w:t>
                  </w:r>
                </w:p>
              </w:txbxContent>
            </v:textbox>
            <w10:wrap type="none"/>
          </v:shape>
        </w:pict>
      </w:r>
      <w:r>
        <w:rPr/>
        <w:pict>
          <v:group style="position:absolute;margin-left:176.520004pt;margin-top:-20.107983pt;width:119.25pt;height:19.7pt;mso-position-horizontal-relative:page;mso-position-vertical-relative:paragraph;z-index:-730576" coordorigin="3530,-402" coordsize="2385,394">
            <v:shape style="position:absolute;left:3530;top:-402;width:2385;height:394" coordorigin="3530,-402" coordsize="2385,394" path="m3530,-9l5915,-9,5915,-402,3530,-402,3530,-9xe" filled="true" fillcolor="#ffffff" stroked="false">
              <v:path arrowok="t"/>
              <v:fill type="solid"/>
            </v:shape>
            <w10:wrap type="none"/>
          </v:group>
        </w:pict>
      </w:r>
      <w:r>
        <w:rPr/>
        <w:t>注：</w:t>
      </w:r>
      <w:r>
        <w:rPr>
          <w:rFonts w:ascii="Times New Roman" w:hAnsi="Times New Roman" w:cs="Times New Roman" w:eastAsia="Times New Roman" w:hint="default"/>
        </w:rPr>
        <w:t>1 </w:t>
      </w:r>
      <w:r>
        <w:rPr/>
        <w:t>研发投入金额主要包括：技术人员的工资性支出、材料领用、差旅费、管理性成本支出、研究开发设备购置与折旧。 公司新产品的研发支出因形成产品用于销售而直接计入生产成本，不包含在上述研发投入金额里面。</w:t>
      </w:r>
    </w:p>
    <w:p>
      <w:pPr>
        <w:spacing w:line="240" w:lineRule="auto" w:before="6"/>
        <w:rPr>
          <w:rFonts w:ascii="宋体" w:hAnsi="宋体" w:cs="宋体" w:eastAsia="宋体" w:hint="default"/>
          <w:sz w:val="23"/>
          <w:szCs w:val="23"/>
        </w:rPr>
      </w:pPr>
    </w:p>
    <w:p>
      <w:pPr>
        <w:pStyle w:val="Heading3"/>
        <w:spacing w:line="240" w:lineRule="auto"/>
        <w:ind w:right="91"/>
        <w:jc w:val="left"/>
        <w:rPr>
          <w:b w:val="0"/>
          <w:bCs w:val="0"/>
        </w:rPr>
      </w:pPr>
      <w:r>
        <w:rPr/>
        <w:t>（</w:t>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372,443,126.00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432,054,312.84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360,807,107.69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411,913,880.50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-12.41%</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11,636,018.31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20,140,432.34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-42.23%</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22,765,903.46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24,975,455.09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-22,765,903.46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-24,975,455.09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220,350,000.00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144,101,941.05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157,256,280.38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9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76,248,058.95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-7,256,280.38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1,150.79%</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64,989,580.94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-12,569,711.63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617.03%</w:t>
            </w:r>
          </w:p>
        </w:tc>
      </w:tr>
    </w:tbl>
    <w:p>
      <w:pPr>
        <w:pStyle w:val="BodyText"/>
        <w:spacing w:line="240" w:lineRule="auto" w:before="50"/>
        <w:ind w:right="91"/>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2"/>
        <w:ind w:left="113"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2"/>
        <w:ind w:right="91"/>
        <w:jc w:val="left"/>
      </w:pPr>
      <w:r>
        <w:rPr>
          <w:spacing w:val="-1"/>
        </w:rPr>
        <w:t>（</w:t>
      </w:r>
      <w:r>
        <w:rPr>
          <w:rFonts w:ascii="Times New Roman" w:hAnsi="Times New Roman" w:cs="Times New Roman" w:eastAsia="Times New Roman" w:hint="default"/>
          <w:spacing w:val="-1"/>
        </w:rPr>
        <w:t>1</w:t>
      </w:r>
      <w:r>
        <w:rPr>
          <w:spacing w:val="-1"/>
        </w:rPr>
        <w:t>）经营活动产生的现金流量净额较上年同比下降</w:t>
      </w:r>
      <w:r>
        <w:rPr>
          <w:rFonts w:ascii="Times New Roman" w:hAnsi="Times New Roman" w:cs="Times New Roman" w:eastAsia="Times New Roman" w:hint="default"/>
          <w:spacing w:val="-1"/>
        </w:rPr>
        <w:t>42.23%</w:t>
      </w:r>
      <w:r>
        <w:rPr>
          <w:spacing w:val="-1"/>
        </w:rPr>
        <w:t>，主要是由于销售收入下降，应收账款增加导致销售商品、提供</w:t>
      </w:r>
      <w:r>
        <w:rPr>
          <w:spacing w:val="-43"/>
        </w:rPr>
        <w:t> </w:t>
      </w:r>
      <w:r>
        <w:rPr>
          <w:spacing w:val="-43"/>
        </w:rPr>
      </w:r>
      <w:r>
        <w:rPr/>
        <w:t>劳务收到的现金减少所致。</w:t>
      </w:r>
    </w:p>
    <w:p>
      <w:pPr>
        <w:pStyle w:val="BodyText"/>
        <w:spacing w:line="240" w:lineRule="auto" w:before="72"/>
        <w:ind w:right="91"/>
        <w:jc w:val="left"/>
      </w:pPr>
      <w:r>
        <w:rPr/>
        <w:t>（</w:t>
      </w:r>
      <w:r>
        <w:rPr>
          <w:rFonts w:ascii="Times New Roman" w:hAnsi="Times New Roman" w:cs="Times New Roman" w:eastAsia="Times New Roman" w:hint="default"/>
        </w:rPr>
        <w:t>2</w:t>
      </w:r>
      <w:r>
        <w:rPr/>
        <w:t>）筹资活动现金流入小计较上年同比增长</w:t>
      </w:r>
      <w:r>
        <w:rPr>
          <w:rFonts w:ascii="Times New Roman" w:hAnsi="Times New Roman" w:cs="Times New Roman" w:eastAsia="Times New Roman" w:hint="default"/>
        </w:rPr>
        <w:t>46.90%</w:t>
      </w:r>
      <w:r>
        <w:rPr/>
        <w:t>，主要是增加短期贷款补充经营性流动资金所致。</w:t>
      </w:r>
    </w:p>
    <w:p>
      <w:pPr>
        <w:pStyle w:val="BodyText"/>
        <w:spacing w:line="240" w:lineRule="auto" w:before="102"/>
        <w:ind w:right="91"/>
        <w:jc w:val="left"/>
      </w:pPr>
      <w:r>
        <w:rPr/>
        <w:t>（</w:t>
      </w:r>
      <w:r>
        <w:rPr>
          <w:rFonts w:ascii="Times New Roman" w:hAnsi="Times New Roman" w:cs="Times New Roman" w:eastAsia="Times New Roman" w:hint="default"/>
        </w:rPr>
        <w:t>3</w:t>
      </w:r>
      <w:r>
        <w:rPr/>
        <w:t>）筹资活动产生的现金流量净额较上年同比增长</w:t>
      </w:r>
      <w:r>
        <w:rPr>
          <w:rFonts w:ascii="Times New Roman" w:hAnsi="Times New Roman" w:cs="Times New Roman" w:eastAsia="Times New Roman" w:hint="default"/>
        </w:rPr>
        <w:t>1150.79%</w:t>
      </w:r>
      <w:r>
        <w:rPr/>
        <w:t>，主要是增加短期贷款补充经营性流动资金所致。</w:t>
      </w:r>
    </w:p>
    <w:p>
      <w:pPr>
        <w:pStyle w:val="BodyText"/>
        <w:spacing w:line="340" w:lineRule="auto" w:before="102"/>
        <w:ind w:right="1335"/>
        <w:jc w:val="left"/>
      </w:pPr>
      <w:r>
        <w:rPr/>
        <w:t>（</w:t>
      </w:r>
      <w:r>
        <w:rPr>
          <w:rFonts w:ascii="Times New Roman" w:hAnsi="Times New Roman" w:cs="Times New Roman" w:eastAsia="Times New Roman" w:hint="default"/>
        </w:rPr>
        <w:t>4</w:t>
      </w:r>
      <w:r>
        <w:rPr/>
        <w:t>）现金及现金等价物净增加额较上年同比增长</w:t>
      </w:r>
      <w:r>
        <w:rPr>
          <w:rFonts w:ascii="Times New Roman" w:hAnsi="Times New Roman" w:cs="Times New Roman" w:eastAsia="Times New Roman" w:hint="default"/>
        </w:rPr>
        <w:t>617.03%</w:t>
      </w:r>
      <w:r>
        <w:rPr/>
        <w:t>，主要是增加短期贷款补充经营性流动资金所致。 报告期内公司经营活动的现金流量与本年度净利润存在重大差异的原因说明</w:t>
      </w:r>
    </w:p>
    <w:p>
      <w:pPr>
        <w:pStyle w:val="BodyText"/>
        <w:spacing w:line="240" w:lineRule="auto" w:before="40"/>
        <w:ind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0" w:top="1060" w:bottom="1160" w:left="1020" w:right="94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99,413,170.43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26.78%</w:t>
            </w:r>
          </w:p>
        </w:tc>
      </w:tr>
    </w:tbl>
    <w:p>
      <w:pPr>
        <w:pStyle w:val="BodyText"/>
        <w:spacing w:line="240" w:lineRule="auto" w:before="49"/>
        <w:ind w:right="0"/>
        <w:jc w:val="left"/>
      </w:pPr>
      <w:r>
        <w:rPr/>
        <w:t>向单一客户销售比例超过</w:t>
      </w:r>
      <w:r>
        <w:rPr>
          <w:spacing w:val="-47"/>
        </w:rPr>
        <w:t> </w:t>
      </w:r>
      <w:r>
        <w:rPr>
          <w:rFonts w:ascii="Times New Roman" w:hAnsi="Times New Roman" w:cs="Times New Roman" w:eastAsia="Times New Roman" w:hint="default"/>
        </w:rPr>
        <w:t>30%</w:t>
      </w:r>
      <w:r>
        <w:rPr/>
        <w:t>的客户资料</w:t>
      </w:r>
    </w:p>
    <w:p>
      <w:pPr>
        <w:pStyle w:val="BodyText"/>
        <w:spacing w:line="340" w:lineRule="auto" w:before="102"/>
        <w:ind w:left="113" w:right="81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98,242,074.02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w:t>
            </w:r>
          </w:p>
        </w:tc>
      </w:tr>
    </w:tbl>
    <w:p>
      <w:pPr>
        <w:pStyle w:val="BodyText"/>
        <w:spacing w:line="240" w:lineRule="auto" w:before="50"/>
        <w:ind w:right="0"/>
        <w:jc w:val="left"/>
      </w:pPr>
      <w:r>
        <w:rPr/>
        <w:pict>
          <v:shape style="position:absolute;margin-left:263.579712pt;margin-top:-20.107998pt;width:271.350pt;height:19.7pt;mso-position-horizontal-relative:page;mso-position-vertical-relative:paragraph;z-index:-730552" type="#_x0000_t202" filled="false" stroked="false">
            <v:textbox inset="0,0,0,0">
              <w:txbxContent>
                <w:p>
                  <w:pPr>
                    <w:pStyle w:val="BodyText"/>
                    <w:spacing w:line="240" w:lineRule="auto" w:before="50"/>
                    <w:ind w:left="0" w:right="0"/>
                    <w:jc w:val="left"/>
                  </w:pPr>
                  <w:r>
                    <w:rPr/>
                    <w:t>）</w:t>
                  </w:r>
                </w:p>
              </w:txbxContent>
            </v:textbox>
            <w10:wrap type="none"/>
          </v:shape>
        </w:pict>
      </w:r>
      <w:r>
        <w:rPr/>
        <w:pict>
          <v:group style="position:absolute;margin-left:269.760010pt;margin-top:-20.107998pt;width:265.150pt;height:19.7pt;mso-position-horizontal-relative:page;mso-position-vertical-relative:paragraph;z-index:-730528" coordorigin="5395,-402" coordsize="5303,394">
            <v:shape style="position:absolute;left:5395;top:-402;width:5303;height:394" coordorigin="5395,-402" coordsize="5303,394" path="m5395,-9l10698,-9,10698,-402,5395,-402,5395,-9xe" filled="true" fillcolor="#ffffff" stroked="false">
              <v:path arrowok="t"/>
              <v:fill type="solid"/>
            </v:shape>
            <w10:wrap type="none"/>
          </v:group>
        </w:pict>
      </w:r>
      <w:r>
        <w:rPr/>
        <w:t>向单一供应商采购比例超过</w:t>
      </w:r>
      <w:r>
        <w:rPr>
          <w:spacing w:val="-47"/>
        </w:rPr>
        <w:t> </w:t>
      </w:r>
      <w:r>
        <w:rPr>
          <w:rFonts w:ascii="Times New Roman" w:hAnsi="Times New Roman" w:cs="Times New Roman" w:eastAsia="Times New Roman" w:hint="default"/>
        </w:rPr>
        <w:t>30%</w:t>
      </w:r>
      <w:r>
        <w:rPr/>
        <w:t>的客户资料</w:t>
      </w:r>
    </w:p>
    <w:p>
      <w:pPr>
        <w:pStyle w:val="BodyText"/>
        <w:spacing w:line="240" w:lineRule="auto" w:before="102"/>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首次公开发行招股说明书中披露的未来发展与规划在本报告期的实施情况</w:t>
      </w:r>
    </w:p>
    <w:p>
      <w:pPr>
        <w:pStyle w:val="BodyText"/>
        <w:spacing w:line="328"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公司在首次公开发行股票招股说明书中披露了上市当年以及未来三年的经营规划。报告期内，公司严格按照招股说明书中的</w:t>
      </w:r>
      <w:r>
        <w:rPr>
          <w:spacing w:val="-64"/>
        </w:rPr>
        <w:t> </w:t>
      </w:r>
      <w:r>
        <w:rPr>
          <w:spacing w:val="-64"/>
        </w:rPr>
      </w:r>
      <w:r>
        <w:rPr/>
        <w:t>经营规划推进，具体说明如下：</w:t>
      </w:r>
    </w:p>
    <w:tbl>
      <w:tblPr>
        <w:tblW w:w="0" w:type="auto"/>
        <w:jc w:val="left"/>
        <w:tblInd w:w="106" w:type="dxa"/>
        <w:tblLayout w:type="fixed"/>
        <w:tblCellMar>
          <w:top w:w="0" w:type="dxa"/>
          <w:left w:w="0" w:type="dxa"/>
          <w:bottom w:w="0" w:type="dxa"/>
          <w:right w:w="0" w:type="dxa"/>
        </w:tblCellMar>
        <w:tblLook w:val="01E0"/>
      </w:tblPr>
      <w:tblGrid>
        <w:gridCol w:w="3223"/>
        <w:gridCol w:w="3223"/>
        <w:gridCol w:w="3223"/>
      </w:tblGrid>
      <w:tr>
        <w:trPr>
          <w:trHeight w:val="739" w:hRule="exact"/>
        </w:trPr>
        <w:tc>
          <w:tcPr>
            <w:tcW w:w="3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宋体" w:hAnsi="宋体" w:cs="宋体" w:eastAsia="宋体" w:hint="default"/>
                <w:sz w:val="18"/>
                <w:szCs w:val="18"/>
              </w:rPr>
              <w:t>招股说明书中披露的未来发展与规划</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2010-2012</w:t>
            </w:r>
            <w:r>
              <w:rPr>
                <w:rFonts w:ascii="宋体" w:hAnsi="宋体" w:cs="宋体" w:eastAsia="宋体" w:hint="default"/>
                <w:sz w:val="18"/>
                <w:szCs w:val="18"/>
              </w:rPr>
              <w:t>年）延续至报告期的内容</w:t>
            </w:r>
          </w:p>
        </w:tc>
        <w:tc>
          <w:tcPr>
            <w:tcW w:w="3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规划目标情况</w:t>
            </w:r>
          </w:p>
        </w:tc>
        <w:tc>
          <w:tcPr>
            <w:tcW w:w="3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累计完成情况</w:t>
            </w:r>
          </w:p>
        </w:tc>
      </w:tr>
      <w:tr>
        <w:trPr>
          <w:trHeight w:val="373" w:hRule="exact"/>
        </w:trPr>
        <w:tc>
          <w:tcPr>
            <w:tcW w:w="32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整体发展战略</w:t>
            </w:r>
          </w:p>
        </w:tc>
        <w:tc>
          <w:tcPr>
            <w:tcW w:w="32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公司以</w:t>
            </w:r>
            <w:r>
              <w:rPr>
                <w:rFonts w:ascii="Times New Roman" w:hAnsi="Times New Roman" w:cs="Times New Roman" w:eastAsia="Times New Roman" w:hint="default"/>
                <w:sz w:val="18"/>
                <w:szCs w:val="18"/>
              </w:rPr>
              <w:t>“</w:t>
            </w:r>
            <w:r>
              <w:rPr>
                <w:rFonts w:ascii="宋体" w:hAnsi="宋体" w:cs="宋体" w:eastAsia="宋体" w:hint="default"/>
                <w:sz w:val="18"/>
                <w:szCs w:val="18"/>
              </w:rPr>
              <w:t>点缀当代生活艺术，提升大众生</w:t>
            </w:r>
          </w:p>
        </w:tc>
        <w:tc>
          <w:tcPr>
            <w:tcW w:w="32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持续推进及完善中</w:t>
            </w:r>
          </w:p>
        </w:tc>
      </w:tr>
      <w:tr>
        <w:trPr>
          <w:trHeight w:val="33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活品味</w:t>
            </w:r>
            <w:r>
              <w:rPr>
                <w:rFonts w:ascii="Times New Roman" w:hAnsi="Times New Roman" w:cs="Times New Roman" w:eastAsia="Times New Roman" w:hint="default"/>
                <w:sz w:val="18"/>
                <w:szCs w:val="18"/>
              </w:rPr>
              <w:t>”</w:t>
            </w:r>
            <w:r>
              <w:rPr>
                <w:rFonts w:ascii="宋体" w:hAnsi="宋体" w:cs="宋体" w:eastAsia="宋体" w:hint="default"/>
                <w:sz w:val="18"/>
                <w:szCs w:val="18"/>
              </w:rPr>
              <w:t>为愿景，立志成为文化艺</w:t>
            </w:r>
          </w:p>
        </w:tc>
        <w:tc>
          <w:tcPr>
            <w:tcW w:w="3223" w:type="dxa"/>
            <w:tcBorders>
              <w:top w:val="nil" w:sz="6" w:space="0" w:color="auto"/>
              <w:left w:val="single" w:sz="6" w:space="0" w:color="000000"/>
              <w:bottom w:val="nil" w:sz="6" w:space="0" w:color="auto"/>
              <w:right w:val="single" w:sz="6" w:space="0" w:color="000000"/>
            </w:tcBorders>
          </w:tcPr>
          <w:p>
            <w:pPr/>
          </w:p>
        </w:tc>
      </w:tr>
      <w:tr>
        <w:trPr>
          <w:trHeight w:val="327"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2" w:right="0"/>
              <w:jc w:val="left"/>
              <w:rPr>
                <w:rFonts w:ascii="宋体" w:hAnsi="宋体" w:cs="宋体" w:eastAsia="宋体" w:hint="default"/>
                <w:sz w:val="18"/>
                <w:szCs w:val="18"/>
              </w:rPr>
            </w:pPr>
            <w:r>
              <w:rPr>
                <w:rFonts w:ascii="宋体" w:hAnsi="宋体" w:cs="宋体" w:eastAsia="宋体" w:hint="default"/>
                <w:spacing w:val="-3"/>
                <w:sz w:val="18"/>
                <w:szCs w:val="18"/>
              </w:rPr>
              <w:t>术和创意领域的全球领先企业。发展战略</w:t>
            </w:r>
          </w:p>
        </w:tc>
        <w:tc>
          <w:tcPr>
            <w:tcW w:w="322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层面，公司以艺术陶瓷为载体，弘扬并传</w:t>
            </w:r>
          </w:p>
        </w:tc>
        <w:tc>
          <w:tcPr>
            <w:tcW w:w="322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承中国传统文化，兼容不同流派艺术风</w:t>
            </w:r>
          </w:p>
        </w:tc>
        <w:tc>
          <w:tcPr>
            <w:tcW w:w="322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格，通过快速创新的设计、不断改良的工</w:t>
            </w:r>
          </w:p>
        </w:tc>
        <w:tc>
          <w:tcPr>
            <w:tcW w:w="322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艺流程以及高度信息化的零售和供应链</w:t>
            </w:r>
          </w:p>
        </w:tc>
        <w:tc>
          <w:tcPr>
            <w:tcW w:w="322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管理，致力于打造一个在海内外拥有自营</w:t>
            </w:r>
          </w:p>
        </w:tc>
        <w:tc>
          <w:tcPr>
            <w:tcW w:w="3223" w:type="dxa"/>
            <w:tcBorders>
              <w:top w:val="nil" w:sz="6" w:space="0" w:color="auto"/>
              <w:left w:val="single" w:sz="6" w:space="0" w:color="000000"/>
              <w:bottom w:val="nil" w:sz="6" w:space="0" w:color="auto"/>
              <w:right w:val="single" w:sz="6" w:space="0" w:color="000000"/>
            </w:tcBorders>
          </w:tcPr>
          <w:p>
            <w:pPr/>
          </w:p>
        </w:tc>
      </w:tr>
      <w:tr>
        <w:trPr>
          <w:trHeight w:val="371" w:hRule="exact"/>
        </w:trPr>
        <w:tc>
          <w:tcPr>
            <w:tcW w:w="3223" w:type="dxa"/>
            <w:tcBorders>
              <w:top w:val="nil" w:sz="6" w:space="0" w:color="auto"/>
              <w:left w:val="single" w:sz="6" w:space="0" w:color="000000"/>
              <w:bottom w:val="single" w:sz="6" w:space="0" w:color="000000"/>
              <w:right w:val="single" w:sz="6" w:space="0" w:color="000000"/>
            </w:tcBorders>
          </w:tcPr>
          <w:p>
            <w:pPr/>
          </w:p>
        </w:tc>
        <w:tc>
          <w:tcPr>
            <w:tcW w:w="322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渠道和品牌的领先文化创意企业。</w:t>
            </w:r>
          </w:p>
        </w:tc>
        <w:tc>
          <w:tcPr>
            <w:tcW w:w="3223" w:type="dxa"/>
            <w:tcBorders>
              <w:top w:val="nil" w:sz="6" w:space="0" w:color="auto"/>
              <w:left w:val="single" w:sz="6" w:space="0" w:color="000000"/>
              <w:bottom w:val="single" w:sz="6" w:space="0" w:color="000000"/>
              <w:right w:val="single" w:sz="6" w:space="0" w:color="000000"/>
            </w:tcBorders>
          </w:tcPr>
          <w:p>
            <w:pPr/>
          </w:p>
        </w:tc>
      </w:tr>
      <w:tr>
        <w:trPr>
          <w:trHeight w:val="368" w:hRule="exact"/>
        </w:trPr>
        <w:tc>
          <w:tcPr>
            <w:tcW w:w="32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业务发展定位</w:t>
            </w:r>
          </w:p>
        </w:tc>
        <w:tc>
          <w:tcPr>
            <w:tcW w:w="32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pacing w:val="-3"/>
                <w:sz w:val="18"/>
                <w:szCs w:val="18"/>
              </w:rPr>
              <w:t>未来三年内，公司仍然以艺术陶瓷的研发</w:t>
            </w:r>
          </w:p>
        </w:tc>
        <w:tc>
          <w:tcPr>
            <w:tcW w:w="32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报告期内，公司严格按照该业务发展定</w:t>
            </w: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设计、生产和销售为主营方向。公司将继</w:t>
            </w: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位，推进落实各项工作，并积极拓展酒瓶</w:t>
            </w: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承设计领先、工艺求胜的竞争策略，并引</w:t>
            </w: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包装业务等新兴渠道。</w:t>
            </w: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入信息化管理提升内控和供应链管理水</w:t>
            </w:r>
          </w:p>
        </w:tc>
        <w:tc>
          <w:tcPr>
            <w:tcW w:w="322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平，密切关注并谨慎拓展国内市场，探索</w:t>
            </w:r>
          </w:p>
        </w:tc>
        <w:tc>
          <w:tcPr>
            <w:tcW w:w="322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渠道创新和商业新模式，积极培育自有品</w:t>
            </w:r>
          </w:p>
        </w:tc>
        <w:tc>
          <w:tcPr>
            <w:tcW w:w="3223" w:type="dxa"/>
            <w:tcBorders>
              <w:top w:val="nil" w:sz="6" w:space="0" w:color="auto"/>
              <w:left w:val="single" w:sz="6" w:space="0" w:color="000000"/>
              <w:bottom w:val="nil" w:sz="6" w:space="0" w:color="auto"/>
              <w:right w:val="single" w:sz="6" w:space="0" w:color="000000"/>
            </w:tcBorders>
          </w:tcPr>
          <w:p>
            <w:pPr/>
          </w:p>
        </w:tc>
      </w:tr>
      <w:tr>
        <w:trPr>
          <w:trHeight w:val="371" w:hRule="exact"/>
        </w:trPr>
        <w:tc>
          <w:tcPr>
            <w:tcW w:w="3223" w:type="dxa"/>
            <w:tcBorders>
              <w:top w:val="nil" w:sz="6" w:space="0" w:color="auto"/>
              <w:left w:val="single" w:sz="6" w:space="0" w:color="000000"/>
              <w:bottom w:val="single" w:sz="6" w:space="0" w:color="000000"/>
              <w:right w:val="single" w:sz="6" w:space="0" w:color="000000"/>
            </w:tcBorders>
          </w:tcPr>
          <w:p>
            <w:pPr/>
          </w:p>
        </w:tc>
        <w:tc>
          <w:tcPr>
            <w:tcW w:w="322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牌在海内外市场的占有率。</w:t>
            </w:r>
          </w:p>
        </w:tc>
        <w:tc>
          <w:tcPr>
            <w:tcW w:w="3223" w:type="dxa"/>
            <w:tcBorders>
              <w:top w:val="nil" w:sz="6" w:space="0" w:color="auto"/>
              <w:left w:val="single" w:sz="6" w:space="0" w:color="000000"/>
              <w:bottom w:val="single" w:sz="6" w:space="0" w:color="000000"/>
              <w:right w:val="single" w:sz="6" w:space="0" w:color="000000"/>
            </w:tcBorders>
          </w:tcPr>
          <w:p>
            <w:pPr/>
          </w:p>
        </w:tc>
      </w:tr>
      <w:tr>
        <w:trPr>
          <w:trHeight w:val="368" w:hRule="exact"/>
        </w:trPr>
        <w:tc>
          <w:tcPr>
            <w:tcW w:w="32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立品牌</w:t>
            </w:r>
          </w:p>
        </w:tc>
        <w:tc>
          <w:tcPr>
            <w:tcW w:w="32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34"/>
              <w:jc w:val="left"/>
              <w:rPr>
                <w:rFonts w:ascii="宋体" w:hAnsi="宋体" w:cs="宋体" w:eastAsia="宋体" w:hint="default"/>
                <w:sz w:val="18"/>
                <w:szCs w:val="18"/>
              </w:rPr>
            </w:pPr>
            <w:r>
              <w:rPr>
                <w:rFonts w:ascii="宋体" w:hAnsi="宋体" w:cs="宋体" w:eastAsia="宋体" w:hint="default"/>
                <w:sz w:val="18"/>
                <w:szCs w:val="18"/>
              </w:rPr>
              <w:t>依托国势崛起以及中国悠久的陶瓷文化，</w:t>
            </w:r>
          </w:p>
        </w:tc>
        <w:tc>
          <w:tcPr>
            <w:tcW w:w="32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报告期内，公司积极参加国内外各类展</w:t>
            </w:r>
          </w:p>
        </w:tc>
      </w:tr>
      <w:tr>
        <w:trPr>
          <w:trHeight w:val="312" w:hRule="exact"/>
        </w:trPr>
        <w:tc>
          <w:tcPr>
            <w:tcW w:w="3223" w:type="dxa"/>
            <w:tcBorders>
              <w:top w:val="nil" w:sz="6" w:space="0" w:color="auto"/>
              <w:left w:val="single" w:sz="6" w:space="0" w:color="000000"/>
              <w:bottom w:val="nil" w:sz="6" w:space="0" w:color="auto"/>
              <w:right w:val="single" w:sz="6" w:space="0" w:color="000000"/>
            </w:tcBorders>
          </w:tcPr>
          <w:p>
            <w:pP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公司依靠创意设计与工艺创新，逐渐提升</w:t>
            </w:r>
          </w:p>
        </w:tc>
        <w:tc>
          <w:tcPr>
            <w:tcW w:w="32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会，大力推进广告宣传，始终围绕艺术文</w:t>
            </w:r>
          </w:p>
        </w:tc>
      </w:tr>
      <w:tr>
        <w:trPr>
          <w:trHeight w:val="385" w:hRule="exact"/>
        </w:trPr>
        <w:tc>
          <w:tcPr>
            <w:tcW w:w="3223" w:type="dxa"/>
            <w:tcBorders>
              <w:top w:val="nil" w:sz="6" w:space="0" w:color="auto"/>
              <w:left w:val="single" w:sz="6" w:space="0" w:color="000000"/>
              <w:bottom w:val="single" w:sz="6" w:space="0" w:color="000000"/>
              <w:right w:val="single" w:sz="6" w:space="0" w:color="000000"/>
            </w:tcBorders>
          </w:tcPr>
          <w:p>
            <w:pPr/>
          </w:p>
        </w:tc>
        <w:tc>
          <w:tcPr>
            <w:tcW w:w="322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品牌在海外市场的美誉度并获得品牌溢</w:t>
            </w:r>
          </w:p>
        </w:tc>
        <w:tc>
          <w:tcPr>
            <w:tcW w:w="322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34"/>
              <w:jc w:val="left"/>
              <w:rPr>
                <w:rFonts w:ascii="宋体" w:hAnsi="宋体" w:cs="宋体" w:eastAsia="宋体" w:hint="default"/>
                <w:sz w:val="18"/>
                <w:szCs w:val="18"/>
              </w:rPr>
            </w:pPr>
            <w:r>
              <w:rPr>
                <w:rFonts w:ascii="宋体" w:hAnsi="宋体" w:cs="宋体" w:eastAsia="宋体" w:hint="default"/>
                <w:sz w:val="18"/>
                <w:szCs w:val="18"/>
              </w:rPr>
              <w:t>化创意，丰富产品内涵，提升品牌价值。</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980"/>
        </w:sectPr>
      </w:pPr>
    </w:p>
    <w:p>
      <w:pPr>
        <w:spacing w:line="240" w:lineRule="auto" w:before="8"/>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223"/>
        <w:gridCol w:w="3223"/>
        <w:gridCol w:w="3223"/>
      </w:tblGrid>
      <w:tr>
        <w:trPr>
          <w:trHeight w:val="1948" w:hRule="exact"/>
        </w:trPr>
        <w:tc>
          <w:tcPr>
            <w:tcW w:w="3223" w:type="dxa"/>
            <w:tcBorders>
              <w:top w:val="single" w:sz="6" w:space="0" w:color="000000"/>
              <w:left w:val="single" w:sz="6" w:space="0" w:color="000000"/>
              <w:bottom w:val="single" w:sz="6" w:space="0" w:color="000000"/>
              <w:right w:val="single" w:sz="6" w:space="0" w:color="000000"/>
            </w:tcBorders>
          </w:tcPr>
          <w:p>
            <w:pPr/>
          </w:p>
        </w:tc>
        <w:tc>
          <w:tcPr>
            <w:tcW w:w="322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价。在品牌推广方面，公司将借助艺术文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化等产业提升品牌形象。例如，借鉴</w:t>
            </w:r>
            <w:r>
              <w:rPr>
                <w:rFonts w:ascii="Times New Roman" w:hAnsi="Times New Roman" w:cs="Times New Roman" w:eastAsia="Times New Roman" w:hint="default"/>
                <w:sz w:val="18"/>
                <w:szCs w:val="18"/>
              </w:rPr>
              <w:t>“</w:t>
            </w:r>
            <w:r>
              <w:rPr>
                <w:rFonts w:ascii="宋体" w:hAnsi="宋体" w:cs="宋体" w:eastAsia="宋体" w:hint="default"/>
                <w:sz w:val="18"/>
                <w:szCs w:val="18"/>
              </w:rPr>
              <w:t>国 娃</w:t>
            </w:r>
            <w:r>
              <w:rPr>
                <w:rFonts w:ascii="Times New Roman" w:hAnsi="Times New Roman" w:cs="Times New Roman" w:eastAsia="Times New Roman" w:hint="default"/>
                <w:sz w:val="18"/>
                <w:szCs w:val="18"/>
              </w:rPr>
              <w:t>”</w:t>
            </w:r>
            <w:r>
              <w:rPr>
                <w:rFonts w:ascii="宋体" w:hAnsi="宋体" w:cs="宋体" w:eastAsia="宋体" w:hint="default"/>
                <w:sz w:val="18"/>
                <w:szCs w:val="18"/>
              </w:rPr>
              <w:t>推广的成功经验，公司将进一步打造 </w:t>
            </w:r>
            <w:r>
              <w:rPr>
                <w:rFonts w:ascii="宋体" w:hAnsi="宋体" w:cs="宋体" w:eastAsia="宋体" w:hint="default"/>
                <w:spacing w:val="-3"/>
                <w:sz w:val="18"/>
                <w:szCs w:val="18"/>
              </w:rPr>
              <w:t>体育营销平台，与大型体育赛事合作，迅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速提升品牌美誉度和忠诚度，从而反哺国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内外渠道的搭建与拓展。</w:t>
            </w:r>
          </w:p>
        </w:tc>
        <w:tc>
          <w:tcPr>
            <w:tcW w:w="322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24"/>
          <w:szCs w:val="24"/>
        </w:rPr>
      </w:pPr>
    </w:p>
    <w:p>
      <w:pPr>
        <w:pStyle w:val="BodyText"/>
        <w:spacing w:line="357" w:lineRule="auto" w:before="44"/>
        <w:ind w:left="474" w:right="0" w:hanging="360"/>
        <w:jc w:val="left"/>
      </w:pPr>
      <w:r>
        <w:rPr/>
        <w:t>公司回顾总结前期披露的发展战略和经营计划在报告期内的进展情况 </w:t>
      </w:r>
      <w:r>
        <w:rPr>
          <w:spacing w:val="-2"/>
        </w:rPr>
        <w:t>公司前期披露的发展战略和经营计划与公司首次公开发行时招股说明书中披露的未来发展与规划相一致，</w:t>
      </w:r>
      <w:r>
        <w:rPr>
          <w:rFonts w:ascii="Times New Roman" w:hAnsi="Times New Roman" w:cs="Times New Roman" w:eastAsia="Times New Roman" w:hint="default"/>
          <w:spacing w:val="-2"/>
        </w:rPr>
        <w:t>2012</w:t>
      </w:r>
      <w:r>
        <w:rPr>
          <w:spacing w:val="-2"/>
        </w:rPr>
        <w:t>年公司积</w:t>
      </w:r>
    </w:p>
    <w:p>
      <w:pPr>
        <w:pStyle w:val="BodyText"/>
        <w:spacing w:line="201" w:lineRule="exact"/>
        <w:ind w:left="113" w:right="0"/>
        <w:jc w:val="left"/>
      </w:pPr>
      <w:r>
        <w:rPr/>
        <w:t>极推进发展战略和年度经营计划的落实，各个方面均得到了落实。</w:t>
      </w:r>
    </w:p>
    <w:p>
      <w:pPr>
        <w:pStyle w:val="BodyText"/>
        <w:spacing w:line="240" w:lineRule="auto" w:before="116"/>
        <w:ind w:left="113" w:right="0"/>
        <w:jc w:val="left"/>
      </w:pPr>
      <w:r>
        <w:rPr/>
        <w:t>公司实际经营业绩较曾公开披露过的本年度盈利预测低于或高于</w:t>
      </w:r>
      <w:r>
        <w:rPr>
          <w:spacing w:val="-47"/>
        </w:rPr>
        <w:t> </w:t>
      </w:r>
      <w:r>
        <w:rPr>
          <w:rFonts w:ascii="Times New Roman" w:hAnsi="Times New Roman" w:cs="Times New Roman" w:eastAsia="Times New Roman" w:hint="default"/>
        </w:rPr>
        <w:t>20%</w:t>
      </w:r>
      <w:r>
        <w:rPr/>
        <w:t>以上的差异原因</w:t>
      </w:r>
    </w:p>
    <w:p>
      <w:pPr>
        <w:pStyle w:val="BodyText"/>
        <w:spacing w:line="240" w:lineRule="auto" w:before="103"/>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6"/>
        <w:gridCol w:w="1367"/>
        <w:gridCol w:w="1368"/>
        <w:gridCol w:w="1367"/>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4" w:right="48" w:hanging="17"/>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3" w:right="48" w:hanging="17"/>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54" w:right="49"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陶瓷制品业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371,300,288.05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261,132,694.76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371,300,288.05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261,132,694.76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89,015,078.91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61,883,060.33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282,285,209.14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199,249,634.43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r>
    </w:tbl>
    <w:p>
      <w:pPr>
        <w:pStyle w:val="BodyText"/>
        <w:spacing w:line="240" w:lineRule="auto" w:before="50"/>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609,920,675.6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544,931,094.69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60.14%</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132,649,314.6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74,457,986.67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8.22%</w:t>
            </w:r>
            <w:r>
              <w:rPr>
                <w:rFonts w:ascii="Times New Roman"/>
                <w:w w:val="95"/>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4.65%</w:t>
            </w:r>
            <w:r>
              <w:rPr>
                <w:rFonts w:ascii="Times New Roman"/>
                <w:w w:val="95"/>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98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90,269,928.74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75,608,379.94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8.34%</w:t>
            </w:r>
            <w:r>
              <w:rPr>
                <w:rFonts w:ascii="Times New Roman"/>
                <w:w w:val="95"/>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0.41%</w:t>
            </w:r>
            <w:r>
              <w:rPr>
                <w:rFonts w:ascii="Times New Roman"/>
                <w:w w:val="95"/>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136,533,805.0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132,969,892.88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9,135,600.00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1.01%</w:t>
            </w:r>
            <w:r>
              <w:rPr>
                <w:rFonts w:ascii="Times New Roman"/>
                <w:w w:val="95"/>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21.34%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13.24%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5"/>
              <w:jc w:val="left"/>
              <w:rPr>
                <w:rFonts w:ascii="宋体" w:hAnsi="宋体" w:cs="宋体" w:eastAsia="宋体" w:hint="default"/>
                <w:sz w:val="18"/>
                <w:szCs w:val="18"/>
              </w:rPr>
            </w:pPr>
            <w:r>
              <w:rPr>
                <w:rFonts w:ascii="宋体" w:hAnsi="宋体" w:cs="宋体" w:eastAsia="宋体" w:hint="default"/>
                <w:sz w:val="18"/>
                <w:szCs w:val="18"/>
              </w:rPr>
              <w:t>主要是公司经营活动增加短期借款 筹资所致。</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报告期内，主要无形资产情况（单位：人民币元）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36"/>
        <w:gridCol w:w="1255"/>
        <w:gridCol w:w="1620"/>
        <w:gridCol w:w="1800"/>
        <w:gridCol w:w="2520"/>
      </w:tblGrid>
      <w:tr>
        <w:trPr>
          <w:trHeight w:val="427"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tabs>
                <w:tab w:pos="944" w:val="left" w:leader="none"/>
              </w:tabs>
              <w:spacing w:line="240" w:lineRule="auto" w:before="59"/>
              <w:ind w:left="49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原价</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累计摊销</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12.31</w:t>
            </w:r>
            <w:r>
              <w:rPr>
                <w:rFonts w:ascii="宋体" w:hAnsi="宋体" w:cs="宋体" w:eastAsia="宋体" w:hint="default"/>
                <w:sz w:val="18"/>
                <w:szCs w:val="18"/>
              </w:rPr>
              <w:t>账面价值</w:t>
            </w:r>
          </w:p>
        </w:tc>
      </w:tr>
      <w:tr>
        <w:trPr>
          <w:trHeight w:val="427"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5,819,602.00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1,673,478.63</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4,146,123.37</w:t>
            </w:r>
          </w:p>
        </w:tc>
      </w:tr>
      <w:tr>
        <w:trPr>
          <w:trHeight w:val="427"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注册</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303,333.17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396,666.83</w:t>
            </w:r>
          </w:p>
        </w:tc>
      </w:tr>
      <w:tr>
        <w:trPr>
          <w:trHeight w:val="427"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商标权</w:t>
            </w:r>
            <w:r>
              <w:rPr>
                <w:rFonts w:ascii="Times New Roman" w:hAnsi="Times New Roman" w:cs="Times New Roman" w:eastAsia="Times New Roman" w:hint="default"/>
                <w:sz w:val="18"/>
                <w:szCs w:val="18"/>
              </w:rPr>
              <w:t>2</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注册</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79,300.00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29,076.52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50,223.48</w:t>
            </w:r>
          </w:p>
        </w:tc>
      </w:tr>
      <w:tr>
        <w:trPr>
          <w:trHeight w:val="739"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23"/>
              <w:jc w:val="left"/>
              <w:rPr>
                <w:rFonts w:ascii="宋体" w:hAnsi="宋体" w:cs="宋体" w:eastAsia="宋体" w:hint="default"/>
                <w:sz w:val="18"/>
                <w:szCs w:val="18"/>
              </w:rPr>
            </w:pPr>
            <w:r>
              <w:rPr>
                <w:rFonts w:ascii="宋体" w:hAnsi="宋体" w:cs="宋体" w:eastAsia="宋体" w:hint="default"/>
                <w:spacing w:val="21"/>
                <w:sz w:val="18"/>
                <w:szCs w:val="18"/>
              </w:rPr>
              <w:t>日用细瓷低温快烧</w:t>
            </w:r>
            <w:r>
              <w:rPr>
                <w:rFonts w:ascii="宋体" w:hAnsi="宋体" w:cs="宋体" w:eastAsia="宋体" w:hint="default"/>
                <w:spacing w:val="-83"/>
                <w:sz w:val="18"/>
                <w:szCs w:val="18"/>
              </w:rPr>
              <w:t> </w:t>
            </w:r>
            <w:r>
              <w:rPr>
                <w:rFonts w:ascii="宋体" w:hAnsi="宋体" w:cs="宋体" w:eastAsia="宋体" w:hint="default"/>
                <w:sz w:val="18"/>
                <w:szCs w:val="18"/>
              </w:rPr>
              <w:t>工艺专利</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17,083.46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12,916.54</w:t>
            </w:r>
          </w:p>
        </w:tc>
      </w:tr>
      <w:tr>
        <w:trPr>
          <w:trHeight w:val="738"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2" w:right="0"/>
              <w:jc w:val="left"/>
              <w:rPr>
                <w:rFonts w:ascii="宋体" w:hAnsi="宋体" w:cs="宋体" w:eastAsia="宋体" w:hint="default"/>
                <w:sz w:val="18"/>
                <w:szCs w:val="18"/>
              </w:rPr>
            </w:pPr>
            <w:r>
              <w:rPr>
                <w:rFonts w:ascii="宋体" w:hAnsi="宋体" w:cs="宋体" w:eastAsia="宋体" w:hint="default"/>
                <w:spacing w:val="2"/>
                <w:sz w:val="18"/>
                <w:szCs w:val="18"/>
              </w:rPr>
              <w:t>长城集团金蝶</w:t>
            </w:r>
            <w:r>
              <w:rPr>
                <w:rFonts w:ascii="Times New Roman" w:hAnsi="Times New Roman" w:cs="Times New Roman" w:eastAsia="Times New Roman" w:hint="default"/>
                <w:spacing w:val="2"/>
                <w:sz w:val="18"/>
                <w:szCs w:val="18"/>
              </w:rPr>
              <w:t>ERP</w:t>
            </w:r>
            <w:r>
              <w:rPr>
                <w:rFonts w:ascii="宋体" w:hAnsi="宋体" w:cs="宋体" w:eastAsia="宋体" w:hint="default"/>
                <w:spacing w:val="2"/>
                <w:sz w:val="18"/>
                <w:szCs w:val="18"/>
              </w:rPr>
              <w:t>软</w:t>
            </w:r>
            <w:r>
              <w:rPr>
                <w:rFonts w:ascii="宋体" w:hAnsi="宋体" w:cs="宋体" w:eastAsia="宋体" w:hint="default"/>
                <w:sz w:val="18"/>
                <w:szCs w:val="18"/>
              </w:rPr>
              <w:t> 件</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1,280,000.00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277,333.29</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1,002,666.71</w:t>
            </w:r>
          </w:p>
        </w:tc>
      </w:tr>
      <w:tr>
        <w:trPr>
          <w:trHeight w:val="739"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0"/>
              <w:jc w:val="left"/>
              <w:rPr>
                <w:rFonts w:ascii="宋体" w:hAnsi="宋体" w:cs="宋体" w:eastAsia="宋体" w:hint="default"/>
                <w:sz w:val="18"/>
                <w:szCs w:val="18"/>
              </w:rPr>
            </w:pPr>
            <w:r>
              <w:rPr>
                <w:rFonts w:ascii="宋体" w:hAnsi="宋体" w:cs="宋体" w:eastAsia="宋体" w:hint="default"/>
                <w:spacing w:val="2"/>
                <w:sz w:val="18"/>
                <w:szCs w:val="18"/>
              </w:rPr>
              <w:t>深圳长城金蝶</w:t>
            </w:r>
            <w:r>
              <w:rPr>
                <w:rFonts w:ascii="Times New Roman" w:hAnsi="Times New Roman" w:cs="Times New Roman" w:eastAsia="Times New Roman" w:hint="default"/>
                <w:spacing w:val="2"/>
                <w:sz w:val="18"/>
                <w:szCs w:val="18"/>
              </w:rPr>
              <w:t>ERP</w:t>
            </w:r>
            <w:r>
              <w:rPr>
                <w:rFonts w:ascii="宋体" w:hAnsi="宋体" w:cs="宋体" w:eastAsia="宋体" w:hint="default"/>
                <w:spacing w:val="2"/>
                <w:sz w:val="18"/>
                <w:szCs w:val="18"/>
              </w:rPr>
              <w:t>软</w:t>
            </w:r>
            <w:r>
              <w:rPr>
                <w:rFonts w:ascii="宋体" w:hAnsi="宋体" w:cs="宋体" w:eastAsia="宋体" w:hint="default"/>
                <w:sz w:val="18"/>
                <w:szCs w:val="18"/>
              </w:rPr>
              <w:t> 件</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201,538.46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50,384.56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151,153.90</w:t>
            </w:r>
          </w:p>
        </w:tc>
      </w:tr>
      <w:tr>
        <w:trPr>
          <w:trHeight w:val="739"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2" w:right="0"/>
              <w:jc w:val="left"/>
              <w:rPr>
                <w:rFonts w:ascii="宋体" w:hAnsi="宋体" w:cs="宋体" w:eastAsia="宋体" w:hint="default"/>
                <w:sz w:val="18"/>
                <w:szCs w:val="18"/>
              </w:rPr>
            </w:pPr>
            <w:r>
              <w:rPr>
                <w:rFonts w:ascii="宋体" w:hAnsi="宋体" w:cs="宋体" w:eastAsia="宋体" w:hint="default"/>
                <w:spacing w:val="2"/>
                <w:sz w:val="18"/>
                <w:szCs w:val="18"/>
              </w:rPr>
              <w:t>广州长城金蝶</w:t>
            </w:r>
            <w:r>
              <w:rPr>
                <w:rFonts w:ascii="Times New Roman" w:hAnsi="Times New Roman" w:cs="Times New Roman" w:eastAsia="Times New Roman" w:hint="default"/>
                <w:spacing w:val="2"/>
                <w:sz w:val="18"/>
                <w:szCs w:val="18"/>
              </w:rPr>
              <w:t>ERP</w:t>
            </w:r>
            <w:r>
              <w:rPr>
                <w:rFonts w:ascii="宋体" w:hAnsi="宋体" w:cs="宋体" w:eastAsia="宋体" w:hint="default"/>
                <w:spacing w:val="2"/>
                <w:sz w:val="18"/>
                <w:szCs w:val="18"/>
              </w:rPr>
              <w:t>软</w:t>
            </w:r>
            <w:r>
              <w:rPr>
                <w:rFonts w:ascii="宋体" w:hAnsi="宋体" w:cs="宋体" w:eastAsia="宋体" w:hint="default"/>
                <w:sz w:val="18"/>
                <w:szCs w:val="18"/>
              </w:rPr>
              <w:t> 件</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595,743.59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51,358.12</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544,385.47</w:t>
            </w:r>
          </w:p>
        </w:tc>
      </w:tr>
      <w:tr>
        <w:trPr>
          <w:trHeight w:val="427" w:hRule="exact"/>
        </w:trPr>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55"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8,706,184.05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2,402,047.75</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6,304,136.30</w:t>
            </w:r>
          </w:p>
        </w:tc>
      </w:tr>
    </w:tbl>
    <w:p>
      <w:pPr>
        <w:spacing w:line="240" w:lineRule="auto" w:before="2"/>
        <w:rPr>
          <w:rFonts w:ascii="宋体" w:hAnsi="宋体" w:cs="宋体" w:eastAsia="宋体" w:hint="default"/>
          <w:sz w:val="21"/>
          <w:szCs w:val="21"/>
        </w:rPr>
      </w:pPr>
    </w:p>
    <w:p>
      <w:pPr>
        <w:pStyle w:val="BodyText"/>
        <w:spacing w:line="240" w:lineRule="auto" w:before="44"/>
        <w:ind w:right="92"/>
        <w:jc w:val="left"/>
      </w:pPr>
      <w:r>
        <w:rPr/>
        <w:t>报告期内，公司获得专利具体内容如下：</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660"/>
        <w:gridCol w:w="1140"/>
        <w:gridCol w:w="1980"/>
        <w:gridCol w:w="1980"/>
        <w:gridCol w:w="1260"/>
        <w:gridCol w:w="1260"/>
        <w:gridCol w:w="1260"/>
      </w:tblGrid>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2"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2" w:right="0"/>
              <w:jc w:val="left"/>
              <w:rPr>
                <w:rFonts w:ascii="宋体" w:hAnsi="宋体" w:cs="宋体" w:eastAsia="宋体" w:hint="default"/>
                <w:sz w:val="18"/>
                <w:szCs w:val="18"/>
              </w:rPr>
            </w:pPr>
            <w:r>
              <w:rPr>
                <w:rFonts w:ascii="宋体" w:hAnsi="宋体" w:cs="宋体" w:eastAsia="宋体" w:hint="default"/>
                <w:sz w:val="18"/>
                <w:szCs w:val="18"/>
              </w:rPr>
              <w:t>申请日期</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公告日期</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茶具（一）</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0220879.8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7" w:right="0"/>
              <w:jc w:val="left"/>
              <w:rPr>
                <w:rFonts w:ascii="Times New Roman" w:hAnsi="Times New Roman" w:cs="Times New Roman" w:eastAsia="Times New Roman" w:hint="default"/>
                <w:sz w:val="18"/>
                <w:szCs w:val="18"/>
              </w:rPr>
            </w:pPr>
            <w:r>
              <w:rPr>
                <w:rFonts w:ascii="Times New Roman"/>
                <w:sz w:val="18"/>
              </w:rPr>
              <w:t>1808201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3" w:right="0"/>
              <w:jc w:val="left"/>
              <w:rPr>
                <w:rFonts w:ascii="Times New Roman" w:hAnsi="Times New Roman" w:cs="Times New Roman" w:eastAsia="Times New Roman" w:hint="default"/>
                <w:sz w:val="18"/>
                <w:szCs w:val="18"/>
              </w:rPr>
            </w:pPr>
            <w:r>
              <w:rPr>
                <w:rFonts w:ascii="Times New Roman"/>
                <w:sz w:val="18"/>
              </w:rPr>
              <w:t>2011-7-7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2012.1.18</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茶具（二）</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0220907.6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1816092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3" w:right="0"/>
              <w:jc w:val="left"/>
              <w:rPr>
                <w:rFonts w:ascii="Times New Roman" w:hAnsi="Times New Roman" w:cs="Times New Roman" w:eastAsia="Times New Roman" w:hint="default"/>
                <w:sz w:val="18"/>
                <w:szCs w:val="18"/>
              </w:rPr>
            </w:pPr>
            <w:r>
              <w:rPr>
                <w:rFonts w:ascii="Times New Roman"/>
                <w:sz w:val="18"/>
              </w:rPr>
              <w:t>2011-7-7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2012.1.25</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茶具（三）</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0220883.4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1809917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3" w:right="0"/>
              <w:jc w:val="left"/>
              <w:rPr>
                <w:rFonts w:ascii="Times New Roman" w:hAnsi="Times New Roman" w:cs="Times New Roman" w:eastAsia="Times New Roman" w:hint="default"/>
                <w:sz w:val="18"/>
                <w:szCs w:val="18"/>
              </w:rPr>
            </w:pPr>
            <w:r>
              <w:rPr>
                <w:rFonts w:ascii="Times New Roman"/>
                <w:sz w:val="18"/>
              </w:rPr>
              <w:t>2011-7-7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2012.1.18</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茶具（四）</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0220799.2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08" w:right="0"/>
              <w:jc w:val="left"/>
              <w:rPr>
                <w:rFonts w:ascii="Times New Roman" w:hAnsi="Times New Roman" w:cs="Times New Roman" w:eastAsia="Times New Roman" w:hint="default"/>
                <w:sz w:val="18"/>
                <w:szCs w:val="18"/>
              </w:rPr>
            </w:pPr>
            <w:r>
              <w:rPr>
                <w:rFonts w:ascii="Times New Roman"/>
                <w:sz w:val="18"/>
              </w:rPr>
              <w:t>1824157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3" w:right="0"/>
              <w:jc w:val="left"/>
              <w:rPr>
                <w:rFonts w:ascii="Times New Roman" w:hAnsi="Times New Roman" w:cs="Times New Roman" w:eastAsia="Times New Roman" w:hint="default"/>
                <w:sz w:val="18"/>
                <w:szCs w:val="18"/>
              </w:rPr>
            </w:pPr>
            <w:r>
              <w:rPr>
                <w:rFonts w:ascii="Times New Roman"/>
                <w:sz w:val="18"/>
              </w:rPr>
              <w:t>2011-7-7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2012.2.1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660"/>
        <w:gridCol w:w="1140"/>
        <w:gridCol w:w="1980"/>
        <w:gridCol w:w="1980"/>
        <w:gridCol w:w="1260"/>
        <w:gridCol w:w="1260"/>
        <w:gridCol w:w="1260"/>
      </w:tblGrid>
      <w:tr>
        <w:trPr>
          <w:trHeight w:val="739"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茶具</w:t>
            </w:r>
          </w:p>
          <w:p>
            <w:pPr>
              <w:pStyle w:val="TableParagraph"/>
              <w:spacing w:line="240" w:lineRule="auto" w:before="117"/>
              <w:ind w:left="3" w:right="0"/>
              <w:jc w:val="center"/>
              <w:rPr>
                <w:rFonts w:ascii="Times New Roman" w:hAnsi="Times New Roman" w:cs="Times New Roman" w:eastAsia="Times New Roman" w:hint="default"/>
                <w:sz w:val="18"/>
                <w:szCs w:val="18"/>
              </w:rPr>
            </w:pPr>
            <w:r>
              <w:rPr>
                <w:rFonts w:ascii="Times New Roman"/>
                <w:sz w:val="18"/>
              </w:rPr>
              <w:t>(YC001-P25306-B1059)</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0472712.0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2038276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7" w:right="0"/>
              <w:jc w:val="left"/>
              <w:rPr>
                <w:rFonts w:ascii="Times New Roman" w:hAnsi="Times New Roman" w:cs="Times New Roman" w:eastAsia="Times New Roman" w:hint="default"/>
                <w:sz w:val="18"/>
                <w:szCs w:val="18"/>
              </w:rPr>
            </w:pPr>
            <w:r>
              <w:rPr>
                <w:rFonts w:ascii="Times New Roman"/>
                <w:sz w:val="18"/>
              </w:rPr>
              <w:t>2012.8.8</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花插</w:t>
            </w:r>
            <w:r>
              <w:rPr>
                <w:rFonts w:ascii="Times New Roman" w:hAnsi="Times New Roman" w:cs="Times New Roman" w:eastAsia="Times New Roman" w:hint="default"/>
                <w:sz w:val="18"/>
                <w:szCs w:val="18"/>
              </w:rPr>
              <w:t>(F912-10335-9.5)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0472732.8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1988861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60"/>
              <w:jc w:val="right"/>
              <w:rPr>
                <w:rFonts w:ascii="Times New Roman" w:hAnsi="Times New Roman" w:cs="Times New Roman" w:eastAsia="Times New Roman" w:hint="default"/>
                <w:sz w:val="18"/>
                <w:szCs w:val="18"/>
              </w:rPr>
            </w:pPr>
            <w:r>
              <w:rPr>
                <w:rFonts w:ascii="Times New Roman"/>
                <w:sz w:val="18"/>
              </w:rPr>
              <w:t>2012.7.11</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花插</w:t>
            </w:r>
            <w:r>
              <w:rPr>
                <w:rFonts w:ascii="Times New Roman" w:hAnsi="Times New Roman" w:cs="Times New Roman" w:eastAsia="Times New Roman" w:hint="default"/>
                <w:sz w:val="18"/>
                <w:szCs w:val="18"/>
              </w:rPr>
              <w:t>(G216-10138-13.5)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0472730.9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1990232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2012.7.11</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8</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花插</w:t>
            </w:r>
            <w:r>
              <w:rPr>
                <w:rFonts w:ascii="Times New Roman" w:hAnsi="Times New Roman" w:cs="Times New Roman" w:eastAsia="Times New Roman" w:hint="default"/>
                <w:sz w:val="18"/>
                <w:szCs w:val="18"/>
              </w:rPr>
              <w:t>(F909-10335-10)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0472726.2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1991299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2012.7.11</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花插</w:t>
            </w:r>
            <w:r>
              <w:rPr>
                <w:rFonts w:ascii="Times New Roman" w:hAnsi="Times New Roman" w:cs="Times New Roman" w:eastAsia="Times New Roman" w:hint="default"/>
                <w:sz w:val="18"/>
                <w:szCs w:val="18"/>
              </w:rPr>
              <w:t>(N1041-17100-13.5)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0472719.2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1990796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2012.7.11</w:t>
            </w:r>
          </w:p>
        </w:tc>
      </w:tr>
      <w:tr>
        <w:trPr>
          <w:trHeight w:val="426"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花插</w:t>
            </w:r>
            <w:r>
              <w:rPr>
                <w:rFonts w:ascii="Times New Roman" w:hAnsi="Times New Roman" w:cs="Times New Roman" w:eastAsia="Times New Roman" w:hint="default"/>
                <w:sz w:val="18"/>
                <w:szCs w:val="18"/>
              </w:rPr>
              <w:t>(NT100-15857-14)</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0472715.4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1989149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2012.7.11</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花插</w:t>
            </w:r>
            <w:r>
              <w:rPr>
                <w:rFonts w:ascii="Times New Roman" w:hAnsi="Times New Roman" w:cs="Times New Roman" w:eastAsia="Times New Roman" w:hint="default"/>
                <w:sz w:val="18"/>
                <w:szCs w:val="18"/>
              </w:rPr>
              <w:t>(G216-10774-20)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0472717.3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1989451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60"/>
              <w:jc w:val="right"/>
              <w:rPr>
                <w:rFonts w:ascii="Times New Roman" w:hAnsi="Times New Roman" w:cs="Times New Roman" w:eastAsia="Times New Roman" w:hint="default"/>
                <w:sz w:val="18"/>
                <w:szCs w:val="18"/>
              </w:rPr>
            </w:pPr>
            <w:r>
              <w:rPr>
                <w:rFonts w:ascii="Times New Roman"/>
                <w:sz w:val="18"/>
              </w:rPr>
              <w:t>2012.7.11</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花插</w:t>
            </w:r>
            <w:r>
              <w:rPr>
                <w:rFonts w:ascii="Times New Roman" w:hAnsi="Times New Roman" w:cs="Times New Roman" w:eastAsia="Times New Roman" w:hint="default"/>
                <w:sz w:val="18"/>
                <w:szCs w:val="18"/>
              </w:rPr>
              <w:t>(N35-11304-9)</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0472716.9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1989484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60"/>
              <w:jc w:val="right"/>
              <w:rPr>
                <w:rFonts w:ascii="Times New Roman" w:hAnsi="Times New Roman" w:cs="Times New Roman" w:eastAsia="Times New Roman" w:hint="default"/>
                <w:sz w:val="18"/>
                <w:szCs w:val="18"/>
              </w:rPr>
            </w:pPr>
            <w:r>
              <w:rPr>
                <w:rFonts w:ascii="Times New Roman"/>
                <w:sz w:val="18"/>
              </w:rPr>
              <w:t>2012.7.11</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花插</w:t>
            </w:r>
            <w:r>
              <w:rPr>
                <w:rFonts w:ascii="Times New Roman" w:hAnsi="Times New Roman" w:cs="Times New Roman" w:eastAsia="Times New Roman" w:hint="default"/>
                <w:sz w:val="18"/>
                <w:szCs w:val="18"/>
              </w:rPr>
              <w:t>(N35-10985-9.5)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0472722.4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1988580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2012.7.11</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花插</w:t>
            </w:r>
            <w:r>
              <w:rPr>
                <w:rFonts w:ascii="Times New Roman" w:hAnsi="Times New Roman" w:cs="Times New Roman" w:eastAsia="Times New Roman" w:hint="default"/>
                <w:sz w:val="18"/>
                <w:szCs w:val="18"/>
              </w:rPr>
              <w:t>(G216-16001-16)</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0472720.5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1990855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2012.7.11</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密封罐</w:t>
            </w:r>
            <w:r>
              <w:rPr>
                <w:rFonts w:ascii="Times New Roman" w:hAnsi="Times New Roman" w:cs="Times New Roman" w:eastAsia="Times New Roman" w:hint="default"/>
                <w:sz w:val="18"/>
                <w:szCs w:val="18"/>
              </w:rPr>
              <w:t>(YC001-P25307-8)</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0"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2002419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2012.7.18</w:t>
            </w:r>
          </w:p>
        </w:tc>
      </w:tr>
      <w:tr>
        <w:trPr>
          <w:trHeight w:val="426"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水果盘</w:t>
            </w:r>
            <w:r>
              <w:rPr>
                <w:rFonts w:ascii="Times New Roman" w:hAnsi="Times New Roman" w:cs="Times New Roman" w:eastAsia="Times New Roman" w:hint="default"/>
                <w:sz w:val="18"/>
                <w:szCs w:val="18"/>
              </w:rPr>
              <w:t>(S802-17344-10)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3</w:t>
            </w:r>
            <w:r>
              <w:rPr>
                <w:rFonts w:ascii="Times New Roman"/>
                <w:spacing w:val="-3"/>
                <w:sz w:val="18"/>
              </w:rPr>
              <w:t> </w:t>
            </w:r>
            <w:r>
              <w:rPr>
                <w:rFonts w:ascii="Times New Roman"/>
                <w:sz w:val="18"/>
              </w:rPr>
              <w:t>0472718.8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1991569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2012.7.18</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一种带托架的陶瓷花插</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9" w:right="0"/>
              <w:jc w:val="left"/>
              <w:rPr>
                <w:rFonts w:ascii="Times New Roman" w:hAnsi="Times New Roman" w:cs="Times New Roman" w:eastAsia="Times New Roman" w:hint="default"/>
                <w:sz w:val="18"/>
                <w:szCs w:val="18"/>
              </w:rPr>
            </w:pPr>
            <w:r>
              <w:rPr>
                <w:rFonts w:ascii="Times New Roman"/>
                <w:sz w:val="18"/>
              </w:rPr>
              <w:t>ZL 2011 2</w:t>
            </w:r>
            <w:r>
              <w:rPr>
                <w:rFonts w:ascii="Times New Roman"/>
                <w:spacing w:val="-3"/>
                <w:sz w:val="18"/>
              </w:rPr>
              <w:t> </w:t>
            </w:r>
            <w:r>
              <w:rPr>
                <w:rFonts w:ascii="Times New Roman"/>
                <w:sz w:val="18"/>
              </w:rPr>
              <w:t>0520348.5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2426821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2011-12-14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60"/>
              <w:jc w:val="right"/>
              <w:rPr>
                <w:rFonts w:ascii="Times New Roman" w:hAnsi="Times New Roman" w:cs="Times New Roman" w:eastAsia="Times New Roman" w:hint="default"/>
                <w:sz w:val="18"/>
                <w:szCs w:val="18"/>
              </w:rPr>
            </w:pPr>
            <w:r>
              <w:rPr>
                <w:rFonts w:ascii="Times New Roman"/>
                <w:sz w:val="18"/>
              </w:rPr>
              <w:t>2012.9.26</w:t>
            </w:r>
          </w:p>
        </w:tc>
      </w:tr>
      <w:tr>
        <w:trPr>
          <w:trHeight w:val="739"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622" w:right="80" w:hanging="540"/>
              <w:jc w:val="left"/>
              <w:rPr>
                <w:rFonts w:ascii="宋体" w:hAnsi="宋体" w:cs="宋体" w:eastAsia="宋体" w:hint="default"/>
                <w:sz w:val="18"/>
                <w:szCs w:val="18"/>
              </w:rPr>
            </w:pPr>
            <w:r>
              <w:rPr>
                <w:rFonts w:ascii="宋体" w:hAnsi="宋体" w:cs="宋体" w:eastAsia="宋体" w:hint="default"/>
                <w:sz w:val="18"/>
                <w:szCs w:val="18"/>
              </w:rPr>
              <w:t>一种带有排水功能的陶 瓷茶壶垫</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2</w:t>
            </w:r>
            <w:r>
              <w:rPr>
                <w:rFonts w:ascii="Times New Roman"/>
                <w:spacing w:val="-3"/>
                <w:sz w:val="18"/>
              </w:rPr>
              <w:t> </w:t>
            </w:r>
            <w:r>
              <w:rPr>
                <w:rFonts w:ascii="Times New Roman"/>
                <w:sz w:val="18"/>
              </w:rPr>
              <w:t>0520343.2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2426099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2012.9.26</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一种陶瓷壶</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2</w:t>
            </w:r>
            <w:r>
              <w:rPr>
                <w:rFonts w:ascii="Times New Roman"/>
                <w:spacing w:val="-3"/>
                <w:sz w:val="18"/>
              </w:rPr>
              <w:t> </w:t>
            </w:r>
            <w:r>
              <w:rPr>
                <w:rFonts w:ascii="Times New Roman"/>
                <w:sz w:val="18"/>
              </w:rPr>
              <w:t>0520342.8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2429363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2012.9.26</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一种陶瓷咖啡杯</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2</w:t>
            </w:r>
            <w:r>
              <w:rPr>
                <w:rFonts w:ascii="Times New Roman"/>
                <w:spacing w:val="-3"/>
                <w:sz w:val="18"/>
              </w:rPr>
              <w:t> </w:t>
            </w:r>
            <w:r>
              <w:rPr>
                <w:rFonts w:ascii="Times New Roman"/>
                <w:sz w:val="18"/>
              </w:rPr>
              <w:t>0520344.7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2422325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2012.9.26</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一种陶瓷旅游茶具</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99" w:right="0"/>
              <w:jc w:val="left"/>
              <w:rPr>
                <w:rFonts w:ascii="Times New Roman" w:hAnsi="Times New Roman" w:cs="Times New Roman" w:eastAsia="Times New Roman" w:hint="default"/>
                <w:sz w:val="18"/>
                <w:szCs w:val="18"/>
              </w:rPr>
            </w:pPr>
            <w:r>
              <w:rPr>
                <w:rFonts w:ascii="Times New Roman"/>
                <w:sz w:val="18"/>
              </w:rPr>
              <w:t>ZL 2011 2</w:t>
            </w:r>
            <w:r>
              <w:rPr>
                <w:rFonts w:ascii="Times New Roman"/>
                <w:spacing w:val="-3"/>
                <w:sz w:val="18"/>
              </w:rPr>
              <w:t> </w:t>
            </w:r>
            <w:r>
              <w:rPr>
                <w:rFonts w:ascii="Times New Roman"/>
                <w:sz w:val="18"/>
              </w:rPr>
              <w:t>0520346.6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2420693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2012.9.26</w:t>
            </w:r>
          </w:p>
        </w:tc>
      </w:tr>
      <w:tr>
        <w:trPr>
          <w:trHeight w:val="426"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一种新型陶瓷密封罐</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66" w:right="0"/>
              <w:jc w:val="left"/>
              <w:rPr>
                <w:rFonts w:ascii="Times New Roman" w:hAnsi="Times New Roman" w:cs="Times New Roman" w:eastAsia="Times New Roman" w:hint="default"/>
                <w:sz w:val="18"/>
                <w:szCs w:val="18"/>
              </w:rPr>
            </w:pPr>
            <w:r>
              <w:rPr>
                <w:rFonts w:ascii="Times New Roman"/>
                <w:sz w:val="18"/>
              </w:rPr>
              <w:t>ZL 2011 2</w:t>
            </w:r>
            <w:r>
              <w:rPr>
                <w:rFonts w:ascii="Times New Roman"/>
                <w:spacing w:val="-3"/>
                <w:sz w:val="18"/>
              </w:rPr>
              <w:t> </w:t>
            </w:r>
            <w:r>
              <w:rPr>
                <w:rFonts w:ascii="Times New Roman"/>
                <w:sz w:val="18"/>
              </w:rPr>
              <w:t>0520347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2420103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2011-12-14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60"/>
              <w:jc w:val="right"/>
              <w:rPr>
                <w:rFonts w:ascii="Times New Roman" w:hAnsi="Times New Roman" w:cs="Times New Roman" w:eastAsia="Times New Roman" w:hint="default"/>
                <w:sz w:val="18"/>
                <w:szCs w:val="18"/>
              </w:rPr>
            </w:pPr>
            <w:r>
              <w:rPr>
                <w:rFonts w:ascii="Times New Roman"/>
                <w:sz w:val="18"/>
              </w:rPr>
              <w:t>2012.9.26</w:t>
            </w:r>
          </w:p>
        </w:tc>
      </w:tr>
      <w:tr>
        <w:trPr>
          <w:trHeight w:val="42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23</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一种铜红釉</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5" w:right="0"/>
              <w:jc w:val="left"/>
              <w:rPr>
                <w:rFonts w:ascii="Times New Roman" w:hAnsi="Times New Roman" w:cs="Times New Roman" w:eastAsia="Times New Roman" w:hint="default"/>
                <w:sz w:val="18"/>
                <w:szCs w:val="18"/>
              </w:rPr>
            </w:pPr>
            <w:r>
              <w:rPr>
                <w:rFonts w:ascii="Times New Roman"/>
                <w:sz w:val="18"/>
              </w:rPr>
              <w:t>ZL 2011 1</w:t>
            </w:r>
            <w:r>
              <w:rPr>
                <w:rFonts w:ascii="Times New Roman"/>
                <w:spacing w:val="-16"/>
                <w:sz w:val="18"/>
              </w:rPr>
              <w:t> </w:t>
            </w:r>
            <w:r>
              <w:rPr>
                <w:rFonts w:ascii="Times New Roman"/>
                <w:sz w:val="18"/>
              </w:rPr>
              <w:t>0202845.5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1098268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2011-7-15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6"/>
              <w:jc w:val="right"/>
              <w:rPr>
                <w:rFonts w:ascii="Times New Roman" w:hAnsi="Times New Roman" w:cs="Times New Roman" w:eastAsia="Times New Roman" w:hint="default"/>
                <w:sz w:val="18"/>
                <w:szCs w:val="18"/>
              </w:rPr>
            </w:pPr>
            <w:r>
              <w:rPr>
                <w:rFonts w:ascii="Times New Roman"/>
                <w:sz w:val="18"/>
              </w:rPr>
              <w:t>2012.12.12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92"/>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47,659.18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7,960.69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19,158.39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877.55</w:t>
            </w:r>
            <w:r>
              <w:rPr>
                <w:rFonts w:ascii="Times New Roman"/>
                <w:sz w:val="18"/>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877.55</w:t>
            </w:r>
            <w:r>
              <w:rPr>
                <w:rFonts w:ascii="Times New Roman"/>
                <w:sz w:val="18"/>
              </w:rPr>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12"/>
        <w:rPr>
          <w:rFonts w:ascii="宋体" w:hAnsi="宋体" w:cs="宋体" w:eastAsia="宋体" w:hint="default"/>
          <w:sz w:val="28"/>
          <w:szCs w:val="28"/>
        </w:rPr>
      </w:pPr>
    </w:p>
    <w:p>
      <w:pPr>
        <w:spacing w:line="1338" w:lineRule="exact"/>
        <w:ind w:left="114"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78.45pt;height:66.9pt;mso-position-horizontal-relative:char;mso-position-vertical-relative:line" type="#_x0000_t202" filled="false" stroked="true" strokeweight=".48pt" strokecolor="#000000">
            <w10:anchorlock/>
            <v:textbox inset="0,0,0,0">
              <w:txbxContent>
                <w:p>
                  <w:pPr>
                    <w:pStyle w:val="BodyText"/>
                    <w:spacing w:line="312" w:lineRule="auto" w:before="50"/>
                    <w:ind w:left="22" w:right="23"/>
                    <w:jc w:val="left"/>
                  </w:pPr>
                  <w:r>
                    <w:rPr>
                      <w:spacing w:val="-11"/>
                    </w:rPr>
                    <w:t>公司严格按照《公司法》、《证券法》、《深圳证券交易所创业板股票上市规则》、《深圳证券交易所创业板上市公司规范运作</w:t>
                  </w:r>
                  <w:r>
                    <w:rPr>
                      <w:spacing w:val="-45"/>
                    </w:rPr>
                    <w:t> </w:t>
                  </w:r>
                  <w:r>
                    <w:rPr>
                      <w:spacing w:val="-45"/>
                    </w:rPr>
                  </w:r>
                  <w:r>
                    <w:rPr>
                      <w:spacing w:val="-10"/>
                    </w:rPr>
                    <w:t>指引》、《创业板信息披露业务备忘录第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spacing w:val="-6"/>
                    </w:rPr>
                    <w:t>号</w:t>
                  </w:r>
                  <w:r>
                    <w:rPr>
                      <w:rFonts w:ascii="Times New Roman" w:hAnsi="Times New Roman" w:cs="Times New Roman" w:eastAsia="Times New Roman" w:hint="default"/>
                      <w:spacing w:val="-6"/>
                    </w:rPr>
                    <w:t>—</w:t>
                  </w:r>
                  <w:r>
                    <w:rPr>
                      <w:spacing w:val="-6"/>
                    </w:rPr>
                    <w:t>超募资金使用（修订）》以及中国证监会相关法律法规的规定和要求、《募</w:t>
                  </w:r>
                  <w:r>
                    <w:rPr>
                      <w:spacing w:val="-82"/>
                    </w:rPr>
                    <w:t> </w:t>
                  </w:r>
                  <w:r>
                    <w:rPr>
                      <w:spacing w:val="-82"/>
                    </w:rPr>
                  </w:r>
                  <w:r>
                    <w:rPr>
                      <w:spacing w:val="-1"/>
                    </w:rPr>
                    <w:t>集资金管理制度》等规定使用募集资金，并及时、真实、准确、完整履行相关信息披露工作，不存在违规使用募集资金的</w:t>
                  </w:r>
                  <w:r>
                    <w:rPr>
                      <w:spacing w:val="-66"/>
                    </w:rPr>
                    <w:t> </w:t>
                  </w:r>
                  <w:r>
                    <w:rPr>
                      <w:spacing w:val="-66"/>
                    </w:rPr>
                  </w:r>
                  <w:r>
                    <w:rPr/>
                    <w:t>情形。</w:t>
                  </w:r>
                </w:p>
              </w:txbxContent>
            </v:textbox>
          </v:shape>
        </w:pict>
      </w:r>
      <w:r>
        <w:rPr>
          <w:rFonts w:ascii="宋体" w:hAnsi="宋体" w:cs="宋体" w:eastAsia="宋体" w:hint="default"/>
          <w:position w:val="-26"/>
          <w:sz w:val="20"/>
          <w:szCs w:val="20"/>
        </w:rPr>
      </w:r>
    </w:p>
    <w:p>
      <w:pPr>
        <w:spacing w:line="240" w:lineRule="auto" w:before="7"/>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80"/>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20" w:right="68"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8"/>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创意产品设计中心项 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89.02</w:t>
            </w:r>
            <w:r>
              <w:rPr>
                <w:rFonts w:ascii="Times New Roman"/>
                <w:w w:val="95"/>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555.76</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国内营销体系建设项 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5,964.38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5,964.38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1,123.82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3,438.81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骨质瓷生产线建设项 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6,213.67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6,213.67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747.86</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2,184.32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废弃陶瓷循环利用建 设项目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1,857.05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979.5</w:t>
            </w:r>
            <w:r>
              <w:rPr>
                <w:rFonts w:ascii="Times New Roman"/>
                <w:w w:val="95"/>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16,035.1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15,157.55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1,960.7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7,158.39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61"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河南首期年产 </w:t>
            </w:r>
            <w:r>
              <w:rPr>
                <w:rFonts w:ascii="Times New Roman" w:hAnsi="Times New Roman" w:cs="Times New Roman" w:eastAsia="Times New Roman" w:hint="default"/>
                <w:sz w:val="18"/>
                <w:szCs w:val="18"/>
              </w:rPr>
              <w:t>2000</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万只陶瓷酒瓶建设项</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22,304.95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22,304.95</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5" w:val="left" w:leader="none"/>
              </w:tabs>
              <w:spacing w:line="240" w:lineRule="auto" w:before="50"/>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6,000</w:t>
            </w:r>
            <w:r>
              <w:rPr>
                <w:rFonts w:ascii="Times New Roman"/>
                <w:w w:val="95"/>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5" w:val="left" w:leader="none"/>
              </w:tabs>
              <w:spacing w:line="240" w:lineRule="auto" w:before="50"/>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6,000</w:t>
            </w:r>
            <w:r>
              <w:rPr>
                <w:rFonts w:ascii="Times New Roman"/>
                <w:w w:val="95"/>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6,000</w:t>
            </w:r>
            <w:r>
              <w:rPr>
                <w:rFonts w:ascii="Times New Roman"/>
                <w:w w:val="95"/>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34,304.95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34,304.95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6,000</w:t>
            </w:r>
            <w:r>
              <w:rPr>
                <w:rFonts w:ascii="Times New Roman"/>
                <w:w w:val="95"/>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50,340.05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49,462.5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7,960.7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19,158.39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6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9"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“创意产品设计中心项目”未达到计划进度，原因详见本表“募集资金投资项目实施地点变更</w:t>
            </w:r>
          </w:p>
        </w:tc>
      </w:tr>
      <w:tr>
        <w:trPr>
          <w:trHeight w:val="375"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pacing w:val="-15"/>
                <w:sz w:val="18"/>
                <w:szCs w:val="18"/>
              </w:rPr>
              <w:t>”及</w:t>
            </w:r>
            <w:r>
              <w:rPr>
                <w:rFonts w:ascii="宋体" w:hAnsi="宋体" w:cs="宋体" w:eastAsia="宋体" w:hint="default"/>
                <w:spacing w:val="-2"/>
                <w:sz w:val="18"/>
                <w:szCs w:val="18"/>
              </w:rPr>
              <w:t>“</w:t>
            </w:r>
            <w:r>
              <w:rPr>
                <w:rFonts w:ascii="宋体" w:hAnsi="宋体" w:cs="宋体" w:eastAsia="宋体" w:hint="default"/>
                <w:sz w:val="18"/>
                <w:szCs w:val="18"/>
              </w:rPr>
              <w:t>募集资金投资项目实施方式调整情况</w:t>
            </w:r>
            <w:r>
              <w:rPr>
                <w:rFonts w:ascii="宋体" w:hAnsi="宋体" w:cs="宋体" w:eastAsia="宋体" w:hint="default"/>
                <w:spacing w:val="-14"/>
                <w:sz w:val="18"/>
                <w:szCs w:val="18"/>
              </w:rPr>
              <w:t>”</w:t>
            </w:r>
            <w:r>
              <w:rPr>
                <w:rFonts w:ascii="宋体" w:hAnsi="宋体" w:cs="宋体" w:eastAsia="宋体" w:hint="default"/>
                <w:sz w:val="18"/>
                <w:szCs w:val="18"/>
              </w:rPr>
              <w:t>内容说明</w:t>
            </w:r>
            <w:r>
              <w:rPr>
                <w:rFonts w:ascii="宋体" w:hAnsi="宋体" w:cs="宋体" w:eastAsia="宋体" w:hint="default"/>
                <w:spacing w:val="-105"/>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05"/>
                <w:sz w:val="18"/>
                <w:szCs w:val="18"/>
              </w:rPr>
              <w:t>）</w:t>
            </w:r>
            <w:r>
              <w:rPr>
                <w:rFonts w:ascii="宋体" w:hAnsi="宋体" w:cs="宋体" w:eastAsia="宋体" w:hint="default"/>
                <w:sz w:val="18"/>
                <w:szCs w:val="18"/>
              </w:rPr>
              <w:t>“国内营销体系建设项目</w:t>
            </w:r>
            <w:r>
              <w:rPr>
                <w:rFonts w:ascii="宋体" w:hAnsi="宋体" w:cs="宋体" w:eastAsia="宋体" w:hint="default"/>
                <w:spacing w:val="-15"/>
                <w:sz w:val="18"/>
                <w:szCs w:val="18"/>
              </w:rPr>
              <w:t>”</w:t>
            </w:r>
            <w:r>
              <w:rPr>
                <w:rFonts w:ascii="宋体" w:hAnsi="宋体" w:cs="宋体" w:eastAsia="宋体" w:hint="default"/>
                <w:sz w:val="18"/>
                <w:szCs w:val="18"/>
              </w:rPr>
              <w:t>未达到</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计划进度，在国内营销体系的建设过程中，由于市场环境发生变化，需根据市场实际情况合理安排</w:t>
            </w:r>
          </w:p>
        </w:tc>
      </w:tr>
      <w:tr>
        <w:trPr>
          <w:trHeight w:val="560"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销店面铺设的安排及布局，为保障广大投资者的利益，审慎决策，导致实际建设进度比计划进度要</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慢</w:t>
            </w:r>
            <w:r>
              <w:rPr>
                <w:rFonts w:ascii="宋体" w:hAnsi="宋体" w:cs="宋体" w:eastAsia="宋体" w:hint="default"/>
                <w:spacing w:val="-107"/>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07"/>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骨质瓷生产线建设项目</w:t>
            </w:r>
            <w:r>
              <w:rPr>
                <w:rFonts w:ascii="宋体" w:hAnsi="宋体" w:cs="宋体" w:eastAsia="宋体" w:hint="default"/>
                <w:spacing w:val="-17"/>
                <w:sz w:val="18"/>
                <w:szCs w:val="18"/>
              </w:rPr>
              <w:t>”</w:t>
            </w:r>
            <w:r>
              <w:rPr>
                <w:rFonts w:ascii="宋体" w:hAnsi="宋体" w:cs="宋体" w:eastAsia="宋体" w:hint="default"/>
                <w:sz w:val="18"/>
                <w:szCs w:val="18"/>
              </w:rPr>
              <w:t>未达到计划进度</w:t>
            </w:r>
            <w:r>
              <w:rPr>
                <w:rFonts w:ascii="宋体" w:hAnsi="宋体" w:cs="宋体" w:eastAsia="宋体" w:hint="default"/>
                <w:spacing w:val="-18"/>
                <w:sz w:val="18"/>
                <w:szCs w:val="18"/>
              </w:rPr>
              <w:t>，</w:t>
            </w:r>
            <w:r>
              <w:rPr>
                <w:rFonts w:ascii="宋体" w:hAnsi="宋体" w:cs="宋体" w:eastAsia="宋体" w:hint="default"/>
                <w:sz w:val="18"/>
                <w:szCs w:val="18"/>
              </w:rPr>
              <w:t>由于骨瓷属于高档瓷种</w:t>
            </w:r>
            <w:r>
              <w:rPr>
                <w:rFonts w:ascii="宋体" w:hAnsi="宋体" w:cs="宋体" w:eastAsia="宋体" w:hint="default"/>
                <w:spacing w:val="-17"/>
                <w:sz w:val="18"/>
                <w:szCs w:val="18"/>
              </w:rPr>
              <w:t>，</w:t>
            </w:r>
            <w:r>
              <w:rPr>
                <w:rFonts w:ascii="宋体" w:hAnsi="宋体" w:cs="宋体" w:eastAsia="宋体" w:hint="default"/>
                <w:sz w:val="18"/>
                <w:szCs w:val="18"/>
              </w:rPr>
              <w:t>国内市场目前的消费</w:t>
            </w:r>
          </w:p>
        </w:tc>
      </w:tr>
      <w:tr>
        <w:trPr>
          <w:trHeight w:val="314"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9"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环境决定了消费者对骨瓷产品消费需求的提升需要一个渐进的过程，加之国内营销体系建设的进度</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pt;width:479.2pt;height:683.2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减缓对骨瓷产品销售也产生一定影响</w:t>
                        </w:r>
                        <w:r>
                          <w:rPr>
                            <w:rFonts w:ascii="宋体" w:hAnsi="宋体" w:cs="宋体" w:eastAsia="宋体" w:hint="default"/>
                            <w:spacing w:val="-30"/>
                            <w:sz w:val="18"/>
                            <w:szCs w:val="18"/>
                          </w:rPr>
                          <w:t>，</w:t>
                        </w:r>
                        <w:r>
                          <w:rPr>
                            <w:rFonts w:ascii="宋体" w:hAnsi="宋体" w:cs="宋体" w:eastAsia="宋体" w:hint="default"/>
                            <w:sz w:val="18"/>
                            <w:szCs w:val="18"/>
                          </w:rPr>
                          <w:t>导致此项目实际建设进度比计划进度要慢</w:t>
                        </w:r>
                        <w:r>
                          <w:rPr>
                            <w:rFonts w:ascii="宋体" w:hAnsi="宋体" w:cs="宋体" w:eastAsia="宋体" w:hint="default"/>
                            <w:spacing w:val="-11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19"/>
                            <w:sz w:val="18"/>
                            <w:szCs w:val="18"/>
                          </w:rPr>
                          <w:t>）</w:t>
                        </w:r>
                        <w:r>
                          <w:rPr>
                            <w:rFonts w:ascii="宋体" w:hAnsi="宋体" w:cs="宋体" w:eastAsia="宋体" w:hint="default"/>
                            <w:sz w:val="18"/>
                            <w:szCs w:val="18"/>
                          </w:rPr>
                          <w:t>“废弃陶瓷循</w:t>
                        </w:r>
                        <w:r>
                          <w:rPr>
                            <w:rFonts w:ascii="宋体" w:hAnsi="宋体" w:cs="宋体" w:eastAsia="宋体" w:hint="default"/>
                            <w:sz w:val="18"/>
                            <w:szCs w:val="18"/>
                          </w:rPr>
                          <w:t> 环利用建设项目”已终止，详见本表“项目可行性发生重大变化的情况说明</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14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1.</w:t>
                        </w:r>
                        <w:r>
                          <w:rPr>
                            <w:rFonts w:ascii="宋体" w:hAnsi="宋体" w:cs="宋体" w:eastAsia="宋体" w:hint="default"/>
                            <w:sz w:val="18"/>
                            <w:szCs w:val="18"/>
                          </w:rPr>
                          <w:t>废弃陶瓷市场发生变化。在本项目可行性研究阶段，整个潮州市的 废弃陶瓷基本上是作为工业垃圾倾倒。进入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年之后，由于瓷土原料价格的上涨，以及政府鼓励</w:t>
                        </w:r>
                        <w:r>
                          <w:rPr>
                            <w:rFonts w:ascii="宋体" w:hAnsi="宋体" w:cs="宋体" w:eastAsia="宋体" w:hint="default"/>
                            <w:sz w:val="18"/>
                            <w:szCs w:val="18"/>
                          </w:rPr>
                          <w:t> 资源循环利用各项政策的逐步落实，使废弃陶瓷作为再生资源的经济价值得到提升。产区其他陶瓷 企业也陆续有从事废瓷回收再利用的项目开发，致使废瓷量逐步减少。同时也导致废瓷的回收也有 成本出现。从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年开始，废弃陶瓷的收购价格从之前的零元成本，逐步提高到每吨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而同期再生瓷泥的价格并没有同步上涨。在这种情况下，公司对“废弃陶瓷循环利用建设项目”后 续投资效益进行了重新评估，结论是：由于投产后所需要的废弃陶瓷均需要从市场上采购，在现行 的市场价格每吨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元时，投资效益较差，达不到公司期望的投资回报水平。公司预测，废弃陶瓷的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市场价格从长期来看将呈现稳步提高的态势，本项目存在较大的投资风险。</w:t>
                        </w:r>
                        <w:r>
                          <w:rPr>
                            <w:rFonts w:ascii="Times New Roman" w:hAnsi="Times New Roman" w:cs="Times New Roman" w:eastAsia="Times New Roman" w:hint="default"/>
                            <w:sz w:val="18"/>
                            <w:szCs w:val="18"/>
                          </w:rPr>
                          <w:t>2.</w:t>
                        </w:r>
                        <w:r>
                          <w:rPr>
                            <w:rFonts w:ascii="宋体" w:hAnsi="宋体" w:cs="宋体" w:eastAsia="宋体" w:hint="default"/>
                            <w:sz w:val="18"/>
                            <w:szCs w:val="18"/>
                          </w:rPr>
                          <w:t>前期投资的阶段性目 </w:t>
                        </w:r>
                        <w:r>
                          <w:rPr>
                            <w:rFonts w:ascii="宋体" w:hAnsi="宋体" w:cs="宋体" w:eastAsia="宋体" w:hint="default"/>
                            <w:spacing w:val="-6"/>
                            <w:sz w:val="18"/>
                            <w:szCs w:val="18"/>
                          </w:rPr>
                          <w:t>标基本实现。该项目计划为分期建设，经过前期投资建设，已形成年产再生瓷泥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吨的生产能力</w:t>
                        </w:r>
                        <w:r>
                          <w:rPr>
                            <w:rFonts w:ascii="宋体" w:hAnsi="宋体" w:cs="宋体" w:eastAsia="宋体" w:hint="default"/>
                            <w:spacing w:val="-73"/>
                            <w:sz w:val="18"/>
                            <w:szCs w:val="18"/>
                          </w:rPr>
                          <w:t> </w:t>
                        </w:r>
                        <w:r>
                          <w:rPr>
                            <w:rFonts w:ascii="宋体" w:hAnsi="宋体" w:cs="宋体" w:eastAsia="宋体" w:hint="default"/>
                            <w:sz w:val="18"/>
                            <w:szCs w:val="18"/>
                          </w:rPr>
                          <w:t>它能够完全消化本公司产生及协作工厂产生的所有废弃陶瓷，生产出来的再生瓷泥也由本公司自行 消化，用于生产低端工艺陶瓷产品，既能帮助公司实现绿色生产的战略目标，也能产生一定的经济 效益，基本上达到了预期的阶段性投资目标。</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01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公司超募资金总额为 </w:t>
                        </w:r>
                        <w:r>
                          <w:rPr>
                            <w:rFonts w:ascii="Times New Roman" w:hAnsi="Times New Roman" w:cs="Times New Roman" w:eastAsia="Times New Roman" w:hint="default"/>
                            <w:sz w:val="18"/>
                            <w:szCs w:val="18"/>
                          </w:rPr>
                          <w:t>31,624.08  </w:t>
                        </w:r>
                        <w:r>
                          <w:rPr>
                            <w:rFonts w:ascii="宋体" w:hAnsi="宋体" w:cs="宋体" w:eastAsia="宋体" w:hint="default"/>
                            <w:sz w:val="18"/>
                            <w:szCs w:val="18"/>
                          </w:rPr>
                          <w:t>万元。为提高募集资金的使用效率，降低财务成本，在保证募集资</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金项目建设的资金需求前提下</w:t>
                        </w:r>
                        <w:r>
                          <w:rPr>
                            <w:rFonts w:ascii="宋体" w:hAnsi="宋体" w:cs="宋体" w:eastAsia="宋体" w:hint="default"/>
                            <w:spacing w:val="-10"/>
                            <w:sz w:val="18"/>
                            <w:szCs w:val="18"/>
                          </w:rPr>
                          <w:t>，</w:t>
                        </w:r>
                        <w:r>
                          <w:rPr>
                            <w:rFonts w:ascii="宋体" w:hAnsi="宋体" w:cs="宋体" w:eastAsia="宋体" w:hint="default"/>
                            <w:sz w:val="18"/>
                            <w:szCs w:val="18"/>
                          </w:rPr>
                          <w:t>公司将超募资金的金额</w:t>
                        </w:r>
                        <w:r>
                          <w:rPr>
                            <w:rFonts w:ascii="宋体" w:hAnsi="宋体" w:cs="宋体" w:eastAsia="宋体" w:hint="default"/>
                            <w:spacing w:val="-10"/>
                            <w:sz w:val="18"/>
                            <w:szCs w:val="18"/>
                          </w:rPr>
                          <w:t>、</w:t>
                        </w:r>
                        <w:r>
                          <w:rPr>
                            <w:rFonts w:ascii="宋体" w:hAnsi="宋体" w:cs="宋体" w:eastAsia="宋体" w:hint="default"/>
                            <w:sz w:val="18"/>
                            <w:szCs w:val="18"/>
                          </w:rPr>
                          <w:t>用途及使用进展情况如下</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宋体" w:hAnsi="宋体" w:cs="宋体" w:eastAsia="宋体" w:hint="default"/>
                            <w:sz w:val="18"/>
                            <w:szCs w:val="18"/>
                          </w:rPr>
                          <w:t>日，经公司第一届董事会第十六次会议和第一届监事会第九次会议审议通过，使用超募资金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中的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万元资金用于提前归还银行贷款，公司保荐机构广发证券股份有限公司以及全体独立董</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pacing w:val="-2"/>
                            <w:sz w:val="18"/>
                            <w:szCs w:val="18"/>
                          </w:rPr>
                          <w:t>事对此均出具了同意意见。该</w:t>
                        </w:r>
                        <w:r>
                          <w:rPr>
                            <w:rFonts w:ascii="宋体" w:hAnsi="宋体" w:cs="宋体" w:eastAsia="宋体" w:hint="default"/>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pacing w:val="-9"/>
                            <w:sz w:val="18"/>
                            <w:szCs w:val="18"/>
                          </w:rPr>
                          <w:t>万元贷款已归还。（</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日，经公司第二届董事会</w:t>
                        </w:r>
                        <w:r>
                          <w:rPr>
                            <w:rFonts w:ascii="宋体" w:hAnsi="宋体" w:cs="宋体" w:eastAsia="宋体" w:hint="default"/>
                            <w:sz w:val="18"/>
                            <w:szCs w:val="18"/>
                          </w:rPr>
                          <w:t> 第八次会议决议和第二届监事会第七次会议决议审议通过《关于使用部分超募资金永久补充流动资 </w:t>
                        </w:r>
                        <w:r>
                          <w:rPr>
                            <w:rFonts w:ascii="宋体" w:hAnsi="宋体" w:cs="宋体" w:eastAsia="宋体" w:hint="default"/>
                            <w:spacing w:val="-9"/>
                            <w:sz w:val="18"/>
                            <w:szCs w:val="18"/>
                          </w:rPr>
                          <w:t>金的议案》，以超募资金中的</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6,000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万元永久性补充流动资金，公司保荐机构广发证券股份有限公司</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以及全体独立董事对此均出具了同意意见。</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年第二次临时股东大会决议</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通过该议案</w:t>
                        </w:r>
                        <w:r>
                          <w:rPr>
                            <w:rFonts w:ascii="宋体" w:hAnsi="宋体" w:cs="宋体" w:eastAsia="宋体" w:hint="default"/>
                            <w:spacing w:val="-22"/>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该部分超募资金已经用于公司流动资金的补充</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2"/>
                            <w:sz w:val="18"/>
                            <w:szCs w:val="18"/>
                          </w:rPr>
                          <w:t>）</w:t>
                        </w:r>
                        <w:r>
                          <w:rPr>
                            <w:rFonts w:ascii="宋体" w:hAnsi="宋体" w:cs="宋体" w:eastAsia="宋体" w:hint="default"/>
                            <w:sz w:val="18"/>
                            <w:szCs w:val="18"/>
                          </w:rPr>
                          <w:t>为开拓</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国内陶瓷市场，实现内外需市场均衡化发展，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日，公司召开的第二届董事会第十次</w:t>
                        </w:r>
                      </w:p>
                      <w:p>
                        <w:pPr>
                          <w:pStyle w:val="TableParagraph"/>
                          <w:spacing w:line="309"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会议、第二届监事会第九次会议审议通过了《关于河南首期年产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万只陶瓷酒瓶建设项目的议 </w:t>
                        </w:r>
                        <w:r>
                          <w:rPr>
                            <w:rFonts w:ascii="宋体" w:hAnsi="宋体" w:cs="宋体" w:eastAsia="宋体" w:hint="default"/>
                            <w:spacing w:val="-5"/>
                            <w:sz w:val="18"/>
                            <w:szCs w:val="18"/>
                          </w:rPr>
                          <w:t>案》，本项目投资资金拟使用公司上市超募资金中的剩余资金及自筹资金。其中，使用剩余超募资金</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19,624.08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万元、因“废弃陶瓷循环利用建设项目”终止而尚未使用募集项目资金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877.55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309" w:lineRule="auto" w:before="5"/>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1,803.32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22,304.95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万元，其余为自筹资金。公司保荐 机构广发证券股份有限公司出具了无异议的核查意见及独立董事已经对该事项发表了独立意见同意 上述事项。</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pacing w:val="-4"/>
                            <w:sz w:val="18"/>
                            <w:szCs w:val="18"/>
                          </w:rPr>
                          <w:t>年第三次临时股东大会决议通过该议案。（</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日，剩余超募资金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19,624.08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万元、因“废弃陶瓷循环利用建设项目”终止而尚未使用募</w:t>
                        </w:r>
                      </w:p>
                      <w:p>
                        <w:pPr>
                          <w:pStyle w:val="TableParagraph"/>
                          <w:spacing w:line="300" w:lineRule="auto" w:before="63"/>
                          <w:ind w:left="22" w:right="77"/>
                          <w:jc w:val="both"/>
                          <w:rPr>
                            <w:rFonts w:ascii="宋体" w:hAnsi="宋体" w:cs="宋体" w:eastAsia="宋体" w:hint="default"/>
                            <w:sz w:val="18"/>
                            <w:szCs w:val="18"/>
                          </w:rPr>
                        </w:pPr>
                        <w:r>
                          <w:rPr>
                            <w:rFonts w:ascii="宋体" w:hAnsi="宋体" w:cs="宋体" w:eastAsia="宋体" w:hint="default"/>
                            <w:sz w:val="18"/>
                            <w:szCs w:val="18"/>
                          </w:rPr>
                          <w:t>集项目资金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877.55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万元及募集资金利息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1,811.88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22,313.51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万元，均存放在公司银行募 集资金专户中。</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610"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22"/>
                          <w:jc w:val="both"/>
                          <w:rPr>
                            <w:rFonts w:ascii="宋体" w:hAnsi="宋体" w:cs="宋体" w:eastAsia="宋体" w:hint="default"/>
                            <w:sz w:val="18"/>
                            <w:szCs w:val="18"/>
                          </w:rPr>
                        </w:pPr>
                        <w:r>
                          <w:rPr>
                            <w:rFonts w:ascii="宋体" w:hAnsi="宋体" w:cs="宋体" w:eastAsia="宋体" w:hint="default"/>
                            <w:sz w:val="18"/>
                            <w:szCs w:val="18"/>
                          </w:rPr>
                          <w:t>“创意产品设计中心建设项目”原计划项目实施的地点为潮州与深圳两市。为了尽快招聘到合格的 </w:t>
                        </w:r>
                        <w:r>
                          <w:rPr>
                            <w:rFonts w:ascii="宋体" w:hAnsi="宋体" w:cs="宋体" w:eastAsia="宋体" w:hint="default"/>
                            <w:spacing w:val="-3"/>
                            <w:sz w:val="18"/>
                            <w:szCs w:val="18"/>
                          </w:rPr>
                          <w:t>工业设计师人才，结合公司国内营销网络的拓展</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日，经公司第二届董事会第八次会议</w:t>
                        </w:r>
                        <w:r>
                          <w:rPr>
                            <w:rFonts w:ascii="宋体" w:hAnsi="宋体" w:cs="宋体" w:eastAsia="宋体" w:hint="default"/>
                            <w:sz w:val="18"/>
                            <w:szCs w:val="18"/>
                          </w:rPr>
                          <w:t> </w:t>
                        </w:r>
                        <w:r>
                          <w:rPr>
                            <w:rFonts w:ascii="宋体" w:hAnsi="宋体" w:cs="宋体" w:eastAsia="宋体" w:hint="default"/>
                            <w:spacing w:val="-5"/>
                            <w:sz w:val="18"/>
                            <w:szCs w:val="18"/>
                          </w:rPr>
                          <w:t>决议和第二届监事会第七次会议决议审议通过《关于调整募投项目实施计划的议案》，将项目实施地</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点从潮州、深圳两市，扩展到北京、上海、成都等设计人才较为密集的城市，在这些城市建立设计 中心。公司保荐机构广发证券股份有限公司以及全体独立董事出具同意意见。</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left="0" w:right="118"/>
        <w:jc w:val="right"/>
      </w:pPr>
      <w:r>
        <w:rPr/>
        <w:t>。</w:t>
      </w:r>
    </w:p>
    <w:p>
      <w:pPr>
        <w:spacing w:after="0" w:line="240" w:lineRule="auto"/>
        <w:jc w:val="right"/>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9"/>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年第二次临时股东大会决议通过该议案。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27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2" w:firstLine="90"/>
              <w:jc w:val="both"/>
              <w:rPr>
                <w:rFonts w:ascii="宋体" w:hAnsi="宋体" w:cs="宋体" w:eastAsia="宋体" w:hint="default"/>
                <w:sz w:val="18"/>
                <w:szCs w:val="18"/>
              </w:rPr>
            </w:pPr>
            <w:r>
              <w:rPr>
                <w:rFonts w:ascii="宋体" w:hAnsi="宋体" w:cs="宋体" w:eastAsia="宋体" w:hint="default"/>
                <w:sz w:val="18"/>
                <w:szCs w:val="18"/>
              </w:rPr>
              <w:t>“创意产品设计中心项目” 原计划时间从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年开始至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月完成项目建设，由于设计中 心所需的设计团队人才比较高端和稀缺，以及公司在北京、上海建立运营中心的国内市场拓展计划 放缓，导致项目的人才招聘进度较慢，相应的专业设备更新投资速度也放缓。</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15"/>
                <w:sz w:val="18"/>
                <w:szCs w:val="18"/>
              </w:rPr>
              <w:t>日，经</w:t>
            </w:r>
            <w:r>
              <w:rPr>
                <w:rFonts w:ascii="宋体" w:hAnsi="宋体" w:cs="宋体" w:eastAsia="宋体" w:hint="default"/>
                <w:sz w:val="18"/>
                <w:szCs w:val="18"/>
              </w:rPr>
              <w:t> 公司第二届董事会第八次会议决议和第二届监事会第七次会议决议审议通过《关于调整募投项目实 </w:t>
            </w:r>
            <w:r>
              <w:rPr>
                <w:rFonts w:ascii="宋体" w:hAnsi="宋体" w:cs="宋体" w:eastAsia="宋体" w:hint="default"/>
                <w:spacing w:val="-4"/>
                <w:sz w:val="18"/>
                <w:szCs w:val="18"/>
              </w:rPr>
              <w:t>施计划的议案》，将该项目实施进度延长一年，调整后计划于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月实施完成，原调整金额不</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变。公司保荐机构广发证券股份有限公司以及全体独立董事出具同意意见。</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年第二次临时股东大会决议通过该议案。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pacing w:val="-1"/>
                <w:sz w:val="18"/>
                <w:szCs w:val="18"/>
              </w:rPr>
              <w:t>为保证各募集资金项目得以顺利实施，公司在募集资金到位前已先行投入部分自筹资金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进行募集资</w:t>
            </w:r>
            <w:r>
              <w:rPr>
                <w:rFonts w:ascii="宋体" w:hAnsi="宋体" w:cs="宋体" w:eastAsia="宋体" w:hint="default"/>
                <w:sz w:val="18"/>
                <w:szCs w:val="18"/>
              </w:rPr>
              <w:t> 金投资项目的建设。</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日，公司第一届董事会第十五次会议和第一届监事会第八次会</w:t>
            </w:r>
          </w:p>
          <w:p>
            <w:pPr>
              <w:pStyle w:val="TableParagraph"/>
              <w:spacing w:line="300" w:lineRule="auto" w:before="13"/>
              <w:ind w:left="22" w:right="22"/>
              <w:jc w:val="left"/>
              <w:rPr>
                <w:rFonts w:ascii="宋体" w:hAnsi="宋体" w:cs="宋体" w:eastAsia="宋体" w:hint="default"/>
                <w:sz w:val="18"/>
                <w:szCs w:val="18"/>
              </w:rPr>
            </w:pPr>
            <w:r>
              <w:rPr>
                <w:rFonts w:ascii="宋体" w:hAnsi="宋体" w:cs="宋体" w:eastAsia="宋体" w:hint="default"/>
                <w:sz w:val="18"/>
                <w:szCs w:val="18"/>
              </w:rPr>
              <w:t>议审议通过，将募集资金</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36,781,500.00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元置换预先已投入募集资金投资项目的自筹资金。公司保荐 机构广发证券股份有限公司以及全体独立董事对此均出具了同意意见。</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2"/>
              <w:jc w:val="center"/>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2"/>
              <w:jc w:val="center"/>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49"/>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p>
            <w:pPr>
              <w:pStyle w:val="TableParagraph"/>
              <w:spacing w:line="240" w:lineRule="auto" w:before="23"/>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创意产品设 计中心项目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创意产品设 计中心项目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2,000</w:t>
            </w:r>
            <w:r>
              <w:rPr>
                <w:rFonts w:ascii="Times New Roman"/>
                <w:w w:val="95"/>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废弃陶瓷循 环利用建设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废弃陶瓷循 环利用建设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979.5</w:t>
            </w:r>
            <w:r>
              <w:rPr>
                <w:rFonts w:ascii="Times New Roman"/>
                <w:w w:val="95"/>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2,979.5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89.02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1,535.26</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297"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2"/>
              <w:jc w:val="both"/>
              <w:rPr>
                <w:rFonts w:ascii="宋体" w:hAnsi="宋体" w:cs="宋体" w:eastAsia="宋体" w:hint="default"/>
                <w:sz w:val="18"/>
                <w:szCs w:val="18"/>
              </w:rPr>
            </w:pPr>
            <w:r>
              <w:rPr>
                <w:rFonts w:ascii="宋体" w:hAnsi="宋体" w:cs="宋体" w:eastAsia="宋体" w:hint="default"/>
                <w:sz w:val="18"/>
                <w:szCs w:val="18"/>
              </w:rPr>
              <w:t>一、创意产品设计中心项目：变更原因：原计划项目实施的地点为潮州与深圳两市。 </w:t>
            </w:r>
            <w:r>
              <w:rPr>
                <w:rFonts w:ascii="宋体" w:hAnsi="宋体" w:cs="宋体" w:eastAsia="宋体" w:hint="default"/>
                <w:spacing w:val="-3"/>
                <w:sz w:val="18"/>
                <w:szCs w:val="18"/>
              </w:rPr>
              <w:t>为了尽快招聘到合格的工业设计师人才，结合公司国内营销网络的拓展</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日，经公司第二届董事会第八次会议决议和第二届监事会第七次会议决议审议通过</w:t>
            </w:r>
          </w:p>
          <w:p>
            <w:pPr>
              <w:pStyle w:val="TableParagraph"/>
              <w:spacing w:line="240" w:lineRule="auto" w:before="24"/>
              <w:ind w:left="22" w:right="0"/>
              <w:jc w:val="both"/>
              <w:rPr>
                <w:rFonts w:ascii="宋体" w:hAnsi="宋体" w:cs="宋体" w:eastAsia="宋体" w:hint="default"/>
                <w:sz w:val="18"/>
                <w:szCs w:val="18"/>
              </w:rPr>
            </w:pPr>
            <w:r>
              <w:rPr>
                <w:rFonts w:ascii="宋体" w:hAnsi="宋体" w:cs="宋体" w:eastAsia="宋体" w:hint="default"/>
                <w:sz w:val="18"/>
                <w:szCs w:val="18"/>
              </w:rPr>
              <w:t>《关于调整募投项目实施计划的议案</w:t>
            </w:r>
            <w:r>
              <w:rPr>
                <w:rFonts w:ascii="宋体" w:hAnsi="宋体" w:cs="宋体" w:eastAsia="宋体" w:hint="default"/>
                <w:spacing w:val="-90"/>
                <w:sz w:val="18"/>
                <w:szCs w:val="18"/>
              </w:rPr>
              <w:t>》</w:t>
            </w:r>
            <w:r>
              <w:rPr>
                <w:rFonts w:ascii="宋体" w:hAnsi="宋体" w:cs="宋体" w:eastAsia="宋体" w:hint="default"/>
                <w:sz w:val="18"/>
                <w:szCs w:val="18"/>
              </w:rPr>
              <w:t>，将项目实施地点从潮州、深圳两市，扩展到</w:t>
            </w:r>
          </w:p>
        </w:tc>
      </w:tr>
    </w:tbl>
    <w:p>
      <w:pPr>
        <w:spacing w:after="0" w:line="240" w:lineRule="auto"/>
        <w:jc w:val="both"/>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73"/>
        <w:gridCol w:w="6697"/>
      </w:tblGrid>
      <w:tr>
        <w:trPr>
          <w:trHeight w:val="8786"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both"/>
              <w:rPr>
                <w:rFonts w:ascii="宋体" w:hAnsi="宋体" w:cs="宋体" w:eastAsia="宋体" w:hint="default"/>
                <w:sz w:val="18"/>
                <w:szCs w:val="18"/>
              </w:rPr>
            </w:pPr>
            <w:r>
              <w:rPr>
                <w:rFonts w:ascii="宋体" w:hAnsi="宋体" w:cs="宋体" w:eastAsia="宋体" w:hint="default"/>
                <w:spacing w:val="-1"/>
                <w:sz w:val="18"/>
                <w:szCs w:val="18"/>
              </w:rPr>
              <w:t>北京、上海、成都等设计人才较为密集的城市，在这些城市建立设计中心；原计划时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间从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年开始至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月完成项目建设，由于设计中心所需的设计团队人才比 </w:t>
            </w:r>
            <w:r>
              <w:rPr>
                <w:rFonts w:ascii="宋体" w:hAnsi="宋体" w:cs="宋体" w:eastAsia="宋体" w:hint="default"/>
                <w:spacing w:val="-1"/>
                <w:sz w:val="18"/>
                <w:szCs w:val="18"/>
              </w:rPr>
              <w:t>较高端和稀缺，以及公司在北京、上海建立运营中心的国内市场拓展计划放缓，导致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项目的人才招聘进度较慢，相应的专业设备更新投资速度也放缓，将该项目实施进度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延长一年，调整后计划于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月实施完成。决策程序：公司已分别于公司第二</w:t>
            </w:r>
          </w:p>
          <w:p>
            <w:pPr>
              <w:pStyle w:val="TableParagraph"/>
              <w:spacing w:line="309"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届董事会第八次会议及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年第二次临时股东大会审议通过《关于调整募投项目实 </w:t>
            </w:r>
            <w:r>
              <w:rPr>
                <w:rFonts w:ascii="宋体" w:hAnsi="宋体" w:cs="宋体" w:eastAsia="宋体" w:hint="default"/>
                <w:spacing w:val="-3"/>
                <w:sz w:val="18"/>
                <w:szCs w:val="18"/>
              </w:rPr>
              <w:t>施计划的议案》，决定终止该募投项目投资。公司保荐机构广发证券股份有限公司以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及全体独立董事出具同意意见。信息披露情况：公司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日在巨潮资讯网 </w:t>
            </w:r>
            <w:r>
              <w:rPr>
                <w:rFonts w:ascii="宋体" w:hAnsi="宋体" w:cs="宋体" w:eastAsia="宋体" w:hint="default"/>
                <w:spacing w:val="-1"/>
                <w:sz w:val="18"/>
                <w:szCs w:val="18"/>
              </w:rPr>
              <w:t>上披露了《关于调整募投项目实施计划的公告》等文件。二、废弃陶瓷循环利用建设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项目：变更原因：</w:t>
            </w:r>
            <w:r>
              <w:rPr>
                <w:rFonts w:ascii="Times New Roman" w:hAnsi="Times New Roman" w:cs="Times New Roman" w:eastAsia="Times New Roman" w:hint="default"/>
                <w:sz w:val="18"/>
                <w:szCs w:val="18"/>
              </w:rPr>
              <w:t>1.</w:t>
            </w:r>
            <w:r>
              <w:rPr>
                <w:rFonts w:ascii="宋体" w:hAnsi="宋体" w:cs="宋体" w:eastAsia="宋体" w:hint="default"/>
                <w:sz w:val="18"/>
                <w:szCs w:val="18"/>
              </w:rPr>
              <w:t>废弃陶瓷市场发生变化。在本项目可行性研究阶段，整个潮州市 的废弃陶瓷基本上是作为工业垃圾倾倒。进入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年之后，由于瓷土原料价格的上 </w:t>
            </w:r>
            <w:r>
              <w:rPr>
                <w:rFonts w:ascii="宋体" w:hAnsi="宋体" w:cs="宋体" w:eastAsia="宋体" w:hint="default"/>
                <w:spacing w:val="-1"/>
                <w:sz w:val="18"/>
                <w:szCs w:val="18"/>
              </w:rPr>
              <w:t>涨，以及政府鼓励资源循环利用各项政策的逐步落实，使废弃陶瓷作为再生资源的经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济价值得到提升。产区其他陶瓷企业也陆续有从事废瓷回收再利用的项目开发，致使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废瓷量逐步减少。同时也导致废瓷的回收也有成本出现。从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年开始，废弃陶瓷</w:t>
            </w:r>
          </w:p>
          <w:p>
            <w:pPr>
              <w:pStyle w:val="TableParagraph"/>
              <w:spacing w:line="309" w:lineRule="auto" w:before="5"/>
              <w:ind w:left="22" w:right="2"/>
              <w:jc w:val="left"/>
              <w:rPr>
                <w:rFonts w:ascii="宋体" w:hAnsi="宋体" w:cs="宋体" w:eastAsia="宋体" w:hint="default"/>
                <w:sz w:val="18"/>
                <w:szCs w:val="18"/>
              </w:rPr>
            </w:pPr>
            <w:r>
              <w:rPr>
                <w:rFonts w:ascii="宋体" w:hAnsi="宋体" w:cs="宋体" w:eastAsia="宋体" w:hint="default"/>
                <w:sz w:val="18"/>
                <w:szCs w:val="18"/>
              </w:rPr>
              <w:t>的收购价格从之前的零元成本，逐步提高到每吨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80-100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元，而同期再生瓷泥的价格并</w:t>
            </w:r>
            <w:r>
              <w:rPr>
                <w:rFonts w:ascii="宋体" w:hAnsi="宋体" w:cs="宋体" w:eastAsia="宋体" w:hint="default"/>
                <w:sz w:val="18"/>
                <w:szCs w:val="18"/>
              </w:rPr>
              <w:t> 没有同步上涨。在这种情况下，公司对“废弃陶瓷循环利用建设项目”后续投资效益 进行了重新评估，结论是：由于投产后所需要的废弃陶瓷均需要从市场上采购，在现 行的市场价格每吨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 </w:t>
            </w:r>
            <w:r>
              <w:rPr>
                <w:rFonts w:ascii="宋体" w:hAnsi="宋体" w:cs="宋体" w:eastAsia="宋体" w:hint="default"/>
                <w:sz w:val="18"/>
                <w:szCs w:val="18"/>
              </w:rPr>
              <w:t>元时，投资效益较差，达不到公司期望的投资回报水平。公司 预测，废弃陶瓷的市场价格从长期来看将呈现稳步提高的态势，本项目存在较大的投 资风险。</w:t>
            </w:r>
            <w:r>
              <w:rPr>
                <w:rFonts w:ascii="Times New Roman" w:hAnsi="Times New Roman" w:cs="Times New Roman" w:eastAsia="Times New Roman" w:hint="default"/>
                <w:sz w:val="18"/>
                <w:szCs w:val="18"/>
              </w:rPr>
              <w:t>2.</w:t>
            </w:r>
            <w:r>
              <w:rPr>
                <w:rFonts w:ascii="宋体" w:hAnsi="宋体" w:cs="宋体" w:eastAsia="宋体" w:hint="default"/>
                <w:sz w:val="18"/>
                <w:szCs w:val="18"/>
              </w:rPr>
              <w:t>前期投资的阶段性目标基本实现。该项目计划为分期建设，经过前期投资 建设，已形成年产再生瓷泥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吨的生产能力。它能够完全消化本公司产生及协作 工厂产生的所有废弃陶瓷，生产出来的再生瓷泥也由本公司自行消化，用于生产低端 工艺陶瓷产品，既能帮助公司实现绿色生产的战略目标，也能产生一定的经济效益， 基本上达到了预期的阶段性投资目标。决策程序：公司已分别于公司第二届董事会第 八次会议及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pacing w:val="-3"/>
                <w:sz w:val="18"/>
                <w:szCs w:val="18"/>
              </w:rPr>
              <w:t>年第二次临时股东大会审议通过《关于终止个别募投项目的议案》，</w:t>
            </w:r>
            <w:r>
              <w:rPr>
                <w:rFonts w:ascii="宋体" w:hAnsi="宋体" w:cs="宋体" w:eastAsia="宋体" w:hint="default"/>
                <w:sz w:val="18"/>
                <w:szCs w:val="18"/>
              </w:rPr>
              <w:t> 决定终止该募投项目投资。公司保荐机构广发证券股份有限公司以及全体独立董事出 具同意意见。信息披露情况：公司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日在巨潮资讯网上披露了《关于终 止个别募投项目的公告》等文件。</w:t>
            </w:r>
          </w:p>
        </w:tc>
      </w:tr>
      <w:tr>
        <w:trPr>
          <w:trHeight w:val="1026"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）“创意产品设计中心项目”未达到计划进度或预计收益是由于项目实施地点变更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以及项目实施时间延长。（</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）“废弃陶瓷循环利用建设项目”未达到计划进度或预计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收益是由于该项目已提前终止。</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“废弃陶瓷循环利用建设项目”变更后不再继续施行，提前终止。</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360" w:hRule="exact"/>
        </w:trPr>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河南首期年产 </w:t>
            </w:r>
            <w:r>
              <w:rPr>
                <w:rFonts w:ascii="Times New Roman" w:hAnsi="Times New Roman" w:cs="Times New Roman" w:eastAsia="Times New Roman" w:hint="default"/>
                <w:sz w:val="18"/>
                <w:szCs w:val="18"/>
              </w:rPr>
              <w:t>2000</w:t>
            </w: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万只陶瓷酒瓶建设</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10,069.05</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1594" w:type="dxa"/>
            <w:vMerge/>
            <w:tcBorders>
              <w:left w:val="single" w:sz="4" w:space="0" w:color="000000"/>
              <w:right w:val="single" w:sz="4" w:space="0" w:color="000000"/>
            </w:tcBorders>
          </w:tcPr>
          <w:p>
            <w:pPr/>
          </w:p>
        </w:tc>
      </w:tr>
      <w:tr>
        <w:trPr>
          <w:trHeight w:val="354" w:hRule="exact"/>
        </w:trPr>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1"/>
                <w:szCs w:val="11"/>
              </w:rPr>
            </w:pPr>
            <w:r>
              <w:rPr>
                <w:rFonts w:ascii="Times New Roman"/>
                <w:sz w:val="18"/>
              </w:rPr>
              <w:t>10,069.05</w:t>
            </w:r>
            <w:r>
              <w:rPr>
                <w:rFonts w:ascii="Times New Roman"/>
                <w:color w:val="FF0000"/>
                <w:position w:val="6"/>
                <w:sz w:val="11"/>
              </w:rPr>
              <w:t>1</w:t>
            </w:r>
            <w:r>
              <w:rPr>
                <w:rFonts w:ascii="Times New Roman"/>
                <w:sz w:val="1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5"/>
          <w:pgSz w:w="11910" w:h="16840"/>
          <w:pgMar w:footer="980" w:header="747" w:top="1060" w:bottom="1160" w:left="1020" w:right="1020"/>
        </w:sectPr>
      </w:pPr>
    </w:p>
    <w:p>
      <w:pPr>
        <w:spacing w:line="240" w:lineRule="auto" w:before="3"/>
        <w:rPr>
          <w:rFonts w:ascii="宋体" w:hAnsi="宋体" w:cs="宋体" w:eastAsia="宋体" w:hint="default"/>
          <w:sz w:val="28"/>
          <w:szCs w:val="28"/>
        </w:rPr>
      </w:pPr>
    </w:p>
    <w:p>
      <w:pPr>
        <w:spacing w:line="2690" w:lineRule="exact"/>
        <w:ind w:left="104" w:right="0" w:firstLine="0"/>
        <w:rPr>
          <w:rFonts w:ascii="宋体" w:hAnsi="宋体" w:cs="宋体" w:eastAsia="宋体" w:hint="default"/>
          <w:sz w:val="20"/>
          <w:szCs w:val="20"/>
        </w:rPr>
      </w:pPr>
      <w:r>
        <w:rPr>
          <w:rFonts w:ascii="宋体" w:hAnsi="宋体" w:cs="宋体" w:eastAsia="宋体" w:hint="default"/>
          <w:position w:val="-53"/>
          <w:sz w:val="20"/>
          <w:szCs w:val="20"/>
        </w:rPr>
        <w:pict>
          <v:group style="width:479.3pt;height:134.550pt;mso-position-horizontal-relative:char;mso-position-vertical-relative:line" coordorigin="0,0" coordsize="9586,2691">
            <v:group style="position:absolute;left:14;top:14;width:9558;height:394" coordorigin="14,14" coordsize="9558,394">
              <v:shape style="position:absolute;left:14;top:14;width:9558;height:394" coordorigin="14,14" coordsize="9558,394" path="m14,408l9572,408,9572,14,14,14,14,408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2;width:9576;height:2" coordorigin="5,412" coordsize="9576,2">
              <v:shape style="position:absolute;left:5;top:412;width:9576;height:2" coordorigin="5,412" coordsize="9576,0" path="m5,412l9581,412e" filled="false" stroked="true" strokeweight=".48pt" strokecolor="#000000">
                <v:path arrowok="t"/>
              </v:shape>
            </v:group>
            <v:group style="position:absolute;left:5;top:2686;width:9576;height:2" coordorigin="5,2686" coordsize="9576,2">
              <v:shape style="position:absolute;left:5;top:2686;width:9576;height:2" coordorigin="5,2686" coordsize="9576,0" path="m5,2686l9581,2686e" filled="false" stroked="true" strokeweight=".48pt" strokecolor="#000000">
                <v:path arrowok="t"/>
              </v:shape>
            </v:group>
            <v:group style="position:absolute;left:10;top:5;width:2;height:2676" coordorigin="10,5" coordsize="2,2676">
              <v:shape style="position:absolute;left:10;top:5;width:2;height:2676" coordorigin="10,5" coordsize="0,2676" path="m10,5l10,2681e" filled="false" stroked="true" strokeweight=".48pt" strokecolor="#000000">
                <v:path arrowok="t"/>
              </v:shape>
            </v:group>
            <v:group style="position:absolute;left:9576;top:5;width:2;height:2676" coordorigin="9576,5" coordsize="2,2676">
              <v:shape style="position:absolute;left:9576;top:5;width:2;height:2676" coordorigin="9576,5" coordsize="0,2676" path="m9576,5l9576,2681e" filled="false" stroked="true" strokeweight=".48pt" strokecolor="#000000">
                <v:path arrowok="t"/>
              </v:shape>
              <v:shape style="position:absolute;left:10;top:10;width:9567;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xbxContent>
                </v:textbox>
                <w10:wrap type="none"/>
              </v:shape>
              <v:shape style="position:absolute;left:10;top:412;width:9567;height:2274" type="#_x0000_t202" filled="false" stroked="false">
                <v:textbox inset="0,0,0,0">
                  <w:txbxContent>
                    <w:p>
                      <w:pPr>
                        <w:spacing w:before="55"/>
                        <w:ind w:left="387" w:right="0" w:firstLine="0"/>
                        <w:jc w:val="left"/>
                        <w:rPr>
                          <w:rFonts w:ascii="宋体" w:hAnsi="宋体" w:cs="宋体" w:eastAsia="宋体" w:hint="default"/>
                          <w:sz w:val="18"/>
                          <w:szCs w:val="18"/>
                        </w:rPr>
                      </w:pPr>
                      <w:r>
                        <w:rPr>
                          <w:rFonts w:ascii="宋体" w:hAnsi="宋体" w:cs="宋体" w:eastAsia="宋体" w:hint="default"/>
                          <w:sz w:val="18"/>
                          <w:szCs w:val="18"/>
                        </w:rPr>
                        <w:t>为开拓国内陶瓷市场，实现内外需市场均衡化发展，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日，公司召开的第二届董事会第十次会议、第二</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届监事会第九次会议审议通过</w:t>
                      </w:r>
                      <w:r>
                        <w:rPr>
                          <w:rFonts w:ascii="宋体" w:hAnsi="宋体" w:cs="宋体" w:eastAsia="宋体" w:hint="default"/>
                          <w:spacing w:val="-15"/>
                          <w:sz w:val="18"/>
                          <w:szCs w:val="18"/>
                        </w:rPr>
                        <w:t>了</w:t>
                      </w:r>
                      <w:r>
                        <w:rPr>
                          <w:rFonts w:ascii="宋体" w:hAnsi="宋体" w:cs="宋体" w:eastAsia="宋体" w:hint="default"/>
                          <w:sz w:val="18"/>
                          <w:szCs w:val="18"/>
                        </w:rPr>
                        <w:t>《关于河南首期年产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万只陶瓷酒瓶建设项目的议案</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宋体" w:hAnsi="宋体" w:cs="宋体" w:eastAsia="宋体" w:hint="default"/>
                          <w:sz w:val="18"/>
                          <w:szCs w:val="18"/>
                        </w:rPr>
                        <w:t>本项目投资资金拟使用公司上</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市超募资金中的剩余资金及自筹资金。本项目拟投资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32,374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万元，其中，使用剩余超募资金为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19,624.08 </w:t>
                      </w:r>
                      <w:r>
                        <w:rPr>
                          <w:rFonts w:ascii="宋体" w:hAnsi="宋体" w:cs="宋体" w:eastAsia="宋体" w:hint="default"/>
                          <w:spacing w:val="-3"/>
                          <w:sz w:val="18"/>
                          <w:szCs w:val="18"/>
                        </w:rPr>
                        <w:t>万元、因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废弃陶</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瓷循环利用建设项目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终止而尚未使用募集项目资金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877.55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1,803.32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万元，合计</w:t>
                      </w:r>
                    </w:p>
                    <w:p>
                      <w:pPr>
                        <w:spacing w:before="6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22,304.95 </w:t>
                      </w:r>
                      <w:r>
                        <w:rPr>
                          <w:rFonts w:ascii="宋体" w:hAnsi="宋体" w:cs="宋体" w:eastAsia="宋体" w:hint="default"/>
                          <w:sz w:val="18"/>
                          <w:szCs w:val="18"/>
                        </w:rPr>
                        <w:t>万元，其余为自筹资金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10,069.05 </w:t>
                      </w:r>
                      <w:r>
                        <w:rPr>
                          <w:rFonts w:ascii="宋体" w:hAnsi="宋体" w:cs="宋体" w:eastAsia="宋体" w:hint="default"/>
                          <w:sz w:val="18"/>
                          <w:szCs w:val="18"/>
                        </w:rPr>
                        <w:t>万元。公司保荐机构广发证券股份有限公司出具了无异议的核查意见及独立董</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事已经对该事项发表了独立意见同意上述事项。</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年第三次临时股东大会决议通过该议案。截</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日该项目资金尚未投入使用。</w:t>
                      </w:r>
                    </w:p>
                  </w:txbxContent>
                </v:textbox>
                <w10:wrap type="none"/>
              </v:shape>
            </v:group>
          </v:group>
        </w:pict>
      </w:r>
      <w:r>
        <w:rPr>
          <w:rFonts w:ascii="宋体" w:hAnsi="宋体" w:cs="宋体" w:eastAsia="宋体" w:hint="default"/>
          <w:position w:val="-53"/>
          <w:sz w:val="20"/>
          <w:szCs w:val="20"/>
        </w:rPr>
      </w:r>
    </w:p>
    <w:p>
      <w:pPr>
        <w:pStyle w:val="BodyText"/>
        <w:spacing w:line="547" w:lineRule="auto" w:before="50"/>
        <w:ind w:right="3570"/>
        <w:jc w:val="left"/>
      </w:pPr>
      <w:r>
        <w:rPr/>
        <w:pict>
          <v:shape style="position:absolute;margin-left:56.34pt;margin-top:78.892036pt;width:442.1pt;height:233.1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664"/>
                    <w:gridCol w:w="900"/>
                    <w:gridCol w:w="900"/>
                    <w:gridCol w:w="863"/>
                    <w:gridCol w:w="900"/>
                    <w:gridCol w:w="2017"/>
                    <w:gridCol w:w="1080"/>
                  </w:tblGrid>
                  <w:tr>
                    <w:trPr>
                      <w:trHeight w:val="347" w:hRule="exact"/>
                    </w:trPr>
                    <w:tc>
                      <w:tcPr>
                        <w:tcW w:w="1496" w:type="dxa"/>
                        <w:vMerge w:val="restart"/>
                        <w:tcBorders>
                          <w:top w:val="single" w:sz="6" w:space="0" w:color="000000"/>
                          <w:left w:val="single" w:sz="6" w:space="0" w:color="000000"/>
                          <w:right w:val="single" w:sz="6" w:space="0" w:color="000000"/>
                        </w:tcBorders>
                      </w:tcPr>
                      <w:p>
                        <w:pPr>
                          <w:pStyle w:val="TableParagraph"/>
                          <w:spacing w:line="240" w:lineRule="auto" w:before="20"/>
                          <w:ind w:left="29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64" w:type="dxa"/>
                        <w:vMerge w:val="restart"/>
                        <w:tcBorders>
                          <w:top w:val="single" w:sz="6" w:space="0" w:color="000000"/>
                          <w:left w:val="single" w:sz="6" w:space="0" w:color="000000"/>
                          <w:right w:val="single" w:sz="6" w:space="0" w:color="000000"/>
                        </w:tcBorders>
                      </w:tcPr>
                      <w:p>
                        <w:pPr>
                          <w:pStyle w:val="TableParagraph"/>
                          <w:spacing w:line="316" w:lineRule="auto" w:before="20"/>
                          <w:ind w:left="143" w:right="5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63" w:type="dxa"/>
                        <w:vMerge w:val="restart"/>
                        <w:tcBorders>
                          <w:top w:val="single" w:sz="6" w:space="0" w:color="000000"/>
                          <w:left w:val="single" w:sz="6" w:space="0" w:color="000000"/>
                          <w:right w:val="single" w:sz="6" w:space="0" w:color="000000"/>
                        </w:tcBorders>
                      </w:tcPr>
                      <w:p>
                        <w:pPr>
                          <w:pStyle w:val="TableParagraph"/>
                          <w:spacing w:line="316" w:lineRule="auto" w:before="20"/>
                          <w:ind w:left="243" w:right="62"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left="8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017" w:type="dxa"/>
                        <w:vMerge w:val="restart"/>
                        <w:tcBorders>
                          <w:top w:val="single" w:sz="6" w:space="0" w:color="000000"/>
                          <w:left w:val="single" w:sz="6" w:space="0" w:color="000000"/>
                          <w:right w:val="single" w:sz="6" w:space="0" w:color="000000"/>
                        </w:tcBorders>
                      </w:tcPr>
                      <w:p>
                        <w:pPr>
                          <w:pStyle w:val="TableParagraph"/>
                          <w:spacing w:line="240" w:lineRule="auto" w:before="20"/>
                          <w:ind w:left="640"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080" w:type="dxa"/>
                        <w:vMerge w:val="restart"/>
                        <w:tcBorders>
                          <w:top w:val="single" w:sz="6" w:space="0" w:color="000000"/>
                          <w:left w:val="single" w:sz="6" w:space="0" w:color="000000"/>
                          <w:right w:val="single" w:sz="6" w:space="0" w:color="000000"/>
                        </w:tcBorders>
                      </w:tcPr>
                      <w:p>
                        <w:pPr>
                          <w:pStyle w:val="TableParagraph"/>
                          <w:spacing w:line="316" w:lineRule="auto" w:before="20"/>
                          <w:ind w:left="2" w:right="-17" w:firstLine="80"/>
                          <w:jc w:val="left"/>
                          <w:rPr>
                            <w:rFonts w:ascii="宋体" w:hAnsi="宋体" w:cs="宋体" w:eastAsia="宋体" w:hint="default"/>
                            <w:sz w:val="18"/>
                            <w:szCs w:val="18"/>
                          </w:rPr>
                        </w:pPr>
                        <w:r>
                          <w:rPr>
                            <w:rFonts w:ascii="宋体" w:hAnsi="宋体" w:cs="宋体" w:eastAsia="宋体" w:hint="default"/>
                            <w:sz w:val="18"/>
                            <w:szCs w:val="18"/>
                          </w:rPr>
                          <w:t>期末实际出 资额（万元）</w:t>
                        </w:r>
                      </w:p>
                    </w:tc>
                  </w:tr>
                  <w:tr>
                    <w:trPr>
                      <w:trHeight w:val="347" w:hRule="exact"/>
                    </w:trPr>
                    <w:tc>
                      <w:tcPr>
                        <w:tcW w:w="1496" w:type="dxa"/>
                        <w:vMerge/>
                        <w:tcBorders>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直接（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间接（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3" w:type="dxa"/>
                        <w:vMerge/>
                        <w:tcBorders>
                          <w:left w:val="single" w:sz="6" w:space="0" w:color="000000"/>
                          <w:bottom w:val="single" w:sz="6" w:space="0" w:color="000000"/>
                          <w:right w:val="single" w:sz="6" w:space="0" w:color="000000"/>
                        </w:tcBorders>
                      </w:tcPr>
                      <w:p>
                        <w:pPr/>
                      </w:p>
                    </w:tc>
                    <w:tc>
                      <w:tcPr>
                        <w:tcW w:w="900" w:type="dxa"/>
                        <w:vMerge/>
                        <w:tcBorders>
                          <w:left w:val="single" w:sz="6" w:space="0" w:color="000000"/>
                          <w:bottom w:val="single" w:sz="6" w:space="0" w:color="000000"/>
                          <w:right w:val="single" w:sz="6" w:space="0" w:color="000000"/>
                        </w:tcBorders>
                      </w:tcPr>
                      <w:p>
                        <w:pPr/>
                      </w:p>
                    </w:tc>
                    <w:tc>
                      <w:tcPr>
                        <w:tcW w:w="2017"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r>
                  <w:tr>
                    <w:trPr>
                      <w:trHeight w:val="347" w:hRule="exact"/>
                    </w:trPr>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pacing w:val="4"/>
                            <w:sz w:val="18"/>
                            <w:szCs w:val="18"/>
                          </w:rPr>
                          <w:t>广州长城世家投资</w:t>
                        </w:r>
                        <w:r>
                          <w:rPr>
                            <w:rFonts w:ascii="宋体" w:hAnsi="宋体" w:cs="宋体" w:eastAsia="宋体" w:hint="default"/>
                            <w:sz w:val="18"/>
                            <w:szCs w:val="18"/>
                          </w:rPr>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 w:right="0"/>
                          <w:jc w:val="center"/>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自有资金投资、批发和零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1,000.00</w:t>
                        </w:r>
                      </w:p>
                    </w:tc>
                  </w:tr>
                  <w:tr>
                    <w:trPr>
                      <w:trHeight w:val="348" w:hRule="exact"/>
                    </w:trPr>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pacing w:val="4"/>
                            <w:sz w:val="18"/>
                            <w:szCs w:val="18"/>
                          </w:rPr>
                          <w:t>潮州市万泉陶瓷花</w:t>
                        </w:r>
                        <w:r>
                          <w:rPr>
                            <w:rFonts w:ascii="宋体" w:hAnsi="宋体" w:cs="宋体" w:eastAsia="宋体" w:hint="default"/>
                            <w:sz w:val="18"/>
                            <w:szCs w:val="18"/>
                          </w:rPr>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 w:right="0"/>
                          <w:jc w:val="center"/>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200.00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
                          <w:jc w:val="center"/>
                          <w:rPr>
                            <w:rFonts w:ascii="宋体" w:hAnsi="宋体" w:cs="宋体" w:eastAsia="宋体" w:hint="default"/>
                            <w:sz w:val="18"/>
                            <w:szCs w:val="18"/>
                          </w:rPr>
                        </w:pPr>
                        <w:r>
                          <w:rPr>
                            <w:rFonts w:ascii="宋体" w:hAnsi="宋体" w:cs="宋体" w:eastAsia="宋体" w:hint="default"/>
                            <w:sz w:val="18"/>
                            <w:szCs w:val="18"/>
                          </w:rPr>
                          <w:t>加工、销售各式陶瓷花纸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200.00</w:t>
                        </w:r>
                      </w:p>
                    </w:tc>
                  </w:tr>
                  <w:tr>
                    <w:trPr>
                      <w:trHeight w:val="347" w:hRule="exact"/>
                    </w:trPr>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pacing w:val="4"/>
                            <w:sz w:val="18"/>
                            <w:szCs w:val="18"/>
                          </w:rPr>
                          <w:t>潮州市三江陶瓷原</w:t>
                        </w:r>
                        <w:r>
                          <w:rPr>
                            <w:rFonts w:ascii="宋体" w:hAnsi="宋体" w:cs="宋体" w:eastAsia="宋体" w:hint="default"/>
                            <w:sz w:val="18"/>
                            <w:szCs w:val="18"/>
                          </w:rPr>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177.00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生产、销售：陶瓷原料、</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177.00</w:t>
                        </w:r>
                      </w:p>
                    </w:tc>
                  </w:tr>
                  <w:tr>
                    <w:trPr>
                      <w:trHeight w:val="347" w:hRule="exact"/>
                    </w:trPr>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pacing w:val="4"/>
                            <w:sz w:val="18"/>
                            <w:szCs w:val="18"/>
                          </w:rPr>
                          <w:t>深圳长城世家商贸</w:t>
                        </w:r>
                        <w:r>
                          <w:rPr>
                            <w:rFonts w:ascii="宋体" w:hAnsi="宋体" w:cs="宋体" w:eastAsia="宋体" w:hint="default"/>
                            <w:sz w:val="18"/>
                            <w:szCs w:val="18"/>
                          </w:rPr>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 w:right="0"/>
                          <w:jc w:val="center"/>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工艺陶瓷、日用陶瓷、家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1,000.00</w:t>
                        </w:r>
                      </w:p>
                    </w:tc>
                  </w:tr>
                  <w:tr>
                    <w:trPr>
                      <w:trHeight w:val="347" w:hRule="exact"/>
                    </w:trPr>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pacing w:val="4"/>
                            <w:sz w:val="18"/>
                            <w:szCs w:val="18"/>
                          </w:rPr>
                          <w:t>北京昶城世家商贸</w:t>
                        </w:r>
                        <w:r>
                          <w:rPr>
                            <w:rFonts w:ascii="宋体" w:hAnsi="宋体" w:cs="宋体" w:eastAsia="宋体" w:hint="default"/>
                            <w:sz w:val="18"/>
                            <w:szCs w:val="18"/>
                          </w:rPr>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 w:right="0"/>
                          <w:jc w:val="center"/>
                          <w:rPr>
                            <w:rFonts w:ascii="Times New Roman" w:hAnsi="Times New Roman" w:cs="Times New Roman" w:eastAsia="Times New Roman" w:hint="default"/>
                            <w:sz w:val="18"/>
                            <w:szCs w:val="18"/>
                          </w:rPr>
                        </w:pPr>
                        <w:r>
                          <w:rPr>
                            <w:rFonts w:ascii="Times New Roman"/>
                            <w:sz w:val="18"/>
                          </w:rPr>
                          <w:t>100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销售日用品、工艺品、文</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200.00</w:t>
                        </w:r>
                      </w:p>
                    </w:tc>
                  </w:tr>
                  <w:tr>
                    <w:trPr>
                      <w:trHeight w:val="2219" w:hRule="exact"/>
                    </w:trPr>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4"/>
                            <w:sz w:val="18"/>
                            <w:szCs w:val="18"/>
                          </w:rPr>
                          <w:t>深圳市世家会艺术 </w:t>
                        </w:r>
                        <w:r>
                          <w:rPr>
                            <w:rFonts w:ascii="宋体" w:hAnsi="宋体" w:cs="宋体" w:eastAsia="宋体" w:hint="default"/>
                            <w:sz w:val="18"/>
                            <w:szCs w:val="18"/>
                          </w:rPr>
                          <w:t>品投资有限公司</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92"/>
                          <w:ind w:left="53" w:right="53" w:firstLine="90"/>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20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sz w:val="18"/>
                          </w:rPr>
                          <w:t>80</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both"/>
                          <w:rPr>
                            <w:rFonts w:ascii="宋体" w:hAnsi="宋体" w:cs="宋体" w:eastAsia="宋体" w:hint="default"/>
                            <w:sz w:val="18"/>
                            <w:szCs w:val="18"/>
                          </w:rPr>
                        </w:pPr>
                        <w:r>
                          <w:rPr>
                            <w:rFonts w:ascii="宋体" w:hAnsi="宋体" w:cs="宋体" w:eastAsia="宋体" w:hint="default"/>
                            <w:sz w:val="18"/>
                            <w:szCs w:val="18"/>
                          </w:rPr>
                          <w:t>艺术品项目投资（具体项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目另行申办）；工艺品销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售，艺术品展览策划（法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律、行政法规、国务院决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定禁止的项目除外，限制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的项目须取得许可后方可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经营）。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1,000.00</w:t>
                        </w:r>
                      </w:p>
                    </w:tc>
                  </w:tr>
                </w:tbl>
                <w:p>
                  <w:pPr/>
                </w:p>
              </w:txbxContent>
            </v:textbox>
            <w10:wrap type="none"/>
          </v:shape>
        </w:pict>
      </w:r>
      <w:r>
        <w:rPr/>
        <w:t>注：</w:t>
      </w:r>
      <w:r>
        <w:rPr>
          <w:rFonts w:ascii="Times New Roman" w:hAnsi="Times New Roman" w:cs="Times New Roman" w:eastAsia="Times New Roman" w:hint="default"/>
        </w:rPr>
        <w:t>1 </w:t>
      </w:r>
      <w:r>
        <w:rPr/>
        <w:t>上表中，投资总额为该项目自筹资金的总额，不包含超募资金部分。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、主要控股参股公司分析</w:t>
      </w:r>
      <w:r>
        <w:rPr>
          <w:rFonts w:ascii="宋体" w:hAnsi="宋体" w:cs="宋体" w:eastAsia="宋体" w:hint="default"/>
          <w:b/>
          <w:bCs/>
          <w:w w:val="99"/>
          <w:sz w:val="21"/>
          <w:szCs w:val="21"/>
        </w:rPr>
        <w:t> </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日，公司拥有六个子公司，均为全资子公司，基本情况如下：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300" w:lineRule="auto" w:before="44"/>
        <w:ind w:left="113" w:right="251"/>
        <w:jc w:val="both"/>
      </w:pPr>
      <w:r>
        <w:rPr>
          <w:spacing w:val="-2"/>
        </w:rPr>
        <w:t>其中，本期新纳入合并范围的子公司为深圳市世家会艺术品投资有限公司。深圳市世家会艺术品投资有限公司于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3"/>
        </w:rPr>
        <w:t> </w:t>
      </w:r>
      <w:r>
        <w:rPr/>
        <w:t>日由长城集团及深圳长城世家商贸有限公司双方出资成立，注册资本为</w:t>
      </w:r>
      <w:r>
        <w:rPr>
          <w:rFonts w:ascii="Times New Roman" w:hAnsi="Times New Roman" w:cs="Times New Roman" w:eastAsia="Times New Roman" w:hint="default"/>
        </w:rPr>
        <w:t>1,000</w:t>
      </w:r>
      <w:r>
        <w:rPr/>
        <w:t>万元，实收资本</w:t>
      </w:r>
      <w:r>
        <w:rPr>
          <w:rFonts w:ascii="Times New Roman" w:hAnsi="Times New Roman" w:cs="Times New Roman" w:eastAsia="Times New Roman" w:hint="default"/>
        </w:rPr>
        <w:t>1,000</w:t>
      </w:r>
      <w:r>
        <w:rPr/>
        <w:t>万元，其中长城集团出资 </w:t>
      </w:r>
      <w:r>
        <w:rPr>
          <w:rFonts w:ascii="Times New Roman" w:hAnsi="Times New Roman" w:cs="Times New Roman" w:eastAsia="Times New Roman" w:hint="default"/>
        </w:rPr>
        <w:t>200</w:t>
      </w:r>
      <w:r>
        <w:rPr/>
        <w:t>万元，占注册资本的</w:t>
      </w:r>
      <w:r>
        <w:rPr>
          <w:rFonts w:ascii="Times New Roman" w:hAnsi="Times New Roman" w:cs="Times New Roman" w:eastAsia="Times New Roman" w:hint="default"/>
        </w:rPr>
        <w:t>20%</w:t>
      </w:r>
      <w:r>
        <w:rPr/>
        <w:t>，深圳长城世家商贸有限公司出资</w:t>
      </w:r>
      <w:r>
        <w:rPr>
          <w:rFonts w:ascii="Times New Roman" w:hAnsi="Times New Roman" w:cs="Times New Roman" w:eastAsia="Times New Roman" w:hint="default"/>
        </w:rPr>
        <w:t>800</w:t>
      </w:r>
      <w:r>
        <w:rPr/>
        <w:t>万元，占注册资本的</w:t>
      </w:r>
      <w:r>
        <w:rPr>
          <w:rFonts w:ascii="Times New Roman" w:hAnsi="Times New Roman" w:cs="Times New Roman" w:eastAsia="Times New Roman" w:hint="default"/>
        </w:rPr>
        <w:t>80%</w:t>
      </w:r>
      <w:r>
        <w:rPr/>
        <w:t>。</w:t>
      </w:r>
    </w:p>
    <w:p>
      <w:pPr>
        <w:spacing w:line="240" w:lineRule="auto" w:before="11"/>
        <w:rPr>
          <w:rFonts w:ascii="宋体" w:hAnsi="宋体" w:cs="宋体" w:eastAsia="宋体" w:hint="default"/>
          <w:sz w:val="24"/>
          <w:szCs w:val="24"/>
        </w:rPr>
      </w:pPr>
    </w:p>
    <w:p>
      <w:pPr>
        <w:pStyle w:val="BodyText"/>
        <w:spacing w:line="240" w:lineRule="auto"/>
        <w:ind w:left="113" w:right="0"/>
        <w:jc w:val="both"/>
      </w:pPr>
      <w:r>
        <w:rPr/>
        <w:t>各子公司</w:t>
      </w:r>
      <w:r>
        <w:rPr>
          <w:rFonts w:ascii="Times New Roman" w:hAnsi="Times New Roman" w:cs="Times New Roman" w:eastAsia="Times New Roman" w:hint="default"/>
        </w:rPr>
        <w:t>2012</w:t>
      </w:r>
      <w:r>
        <w:rPr/>
        <w:t>年度的财务状况</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302"/>
        <w:gridCol w:w="1440"/>
        <w:gridCol w:w="1440"/>
        <w:gridCol w:w="1440"/>
        <w:gridCol w:w="1440"/>
        <w:gridCol w:w="1586"/>
        <w:gridCol w:w="1114"/>
      </w:tblGrid>
      <w:tr>
        <w:trPr>
          <w:trHeight w:val="659"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16"/>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1" w:right="-17"/>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主营业务收入</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主营业务利润</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净利润（元）</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4"/>
              <w:jc w:val="left"/>
              <w:rPr>
                <w:rFonts w:ascii="宋体" w:hAnsi="宋体" w:cs="宋体" w:eastAsia="宋体" w:hint="default"/>
                <w:sz w:val="18"/>
                <w:szCs w:val="18"/>
              </w:rPr>
            </w:pPr>
            <w:r>
              <w:rPr>
                <w:rFonts w:ascii="宋体" w:hAnsi="宋体" w:cs="宋体" w:eastAsia="宋体" w:hint="default"/>
                <w:sz w:val="18"/>
                <w:szCs w:val="18"/>
              </w:rPr>
              <w:t>净利润同比增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9"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3"/>
              <w:jc w:val="left"/>
              <w:rPr>
                <w:rFonts w:ascii="宋体" w:hAnsi="宋体" w:cs="宋体" w:eastAsia="宋体" w:hint="default"/>
                <w:sz w:val="18"/>
                <w:szCs w:val="18"/>
              </w:rPr>
            </w:pPr>
            <w:r>
              <w:rPr>
                <w:rFonts w:ascii="宋体" w:hAnsi="宋体" w:cs="宋体" w:eastAsia="宋体" w:hint="default"/>
                <w:sz w:val="18"/>
                <w:szCs w:val="18"/>
              </w:rPr>
              <w:t>广州长城世家投 资有限公司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20,648,686.67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-4,215,194.99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1,146,428.48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699,406.58</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-10,917,708.97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-207.61%</w:t>
            </w:r>
          </w:p>
        </w:tc>
      </w:tr>
      <w:tr>
        <w:trPr>
          <w:trHeight w:val="659"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3"/>
              <w:jc w:val="left"/>
              <w:rPr>
                <w:rFonts w:ascii="宋体" w:hAnsi="宋体" w:cs="宋体" w:eastAsia="宋体" w:hint="default"/>
                <w:sz w:val="18"/>
                <w:szCs w:val="18"/>
              </w:rPr>
            </w:pPr>
            <w:r>
              <w:rPr>
                <w:rFonts w:ascii="宋体" w:hAnsi="宋体" w:cs="宋体" w:eastAsia="宋体" w:hint="default"/>
                <w:sz w:val="18"/>
                <w:szCs w:val="18"/>
              </w:rPr>
              <w:t>潮州市万泉陶瓷 花纸有限公司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3,152,579.26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2,892,958.69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8,489,781.30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1,021,792.54</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148,476.88</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-33.54%</w:t>
            </w:r>
          </w:p>
        </w:tc>
      </w:tr>
      <w:tr>
        <w:trPr>
          <w:trHeight w:val="659"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3"/>
              <w:jc w:val="left"/>
              <w:rPr>
                <w:rFonts w:ascii="宋体" w:hAnsi="宋体" w:cs="宋体" w:eastAsia="宋体" w:hint="default"/>
                <w:sz w:val="18"/>
                <w:szCs w:val="18"/>
              </w:rPr>
            </w:pPr>
            <w:r>
              <w:rPr>
                <w:rFonts w:ascii="宋体" w:hAnsi="宋体" w:cs="宋体" w:eastAsia="宋体" w:hint="default"/>
                <w:sz w:val="18"/>
                <w:szCs w:val="18"/>
              </w:rPr>
              <w:t>潮州市三江陶瓷 原料有限公司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4,812,804.09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4,480,186.59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11,753,927.20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1,937,180.17</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413,518.19</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-57.67%</w:t>
            </w:r>
          </w:p>
        </w:tc>
      </w:tr>
      <w:tr>
        <w:trPr>
          <w:trHeight w:val="660"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3"/>
              <w:jc w:val="left"/>
              <w:rPr>
                <w:rFonts w:ascii="宋体" w:hAnsi="宋体" w:cs="宋体" w:eastAsia="宋体" w:hint="default"/>
                <w:sz w:val="18"/>
                <w:szCs w:val="18"/>
              </w:rPr>
            </w:pPr>
            <w:r>
              <w:rPr>
                <w:rFonts w:ascii="宋体" w:hAnsi="宋体" w:cs="宋体" w:eastAsia="宋体" w:hint="default"/>
                <w:sz w:val="18"/>
                <w:szCs w:val="18"/>
              </w:rPr>
              <w:t>深圳长城世家商 贸有限公司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55,102,811.11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-29,264,016.72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30,541,020.20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10,314,460.90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-15,199,363.36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-0.67%</w:t>
            </w:r>
          </w:p>
        </w:tc>
      </w:tr>
    </w:tbl>
    <w:p>
      <w:pPr>
        <w:spacing w:after="0" w:line="240" w:lineRule="auto"/>
        <w:jc w:val="left"/>
        <w:rPr>
          <w:rFonts w:ascii="Times New Roman" w:hAnsi="Times New Roman" w:cs="Times New Roman" w:eastAsia="Times New Roman" w:hint="default"/>
          <w:sz w:val="18"/>
          <w:szCs w:val="18"/>
        </w:rPr>
        <w:sectPr>
          <w:footerReference w:type="default" r:id="rId16"/>
          <w:pgSz w:w="11910" w:h="16840"/>
          <w:pgMar w:footer="980" w:header="747" w:top="1060" w:bottom="1160" w:left="1020" w:right="880"/>
          <w:pgNumType w:start="21"/>
        </w:sectPr>
      </w:pPr>
    </w:p>
    <w:p>
      <w:pPr>
        <w:spacing w:line="240" w:lineRule="auto" w:before="8"/>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302"/>
        <w:gridCol w:w="1440"/>
        <w:gridCol w:w="1440"/>
        <w:gridCol w:w="1440"/>
        <w:gridCol w:w="1440"/>
        <w:gridCol w:w="1586"/>
        <w:gridCol w:w="1114"/>
      </w:tblGrid>
      <w:tr>
        <w:trPr>
          <w:trHeight w:val="660" w:hRule="exact"/>
        </w:trPr>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3"/>
              <w:jc w:val="left"/>
              <w:rPr>
                <w:rFonts w:ascii="宋体" w:hAnsi="宋体" w:cs="宋体" w:eastAsia="宋体" w:hint="default"/>
                <w:sz w:val="18"/>
                <w:szCs w:val="18"/>
              </w:rPr>
            </w:pPr>
            <w:r>
              <w:rPr>
                <w:rFonts w:ascii="宋体" w:hAnsi="宋体" w:cs="宋体" w:eastAsia="宋体" w:hint="default"/>
                <w:sz w:val="18"/>
                <w:szCs w:val="18"/>
              </w:rPr>
              <w:t>北京昶城世家商 贸有限公司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817,757.83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-1,736,958.72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7,766.99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7,766.99</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-2,524,319.04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-108.17%</w:t>
            </w:r>
          </w:p>
        </w:tc>
      </w:tr>
      <w:tr>
        <w:trPr>
          <w:trHeight w:val="332" w:hRule="exact"/>
        </w:trPr>
        <w:tc>
          <w:tcPr>
            <w:tcW w:w="13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深圳市世家会艺</w:t>
            </w:r>
          </w:p>
        </w:tc>
        <w:tc>
          <w:tcPr>
            <w:tcW w:w="14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1" w:right="0"/>
              <w:jc w:val="left"/>
              <w:rPr>
                <w:rFonts w:ascii="Times New Roman" w:hAnsi="Times New Roman" w:cs="Times New Roman" w:eastAsia="Times New Roman" w:hint="default"/>
                <w:sz w:val="18"/>
                <w:szCs w:val="18"/>
              </w:rPr>
            </w:pPr>
            <w:r>
              <w:rPr>
                <w:rFonts w:ascii="Times New Roman"/>
                <w:sz w:val="18"/>
              </w:rPr>
              <w:t>13,801,760.73</w:t>
            </w:r>
          </w:p>
        </w:tc>
        <w:tc>
          <w:tcPr>
            <w:tcW w:w="14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8,048,104.13</w:t>
            </w:r>
          </w:p>
        </w:tc>
        <w:tc>
          <w:tcPr>
            <w:tcW w:w="14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1" w:right="0"/>
              <w:jc w:val="left"/>
              <w:rPr>
                <w:rFonts w:ascii="Times New Roman" w:hAnsi="Times New Roman" w:cs="Times New Roman" w:eastAsia="Times New Roman" w:hint="default"/>
                <w:sz w:val="18"/>
                <w:szCs w:val="18"/>
              </w:rPr>
            </w:pPr>
            <w:r>
              <w:rPr>
                <w:rFonts w:ascii="Times New Roman"/>
                <w:sz w:val="18"/>
              </w:rPr>
              <w:t>439,828.74</w:t>
            </w:r>
          </w:p>
        </w:tc>
        <w:tc>
          <w:tcPr>
            <w:tcW w:w="14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271,345.02</w:t>
            </w:r>
          </w:p>
        </w:tc>
        <w:tc>
          <w:tcPr>
            <w:tcW w:w="15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1" w:right="0"/>
              <w:jc w:val="left"/>
              <w:rPr>
                <w:rFonts w:ascii="Times New Roman" w:hAnsi="Times New Roman" w:cs="Times New Roman" w:eastAsia="Times New Roman" w:hint="default"/>
                <w:sz w:val="18"/>
                <w:szCs w:val="18"/>
              </w:rPr>
            </w:pPr>
            <w:r>
              <w:rPr>
                <w:rFonts w:ascii="Times New Roman"/>
                <w:sz w:val="18"/>
              </w:rPr>
              <w:t>-1,951,895.87</w:t>
            </w:r>
          </w:p>
        </w:tc>
        <w:tc>
          <w:tcPr>
            <w:tcW w:w="111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w:t>
            </w:r>
          </w:p>
        </w:tc>
      </w:tr>
      <w:tr>
        <w:trPr>
          <w:trHeight w:val="308" w:hRule="exact"/>
        </w:trPr>
        <w:tc>
          <w:tcPr>
            <w:tcW w:w="130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术品投资有限公</w:t>
            </w:r>
          </w:p>
        </w:tc>
        <w:tc>
          <w:tcPr>
            <w:tcW w:w="1440"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c>
          <w:tcPr>
            <w:tcW w:w="1586" w:type="dxa"/>
            <w:tcBorders>
              <w:top w:val="nil" w:sz="6" w:space="0" w:color="auto"/>
              <w:left w:val="single" w:sz="6" w:space="0" w:color="000000"/>
              <w:bottom w:val="nil" w:sz="6" w:space="0" w:color="auto"/>
              <w:right w:val="single" w:sz="6" w:space="0" w:color="000000"/>
            </w:tcBorders>
          </w:tcPr>
          <w:p>
            <w:pPr/>
          </w:p>
        </w:tc>
        <w:tc>
          <w:tcPr>
            <w:tcW w:w="1114" w:type="dxa"/>
            <w:tcBorders>
              <w:top w:val="nil" w:sz="6" w:space="0" w:color="auto"/>
              <w:left w:val="single" w:sz="6" w:space="0" w:color="000000"/>
              <w:bottom w:val="nil" w:sz="6" w:space="0" w:color="auto"/>
              <w:right w:val="single" w:sz="6" w:space="0" w:color="000000"/>
            </w:tcBorders>
          </w:tcPr>
          <w:p>
            <w:pPr/>
          </w:p>
        </w:tc>
      </w:tr>
      <w:tr>
        <w:trPr>
          <w:trHeight w:val="331" w:hRule="exact"/>
        </w:trPr>
        <w:tc>
          <w:tcPr>
            <w:tcW w:w="13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40"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c>
          <w:tcPr>
            <w:tcW w:w="1586" w:type="dxa"/>
            <w:tcBorders>
              <w:top w:val="nil" w:sz="6" w:space="0" w:color="auto"/>
              <w:left w:val="single" w:sz="6" w:space="0" w:color="000000"/>
              <w:bottom w:val="single" w:sz="6" w:space="0" w:color="000000"/>
              <w:right w:val="single" w:sz="6" w:space="0" w:color="000000"/>
            </w:tcBorders>
          </w:tcPr>
          <w:p>
            <w:pPr/>
          </w:p>
        </w:tc>
        <w:tc>
          <w:tcPr>
            <w:tcW w:w="1114" w:type="dxa"/>
            <w:tcBorders>
              <w:top w:val="nil" w:sz="6" w:space="0" w:color="auto"/>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1"/>
          <w:szCs w:val="21"/>
        </w:rPr>
      </w:pPr>
    </w:p>
    <w:p>
      <w:pPr>
        <w:pStyle w:val="BodyText"/>
        <w:spacing w:line="240" w:lineRule="auto" w:before="44"/>
        <w:ind w:right="3570"/>
        <w:jc w:val="left"/>
      </w:pPr>
      <w:r>
        <w:rPr/>
        <w:t>各子公司经营情况说明</w:t>
      </w:r>
    </w:p>
    <w:p>
      <w:pPr>
        <w:pStyle w:val="BodyText"/>
        <w:spacing w:line="300" w:lineRule="auto" w:before="76"/>
        <w:ind w:right="300" w:firstLine="360"/>
        <w:jc w:val="left"/>
      </w:pPr>
      <w:r>
        <w:rPr/>
        <w:t>（</w:t>
      </w:r>
      <w:r>
        <w:rPr>
          <w:rFonts w:ascii="Times New Roman" w:hAnsi="Times New Roman" w:cs="Times New Roman" w:eastAsia="Times New Roman" w:hint="default"/>
        </w:rPr>
        <w:t>1</w:t>
      </w:r>
      <w:r>
        <w:rPr/>
        <w:t>）广州长城世家投资有限公司实现净利润</w:t>
      </w:r>
      <w:r>
        <w:rPr>
          <w:rFonts w:ascii="Times New Roman" w:hAnsi="Times New Roman" w:cs="Times New Roman" w:eastAsia="Times New Roman" w:hint="default"/>
        </w:rPr>
        <w:t>-10,917,708.97</w:t>
      </w:r>
      <w:r>
        <w:rPr/>
        <w:t>元，同比下降</w:t>
      </w:r>
      <w:r>
        <w:rPr>
          <w:rFonts w:ascii="Times New Roman" w:hAnsi="Times New Roman" w:cs="Times New Roman" w:eastAsia="Times New Roman" w:hint="default"/>
        </w:rPr>
        <w:t>207.61%</w:t>
      </w:r>
      <w:r>
        <w:rPr/>
        <w:t>，主要是由于该子公司大力拓展国内 营销渠道，开展直营店和联营店的建设，导致租赁费，工资薪酬，长期待摊费用增加。</w:t>
      </w:r>
    </w:p>
    <w:p>
      <w:pPr>
        <w:pStyle w:val="BodyText"/>
        <w:spacing w:line="240" w:lineRule="auto" w:before="31"/>
        <w:ind w:left="474" w:right="0"/>
        <w:jc w:val="left"/>
      </w:pPr>
      <w:r>
        <w:rPr/>
        <w:t>（</w:t>
      </w:r>
      <w:r>
        <w:rPr>
          <w:rFonts w:ascii="Times New Roman" w:hAnsi="Times New Roman" w:cs="Times New Roman" w:eastAsia="Times New Roman" w:hint="default"/>
        </w:rPr>
        <w:t>2</w:t>
      </w:r>
      <w:r>
        <w:rPr/>
        <w:t>）潮州市万泉陶瓷花纸有限公司实现净利润</w:t>
      </w:r>
      <w:r>
        <w:rPr>
          <w:rFonts w:ascii="Times New Roman" w:hAnsi="Times New Roman" w:cs="Times New Roman" w:eastAsia="Times New Roman" w:hint="default"/>
        </w:rPr>
        <w:t>148,476.88</w:t>
      </w:r>
      <w:r>
        <w:rPr/>
        <w:t>元，同比下降</w:t>
      </w:r>
      <w:r>
        <w:rPr>
          <w:rFonts w:ascii="Times New Roman" w:hAnsi="Times New Roman" w:cs="Times New Roman" w:eastAsia="Times New Roman" w:hint="default"/>
        </w:rPr>
        <w:t>33.54%</w:t>
      </w:r>
      <w:r>
        <w:rPr/>
        <w:t>，主要是该子公司销售收入减少所致。</w:t>
      </w:r>
    </w:p>
    <w:p>
      <w:pPr>
        <w:pStyle w:val="BodyText"/>
        <w:spacing w:line="240" w:lineRule="auto" w:before="63"/>
        <w:ind w:left="474" w:right="0"/>
        <w:jc w:val="left"/>
      </w:pPr>
      <w:r>
        <w:rPr/>
        <w:t>（</w:t>
      </w:r>
      <w:r>
        <w:rPr>
          <w:rFonts w:ascii="Times New Roman" w:hAnsi="Times New Roman" w:cs="Times New Roman" w:eastAsia="Times New Roman" w:hint="default"/>
        </w:rPr>
        <w:t>3</w:t>
      </w:r>
      <w:r>
        <w:rPr/>
        <w:t>）潮州市三江陶瓷原料有限公司实现净利润</w:t>
      </w:r>
      <w:r>
        <w:rPr>
          <w:rFonts w:ascii="Times New Roman" w:hAnsi="Times New Roman" w:cs="Times New Roman" w:eastAsia="Times New Roman" w:hint="default"/>
        </w:rPr>
        <w:t>413,518.19</w:t>
      </w:r>
      <w:r>
        <w:rPr/>
        <w:t>元，同比下降</w:t>
      </w:r>
      <w:r>
        <w:rPr>
          <w:rFonts w:ascii="Times New Roman" w:hAnsi="Times New Roman" w:cs="Times New Roman" w:eastAsia="Times New Roman" w:hint="default"/>
        </w:rPr>
        <w:t>57.67%</w:t>
      </w:r>
      <w:r>
        <w:rPr/>
        <w:t>，主要是该子公司销售收入减少所致。</w:t>
      </w:r>
    </w:p>
    <w:p>
      <w:pPr>
        <w:pStyle w:val="BodyText"/>
        <w:spacing w:line="240" w:lineRule="auto" w:before="63"/>
        <w:ind w:left="474" w:right="300"/>
        <w:jc w:val="left"/>
      </w:pPr>
      <w:r>
        <w:rPr/>
        <w:t>（</w:t>
      </w:r>
      <w:r>
        <w:rPr>
          <w:rFonts w:ascii="Times New Roman" w:hAnsi="Times New Roman" w:cs="Times New Roman" w:eastAsia="Times New Roman" w:hint="default"/>
        </w:rPr>
        <w:t>4</w:t>
      </w:r>
      <w:r>
        <w:rPr/>
        <w:t>）深圳长城世家商贸有限公司实现净利润</w:t>
      </w:r>
      <w:r>
        <w:rPr>
          <w:rFonts w:ascii="Times New Roman" w:hAnsi="Times New Roman" w:cs="Times New Roman" w:eastAsia="Times New Roman" w:hint="default"/>
        </w:rPr>
        <w:t>-15,199,363.36</w:t>
      </w:r>
      <w:r>
        <w:rPr/>
        <w:t>元，同比下降</w:t>
      </w:r>
      <w:r>
        <w:rPr>
          <w:rFonts w:ascii="Times New Roman" w:hAnsi="Times New Roman" w:cs="Times New Roman" w:eastAsia="Times New Roman" w:hint="default"/>
        </w:rPr>
        <w:t>0.67%</w:t>
      </w:r>
      <w:r>
        <w:rPr/>
        <w:t>。</w:t>
      </w:r>
    </w:p>
    <w:p>
      <w:pPr>
        <w:pStyle w:val="BodyText"/>
        <w:spacing w:line="300" w:lineRule="auto" w:before="63"/>
        <w:ind w:right="0" w:firstLine="360"/>
        <w:jc w:val="left"/>
      </w:pPr>
      <w:r>
        <w:rPr>
          <w:spacing w:val="-1"/>
        </w:rPr>
        <w:t>（</w:t>
      </w:r>
      <w:r>
        <w:rPr>
          <w:rFonts w:ascii="Times New Roman" w:hAnsi="Times New Roman" w:cs="Times New Roman" w:eastAsia="Times New Roman" w:hint="default"/>
          <w:spacing w:val="-1"/>
        </w:rPr>
        <w:t>5</w:t>
      </w:r>
      <w:r>
        <w:rPr>
          <w:spacing w:val="-1"/>
        </w:rPr>
        <w:t>）北京昶城世家商贸有限公司实现净利润</w:t>
      </w:r>
      <w:r>
        <w:rPr>
          <w:rFonts w:ascii="Times New Roman" w:hAnsi="Times New Roman" w:cs="Times New Roman" w:eastAsia="Times New Roman" w:hint="default"/>
          <w:spacing w:val="-1"/>
        </w:rPr>
        <w:t>-2,524,319.04</w:t>
      </w:r>
      <w:r>
        <w:rPr>
          <w:spacing w:val="-1"/>
        </w:rPr>
        <w:t>元，同比下降</w:t>
      </w:r>
      <w:r>
        <w:rPr>
          <w:rFonts w:ascii="Times New Roman" w:hAnsi="Times New Roman" w:cs="Times New Roman" w:eastAsia="Times New Roman" w:hint="default"/>
          <w:spacing w:val="-1"/>
        </w:rPr>
        <w:t>108.17%</w:t>
      </w:r>
      <w:r>
        <w:rPr>
          <w:spacing w:val="-1"/>
        </w:rPr>
        <w:t>，主要是该子公司人员扩充导致工资薪</w:t>
      </w:r>
      <w:r>
        <w:rPr/>
        <w:t> 酬增加所致。</w:t>
      </w:r>
    </w:p>
    <w:p>
      <w:pPr>
        <w:pStyle w:val="BodyText"/>
        <w:spacing w:line="300" w:lineRule="auto" w:before="31"/>
        <w:ind w:right="315" w:firstLine="360"/>
        <w:jc w:val="left"/>
      </w:pPr>
      <w:r>
        <w:rPr/>
        <w:t>（</w:t>
      </w:r>
      <w:r>
        <w:rPr>
          <w:rFonts w:ascii="Times New Roman" w:hAnsi="Times New Roman" w:cs="Times New Roman" w:eastAsia="Times New Roman" w:hint="default"/>
        </w:rPr>
        <w:t>6</w:t>
      </w:r>
      <w:r>
        <w:rPr/>
        <w:t>）深圳市世家会艺术品投资有限公司实现净利润</w:t>
      </w:r>
      <w:r>
        <w:rPr>
          <w:rFonts w:ascii="Times New Roman" w:hAnsi="Times New Roman" w:cs="Times New Roman" w:eastAsia="Times New Roman" w:hint="default"/>
        </w:rPr>
        <w:t>-1,951,895.87</w:t>
      </w:r>
      <w:r>
        <w:rPr/>
        <w:t>元，主要是该子公司报告期内新设立，前期投入费用 增加所致。</w:t>
      </w:r>
    </w:p>
    <w:p>
      <w:pPr>
        <w:pStyle w:val="BodyText"/>
        <w:spacing w:line="300" w:lineRule="auto" w:before="72"/>
        <w:ind w:right="0" w:firstLine="36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日，深圳长城世家商贸有限公司以酒瓶为代表的包装器皿业务已与多家设计公司有合作，合作的酒厂</w:t>
      </w:r>
      <w:r>
        <w:rPr/>
        <w:t> </w:t>
      </w:r>
      <w:r>
        <w:rPr>
          <w:spacing w:val="-2"/>
        </w:rPr>
        <w:t>已有</w:t>
      </w:r>
      <w:r>
        <w:rPr>
          <w:rFonts w:ascii="Times New Roman" w:hAnsi="Times New Roman" w:cs="Times New Roman" w:eastAsia="Times New Roman" w:hint="default"/>
          <w:spacing w:val="-2"/>
        </w:rPr>
        <w:t>52</w:t>
      </w:r>
      <w:r>
        <w:rPr>
          <w:spacing w:val="-2"/>
        </w:rPr>
        <w:t>家；广州长城世家投资有限公司开设自营店</w:t>
      </w:r>
      <w:r>
        <w:rPr>
          <w:rFonts w:ascii="Times New Roman" w:hAnsi="Times New Roman" w:cs="Times New Roman" w:eastAsia="Times New Roman" w:hint="default"/>
          <w:spacing w:val="-2"/>
        </w:rPr>
        <w:t>10</w:t>
      </w:r>
      <w:r>
        <w:rPr>
          <w:spacing w:val="-2"/>
        </w:rPr>
        <w:t>家、联营店</w:t>
      </w:r>
      <w:r>
        <w:rPr>
          <w:rFonts w:ascii="Times New Roman" w:hAnsi="Times New Roman" w:cs="Times New Roman" w:eastAsia="Times New Roman" w:hint="default"/>
          <w:spacing w:val="-2"/>
        </w:rPr>
        <w:t>28</w:t>
      </w:r>
      <w:r>
        <w:rPr>
          <w:spacing w:val="-2"/>
        </w:rPr>
        <w:t>家；深圳市世家会艺术品投资有限公司共举办了</w:t>
      </w:r>
      <w:r>
        <w:rPr>
          <w:rFonts w:ascii="Times New Roman" w:hAnsi="Times New Roman" w:cs="Times New Roman" w:eastAsia="Times New Roman" w:hint="default"/>
          <w:spacing w:val="-2"/>
        </w:rPr>
        <w:t>5</w:t>
      </w:r>
      <w:r>
        <w:rPr>
          <w:spacing w:val="-2"/>
        </w:rPr>
        <w:t>场展览，</w:t>
      </w:r>
      <w:r>
        <w:rPr>
          <w:spacing w:val="-56"/>
        </w:rPr>
        <w:t> </w:t>
      </w:r>
      <w:r>
        <w:rPr/>
        <w:t>开发了四个系列的产品。</w:t>
      </w:r>
    </w:p>
    <w:p>
      <w:pPr>
        <w:spacing w:line="240" w:lineRule="auto" w:before="9"/>
        <w:rPr>
          <w:rFonts w:ascii="宋体" w:hAnsi="宋体" w:cs="宋体" w:eastAsia="宋体" w:hint="default"/>
          <w:sz w:val="21"/>
          <w:szCs w:val="21"/>
        </w:rPr>
      </w:pPr>
    </w:p>
    <w:p>
      <w:pPr>
        <w:pStyle w:val="Heading2"/>
        <w:spacing w:line="240" w:lineRule="auto" w:before="0"/>
        <w:ind w:right="3570"/>
        <w:jc w:val="left"/>
        <w:rPr>
          <w:b w:val="0"/>
          <w:bCs w:val="0"/>
        </w:rPr>
      </w:pPr>
      <w:r>
        <w:rPr/>
        <w:t>三、公司未来发展的展望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570"/>
        <w:jc w:val="left"/>
      </w:pPr>
      <w:r>
        <w:rPr>
          <w:rFonts w:ascii="Times New Roman" w:hAnsi="Times New Roman" w:cs="Times New Roman" w:eastAsia="Times New Roman" w:hint="default"/>
        </w:rPr>
        <w:t>1</w:t>
      </w:r>
      <w:r>
        <w:rPr/>
        <w:t>、行业格局和趋势</w:t>
      </w:r>
    </w:p>
    <w:p>
      <w:pPr>
        <w:pStyle w:val="BodyText"/>
        <w:spacing w:line="240" w:lineRule="auto" w:before="103"/>
        <w:ind w:left="474" w:right="3570"/>
        <w:jc w:val="left"/>
      </w:pPr>
      <w:r>
        <w:rPr/>
        <w:t>（</w:t>
      </w:r>
      <w:r>
        <w:rPr>
          <w:rFonts w:ascii="Times New Roman" w:hAnsi="Times New Roman" w:cs="Times New Roman" w:eastAsia="Times New Roman" w:hint="default"/>
        </w:rPr>
        <w:t>1</w:t>
      </w:r>
      <w:r>
        <w:rPr/>
        <w:t>）行业格局</w:t>
      </w:r>
    </w:p>
    <w:p>
      <w:pPr>
        <w:pStyle w:val="BodyText"/>
        <w:spacing w:line="357" w:lineRule="auto" w:before="102"/>
        <w:ind w:left="474" w:right="0"/>
        <w:jc w:val="left"/>
      </w:pPr>
      <w:r>
        <w:rPr/>
        <w:t>①陶瓷行业历史悠久，专业产区各具特色 </w:t>
      </w:r>
      <w:r>
        <w:rPr>
          <w:spacing w:val="-4"/>
        </w:rPr>
        <w:t>陶瓷是古代中国人民的伟大发明，是文化和艺术的载体，是中华民族对人类文明的杰出贡献。中国陶瓷技艺，源远流长。</w:t>
      </w:r>
    </w:p>
    <w:p>
      <w:pPr>
        <w:pStyle w:val="BodyText"/>
        <w:spacing w:line="224" w:lineRule="exact"/>
        <w:ind w:right="0"/>
        <w:jc w:val="left"/>
      </w:pPr>
      <w:r>
        <w:rPr/>
        <w:t>经过数千年的发展，中国陶瓷行业的已经较为成熟，从事陶瓷开发设计及生产制造的企业众多。目前全国已形成广东潮州、</w:t>
      </w:r>
    </w:p>
    <w:p>
      <w:pPr>
        <w:pStyle w:val="BodyText"/>
        <w:spacing w:line="316" w:lineRule="auto" w:before="76"/>
        <w:ind w:right="0"/>
        <w:jc w:val="left"/>
      </w:pPr>
      <w:r>
        <w:rPr>
          <w:spacing w:val="-4"/>
        </w:rPr>
        <w:t>江西景德镇、湖南醴陵、江苏宜兴、河北唐山、山东淄博等几大陶瓷产区。潮州作为中国的新瓷都，其艺术陶瓷、日用陶瓷、</w:t>
      </w:r>
      <w:r>
        <w:rPr>
          <w:spacing w:val="-43"/>
        </w:rPr>
        <w:t> </w:t>
      </w:r>
      <w:r>
        <w:rPr>
          <w:spacing w:val="-43"/>
        </w:rPr>
      </w:r>
      <w:r>
        <w:rPr>
          <w:spacing w:val="-2"/>
        </w:rPr>
        <w:t>卫生陶瓷、精细陶瓷四大类产品的产量和销量（包括出口额）均居国内同类产品首位。行业内已经形成一些颇具规模和影响</w:t>
      </w:r>
      <w:r>
        <w:rPr>
          <w:spacing w:val="-66"/>
        </w:rPr>
        <w:t> </w:t>
      </w:r>
      <w:r>
        <w:rPr>
          <w:spacing w:val="-66"/>
        </w:rPr>
      </w:r>
      <w:r>
        <w:rPr/>
        <w:t>力的企业，长城集团就是中国瓷都的创意艺术陶瓷企业。</w:t>
      </w:r>
    </w:p>
    <w:p>
      <w:pPr>
        <w:pStyle w:val="BodyText"/>
        <w:spacing w:line="357" w:lineRule="auto" w:before="59"/>
        <w:ind w:left="474" w:right="0" w:firstLine="90"/>
        <w:jc w:val="left"/>
      </w:pPr>
      <w:r>
        <w:rPr/>
        <w:t>②缺乏知名品牌，陶瓷行业大而不强 </w:t>
      </w:r>
      <w:r>
        <w:rPr>
          <w:spacing w:val="-2"/>
        </w:rPr>
        <w:t>我国是陶瓷生产大国、消费大国和出口大国，含艺术瓷在内的日用瓷年产量约占世界总产量的</w:t>
      </w:r>
      <w:r>
        <w:rPr>
          <w:rFonts w:ascii="Times New Roman" w:hAnsi="Times New Roman" w:cs="Times New Roman" w:eastAsia="Times New Roman" w:hint="default"/>
          <w:spacing w:val="-2"/>
        </w:rPr>
        <w:t>60</w:t>
      </w:r>
      <w:r>
        <w:rPr>
          <w:spacing w:val="-2"/>
        </w:rPr>
        <w:t>％。近些年，我国陶瓷</w:t>
      </w:r>
    </w:p>
    <w:p>
      <w:pPr>
        <w:pStyle w:val="BodyText"/>
        <w:spacing w:line="201" w:lineRule="exact"/>
        <w:ind w:left="113" w:right="0"/>
        <w:jc w:val="left"/>
      </w:pPr>
      <w:r>
        <w:rPr/>
        <w:t>工业的现代化水平大幅提高，部分企业的陶瓷产品和工艺达到了世界先进水平，但总的来说，中国陶瓷行业缺乏国际知名品</w:t>
      </w:r>
    </w:p>
    <w:p>
      <w:pPr>
        <w:pStyle w:val="BodyText"/>
        <w:spacing w:line="314" w:lineRule="auto" w:before="76"/>
        <w:ind w:left="113" w:right="0"/>
        <w:jc w:val="left"/>
      </w:pPr>
      <w:r>
        <w:rPr>
          <w:spacing w:val="-2"/>
        </w:rPr>
        <w:t>牌，整个行业大而不强。目前，世界知名的陶瓷品牌主要集中在英国、德国、日本、意大利、西班牙等，这些企业的陶瓷品</w:t>
      </w:r>
      <w:r>
        <w:rPr>
          <w:spacing w:val="-62"/>
        </w:rPr>
        <w:t> </w:t>
      </w:r>
      <w:r>
        <w:rPr>
          <w:spacing w:val="-62"/>
        </w:rPr>
      </w:r>
      <w:r>
        <w:rPr>
          <w:spacing w:val="-2"/>
        </w:rPr>
        <w:t>牌知名度、产品质量和档次都较高。在审美不断变化和消费不断升级的国际背景下，国际陶瓷消费市场已逐渐向中高档产品</w:t>
      </w:r>
      <w:r>
        <w:rPr>
          <w:spacing w:val="-65"/>
        </w:rPr>
        <w:t> </w:t>
      </w:r>
      <w:r>
        <w:rPr>
          <w:spacing w:val="-65"/>
        </w:rPr>
      </w:r>
      <w:r>
        <w:rPr>
          <w:spacing w:val="-4"/>
        </w:rPr>
        <w:t>市场转移，一些集艺术性、装饰性、观赏性和实用性于一体的中、高档艺术陶瓷正越来越受到市场的欢迎。在市场需求方面，</w:t>
      </w:r>
      <w:r>
        <w:rPr>
          <w:spacing w:val="-41"/>
        </w:rPr>
        <w:t> </w:t>
      </w:r>
      <w:r>
        <w:rPr>
          <w:spacing w:val="-41"/>
        </w:rPr>
      </w:r>
      <w:r>
        <w:rPr>
          <w:spacing w:val="-2"/>
        </w:rPr>
        <w:t>欧洲、中东、北美和亚洲是主要的陶瓷需求区域。但在我国各大陶瓷产区，尽管陶瓷企业数量众多，但大多数是外国品牌企</w:t>
      </w:r>
      <w:r>
        <w:rPr>
          <w:spacing w:val="-64"/>
        </w:rPr>
        <w:t> </w:t>
      </w:r>
      <w:r>
        <w:rPr>
          <w:spacing w:val="-64"/>
        </w:rPr>
      </w:r>
      <w:r>
        <w:rPr/>
        <w:t>业的</w:t>
      </w:r>
      <w:r>
        <w:rPr>
          <w:rFonts w:ascii="Times New Roman" w:hAnsi="Times New Roman" w:cs="Times New Roman" w:eastAsia="Times New Roman" w:hint="default"/>
        </w:rPr>
        <w:t>OEM</w:t>
      </w:r>
      <w:r>
        <w:rPr/>
        <w:t>或</w:t>
      </w:r>
      <w:r>
        <w:rPr>
          <w:rFonts w:ascii="Times New Roman" w:hAnsi="Times New Roman" w:cs="Times New Roman" w:eastAsia="Times New Roman" w:hint="default"/>
        </w:rPr>
        <w:t>ODM</w:t>
      </w:r>
      <w:r>
        <w:rPr/>
        <w:t>代工企业，拥有自主品牌的企业凤毛麟角。长城集团是最早拥有自营进出口权的陶瓷企业，产品畅销世界 </w:t>
      </w:r>
      <w:r>
        <w:rPr>
          <w:rFonts w:ascii="Times New Roman" w:hAnsi="Times New Roman" w:cs="Times New Roman" w:eastAsia="Times New Roman" w:hint="default"/>
        </w:rPr>
        <w:t>60</w:t>
      </w:r>
      <w:r>
        <w:rPr/>
        <w:t>多个国家和地区，长城品牌在国际市场拥有较高知名度。</w:t>
      </w:r>
    </w:p>
    <w:p>
      <w:pPr>
        <w:pStyle w:val="BodyText"/>
        <w:spacing w:line="340" w:lineRule="auto" w:before="40"/>
        <w:ind w:left="473" w:right="0"/>
        <w:jc w:val="left"/>
      </w:pPr>
      <w:r>
        <w:rPr/>
        <w:t>（</w:t>
      </w:r>
      <w:r>
        <w:rPr>
          <w:rFonts w:ascii="Times New Roman" w:hAnsi="Times New Roman" w:cs="Times New Roman" w:eastAsia="Times New Roman" w:hint="default"/>
        </w:rPr>
        <w:t>2</w:t>
      </w:r>
      <w:r>
        <w:rPr/>
        <w:t>）行业发展趋势 </w:t>
      </w:r>
      <w:r>
        <w:rPr>
          <w:spacing w:val="-2"/>
        </w:rPr>
        <w:t>随着消费者需求档次的提升，人们对陶瓷产品提出了更多更高的新要求，从而促使陶瓷企业不断进行科技创新，加速产</w:t>
      </w:r>
    </w:p>
    <w:p>
      <w:pPr>
        <w:pStyle w:val="BodyText"/>
        <w:spacing w:line="240" w:lineRule="auto" w:before="1"/>
        <w:ind w:left="113" w:right="3570"/>
        <w:jc w:val="left"/>
      </w:pPr>
      <w:r>
        <w:rPr/>
        <w:t>品的更新和升级步伐。未来，陶瓷行业将呈现如下五方面的发展趋势：</w:t>
      </w:r>
    </w:p>
    <w:p>
      <w:pPr>
        <w:pStyle w:val="BodyText"/>
        <w:spacing w:line="240" w:lineRule="auto" w:before="116"/>
        <w:ind w:left="473" w:right="3570"/>
        <w:jc w:val="left"/>
      </w:pPr>
      <w:r>
        <w:rPr/>
        <w:t>①品牌化</w:t>
      </w:r>
    </w:p>
    <w:p>
      <w:pPr>
        <w:spacing w:after="0" w:line="240" w:lineRule="auto"/>
        <w:jc w:val="left"/>
        <w:sectPr>
          <w:pgSz w:w="11910" w:h="16840"/>
          <w:pgMar w:header="747" w:footer="980" w:top="1060" w:bottom="1160" w:left="1020" w:right="880"/>
        </w:sectPr>
      </w:pPr>
    </w:p>
    <w:p>
      <w:pPr>
        <w:spacing w:line="240" w:lineRule="auto" w:before="12"/>
        <w:rPr>
          <w:rFonts w:ascii="宋体" w:hAnsi="宋体" w:cs="宋体" w:eastAsia="宋体" w:hint="default"/>
          <w:sz w:val="25"/>
          <w:szCs w:val="25"/>
        </w:rPr>
      </w:pPr>
    </w:p>
    <w:p>
      <w:pPr>
        <w:pStyle w:val="BodyText"/>
        <w:spacing w:line="316" w:lineRule="auto" w:before="44"/>
        <w:ind w:left="113" w:right="91" w:firstLine="360"/>
        <w:jc w:val="left"/>
      </w:pPr>
      <w:r>
        <w:rPr/>
        <w:t>随着市场的不断变化和发展，陶瓷企业的竞争已趋向品牌影响力的竞争，而决定品牌影响力的关键在于研发设计能力、 </w:t>
      </w:r>
      <w:r>
        <w:rPr>
          <w:spacing w:val="-2"/>
        </w:rPr>
        <w:t>产品质量、工艺技术和市场覆盖能力。研发设计能力和产品质量决定企业能否获得消费者认可，是争取更大的市场份额并保</w:t>
      </w:r>
      <w:r>
        <w:rPr>
          <w:spacing w:val="-65"/>
        </w:rPr>
        <w:t> </w:t>
      </w:r>
      <w:r>
        <w:rPr>
          <w:spacing w:val="-65"/>
        </w:rPr>
      </w:r>
      <w:r>
        <w:rPr>
          <w:spacing w:val="-2"/>
        </w:rPr>
        <w:t>持持续发展的基础。而工艺技术以及市场覆盖能力则直接影响产品的销量，是企业抢占更多市场份额的必要保障。企业逐步</w:t>
      </w:r>
      <w:r>
        <w:rPr>
          <w:spacing w:val="-64"/>
        </w:rPr>
        <w:t> </w:t>
      </w:r>
      <w:r>
        <w:rPr>
          <w:spacing w:val="-64"/>
        </w:rPr>
      </w:r>
      <w:r>
        <w:rPr>
          <w:spacing w:val="-4"/>
        </w:rPr>
        <w:t>向做工精细化、品质艺术化、风格特色化、产品系列化、功能配套耐用化以及向注重安全、卫生、环保和文化内涵方向发展，</w:t>
      </w:r>
      <w:r>
        <w:rPr>
          <w:spacing w:val="-43"/>
        </w:rPr>
        <w:t> </w:t>
      </w:r>
      <w:r>
        <w:rPr>
          <w:spacing w:val="-43"/>
        </w:rPr>
      </w:r>
      <w:r>
        <w:rPr/>
        <w:t>在此基础上，逐步提高自身品牌的影响力，扩大自身的市场份额。</w:t>
      </w:r>
    </w:p>
    <w:p>
      <w:pPr>
        <w:pStyle w:val="BodyText"/>
        <w:spacing w:line="357" w:lineRule="auto" w:before="59"/>
        <w:ind w:left="473" w:right="91"/>
        <w:jc w:val="left"/>
      </w:pPr>
      <w:r>
        <w:rPr/>
        <w:t>②科技化 </w:t>
      </w:r>
      <w:r>
        <w:rPr>
          <w:spacing w:val="-2"/>
        </w:rPr>
        <w:t>随着陶瓷业不断应用新技术，采用新材料，加速高新科技与陶瓷业的融合进程，陶瓷产品日趋呈现科技化的潮流，产品</w:t>
      </w:r>
    </w:p>
    <w:p>
      <w:pPr>
        <w:pStyle w:val="BodyText"/>
        <w:spacing w:line="224" w:lineRule="exact"/>
        <w:ind w:left="113" w:right="0"/>
        <w:jc w:val="both"/>
      </w:pPr>
      <w:r>
        <w:rPr/>
        <w:t>科技含量日渐增高。同时，各种先进的生产工艺和技术设备的应用也为陶瓷产品的高科技化提供了可能。</w:t>
      </w:r>
    </w:p>
    <w:p>
      <w:pPr>
        <w:pStyle w:val="BodyText"/>
        <w:spacing w:line="360" w:lineRule="auto" w:before="116"/>
        <w:ind w:left="473" w:right="91"/>
        <w:jc w:val="left"/>
      </w:pPr>
      <w:r>
        <w:rPr/>
        <w:t>③高档化 </w:t>
      </w:r>
      <w:r>
        <w:rPr>
          <w:spacing w:val="-2"/>
        </w:rPr>
        <w:t>陶瓷产品的生产过程中，随着高新技术、高新材料、高新设备的应用，陶瓷产品的档次也日渐呈现高档化的趋势。在这</w:t>
      </w:r>
    </w:p>
    <w:p>
      <w:pPr>
        <w:pStyle w:val="BodyText"/>
        <w:spacing w:line="222" w:lineRule="exact"/>
        <w:ind w:left="113" w:right="0"/>
        <w:jc w:val="both"/>
      </w:pPr>
      <w:r>
        <w:rPr/>
        <w:t>种产业结构升级和陶瓷消费日趋高档化的趋势下，国内一些具有品牌和技术研发优势、具备高档陶瓷设计和生产营销能力的</w:t>
      </w:r>
    </w:p>
    <w:p>
      <w:pPr>
        <w:pStyle w:val="BodyText"/>
        <w:spacing w:line="240" w:lineRule="auto" w:before="76"/>
        <w:ind w:left="113" w:right="0"/>
        <w:jc w:val="both"/>
      </w:pPr>
      <w:r>
        <w:rPr/>
        <w:t>大中型生产商将获得进一步提高市场份额的机会，而以生产附加值低的低档陶瓷为主的众多小型陶瓷生产商将被市场淘汰。</w:t>
      </w:r>
    </w:p>
    <w:p>
      <w:pPr>
        <w:pStyle w:val="BodyText"/>
        <w:spacing w:line="357" w:lineRule="auto" w:before="116"/>
        <w:ind w:left="473" w:right="91"/>
        <w:jc w:val="left"/>
      </w:pPr>
      <w:r>
        <w:rPr/>
        <w:t>④环保化 </w:t>
      </w:r>
      <w:r>
        <w:rPr>
          <w:spacing w:val="-2"/>
        </w:rPr>
        <w:t>近几年，绿色环保成为了市场需求的热点，追求陶瓷产品的绿色环保化，也成为陶瓷企业的追逐目标。此外，陶瓷行业</w:t>
      </w:r>
    </w:p>
    <w:p>
      <w:pPr>
        <w:pStyle w:val="BodyText"/>
        <w:spacing w:line="237" w:lineRule="exact"/>
        <w:ind w:left="113" w:right="0"/>
        <w:jc w:val="both"/>
      </w:pPr>
      <w:r>
        <w:rPr/>
        <w:t>也是能耗较大的行业，</w:t>
      </w:r>
      <w:r>
        <w:rPr>
          <w:rFonts w:ascii="Times New Roman" w:hAnsi="Times New Roman" w:cs="Times New Roman" w:eastAsia="Times New Roman" w:hint="default"/>
        </w:rPr>
        <w:t>“</w:t>
      </w:r>
      <w:r>
        <w:rPr/>
        <w:t>节能减排</w:t>
      </w:r>
      <w:r>
        <w:rPr>
          <w:rFonts w:ascii="Times New Roman" w:hAnsi="Times New Roman" w:cs="Times New Roman" w:eastAsia="Times New Roman" w:hint="default"/>
        </w:rPr>
        <w:t>”</w:t>
      </w:r>
      <w:r>
        <w:rPr/>
        <w:t>也将成为该行业环保化的重要内容之一。</w:t>
      </w:r>
    </w:p>
    <w:p>
      <w:pPr>
        <w:pStyle w:val="BodyText"/>
        <w:spacing w:line="357" w:lineRule="auto" w:before="103"/>
        <w:ind w:left="473" w:right="91"/>
        <w:jc w:val="left"/>
      </w:pPr>
      <w:r>
        <w:rPr/>
        <w:t>⑤智能化 </w:t>
      </w:r>
      <w:r>
        <w:rPr>
          <w:spacing w:val="-2"/>
        </w:rPr>
        <w:t>随着社会的进步与发展，生活环境的不断改善和提高，消费者对陶瓷产品的智能化要求越来越高，各种智能化的陶瓷产</w:t>
      </w:r>
    </w:p>
    <w:p>
      <w:pPr>
        <w:pStyle w:val="BodyText"/>
        <w:spacing w:line="224" w:lineRule="exact"/>
        <w:ind w:left="113" w:right="0"/>
        <w:jc w:val="both"/>
      </w:pPr>
      <w:r>
        <w:rPr/>
        <w:t>品也应运而生。</w:t>
      </w:r>
    </w:p>
    <w:p>
      <w:pPr>
        <w:pStyle w:val="BodyText"/>
        <w:spacing w:line="340" w:lineRule="auto" w:before="116"/>
        <w:ind w:left="473" w:right="91" w:hanging="360"/>
        <w:jc w:val="left"/>
      </w:pPr>
      <w:r>
        <w:rPr>
          <w:rFonts w:ascii="Times New Roman" w:hAnsi="Times New Roman" w:cs="Times New Roman" w:eastAsia="Times New Roman" w:hint="default"/>
        </w:rPr>
        <w:t>2</w:t>
      </w:r>
      <w:r>
        <w:rPr/>
        <w:t>、公司发展战略 </w:t>
      </w:r>
      <w:r>
        <w:rPr>
          <w:spacing w:val="-2"/>
        </w:rPr>
        <w:t>公司坚持以</w:t>
      </w:r>
      <w:r>
        <w:rPr>
          <w:rFonts w:ascii="Times New Roman" w:hAnsi="Times New Roman" w:cs="Times New Roman" w:eastAsia="Times New Roman" w:hint="default"/>
          <w:spacing w:val="-2"/>
        </w:rPr>
        <w:t>“</w:t>
      </w:r>
      <w:r>
        <w:rPr>
          <w:spacing w:val="-2"/>
        </w:rPr>
        <w:t>让陶瓷文化传遍全球</w:t>
      </w:r>
      <w:r>
        <w:rPr>
          <w:rFonts w:ascii="Times New Roman" w:hAnsi="Times New Roman" w:cs="Times New Roman" w:eastAsia="Times New Roman" w:hint="default"/>
          <w:spacing w:val="-2"/>
        </w:rPr>
        <w:t>”</w:t>
      </w:r>
      <w:r>
        <w:rPr>
          <w:spacing w:val="-2"/>
        </w:rPr>
        <w:t>为愿景，立足陶瓷文化产业，以现代创意设计为先导，以高端制造为基石，以敏捷可</w:t>
      </w:r>
    </w:p>
    <w:p>
      <w:pPr>
        <w:pStyle w:val="BodyText"/>
        <w:spacing w:line="215" w:lineRule="exact"/>
        <w:ind w:right="0"/>
        <w:jc w:val="both"/>
      </w:pPr>
      <w:r>
        <w:rPr/>
        <w:t>靠的供应链体系为保障，整合国内外资源，面向全球市场，成为中国陶瓷文化产业现代化、规模化、国际化的领军企业</w:t>
      </w:r>
      <w:r>
        <w:rPr>
          <w:spacing w:val="-82"/>
        </w:rPr>
        <w:t>，</w:t>
      </w:r>
      <w:r>
        <w:rPr/>
        <w:t>坚</w:t>
      </w:r>
    </w:p>
    <w:p>
      <w:pPr>
        <w:pStyle w:val="BodyText"/>
        <w:spacing w:line="309" w:lineRule="auto" w:before="76"/>
        <w:ind w:right="101"/>
        <w:jc w:val="both"/>
      </w:pPr>
      <w:r>
        <w:rPr>
          <w:spacing w:val="-2"/>
        </w:rPr>
        <w:t>持走专业化品牌发展路线，在巩固现有行业地位的基础上，充分发挥公司研发创新、品牌和营销网络优势，将传统工艺和现</w:t>
      </w:r>
      <w:r>
        <w:rPr>
          <w:spacing w:val="-66"/>
        </w:rPr>
        <w:t> </w:t>
      </w:r>
      <w:r>
        <w:rPr>
          <w:spacing w:val="-66"/>
        </w:rPr>
      </w:r>
      <w:r>
        <w:rPr/>
        <w:t>代创意紧密结合，实现</w:t>
      </w:r>
      <w:r>
        <w:rPr>
          <w:rFonts w:ascii="Times New Roman" w:hAnsi="Times New Roman" w:cs="Times New Roman" w:eastAsia="Times New Roman" w:hint="default"/>
        </w:rPr>
        <w:t>“</w:t>
      </w:r>
      <w:r>
        <w:rPr/>
        <w:t>科技创新、文化创意</w:t>
      </w:r>
      <w:r>
        <w:rPr>
          <w:rFonts w:ascii="Times New Roman" w:hAnsi="Times New Roman" w:cs="Times New Roman" w:eastAsia="Times New Roman" w:hint="default"/>
        </w:rPr>
        <w:t>”</w:t>
      </w:r>
      <w:r>
        <w:rPr/>
        <w:t>，不断为社会创造物质和精神财富，提高企业产品市场占有率。公司将不断弘 </w:t>
      </w:r>
      <w:r>
        <w:rPr>
          <w:spacing w:val="-4"/>
        </w:rPr>
        <w:t>扬中国陶瓷的文化，扩大在国际及国内的影响力，逐步打造国内外知名的陶瓷品牌，力争成为创意艺术陶瓷行业的龙头企业。</w:t>
      </w:r>
    </w:p>
    <w:p>
      <w:pPr>
        <w:pStyle w:val="BodyText"/>
        <w:spacing w:line="240" w:lineRule="auto" w:before="64"/>
        <w:ind w:right="0"/>
        <w:jc w:val="both"/>
      </w:pPr>
      <w:r>
        <w:rPr>
          <w:rFonts w:ascii="Times New Roman" w:hAnsi="Times New Roman" w:cs="Times New Roman" w:eastAsia="Times New Roman" w:hint="default"/>
        </w:rPr>
        <w:t>3</w:t>
      </w:r>
      <w:r>
        <w:rPr/>
        <w:t>、经营计划</w:t>
      </w:r>
    </w:p>
    <w:p>
      <w:pPr>
        <w:pStyle w:val="BodyText"/>
        <w:spacing w:line="307" w:lineRule="auto" w:before="102"/>
        <w:ind w:right="187" w:firstLine="360"/>
        <w:jc w:val="both"/>
      </w:pPr>
      <w:r>
        <w:rPr>
          <w:rFonts w:ascii="Times New Roman" w:hAnsi="Times New Roman" w:cs="Times New Roman" w:eastAsia="Times New Roman" w:hint="default"/>
          <w:spacing w:val="-2"/>
        </w:rPr>
        <w:t>2013</w:t>
      </w:r>
      <w:r>
        <w:rPr>
          <w:spacing w:val="-2"/>
        </w:rPr>
        <w:t>年，公司将不断完善内控体系建设，打造强有力的供应链体系，严格防范经营风险，满足市场营销并成为有效的支</w:t>
      </w:r>
      <w:r>
        <w:rPr/>
        <w:t> </w:t>
      </w:r>
      <w:r>
        <w:rPr>
          <w:spacing w:val="-2"/>
        </w:rPr>
        <w:t>撑保障；发挥募集资金的使用效益，扩大</w:t>
      </w:r>
      <w:r>
        <w:rPr>
          <w:rFonts w:ascii="Times New Roman" w:hAnsi="Times New Roman" w:cs="Times New Roman" w:eastAsia="Times New Roman" w:hint="default"/>
          <w:spacing w:val="-2"/>
        </w:rPr>
        <w:t>“</w:t>
      </w:r>
      <w:r>
        <w:rPr>
          <w:spacing w:val="-2"/>
        </w:rPr>
        <w:t>长城</w:t>
      </w:r>
      <w:r>
        <w:rPr>
          <w:rFonts w:ascii="Times New Roman" w:hAnsi="Times New Roman" w:cs="Times New Roman" w:eastAsia="Times New Roman" w:hint="default"/>
          <w:spacing w:val="-2"/>
        </w:rPr>
        <w:t>”</w:t>
      </w:r>
      <w:r>
        <w:rPr>
          <w:spacing w:val="-2"/>
        </w:rPr>
        <w:t>品牌的市场占有率；加强自主研发实力和创新创意设计能力，铸造长城独特</w:t>
      </w:r>
      <w:r>
        <w:rPr>
          <w:spacing w:val="-42"/>
        </w:rPr>
        <w:t> </w:t>
      </w:r>
      <w:r>
        <w:rPr>
          <w:spacing w:val="-42"/>
        </w:rPr>
      </w:r>
      <w:r>
        <w:rPr>
          <w:spacing w:val="-2"/>
        </w:rPr>
        <w:t>的企业文化体系，以持续提升企业品牌的综合竞争力。公司将依靠外销市场稳步增长，大力拓展内销市场，加快品牌连锁店</w:t>
      </w:r>
      <w:r>
        <w:rPr>
          <w:spacing w:val="-66"/>
        </w:rPr>
        <w:t> </w:t>
      </w:r>
      <w:r>
        <w:rPr>
          <w:spacing w:val="-66"/>
        </w:rPr>
      </w:r>
      <w:r>
        <w:rPr/>
        <w:t>的建设，确保公司实现快速增长。为此，公司 </w:t>
      </w:r>
      <w:r>
        <w:rPr>
          <w:rFonts w:ascii="Times New Roman" w:hAnsi="Times New Roman" w:cs="Times New Roman" w:eastAsia="Times New Roman" w:hint="default"/>
        </w:rPr>
        <w:t>2013</w:t>
      </w:r>
      <w:r>
        <w:rPr/>
        <w:t>年及未来的发展规划主要围绕以下工作展开：</w:t>
      </w:r>
    </w:p>
    <w:p>
      <w:pPr>
        <w:pStyle w:val="BodyText"/>
        <w:spacing w:line="240" w:lineRule="auto" w:before="48"/>
        <w:ind w:left="474" w:right="91"/>
        <w:jc w:val="left"/>
      </w:pPr>
      <w:r>
        <w:rPr/>
        <w:t>（</w:t>
      </w:r>
      <w:r>
        <w:rPr>
          <w:rFonts w:ascii="Times New Roman" w:hAnsi="Times New Roman" w:cs="Times New Roman" w:eastAsia="Times New Roman" w:hint="default"/>
        </w:rPr>
        <w:t>1</w:t>
      </w:r>
      <w:r>
        <w:rPr/>
        <w:t>）加强市场营销</w:t>
      </w:r>
    </w:p>
    <w:p>
      <w:pPr>
        <w:pStyle w:val="BodyText"/>
        <w:spacing w:line="316" w:lineRule="auto" w:before="102"/>
        <w:ind w:right="191" w:firstLine="360"/>
        <w:jc w:val="both"/>
      </w:pPr>
      <w:r>
        <w:rPr>
          <w:spacing w:val="-2"/>
        </w:rPr>
        <w:t>①努力巩固外贸出口。要抓住美国市场去库存化末期，进口商进入正常采购的有利市场形势，进一步巩固与大客户的合</w:t>
      </w:r>
      <w:r>
        <w:rPr/>
        <w:t> </w:t>
      </w:r>
      <w:r>
        <w:rPr>
          <w:spacing w:val="-2"/>
        </w:rPr>
        <w:t>作。要积极参加国际著名展会，全方位开拓国际市场，特别是以俄罗斯、巴西为代表的东欧、南美、中东等新兴市场出口渠</w:t>
      </w:r>
      <w:r>
        <w:rPr>
          <w:spacing w:val="-67"/>
        </w:rPr>
        <w:t> </w:t>
      </w:r>
      <w:r>
        <w:rPr>
          <w:spacing w:val="-67"/>
        </w:rPr>
      </w:r>
      <w:r>
        <w:rPr/>
        <w:t>道，形成多元化国际市场结构。要增强全员服务意识，提高整体服务质量，提高市场竞争力。</w:t>
      </w:r>
    </w:p>
    <w:p>
      <w:pPr>
        <w:pStyle w:val="BodyText"/>
        <w:spacing w:line="316" w:lineRule="auto" w:before="58"/>
        <w:ind w:right="98" w:firstLine="360"/>
        <w:jc w:val="both"/>
      </w:pPr>
      <w:r>
        <w:rPr>
          <w:spacing w:val="-4"/>
        </w:rPr>
        <w:t>②继续开拓国内市场。一要加强宣传策划，全面启动品牌战略，加强品牌策划，加大企业及品牌宣传，提高品牌知名度。</w:t>
      </w:r>
      <w:r>
        <w:rPr/>
        <w:t> 二要加强市场建设，主攻国内中高端礼品陶瓷市场，加快建立完善内销市场网络。三要加强产品服务。增强全员服务意识， 树立一切从市场出发、一切围绕市场的理念，加强营销协调和管理，切实提高服务水平，改善物流配送等服务质量。</w:t>
      </w:r>
    </w:p>
    <w:p>
      <w:pPr>
        <w:pStyle w:val="BodyText"/>
        <w:spacing w:line="309" w:lineRule="auto" w:before="59"/>
        <w:ind w:right="90" w:firstLine="360"/>
        <w:jc w:val="left"/>
      </w:pPr>
      <w:r>
        <w:rPr/>
        <w:t>③大力发展陶瓷酒瓶等新型业务。陶瓷酒瓶行业主要为国内中高档白酒配套，市场规模大，成长性好，行业集中度低， 发展机遇好，可以比较好的发挥长城集团在陶瓷设计、科技研发方面的优势，</w:t>
      </w:r>
      <w:r>
        <w:rPr>
          <w:spacing w:val="4"/>
        </w:rPr>
        <w:t> </w:t>
      </w:r>
      <w:r>
        <w:rPr/>
        <w:t>因此公司将陶瓷包装主要是陶瓷酒瓶作为开</w:t>
      </w:r>
      <w:r>
        <w:rPr/>
        <w:t> </w:t>
      </w:r>
      <w:r>
        <w:rPr>
          <w:spacing w:val="-2"/>
        </w:rPr>
        <w:t>拓国内陶瓷市场，扩大国内市场销售，实现内外需均衡化的战略性新兴产业。</w:t>
      </w:r>
      <w:r>
        <w:rPr>
          <w:rFonts w:ascii="Times New Roman" w:hAnsi="Times New Roman" w:cs="Times New Roman" w:eastAsia="Times New Roman" w:hint="default"/>
          <w:spacing w:val="-2"/>
        </w:rPr>
        <w:t>2013</w:t>
      </w:r>
      <w:r>
        <w:rPr>
          <w:spacing w:val="-2"/>
        </w:rPr>
        <w:t>年，长城集团将在河南省投入建设全国颇</w:t>
      </w:r>
      <w:r>
        <w:rPr>
          <w:spacing w:val="-62"/>
        </w:rPr>
        <w:t> </w:t>
      </w:r>
      <w:r>
        <w:rPr>
          <w:spacing w:val="-62"/>
        </w:rPr>
      </w:r>
      <w:r>
        <w:rPr/>
        <w:t>具规模、产业配套齐全的创意包装陶瓷绿色产业基地。项目首期将投资建设年产</w:t>
      </w:r>
      <w:r>
        <w:rPr>
          <w:rFonts w:ascii="Times New Roman" w:hAnsi="Times New Roman" w:cs="Times New Roman" w:eastAsia="Times New Roman" w:hint="default"/>
        </w:rPr>
        <w:t>2000 </w:t>
      </w:r>
      <w:r>
        <w:rPr/>
        <w:t>万只陶瓷酒瓶的生产中心，为后续扩</w:t>
      </w:r>
      <w:r>
        <w:rPr>
          <w:spacing w:val="-86"/>
        </w:rPr>
        <w:t> </w:t>
      </w:r>
      <w:r>
        <w:rPr/>
        <w:t>产和上下游产业链的发展建设奠定基础。</w:t>
      </w:r>
    </w:p>
    <w:p>
      <w:pPr>
        <w:pStyle w:val="BodyText"/>
        <w:spacing w:line="240" w:lineRule="auto" w:before="64"/>
        <w:ind w:left="474" w:right="91"/>
        <w:jc w:val="left"/>
      </w:pPr>
      <w:r>
        <w:rPr/>
        <w:t>（</w:t>
      </w:r>
      <w:r>
        <w:rPr>
          <w:rFonts w:ascii="Times New Roman" w:hAnsi="Times New Roman" w:cs="Times New Roman" w:eastAsia="Times New Roman" w:hint="default"/>
        </w:rPr>
        <w:t>2</w:t>
      </w:r>
      <w:r>
        <w:rPr/>
        <w:t>）加强生产管理和技术创新</w:t>
      </w:r>
    </w:p>
    <w:p>
      <w:pPr>
        <w:spacing w:after="0" w:line="240" w:lineRule="auto"/>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left="113" w:right="188" w:firstLine="360"/>
        <w:jc w:val="both"/>
      </w:pPr>
      <w:r>
        <w:rPr>
          <w:spacing w:val="-2"/>
        </w:rPr>
        <w:t>①大力开展节能降耗工作，提高人员效率。进一步增强全员成本意识，全面分解降耗指标，统一考核标准，积极开展小</w:t>
      </w:r>
      <w:r>
        <w:rPr/>
        <w:t> </w:t>
      </w:r>
      <w:r>
        <w:rPr>
          <w:spacing w:val="-2"/>
        </w:rPr>
        <w:t>改小革和合理化建议活动，加大奖励力度；全面细化管理，提高热利用效率。加强物资市场研究，增强预见性，降低采购成</w:t>
      </w:r>
      <w:r>
        <w:rPr>
          <w:spacing w:val="-67"/>
        </w:rPr>
        <w:t> </w:t>
      </w:r>
      <w:r>
        <w:rPr>
          <w:spacing w:val="-67"/>
        </w:rPr>
      </w:r>
      <w:r>
        <w:rPr>
          <w:spacing w:val="-2"/>
        </w:rPr>
        <w:t>本，稳定供应质量。推进设备自动化改造，制定提高设备自动化、流程合理化的改造方案，按照轻重缓急和投入大小分步实</w:t>
      </w:r>
      <w:r>
        <w:rPr>
          <w:spacing w:val="-64"/>
        </w:rPr>
        <w:t> </w:t>
      </w:r>
      <w:r>
        <w:rPr>
          <w:spacing w:val="-64"/>
        </w:rPr>
      </w:r>
      <w:r>
        <w:rPr>
          <w:spacing w:val="-2"/>
        </w:rPr>
        <w:t>施，大力减少人工、降低劳动强度。继续研究落实优化劳动，制定效率优化行动计划，开放思维、开拓思路，积极调整劳动</w:t>
      </w:r>
      <w:r>
        <w:rPr>
          <w:spacing w:val="-64"/>
        </w:rPr>
        <w:t> </w:t>
      </w:r>
      <w:r>
        <w:rPr>
          <w:spacing w:val="-64"/>
        </w:rPr>
      </w:r>
      <w:r>
        <w:rPr/>
        <w:t>组合，全面实施减员增效。</w:t>
      </w:r>
    </w:p>
    <w:p>
      <w:pPr>
        <w:pStyle w:val="BodyText"/>
        <w:spacing w:line="316" w:lineRule="auto" w:before="59"/>
        <w:ind w:left="113" w:right="188" w:firstLine="360"/>
        <w:jc w:val="both"/>
      </w:pPr>
      <w:r>
        <w:rPr>
          <w:spacing w:val="-2"/>
        </w:rPr>
        <w:t>②加强质量管理，适应创一流品牌的需要。大力开展宣传发动，提高全员质量意识和危机感，认真分析质量管理中存在</w:t>
      </w:r>
      <w:r>
        <w:rPr/>
        <w:t> </w:t>
      </w:r>
      <w:r>
        <w:rPr>
          <w:spacing w:val="-2"/>
        </w:rPr>
        <w:t>的薄弱环节、实物质量与国际品牌和国内标杆企业的差距，加强对各质控点的工艺纪律执行情况的抽查、监督力度，严格生</w:t>
      </w:r>
      <w:r>
        <w:rPr>
          <w:spacing w:val="-65"/>
        </w:rPr>
        <w:t> </w:t>
      </w:r>
      <w:r>
        <w:rPr>
          <w:spacing w:val="-65"/>
        </w:rPr>
      </w:r>
      <w:r>
        <w:rPr/>
        <w:t>产全过程的管理，在质量管理的重点上取得突破。</w:t>
      </w:r>
    </w:p>
    <w:p>
      <w:pPr>
        <w:pStyle w:val="BodyText"/>
        <w:spacing w:line="316" w:lineRule="auto" w:before="58"/>
        <w:ind w:left="113" w:right="91" w:firstLine="360"/>
        <w:jc w:val="left"/>
      </w:pPr>
      <w:r>
        <w:rPr>
          <w:spacing w:val="-2"/>
        </w:rPr>
        <w:t>③加快产品创新和技术创新，强化知识产权保护。一是积极招聘国内外知名设计师、陶艺家担任艺术、设计顾问，提高</w:t>
      </w:r>
      <w:r>
        <w:rPr/>
        <w:t> </w:t>
      </w:r>
      <w:r>
        <w:rPr>
          <w:spacing w:val="-4"/>
        </w:rPr>
        <w:t>经典陶瓷设计能力；进一步提高开发人员积极性，拓宽开发设计视野，适应国内外市场需求；进一步完善开发硬件软件条件，</w:t>
      </w:r>
      <w:r>
        <w:rPr>
          <w:spacing w:val="-44"/>
        </w:rPr>
        <w:t> </w:t>
      </w:r>
      <w:r>
        <w:rPr>
          <w:spacing w:val="-44"/>
        </w:rPr>
      </w:r>
      <w:r>
        <w:rPr/>
        <w:t>加大新工艺的引进和使用。二是积极申报国家专利，提升企业核心竞争力。</w:t>
      </w:r>
    </w:p>
    <w:p>
      <w:pPr>
        <w:pStyle w:val="BodyText"/>
        <w:spacing w:line="240" w:lineRule="auto" w:before="58"/>
        <w:ind w:left="473" w:right="91"/>
        <w:jc w:val="left"/>
      </w:pPr>
      <w:r>
        <w:rPr/>
        <w:t>（</w:t>
      </w:r>
      <w:r>
        <w:rPr>
          <w:rFonts w:ascii="Times New Roman" w:hAnsi="Times New Roman" w:cs="Times New Roman" w:eastAsia="Times New Roman" w:hint="default"/>
        </w:rPr>
        <w:t>3</w:t>
      </w:r>
      <w:r>
        <w:rPr/>
        <w:t>）人力资源管理和企业文化建设</w:t>
      </w:r>
    </w:p>
    <w:p>
      <w:pPr>
        <w:pStyle w:val="BodyText"/>
        <w:spacing w:line="316" w:lineRule="auto" w:before="103"/>
        <w:ind w:left="113" w:right="91" w:firstLine="360"/>
        <w:jc w:val="left"/>
      </w:pPr>
      <w:r>
        <w:rPr>
          <w:spacing w:val="-4"/>
        </w:rPr>
        <w:t>①全面深化绩效考核。公司要全面落实岗位职责、工作目标，按月制定月度重点工作，强化工作检查和年终考核、考评。</w:t>
      </w:r>
      <w:r>
        <w:rPr/>
        <w:t> </w:t>
      </w:r>
      <w:r>
        <w:rPr>
          <w:spacing w:val="-2"/>
        </w:rPr>
        <w:t>要不断总结近年来推行绩效考评的经验和不足，进一步优化绩效考核制度，合理调整考评方法，细化考核过程，使绩效考评</w:t>
      </w:r>
      <w:r>
        <w:rPr>
          <w:spacing w:val="-65"/>
        </w:rPr>
        <w:t> </w:t>
      </w:r>
      <w:r>
        <w:rPr>
          <w:spacing w:val="-65"/>
        </w:rPr>
      </w:r>
      <w:r>
        <w:rPr/>
        <w:t>工作成为企业发展的真正动力。</w:t>
      </w:r>
    </w:p>
    <w:p>
      <w:pPr>
        <w:pStyle w:val="BodyText"/>
        <w:spacing w:line="316" w:lineRule="auto" w:before="58"/>
        <w:ind w:left="113" w:right="188" w:firstLine="360"/>
        <w:jc w:val="both"/>
      </w:pPr>
      <w:r>
        <w:rPr>
          <w:spacing w:val="-2"/>
        </w:rPr>
        <w:t>②重视、做好教育培训工作。根据现有管理、技术及技工队伍现状，制定中长期培训计划，采取在职自学、集中培训和</w:t>
      </w:r>
      <w:r>
        <w:rPr/>
        <w:t> </w:t>
      </w:r>
      <w:r>
        <w:rPr>
          <w:spacing w:val="-2"/>
        </w:rPr>
        <w:t>外送学习的方式，提高各类人员的能力和水平。稳步推进干部选拔任用制度改革，形成能者上、庸者让、劣者汰的选人用人</w:t>
      </w:r>
      <w:r>
        <w:rPr>
          <w:spacing w:val="-64"/>
        </w:rPr>
        <w:t> </w:t>
      </w:r>
      <w:r>
        <w:rPr>
          <w:spacing w:val="-64"/>
        </w:rPr>
      </w:r>
      <w:r>
        <w:rPr>
          <w:spacing w:val="-2"/>
        </w:rPr>
        <w:t>机制。把企业文化、劳动管理等内容渗透到日常教学中去，协调组织定岗定位，为公司培养合格后备员工。要着眼长远，十</w:t>
      </w:r>
      <w:r>
        <w:rPr>
          <w:spacing w:val="-64"/>
        </w:rPr>
        <w:t> </w:t>
      </w:r>
      <w:r>
        <w:rPr>
          <w:spacing w:val="-64"/>
        </w:rPr>
      </w:r>
      <w:r>
        <w:rPr/>
        <w:t>分重视技术工人队伍的培养，与相关学校搞好联合办学，注重岗位传帮带，形成一支高素质的技工队伍。</w:t>
      </w:r>
    </w:p>
    <w:p>
      <w:pPr>
        <w:pStyle w:val="BodyText"/>
        <w:spacing w:line="240" w:lineRule="auto" w:before="58"/>
        <w:ind w:left="113" w:right="0"/>
        <w:jc w:val="both"/>
      </w:pPr>
      <w:r>
        <w:rPr>
          <w:rFonts w:ascii="Times New Roman" w:hAnsi="Times New Roman" w:cs="Times New Roman" w:eastAsia="Times New Roman" w:hint="default"/>
        </w:rPr>
        <w:t>4</w:t>
      </w:r>
      <w:r>
        <w:rPr/>
        <w:t>、可能面对的风险</w:t>
      </w:r>
    </w:p>
    <w:p>
      <w:pPr>
        <w:pStyle w:val="BodyText"/>
        <w:spacing w:line="338" w:lineRule="auto" w:before="103"/>
        <w:ind w:left="473" w:right="91"/>
        <w:jc w:val="left"/>
      </w:pPr>
      <w:r>
        <w:rPr/>
        <w:t>（</w:t>
      </w:r>
      <w:r>
        <w:rPr>
          <w:rFonts w:ascii="Times New Roman" w:hAnsi="Times New Roman" w:cs="Times New Roman" w:eastAsia="Times New Roman" w:hint="default"/>
        </w:rPr>
        <w:t>1</w:t>
      </w:r>
      <w:r>
        <w:rPr/>
        <w:t>）短期内对海外市场依存度较高的风险 报告期内公司产品境外销售收入为</w:t>
      </w:r>
      <w:r>
        <w:rPr>
          <w:rFonts w:ascii="Times New Roman" w:hAnsi="Times New Roman" w:cs="Times New Roman" w:eastAsia="Times New Roman" w:hint="default"/>
        </w:rPr>
        <w:t>28,228.52</w:t>
      </w:r>
      <w:r>
        <w:rPr/>
        <w:t>万元，占主营业务收入的</w:t>
      </w:r>
      <w:r>
        <w:rPr>
          <w:rFonts w:ascii="Times New Roman" w:hAnsi="Times New Roman" w:cs="Times New Roman" w:eastAsia="Times New Roman" w:hint="default"/>
        </w:rPr>
        <w:t>76.03%</w:t>
      </w:r>
      <w:r>
        <w:rPr/>
        <w:t>，未来一段时间内对海外市场依存度仍较</w:t>
      </w:r>
    </w:p>
    <w:p>
      <w:pPr>
        <w:pStyle w:val="BodyText"/>
        <w:spacing w:line="230" w:lineRule="exact"/>
        <w:ind w:left="113" w:right="0"/>
        <w:jc w:val="both"/>
      </w:pPr>
      <w:r>
        <w:rPr/>
        <w:t>高。虽然公司积累了全球范围内的</w:t>
      </w:r>
      <w:r>
        <w:rPr>
          <w:rFonts w:ascii="Times New Roman" w:hAnsi="Times New Roman" w:cs="Times New Roman" w:eastAsia="Times New Roman" w:hint="default"/>
        </w:rPr>
        <w:t>400</w:t>
      </w:r>
      <w:r>
        <w:rPr/>
        <w:t>多个合作伙伴，并积极拓展国内市场营销渠道，但如果海外市场发生波动，或部分产</w:t>
      </w:r>
    </w:p>
    <w:p>
      <w:pPr>
        <w:pStyle w:val="BodyText"/>
        <w:spacing w:line="240" w:lineRule="auto" w:before="63"/>
        <w:ind w:left="113" w:right="0"/>
        <w:jc w:val="both"/>
      </w:pPr>
      <w:r>
        <w:rPr/>
        <w:t>品进口国政策发生不利变化，公司将面临销量下滑的风险。</w:t>
      </w:r>
    </w:p>
    <w:p>
      <w:pPr>
        <w:pStyle w:val="BodyText"/>
        <w:spacing w:line="340" w:lineRule="auto" w:before="116"/>
        <w:ind w:left="473" w:right="91"/>
        <w:jc w:val="left"/>
      </w:pPr>
      <w:r>
        <w:rPr/>
        <w:t>（</w:t>
      </w:r>
      <w:r>
        <w:rPr>
          <w:rFonts w:ascii="Times New Roman" w:hAnsi="Times New Roman" w:cs="Times New Roman" w:eastAsia="Times New Roman" w:hint="default"/>
        </w:rPr>
        <w:t>2</w:t>
      </w:r>
      <w:r>
        <w:rPr/>
        <w:t>）原材料价格波动的风险 </w:t>
      </w:r>
      <w:r>
        <w:rPr>
          <w:spacing w:val="-2"/>
        </w:rPr>
        <w:t>公司陶瓷产品的主要原材料是瓷泥、瓷釉、骨炭和瓷坯等，主要能源是液化石油气，主要原材料和能源消耗占营业成本</w:t>
      </w:r>
    </w:p>
    <w:p>
      <w:pPr>
        <w:pStyle w:val="BodyText"/>
        <w:spacing w:line="314" w:lineRule="auto" w:before="1"/>
        <w:ind w:left="113" w:right="187"/>
        <w:jc w:val="both"/>
      </w:pPr>
      <w:r>
        <w:rPr>
          <w:spacing w:val="-2"/>
        </w:rPr>
        <w:t>的比重较高。虽然公司地处有</w:t>
      </w:r>
      <w:r>
        <w:rPr>
          <w:rFonts w:ascii="Times New Roman" w:hAnsi="Times New Roman" w:cs="Times New Roman" w:eastAsia="Times New Roman" w:hint="default"/>
          <w:spacing w:val="-2"/>
        </w:rPr>
        <w:t>“</w:t>
      </w:r>
      <w:r>
        <w:rPr>
          <w:spacing w:val="-2"/>
        </w:rPr>
        <w:t>中国瓷都</w:t>
      </w:r>
      <w:r>
        <w:rPr>
          <w:rFonts w:ascii="Times New Roman" w:hAnsi="Times New Roman" w:cs="Times New Roman" w:eastAsia="Times New Roman" w:hint="default"/>
          <w:spacing w:val="-2"/>
        </w:rPr>
        <w:t>”</w:t>
      </w:r>
      <w:r>
        <w:rPr>
          <w:spacing w:val="-2"/>
        </w:rPr>
        <w:t>潮州，具有原材料采购的地缘优势，液化石油气等燃料供应也充足，但主要原材料</w:t>
      </w:r>
      <w:r>
        <w:rPr>
          <w:spacing w:val="-42"/>
        </w:rPr>
        <w:t> </w:t>
      </w:r>
      <w:r>
        <w:rPr>
          <w:spacing w:val="-42"/>
        </w:rPr>
      </w:r>
      <w:r>
        <w:rPr>
          <w:spacing w:val="-2"/>
        </w:rPr>
        <w:t>及燃料近年来价格波动较大，对公司的成本有一定影响。虽然公司生产、销售的产品是技术含量较高的创意艺术陶瓷，具有</w:t>
      </w:r>
      <w:r>
        <w:rPr>
          <w:spacing w:val="-65"/>
        </w:rPr>
        <w:t> </w:t>
      </w:r>
      <w:r>
        <w:rPr>
          <w:spacing w:val="-65"/>
        </w:rPr>
      </w:r>
      <w:r>
        <w:rPr>
          <w:spacing w:val="-4"/>
        </w:rPr>
        <w:t>较强的自主定价权，能维持较高的毛利率和安全边际，但原材料的价格波动过大，也将会给公司业绩造成一定的影响。</w:t>
      </w:r>
      <w:r>
        <w:rPr>
          <w:spacing w:val="44"/>
        </w:rPr>
        <w:t> </w:t>
      </w:r>
      <w:r>
        <w:rPr/>
        <w:t>针</w:t>
      </w:r>
      <w:r>
        <w:rPr/>
        <w:t> </w:t>
      </w:r>
      <w:r>
        <w:rPr>
          <w:spacing w:val="-2"/>
        </w:rPr>
        <w:t>对原材料、燃料等价格波动容易对公司毛利率及经营业绩造成不确定性影响的情况，公司通过进一步加强生产管理、优化产</w:t>
      </w:r>
      <w:r>
        <w:rPr>
          <w:spacing w:val="-64"/>
        </w:rPr>
        <w:t> </w:t>
      </w:r>
      <w:r>
        <w:rPr>
          <w:spacing w:val="-64"/>
        </w:rPr>
      </w:r>
      <w:r>
        <w:rPr>
          <w:spacing w:val="-2"/>
        </w:rPr>
        <w:t>品结构、严格产品消耗定额管理等方式进行成本控制。同时，公司通过建立主要原材料价格跟踪体系，对原材料价格的变化</w:t>
      </w:r>
      <w:r>
        <w:rPr>
          <w:spacing w:val="-66"/>
        </w:rPr>
        <w:t> </w:t>
      </w:r>
      <w:r>
        <w:rPr>
          <w:spacing w:val="-66"/>
        </w:rPr>
      </w:r>
      <w:r>
        <w:rPr/>
        <w:t>进行实时监控，确保公司原材料的合理库存量，降低原材料价格波动对生产成本造成的影响。</w:t>
      </w:r>
    </w:p>
    <w:p>
      <w:pPr>
        <w:pStyle w:val="BodyText"/>
        <w:spacing w:line="338" w:lineRule="auto" w:before="60"/>
        <w:ind w:left="473" w:right="91"/>
        <w:jc w:val="left"/>
      </w:pPr>
      <w:r>
        <w:rPr/>
        <w:t>（</w:t>
      </w:r>
      <w:r>
        <w:rPr>
          <w:rFonts w:ascii="Times New Roman" w:hAnsi="Times New Roman" w:cs="Times New Roman" w:eastAsia="Times New Roman" w:hint="default"/>
        </w:rPr>
        <w:t>3</w:t>
      </w:r>
      <w:r>
        <w:rPr/>
        <w:t>）出口退税政策变化的风险 </w:t>
      </w:r>
      <w:r>
        <w:rPr>
          <w:spacing w:val="-2"/>
        </w:rPr>
        <w:t>公司产品以出口为主，且享受一定的出口退税优惠，出口退税率的变化将一定程度上影响公司产品销售的利润率。。如</w:t>
      </w:r>
    </w:p>
    <w:p>
      <w:pPr>
        <w:pStyle w:val="BodyText"/>
        <w:spacing w:line="240" w:lineRule="auto" w:before="2"/>
        <w:ind w:left="113" w:right="0"/>
        <w:jc w:val="both"/>
      </w:pPr>
      <w:r>
        <w:rPr/>
        <w:t>果未来国家调低陶瓷产品出口退税率，将一定程度上影响公司的盈利能力。</w:t>
      </w:r>
    </w:p>
    <w:p>
      <w:pPr>
        <w:pStyle w:val="BodyText"/>
        <w:spacing w:line="338" w:lineRule="auto" w:before="117"/>
        <w:ind w:left="473" w:right="91"/>
        <w:jc w:val="left"/>
      </w:pPr>
      <w:r>
        <w:rPr/>
        <w:t>（</w:t>
      </w:r>
      <w:r>
        <w:rPr>
          <w:rFonts w:ascii="Times New Roman" w:hAnsi="Times New Roman" w:cs="Times New Roman" w:eastAsia="Times New Roman" w:hint="default"/>
        </w:rPr>
        <w:t>4</w:t>
      </w:r>
      <w:r>
        <w:rPr/>
        <w:t>）外汇汇率变动风险 </w:t>
      </w:r>
      <w:r>
        <w:rPr>
          <w:spacing w:val="-2"/>
        </w:rPr>
        <w:t>目前公司产品销售仍以出口为主，报告期内出口销售额占总销售额的比例较大，结算货币以美元为主。公司主要外销市</w:t>
      </w:r>
    </w:p>
    <w:p>
      <w:pPr>
        <w:pStyle w:val="BodyText"/>
        <w:spacing w:line="316" w:lineRule="auto" w:before="2"/>
        <w:ind w:left="113" w:right="91"/>
        <w:jc w:val="left"/>
      </w:pPr>
      <w:r>
        <w:rPr>
          <w:spacing w:val="-2"/>
        </w:rPr>
        <w:t>场为欧美、中东、东南亚等地区，外汇汇率波动会对公司业绩带来一定的影响。为避免因汇率变动可能给公司带来无法预见</w:t>
      </w:r>
      <w:r>
        <w:rPr>
          <w:spacing w:val="-65"/>
        </w:rPr>
        <w:t> </w:t>
      </w:r>
      <w:r>
        <w:rPr>
          <w:spacing w:val="-65"/>
        </w:rPr>
      </w:r>
      <w:r>
        <w:rPr/>
        <w:t>的损失，公司通过开展远期结汇以规避汇率波动风险，实现外汇资产的保值增值及进行成本锁定。</w:t>
      </w:r>
    </w:p>
    <w:p>
      <w:pPr>
        <w:spacing w:line="240" w:lineRule="auto" w:before="9"/>
        <w:rPr>
          <w:rFonts w:ascii="宋体" w:hAnsi="宋体" w:cs="宋体" w:eastAsia="宋体" w:hint="default"/>
          <w:sz w:val="20"/>
          <w:szCs w:val="20"/>
        </w:rPr>
      </w:pPr>
    </w:p>
    <w:p>
      <w:pPr>
        <w:pStyle w:val="Heading2"/>
        <w:spacing w:line="240" w:lineRule="auto" w:before="0"/>
        <w:ind w:right="0"/>
        <w:jc w:val="both"/>
        <w:rPr>
          <w:b w:val="0"/>
          <w:bCs w:val="0"/>
        </w:rPr>
      </w:pPr>
      <w:r>
        <w:rPr/>
        <w:t>四、公司利润分配及分红派息情况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报告期内利润分配政策特别是现金分红政策的制定、执行或调整情况</w:t>
      </w:r>
    </w:p>
    <w:p>
      <w:pPr>
        <w:spacing w:after="0" w:line="240" w:lineRule="auto"/>
        <w:jc w:val="both"/>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40" w:lineRule="auto" w:before="44"/>
        <w:ind w:left="473" w:right="91" w:hanging="360"/>
        <w:jc w:val="left"/>
      </w:pPr>
      <w:r>
        <w:rPr>
          <w:rFonts w:ascii="Times New Roman" w:hAnsi="Times New Roman" w:cs="Times New Roman" w:eastAsia="Times New Roman" w:hint="default"/>
        </w:rPr>
        <w:t>1</w:t>
      </w:r>
      <w:r>
        <w:rPr/>
        <w:t>、利润分配政策 </w:t>
      </w:r>
      <w:r>
        <w:rPr>
          <w:spacing w:val="-4"/>
        </w:rPr>
        <w:t>公司</w:t>
      </w:r>
      <w:r>
        <w:rPr>
          <w:rFonts w:ascii="Times New Roman" w:hAnsi="Times New Roman" w:cs="Times New Roman" w:eastAsia="Times New Roman" w:hint="default"/>
          <w:spacing w:val="-4"/>
        </w:rPr>
        <w:t>2012</w:t>
      </w:r>
      <w:r>
        <w:rPr>
          <w:spacing w:val="-4"/>
        </w:rPr>
        <w:t>年第二次临时股东大会审议通过的《公司章程》第一百五十五条规定的利润分配政策为：（一）股利分配原则：</w:t>
      </w:r>
    </w:p>
    <w:p>
      <w:pPr>
        <w:pStyle w:val="BodyText"/>
        <w:spacing w:line="215" w:lineRule="exact"/>
        <w:ind w:left="113" w:right="91"/>
        <w:jc w:val="left"/>
      </w:pPr>
      <w:r>
        <w:rPr/>
        <w:t>公司的股利分配应本着重视投资者合理投资回报兼顾公司可持续发展的原则，考虑公司发展所处阶段、经营状况、 盈利规</w:t>
      </w:r>
    </w:p>
    <w:p>
      <w:pPr>
        <w:pStyle w:val="BodyText"/>
        <w:spacing w:line="316" w:lineRule="auto" w:before="76"/>
        <w:ind w:left="113" w:right="91"/>
        <w:jc w:val="left"/>
      </w:pPr>
      <w:r>
        <w:rPr/>
        <w:t>模、项目投资资金需求，保持利润分配政策的连续性和稳定性， 制定出科学、合理的分配政策；（二）股利分配形式：公 </w:t>
      </w:r>
      <w:r>
        <w:rPr>
          <w:spacing w:val="-2"/>
        </w:rPr>
        <w:t>司可以采取现金股利、股票股利或现金股利与股票股利相结合的形式分配股利；（三）股利分配条件：如果公司会计年度盈</w:t>
      </w:r>
      <w:r>
        <w:rPr>
          <w:spacing w:val="-66"/>
        </w:rPr>
        <w:t> </w:t>
      </w:r>
      <w:r>
        <w:rPr>
          <w:spacing w:val="-66"/>
        </w:rPr>
      </w:r>
      <w:r>
        <w:rPr>
          <w:spacing w:val="-2"/>
        </w:rPr>
        <w:t>利，且无弥补亏损、重大投资计划或重大现金支出等事项发生，应进行年度现金股利分配；如果由于公司业绩、规模增长快</w:t>
      </w:r>
      <w:r>
        <w:rPr>
          <w:spacing w:val="-65"/>
        </w:rPr>
        <w:t> </w:t>
      </w:r>
      <w:r>
        <w:rPr>
          <w:spacing w:val="-65"/>
        </w:rPr>
      </w:r>
      <w:r>
        <w:rPr>
          <w:spacing w:val="-2"/>
        </w:rPr>
        <w:t>速等原因，导致董事会认为出现公司股本规模与经营规模不相匹配，或公司股价不能有效反映经营业绩等情形况时，可以提</w:t>
      </w:r>
      <w:r>
        <w:rPr>
          <w:spacing w:val="-65"/>
        </w:rPr>
        <w:t> </w:t>
      </w:r>
      <w:r>
        <w:rPr>
          <w:spacing w:val="-65"/>
        </w:rPr>
      </w:r>
      <w:r>
        <w:rPr/>
        <w:t>出股票股利分配预案；上述所称</w:t>
      </w:r>
      <w:r>
        <w:rPr>
          <w:rFonts w:ascii="Times New Roman" w:hAnsi="Times New Roman" w:cs="Times New Roman" w:eastAsia="Times New Roman" w:hint="default"/>
        </w:rPr>
        <w:t>“</w:t>
      </w:r>
      <w:r>
        <w:rPr/>
        <w:t>重大投资计划或重大现金支出</w:t>
      </w:r>
      <w:r>
        <w:rPr>
          <w:rFonts w:ascii="Times New Roman" w:hAnsi="Times New Roman" w:cs="Times New Roman" w:eastAsia="Times New Roman" w:hint="default"/>
        </w:rPr>
        <w:t>”</w:t>
      </w:r>
      <w:r>
        <w:rPr/>
        <w:t>是指公司未来十二个月内拟对外投资、收购资产或购买设备 累计支出超过公司最近一期经审计的合并报表总资产的百分之三十；根据公司章程关于董事会和股东大会职权的相关规定， </w:t>
      </w:r>
      <w:r>
        <w:rPr>
          <w:spacing w:val="-2"/>
        </w:rPr>
        <w:t>上述重大投资计划或重大现金支出须经董事会批准，报股东大会审议通过后方可实施；（四）股利分配政策的制订：股利分</w:t>
      </w:r>
      <w:r>
        <w:rPr>
          <w:spacing w:val="-66"/>
        </w:rPr>
        <w:t> </w:t>
      </w:r>
      <w:r>
        <w:rPr>
          <w:spacing w:val="-66"/>
        </w:rPr>
      </w:r>
      <w:r>
        <w:rPr>
          <w:spacing w:val="-4"/>
        </w:rPr>
        <w:t>配政策应由公司董事会负责制订，独立董事应当发表明确意见，并提交股东大会审议批准。在股东大会审议利润分配方案时，</w:t>
      </w:r>
      <w:r>
        <w:rPr>
          <w:spacing w:val="-43"/>
        </w:rPr>
        <w:t> </w:t>
      </w:r>
      <w:r>
        <w:rPr>
          <w:spacing w:val="-43"/>
        </w:rPr>
      </w:r>
      <w:r>
        <w:rPr>
          <w:spacing w:val="-2"/>
        </w:rPr>
        <w:t>应多渠道充分听取中小股东的意见和诉求；（五）股利分配比例：公司每年以现金股利方式分配的股利（包括年度股利分配</w:t>
      </w:r>
      <w:r>
        <w:rPr>
          <w:spacing w:val="-65"/>
        </w:rPr>
        <w:t> </w:t>
      </w:r>
      <w:r>
        <w:rPr>
          <w:spacing w:val="-65"/>
        </w:rPr>
      </w:r>
      <w:r>
        <w:rPr/>
        <w:t>和中期股利分配）应当不少于公司当年实现的可分配利润的</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；任何三年以现金方式累计分配的利润不少于最近三年实 </w:t>
      </w:r>
      <w:r>
        <w:rPr>
          <w:spacing w:val="-2"/>
        </w:rPr>
        <w:t>现的年均可分配利润的百分之三十；公司在会计年度盈利，且无弥补亏损、重大投资计划或重大现金支出等事项，但公司董</w:t>
      </w:r>
      <w:r>
        <w:rPr>
          <w:spacing w:val="-66"/>
        </w:rPr>
        <w:t> </w:t>
      </w:r>
      <w:r>
        <w:rPr>
          <w:spacing w:val="-66"/>
        </w:rPr>
      </w:r>
      <w:r>
        <w:rPr>
          <w:spacing w:val="-2"/>
        </w:rPr>
        <w:t>事会做出的现金股利分配预案中的现金股利分配金额不符合本章程规定的，董事会应当在利润分配预案和定期报告中详细说</w:t>
      </w:r>
      <w:r>
        <w:rPr>
          <w:spacing w:val="-64"/>
        </w:rPr>
        <w:t> </w:t>
      </w:r>
      <w:r>
        <w:rPr>
          <w:spacing w:val="-64"/>
        </w:rPr>
      </w:r>
      <w:r>
        <w:rPr>
          <w:spacing w:val="-2"/>
        </w:rPr>
        <w:t>明或披露现金股利分配金额不符合本章程规定的原因、未用于股利分配的资金留存公司的用途，独立董事还应当对此发表独</w:t>
      </w:r>
      <w:r>
        <w:rPr>
          <w:spacing w:val="-64"/>
        </w:rPr>
        <w:t> </w:t>
      </w:r>
      <w:r>
        <w:rPr>
          <w:spacing w:val="-64"/>
        </w:rPr>
      </w:r>
      <w:r>
        <w:rPr>
          <w:spacing w:val="-2"/>
        </w:rPr>
        <w:t>立意见；（六）公司可以进行中期股利分配；（七）未分配利润的使用原则：原则上应根据日常生产经营和发展需要，用于</w:t>
      </w:r>
      <w:r>
        <w:rPr>
          <w:spacing w:val="-67"/>
        </w:rPr>
        <w:t> </w:t>
      </w:r>
      <w:r>
        <w:rPr>
          <w:spacing w:val="-67"/>
        </w:rPr>
      </w:r>
      <w:r>
        <w:rPr>
          <w:spacing w:val="-2"/>
        </w:rPr>
        <w:t>与主营业务有关的流动资产和非流动资产支出；（八）公司股东存在违规占用公司资金情况的，公司应当扣减该股东所获分</w:t>
      </w:r>
      <w:r>
        <w:rPr>
          <w:spacing w:val="-65"/>
        </w:rPr>
        <w:t> </w:t>
      </w:r>
      <w:r>
        <w:rPr>
          <w:spacing w:val="-65"/>
        </w:rPr>
      </w:r>
      <w:r>
        <w:rPr>
          <w:spacing w:val="-2"/>
        </w:rPr>
        <w:t>配的现金股利，以偿还其占用的资金；（九）股利分配政策的调整：公司可以根据中长期发展战略、投资规划、生产经营规</w:t>
      </w:r>
      <w:r>
        <w:rPr>
          <w:spacing w:val="-65"/>
        </w:rPr>
        <w:t> </w:t>
      </w:r>
      <w:r>
        <w:rPr>
          <w:spacing w:val="-65"/>
        </w:rPr>
      </w:r>
      <w:r>
        <w:rPr>
          <w:spacing w:val="-2"/>
        </w:rPr>
        <w:t>模的变化，以及生产经营业绩的变化等情况调整股利分配政策。调整后的股利分配政策不得违反中国证券监督管理委员会和</w:t>
      </w:r>
      <w:r>
        <w:rPr>
          <w:spacing w:val="-64"/>
        </w:rPr>
        <w:t> </w:t>
      </w:r>
      <w:r>
        <w:rPr>
          <w:spacing w:val="-64"/>
        </w:rPr>
      </w:r>
      <w:r>
        <w:rPr>
          <w:spacing w:val="-2"/>
        </w:rPr>
        <w:t>证券交易所的有关规定。有关调整股利分配政策的议案，需要事先征求独立董事及监事会意见并经公司董事会审议后提交公</w:t>
      </w:r>
      <w:r>
        <w:rPr>
          <w:spacing w:val="-64"/>
        </w:rPr>
        <w:t> </w:t>
      </w:r>
      <w:r>
        <w:rPr>
          <w:spacing w:val="-64"/>
        </w:rPr>
      </w:r>
      <w:r>
        <w:rPr/>
        <w:t>司股东大会审议，经出席股东大会的股东所持表决权的</w:t>
      </w:r>
      <w:r>
        <w:rPr>
          <w:rFonts w:ascii="Times New Roman" w:hAnsi="Times New Roman" w:cs="Times New Roman" w:eastAsia="Times New Roman" w:hint="default"/>
        </w:rPr>
        <w:t>2/3</w:t>
      </w:r>
      <w:r>
        <w:rPr/>
        <w:t>以上通过。股东大会应为股东提供网络投票方式参与表决。 </w:t>
      </w:r>
      <w:r>
        <w:rPr>
          <w:rFonts w:ascii="Times New Roman" w:hAnsi="Times New Roman" w:cs="Times New Roman" w:eastAsia="Times New Roman" w:hint="default"/>
        </w:rPr>
        <w:t>2</w:t>
      </w:r>
      <w:r>
        <w:rPr/>
        <w:t>、执行情况</w:t>
      </w:r>
    </w:p>
    <w:p>
      <w:pPr>
        <w:pStyle w:val="BodyText"/>
        <w:spacing w:line="300" w:lineRule="auto" w:before="38"/>
        <w:ind w:right="99" w:firstLine="360"/>
        <w:jc w:val="left"/>
      </w:pPr>
      <w:r>
        <w:rPr>
          <w:rFonts w:ascii="Times New Roman" w:hAnsi="Times New Roman" w:cs="Times New Roman" w:eastAsia="Times New Roman" w:hint="default"/>
          <w:spacing w:val="-3"/>
        </w:rPr>
        <w:t>2011</w:t>
      </w:r>
      <w:r>
        <w:rPr>
          <w:spacing w:val="-3"/>
        </w:rPr>
        <w:t>年年度权益分派方案已获</w:t>
      </w:r>
      <w:r>
        <w:rPr>
          <w:rFonts w:ascii="Times New Roman" w:hAnsi="Times New Roman" w:cs="Times New Roman" w:eastAsia="Times New Roman" w:hint="default"/>
          <w:spacing w:val="-3"/>
        </w:rPr>
        <w:t>2011</w:t>
      </w:r>
      <w:r>
        <w:rPr>
          <w:spacing w:val="-3"/>
        </w:rPr>
        <w:t>年年度股东大会审议通过，权益分派方案为：以公司现有总股本</w:t>
      </w:r>
      <w:r>
        <w:rPr>
          <w:rFonts w:ascii="Times New Roman" w:hAnsi="Times New Roman" w:cs="Times New Roman" w:eastAsia="Times New Roman" w:hint="default"/>
          <w:spacing w:val="-3"/>
        </w:rPr>
        <w:t>100,000,000</w:t>
      </w:r>
      <w:r>
        <w:rPr>
          <w:spacing w:val="-3"/>
        </w:rPr>
        <w:t>股为基数，</w:t>
      </w:r>
      <w:r>
        <w:rPr/>
        <w:t> 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1.20</w:t>
      </w:r>
      <w:r>
        <w:rPr/>
        <w:t>元人民币现金（含税；扣税后，个人、证券投资基金、</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 </w:t>
      </w:r>
      <w:r>
        <w:rPr/>
        <w:t>实际每</w:t>
      </w:r>
      <w:r>
        <w:rPr>
          <w:rFonts w:ascii="Times New Roman" w:hAnsi="Times New Roman" w:cs="Times New Roman" w:eastAsia="Times New Roman" w:hint="default"/>
        </w:rPr>
        <w:t>10</w:t>
      </w:r>
      <w:r>
        <w:rPr>
          <w:rFonts w:ascii="Times New Roman" w:hAnsi="Times New Roman" w:cs="Times New Roman" w:eastAsia="Times New Roman" w:hint="default"/>
          <w:spacing w:val="41"/>
        </w:rPr>
        <w:t> </w:t>
      </w:r>
      <w:r>
        <w:rPr/>
        <w:t>股派</w:t>
      </w:r>
      <w:r>
        <w:rPr>
          <w:rFonts w:ascii="Times New Roman" w:hAnsi="Times New Roman" w:cs="Times New Roman" w:eastAsia="Times New Roman" w:hint="default"/>
        </w:rPr>
        <w:t>1.08</w:t>
      </w:r>
      <w:r>
        <w:rPr/>
        <w:t>元；对于 </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外的其他非居民企业，本公司未代扣代缴所得税，由纳税人在所得发生地缴纳）；同时，以资本公积金向全体 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5.00</w:t>
      </w:r>
      <w:r>
        <w:rPr/>
        <w:t>股。分红前本公司总股本为</w:t>
      </w:r>
      <w:r>
        <w:rPr>
          <w:rFonts w:ascii="Times New Roman" w:hAnsi="Times New Roman" w:cs="Times New Roman" w:eastAsia="Times New Roman" w:hint="default"/>
        </w:rPr>
        <w:t>100,000,000</w:t>
      </w:r>
      <w:r>
        <w:rPr/>
        <w:t>股，分红后总股本增至</w:t>
      </w:r>
      <w:r>
        <w:rPr>
          <w:rFonts w:ascii="Times New Roman" w:hAnsi="Times New Roman" w:cs="Times New Roman" w:eastAsia="Times New Roman" w:hint="default"/>
        </w:rPr>
        <w:t>150,000,000</w:t>
      </w:r>
      <w:r>
        <w:rPr/>
        <w:t>股。本次权益分派股权登记日 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日，除权除息日为：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日，目前一切已办理完毕。</w:t>
      </w:r>
    </w:p>
    <w:p>
      <w:pPr>
        <w:pStyle w:val="BodyText"/>
        <w:spacing w:line="338" w:lineRule="auto" w:before="53"/>
        <w:ind w:right="91" w:firstLine="360"/>
        <w:jc w:val="left"/>
      </w:pPr>
      <w:r>
        <w:rPr>
          <w:spacing w:val="-2"/>
        </w:rPr>
        <w:t>公司的利润分配政策符合中国证监会《关于修改上市公司现金分红若干规定的决定》的要求和《公司章程》及审议程序</w:t>
      </w:r>
      <w:r>
        <w:rPr/>
        <w:t> 的规定，有明确的分红标准和分红比例，充分保护中小投资者的合法权益。 公司报告期利润分配预案及资本公积金转增股本预案与公司章程和分红管理办法等的相关规定一致</w:t>
      </w:r>
    </w:p>
    <w:p>
      <w:pPr>
        <w:pStyle w:val="BodyText"/>
        <w:spacing w:line="360" w:lineRule="auto" w:before="42"/>
        <w:ind w:right="3330"/>
        <w:jc w:val="left"/>
      </w:pPr>
      <w:r>
        <w:rPr/>
        <w:t>√ 是 □ 否 □ 不适用 公司报告期利润分配预案及资本公积金转增股本预案符合公司章程等的相关规定。 本年度利润分配及资本公积金转增股本预案</w:t>
      </w:r>
    </w:p>
    <w:tbl>
      <w:tblPr>
        <w:tblW w:w="0" w:type="auto"/>
        <w:jc w:val="left"/>
        <w:tblInd w:w="10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120,457,212.08</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06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940"/>
        </w:sectPr>
      </w:pPr>
    </w:p>
    <w:p>
      <w:pPr>
        <w:spacing w:line="240" w:lineRule="auto" w:before="3"/>
        <w:rPr>
          <w:rFonts w:ascii="宋体" w:hAnsi="宋体" w:cs="宋体" w:eastAsia="宋体" w:hint="default"/>
          <w:sz w:val="28"/>
          <w:szCs w:val="28"/>
        </w:rPr>
      </w:pPr>
    </w:p>
    <w:p>
      <w:pPr>
        <w:spacing w:line="4784" w:lineRule="exact"/>
        <w:ind w:left="104" w:right="0" w:firstLine="0"/>
        <w:rPr>
          <w:rFonts w:ascii="宋体" w:hAnsi="宋体" w:cs="宋体" w:eastAsia="宋体" w:hint="default"/>
          <w:sz w:val="20"/>
          <w:szCs w:val="20"/>
        </w:rPr>
      </w:pPr>
      <w:r>
        <w:rPr>
          <w:rFonts w:ascii="宋体" w:hAnsi="宋体" w:cs="宋体" w:eastAsia="宋体" w:hint="default"/>
          <w:position w:val="-95"/>
          <w:sz w:val="20"/>
          <w:szCs w:val="20"/>
        </w:rPr>
        <w:pict>
          <v:group style="width:481.95pt;height:239.25pt;mso-position-horizontal-relative:char;mso-position-vertical-relative:line" coordorigin="0,0" coordsize="9639,4785">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4780;width:9579;height:2" coordorigin="5,4780" coordsize="9579,2">
              <v:shape style="position:absolute;left:5;top:4780;width:9579;height:2" coordorigin="5,4780" coordsize="9579,0" path="m5,4780l9583,4780e" filled="false" stroked="true" strokeweight=".48pt" strokecolor="#000000">
                <v:path arrowok="t"/>
              </v:shape>
            </v:group>
            <v:group style="position:absolute;left:10;top:5;width:2;height:4770" coordorigin="10,5" coordsize="2,4770">
              <v:shape style="position:absolute;left:10;top:5;width:2;height:4770" coordorigin="10,5" coordsize="0,4770" path="m10,5l10,4775e" filled="false" stroked="true" strokeweight=".48pt" strokecolor="#000000">
                <v:path arrowok="t"/>
              </v:shape>
            </v:group>
            <v:group style="position:absolute;left:9578;top:5;width:2;height:4770" coordorigin="9578,5" coordsize="2,4770">
              <v:shape style="position:absolute;left:9578;top:5;width:2;height:4770" coordorigin="9578,5" coordsize="0,4770" path="m9578,5l9578,4775e" filled="false" stroked="true" strokeweight=".48pt" strokecolor="#000000">
                <v:path arrowok="t"/>
              </v:shape>
              <v:shape style="position:absolute;left:0;top:0;width:9639;height:4785" type="#_x0000_t202" filled="false" stroked="false">
                <v:textbox inset="0,0,0,0">
                  <w:txbxContent>
                    <w:p>
                      <w:pPr>
                        <w:spacing w:line="300" w:lineRule="auto" w:before="64"/>
                        <w:ind w:left="37" w:right="86" w:firstLine="0"/>
                        <w:jc w:val="left"/>
                        <w:rPr>
                          <w:rFonts w:ascii="宋体" w:hAnsi="宋体" w:cs="宋体" w:eastAsia="宋体" w:hint="default"/>
                          <w:sz w:val="18"/>
                          <w:szCs w:val="18"/>
                        </w:rPr>
                      </w:pPr>
                      <w:r>
                        <w:rPr>
                          <w:rFonts w:ascii="宋体" w:hAnsi="宋体" w:cs="宋体" w:eastAsia="宋体" w:hint="default"/>
                          <w:sz w:val="18"/>
                          <w:szCs w:val="18"/>
                        </w:rPr>
                        <w:t>经广东正中珠江会计师事务所有限公司出具的广会所审字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13000630018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号《广东长城集团股份有限公司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审计报告》确定，母公司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4,968.61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万元，依据《公司法》和《公司章程》的规定，提取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w:t>
                      </w:r>
                    </w:p>
                    <w:p>
                      <w:pPr>
                        <w:spacing w:before="13"/>
                        <w:ind w:left="37" w:right="0" w:firstLine="0"/>
                        <w:jc w:val="left"/>
                        <w:rPr>
                          <w:rFonts w:ascii="宋体" w:hAnsi="宋体" w:cs="宋体" w:eastAsia="宋体" w:hint="default"/>
                          <w:sz w:val="18"/>
                          <w:szCs w:val="18"/>
                        </w:rPr>
                      </w:pPr>
                      <w:r>
                        <w:rPr>
                          <w:rFonts w:ascii="宋体" w:hAnsi="宋体" w:cs="宋体" w:eastAsia="宋体" w:hint="default"/>
                          <w:sz w:val="18"/>
                          <w:szCs w:val="18"/>
                        </w:rPr>
                        <w:t>余公积金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496.86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14,012.08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年期末可供分配利润为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17,283.83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万元，资本公积金余额为</w:t>
                      </w:r>
                    </w:p>
                    <w:p>
                      <w:pPr>
                        <w:spacing w:line="312" w:lineRule="auto" w:before="63"/>
                        <w:ind w:left="37"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48,589.43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万元。合并净利润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2,047.37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11,695.21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年末可供分配利润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12,045.72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万元。鉴 </w:t>
                      </w:r>
                      <w:r>
                        <w:rPr>
                          <w:rFonts w:ascii="宋体" w:hAnsi="宋体" w:cs="宋体" w:eastAsia="宋体" w:hint="default"/>
                          <w:spacing w:val="-6"/>
                          <w:sz w:val="18"/>
                          <w:szCs w:val="18"/>
                        </w:rPr>
                        <w:t>于：</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、《公司章程》第一百五十五条规定：“公司利润分配政策为：……（三）股利分配条件：如果公司会计年度盈利，且</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
                          <w:sz w:val="18"/>
                          <w:szCs w:val="18"/>
                        </w:rPr>
                        <w:t>无弥补亏损、重大投资计划或重大现金支出等事项发生，应进行年度现金股利分配；如果由于公司业绩、规模增长快速等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原因，导致董事会认为出现公司股本规模与经营规模不相匹配，或公司股价不能有效反映经营业绩等情形况时，可以提出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股票股利分配预案；上述所称“重大投资计划或重大现金支出”是指公司未来十二个月内拟对外投资、收购资产或购买设</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备累计支出超过公司最近一期经审计的合并报表总资产的百分之三十；……”</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年第三次临时股东大会审议通</w:t>
                      </w:r>
                    </w:p>
                    <w:p>
                      <w:pPr>
                        <w:spacing w:line="307" w:lineRule="auto" w:before="3"/>
                        <w:ind w:left="37" w:right="0" w:firstLine="0"/>
                        <w:jc w:val="left"/>
                        <w:rPr>
                          <w:rFonts w:ascii="宋体" w:hAnsi="宋体" w:cs="宋体" w:eastAsia="宋体" w:hint="default"/>
                          <w:sz w:val="18"/>
                          <w:szCs w:val="18"/>
                        </w:rPr>
                      </w:pPr>
                      <w:r>
                        <w:rPr>
                          <w:rFonts w:ascii="宋体" w:hAnsi="宋体" w:cs="宋体" w:eastAsia="宋体" w:hint="default"/>
                          <w:sz w:val="18"/>
                          <w:szCs w:val="18"/>
                        </w:rPr>
                        <w:t>过了《关于河南首期年产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pacing w:val="-5"/>
                          <w:sz w:val="18"/>
                          <w:szCs w:val="18"/>
                        </w:rPr>
                        <w:t>万只陶瓷酒瓶建设项目的议案》，公司拟投资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32,374 </w:t>
                      </w:r>
                      <w:r>
                        <w:rPr>
                          <w:rFonts w:ascii="宋体" w:hAnsi="宋体" w:cs="宋体" w:eastAsia="宋体" w:hint="default"/>
                          <w:sz w:val="18"/>
                          <w:szCs w:val="18"/>
                        </w:rPr>
                        <w:t>万元（包括超募资金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22,304.95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r>
                        <w:rPr>
                          <w:rFonts w:ascii="宋体" w:hAnsi="宋体" w:cs="宋体" w:eastAsia="宋体" w:hint="default"/>
                          <w:spacing w:val="-88"/>
                          <w:sz w:val="18"/>
                          <w:szCs w:val="18"/>
                        </w:rPr>
                        <w:t> </w:t>
                      </w:r>
                      <w:r>
                        <w:rPr>
                          <w:rFonts w:ascii="宋体" w:hAnsi="宋体" w:cs="宋体" w:eastAsia="宋体" w:hint="default"/>
                          <w:sz w:val="18"/>
                          <w:szCs w:val="18"/>
                        </w:rPr>
                        <w:t>自筹资金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10,069.05</w:t>
                      </w:r>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万元）建设该项目，占最近一期经审计的合并报表（</w:t>
                      </w:r>
                      <w:r>
                        <w:rPr>
                          <w:rFonts w:ascii="Times New Roman" w:hAnsi="Times New Roman" w:cs="Times New Roman" w:eastAsia="Times New Roman" w:hint="default"/>
                          <w:spacing w:val="-11"/>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年度）合并报表总资产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90,616.77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35.73%</w:t>
                      </w:r>
                      <w:r>
                        <w:rPr>
                          <w:rFonts w:ascii="宋体" w:hAnsi="宋体" w:cs="宋体" w:eastAsia="宋体" w:hint="default"/>
                          <w:sz w:val="18"/>
                          <w:szCs w:val="18"/>
                        </w:rPr>
                        <w:t>， 符合《公司章程》第一百五十五条第（三）款关于“重大投资计划或重大现金支出”的定义。根据公司的发展战略及重大 投资未来对资金的需求情况，公司当前必须集中资金用于经营，以确保公司经营的可持续发展。公司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年度拟不进行 利润分配，也不进行资本公积金转增股本，全部利润滚存于公司，仍归属于全部股东所有，未分配利润公司计划用于与主 营业务有关的流动资产和非流动资产支出。本预案尚需提交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w:t>
                      </w:r>
                    </w:p>
                  </w:txbxContent>
                </v:textbox>
                <w10:wrap type="none"/>
              </v:shape>
            </v:group>
          </v:group>
        </w:pict>
      </w:r>
      <w:r>
        <w:rPr>
          <w:rFonts w:ascii="宋体" w:hAnsi="宋体" w:cs="宋体" w:eastAsia="宋体" w:hint="default"/>
          <w:position w:val="-95"/>
          <w:sz w:val="20"/>
          <w:szCs w:val="20"/>
        </w:rPr>
      </w:r>
    </w:p>
    <w:p>
      <w:pPr>
        <w:pStyle w:val="BodyText"/>
        <w:spacing w:line="319" w:lineRule="auto" w:before="50"/>
        <w:ind w:left="113" w:right="91"/>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 </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w:t>
      </w:r>
      <w:r>
        <w:rPr/>
        <w:t>年度利润分配方案为：根据公司的发展战略，当前必须集中资金用于经营，以获取更大的收益，确保公司经营 </w:t>
      </w:r>
      <w:r>
        <w:rPr>
          <w:spacing w:val="-4"/>
        </w:rPr>
        <w:t>的可持续发展，经董事会研究决定，公司</w:t>
      </w:r>
      <w:r>
        <w:rPr>
          <w:rFonts w:ascii="Times New Roman" w:hAnsi="Times New Roman" w:cs="Times New Roman" w:eastAsia="Times New Roman" w:hint="default"/>
          <w:spacing w:val="-4"/>
        </w:rPr>
        <w:t>2010</w:t>
      </w:r>
      <w:r>
        <w:rPr>
          <w:spacing w:val="-4"/>
        </w:rPr>
        <w:t>年度拟不进行利润分配，也不进行资本公积金转增股本，全部利润滚存于公司，</w:t>
      </w:r>
    </w:p>
    <w:p>
      <w:pPr>
        <w:pStyle w:val="BodyText"/>
        <w:spacing w:line="233" w:lineRule="exact"/>
        <w:ind w:left="113" w:right="91"/>
        <w:jc w:val="left"/>
      </w:pPr>
      <w:r>
        <w:rPr/>
        <w:t>仍归属于全部股东所有，未分配利润公司计划用于补充公司日常经营所需流动资金。</w:t>
      </w:r>
    </w:p>
    <w:p>
      <w:pPr>
        <w:pStyle w:val="BodyText"/>
        <w:spacing w:line="300" w:lineRule="auto" w:before="117"/>
        <w:ind w:left="113" w:right="189"/>
        <w:jc w:val="both"/>
      </w:pPr>
      <w:r>
        <w:rPr>
          <w:rFonts w:ascii="Times New Roman" w:hAnsi="Times New Roman" w:cs="Times New Roman" w:eastAsia="Times New Roman" w:hint="default"/>
          <w:spacing w:val="-1"/>
        </w:rPr>
        <w:t>2</w:t>
      </w:r>
      <w:r>
        <w:rPr>
          <w:spacing w:val="-1"/>
        </w:rPr>
        <w:t>、公司</w:t>
      </w:r>
      <w:r>
        <w:rPr>
          <w:rFonts w:ascii="Times New Roman" w:hAnsi="Times New Roman" w:cs="Times New Roman" w:eastAsia="Times New Roman" w:hint="default"/>
          <w:spacing w:val="-1"/>
        </w:rPr>
        <w:t>2011</w:t>
      </w:r>
      <w:r>
        <w:rPr>
          <w:spacing w:val="-1"/>
        </w:rPr>
        <w:t>年度利润分配方案为：以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100,000,000</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5"/>
        </w:rPr>
        <w:t> </w:t>
      </w:r>
      <w:r>
        <w:rPr/>
        <w:t>元人民币（含税）；同时进行资本公积金转增股本，以公司总股本</w:t>
      </w:r>
      <w:r>
        <w:rPr>
          <w:rFonts w:ascii="Times New Roman" w:hAnsi="Times New Roman" w:cs="Times New Roman" w:eastAsia="Times New Roman" w:hint="default"/>
        </w:rPr>
        <w:t>100,000,000</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股，转增 后公司总股本将增加至</w:t>
      </w:r>
      <w:r>
        <w:rPr>
          <w:rFonts w:ascii="Times New Roman" w:hAnsi="Times New Roman" w:cs="Times New Roman" w:eastAsia="Times New Roman" w:hint="default"/>
        </w:rPr>
        <w:t>150,000,000</w:t>
      </w:r>
      <w:r>
        <w:rPr/>
        <w:t>股。</w:t>
      </w:r>
    </w:p>
    <w:p>
      <w:pPr>
        <w:pStyle w:val="BodyText"/>
        <w:spacing w:line="300" w:lineRule="auto" w:before="52"/>
        <w:ind w:left="113" w:right="91"/>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2012</w:t>
      </w:r>
      <w:r>
        <w:rPr/>
        <w:t>年度利润分配方案为：根据公司的发展战略及重大投资未来对资金的需求情况，公司当前必须集中资金用于经 </w:t>
      </w:r>
      <w:r>
        <w:rPr>
          <w:spacing w:val="-4"/>
        </w:rPr>
        <w:t>营，以确保公司经营的可持续发展。公司</w:t>
      </w:r>
      <w:r>
        <w:rPr>
          <w:rFonts w:ascii="Times New Roman" w:hAnsi="Times New Roman" w:cs="Times New Roman" w:eastAsia="Times New Roman" w:hint="default"/>
          <w:spacing w:val="-4"/>
        </w:rPr>
        <w:t>2012</w:t>
      </w:r>
      <w:r>
        <w:rPr>
          <w:spacing w:val="-4"/>
        </w:rPr>
        <w:t>年度拟不进行利润分配，也不进行资本公积金转增股本，全部利润滚存于公司，</w:t>
      </w:r>
      <w:r>
        <w:rPr>
          <w:spacing w:val="-36"/>
        </w:rPr>
        <w:t> </w:t>
      </w:r>
      <w:r>
        <w:rPr>
          <w:spacing w:val="-36"/>
        </w:rPr>
      </w:r>
      <w:r>
        <w:rPr/>
        <w:t>仍归属于全部股东所有，未分配利润公司计划用于与主营业务有关的流动资产和非流动资产支出。</w:t>
      </w:r>
    </w:p>
    <w:p>
      <w:pPr>
        <w:pStyle w:val="BodyText"/>
        <w:spacing w:line="240" w:lineRule="auto" w:before="71"/>
        <w:ind w:left="113" w:right="91"/>
        <w:jc w:val="left"/>
      </w:pPr>
      <w:r>
        <w:rPr/>
        <w:t>公司近三年现金分红情况表</w:t>
      </w:r>
    </w:p>
    <w:p>
      <w:pPr>
        <w:pStyle w:val="BodyText"/>
        <w:spacing w:line="240" w:lineRule="auto" w:before="117"/>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6" w:right="36" w:firstLine="7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20,473,736.69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37,741,441.85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32,678,522.20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0"/>
        <w:ind w:right="91"/>
        <w:jc w:val="left"/>
      </w:pPr>
      <w:r>
        <w:rPr/>
        <w:t>公司报告期内盈利且母公司未分配利润为正但未提出现金红利分配预案</w:t>
      </w:r>
    </w:p>
    <w:p>
      <w:pPr>
        <w:pStyle w:val="BodyText"/>
        <w:spacing w:line="240" w:lineRule="auto" w:before="116"/>
        <w:ind w:right="91"/>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846" w:right="47" w:hanging="1800"/>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1" w:hRule="exact"/>
        </w:trPr>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鉴于</w:t>
            </w:r>
            <w:r>
              <w:rPr>
                <w:rFonts w:ascii="宋体" w:hAnsi="宋体" w:cs="宋体" w:eastAsia="宋体" w:hint="default"/>
                <w:spacing w:val="-11"/>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00"/>
                <w:sz w:val="18"/>
                <w:szCs w:val="18"/>
              </w:rPr>
              <w:t>、</w:t>
            </w:r>
            <w:r>
              <w:rPr>
                <w:rFonts w:ascii="宋体" w:hAnsi="宋体" w:cs="宋体" w:eastAsia="宋体" w:hint="default"/>
                <w:sz w:val="18"/>
                <w:szCs w:val="18"/>
              </w:rPr>
              <w:t>《公司章程</w:t>
            </w:r>
            <w:r>
              <w:rPr>
                <w:rFonts w:ascii="宋体" w:hAnsi="宋体" w:cs="宋体" w:eastAsia="宋体" w:hint="default"/>
                <w:spacing w:val="-11"/>
                <w:sz w:val="18"/>
                <w:szCs w:val="18"/>
              </w:rPr>
              <w:t>》</w:t>
            </w:r>
            <w:r>
              <w:rPr>
                <w:rFonts w:ascii="宋体" w:hAnsi="宋体" w:cs="宋体" w:eastAsia="宋体" w:hint="default"/>
                <w:sz w:val="18"/>
                <w:szCs w:val="18"/>
              </w:rPr>
              <w:t>第一百五十五条规定</w:t>
            </w:r>
            <w:r>
              <w:rPr>
                <w:rFonts w:ascii="宋体" w:hAnsi="宋体" w:cs="宋体" w:eastAsia="宋体" w:hint="default"/>
                <w:spacing w:val="-101"/>
                <w:sz w:val="18"/>
                <w:szCs w:val="18"/>
              </w:rPr>
              <w:t>：</w:t>
            </w:r>
            <w:r>
              <w:rPr>
                <w:rFonts w:ascii="宋体" w:hAnsi="宋体" w:cs="宋体" w:eastAsia="宋体" w:hint="default"/>
                <w:sz w:val="18"/>
                <w:szCs w:val="18"/>
              </w:rPr>
              <w:t>“公司利润分配</w:t>
            </w:r>
          </w:p>
        </w:tc>
        <w:tc>
          <w:tcPr>
            <w:tcW w:w="4784" w:type="dxa"/>
            <w:tcBorders>
              <w:top w:val="single" w:sz="4" w:space="0" w:color="000000"/>
              <w:left w:val="single" w:sz="4" w:space="0" w:color="000000"/>
              <w:bottom w:val="nil" w:sz="6" w:space="0" w:color="auto"/>
              <w:right w:val="single" w:sz="4" w:space="0" w:color="000000"/>
            </w:tcBorders>
          </w:tcPr>
          <w:p>
            <w:pPr/>
          </w:p>
        </w:tc>
      </w:tr>
      <w:tr>
        <w:trPr>
          <w:trHeight w:val="375"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19"/>
              <w:jc w:val="left"/>
              <w:rPr>
                <w:rFonts w:ascii="宋体" w:hAnsi="宋体" w:cs="宋体" w:eastAsia="宋体" w:hint="default"/>
                <w:sz w:val="18"/>
                <w:szCs w:val="18"/>
              </w:rPr>
            </w:pPr>
            <w:r>
              <w:rPr>
                <w:rFonts w:ascii="宋体" w:hAnsi="宋体" w:cs="宋体" w:eastAsia="宋体" w:hint="default"/>
                <w:sz w:val="18"/>
                <w:szCs w:val="18"/>
              </w:rPr>
              <w:t>政策为</w:t>
            </w:r>
            <w:r>
              <w:rPr>
                <w:rFonts w:ascii="宋体" w:hAnsi="宋体" w:cs="宋体" w:eastAsia="宋体" w:hint="default"/>
                <w:spacing w:val="-90"/>
                <w:sz w:val="18"/>
                <w:szCs w:val="18"/>
              </w:rPr>
              <w:t>：</w:t>
            </w:r>
            <w:r>
              <w:rPr>
                <w:rFonts w:ascii="宋体" w:hAnsi="宋体" w:cs="宋体" w:eastAsia="宋体" w:hint="default"/>
                <w:sz w:val="18"/>
                <w:szCs w:val="18"/>
              </w:rPr>
              <w:t>……（三）股利分配条件：如果公司会计年度盈利，</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未分配利润公司计划用于与主营业务有关的流动资产和非流</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且无弥补亏损、重大投资计划或重大现金支出等事项发生，</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动资产支出。</w:t>
            </w:r>
          </w:p>
        </w:tc>
      </w:tr>
      <w:tr>
        <w:trPr>
          <w:trHeight w:val="244"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应进行年度现金股利分配；如果由于公司业绩、规模增长快</w:t>
            </w:r>
          </w:p>
        </w:tc>
        <w:tc>
          <w:tcPr>
            <w:tcW w:w="4784" w:type="dxa"/>
            <w:tcBorders>
              <w:top w:val="nil" w:sz="6" w:space="0" w:color="auto"/>
              <w:left w:val="single" w:sz="4" w:space="0" w:color="000000"/>
              <w:bottom w:val="nil" w:sz="6" w:space="0" w:color="auto"/>
              <w:right w:val="single" w:sz="4" w:space="0" w:color="000000"/>
            </w:tcBorders>
          </w:tcPr>
          <w:p>
            <w:pPr/>
          </w:p>
        </w:tc>
      </w:tr>
      <w:tr>
        <w:trPr>
          <w:trHeight w:val="328" w:hRule="exact"/>
        </w:trPr>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速等原因，导致董事会认为出现公司股本规模与经营规模不</w:t>
            </w:r>
          </w:p>
        </w:tc>
        <w:tc>
          <w:tcPr>
            <w:tcW w:w="478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94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317" w:hRule="exact"/>
        </w:trPr>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相匹配，或公司股价不能有效反映经营业绩等情形况时，可</w:t>
            </w:r>
          </w:p>
        </w:tc>
        <w:tc>
          <w:tcPr>
            <w:tcW w:w="4784" w:type="dxa"/>
            <w:vMerge w:val="restart"/>
            <w:tcBorders>
              <w:top w:val="single" w:sz="4" w:space="0" w:color="000000"/>
              <w:left w:val="single" w:sz="4" w:space="0" w:color="000000"/>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以提出股票股利分配预案；上述所称“重大投资计划或重大</w:t>
            </w:r>
          </w:p>
        </w:tc>
        <w:tc>
          <w:tcPr>
            <w:tcW w:w="4784" w:type="dxa"/>
            <w:vMerge/>
            <w:tcBorders>
              <w:left w:val="single" w:sz="4" w:space="0" w:color="000000"/>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现金支出”是指公司未来十二个月内拟对外投资、收购资产</w:t>
            </w:r>
          </w:p>
        </w:tc>
        <w:tc>
          <w:tcPr>
            <w:tcW w:w="4784" w:type="dxa"/>
            <w:vMerge/>
            <w:tcBorders>
              <w:left w:val="single" w:sz="4" w:space="0" w:color="000000"/>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或购买设备累计支出超过公司最近一期经审计的合并报表总</w:t>
            </w:r>
          </w:p>
        </w:tc>
        <w:tc>
          <w:tcPr>
            <w:tcW w:w="4784" w:type="dxa"/>
            <w:vMerge/>
            <w:tcBorders>
              <w:left w:val="single" w:sz="4" w:space="0" w:color="000000"/>
              <w:right w:val="single" w:sz="4" w:space="0" w:color="000000"/>
            </w:tcBorders>
          </w:tcPr>
          <w:p>
            <w:pPr/>
          </w:p>
        </w:tc>
      </w:tr>
      <w:tr>
        <w:trPr>
          <w:trHeight w:val="316"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资产的百分之三十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21"/>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w:t>
            </w:r>
          </w:p>
        </w:tc>
        <w:tc>
          <w:tcPr>
            <w:tcW w:w="4784" w:type="dxa"/>
            <w:vMerge/>
            <w:tcBorders>
              <w:left w:val="single" w:sz="4" w:space="0" w:color="000000"/>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pacing w:val="-3"/>
                <w:sz w:val="18"/>
                <w:szCs w:val="18"/>
              </w:rPr>
              <w:t>会审议通过了《关于河南首期年产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万只陶瓷酒瓶建设项</w:t>
            </w:r>
          </w:p>
        </w:tc>
        <w:tc>
          <w:tcPr>
            <w:tcW w:w="4784" w:type="dxa"/>
            <w:vMerge/>
            <w:tcBorders>
              <w:left w:val="single" w:sz="4" w:space="0" w:color="000000"/>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目的议案</w:t>
            </w:r>
            <w:r>
              <w:rPr>
                <w:rFonts w:ascii="宋体" w:hAnsi="宋体" w:cs="宋体" w:eastAsia="宋体" w:hint="default"/>
                <w:spacing w:val="-90"/>
                <w:sz w:val="18"/>
                <w:szCs w:val="18"/>
              </w:rPr>
              <w:t>》</w:t>
            </w:r>
            <w:r>
              <w:rPr>
                <w:rFonts w:ascii="宋体" w:hAnsi="宋体" w:cs="宋体" w:eastAsia="宋体" w:hint="default"/>
                <w:spacing w:val="-66"/>
                <w:sz w:val="18"/>
                <w:szCs w:val="18"/>
              </w:rPr>
              <w:t>，</w:t>
            </w:r>
            <w:r>
              <w:rPr>
                <w:rFonts w:ascii="宋体" w:hAnsi="宋体" w:cs="宋体" w:eastAsia="宋体" w:hint="default"/>
                <w:sz w:val="18"/>
                <w:szCs w:val="18"/>
              </w:rPr>
              <w:t>公司拟投资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32,374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66"/>
                <w:sz w:val="18"/>
                <w:szCs w:val="18"/>
              </w:rPr>
              <w:t>元</w:t>
            </w:r>
            <w:r>
              <w:rPr>
                <w:rFonts w:ascii="宋体" w:hAnsi="宋体" w:cs="宋体" w:eastAsia="宋体" w:hint="default"/>
                <w:sz w:val="18"/>
                <w:szCs w:val="18"/>
              </w:rPr>
              <w:t>（包括超募资金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22,304.95</w:t>
            </w:r>
          </w:p>
        </w:tc>
        <w:tc>
          <w:tcPr>
            <w:tcW w:w="4784" w:type="dxa"/>
            <w:vMerge/>
            <w:tcBorders>
              <w:left w:val="single" w:sz="4" w:space="0" w:color="000000"/>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万元及自筹资金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10,069.05 </w:t>
            </w:r>
            <w:r>
              <w:rPr>
                <w:rFonts w:ascii="宋体" w:hAnsi="宋体" w:cs="宋体" w:eastAsia="宋体" w:hint="default"/>
                <w:spacing w:val="-3"/>
                <w:sz w:val="18"/>
                <w:szCs w:val="18"/>
              </w:rPr>
              <w:t>万元）建设该项目，占最近一期经</w:t>
            </w:r>
          </w:p>
        </w:tc>
        <w:tc>
          <w:tcPr>
            <w:tcW w:w="4784" w:type="dxa"/>
            <w:vMerge/>
            <w:tcBorders>
              <w:left w:val="single" w:sz="4" w:space="0" w:color="000000"/>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pacing w:val="-4"/>
                <w:sz w:val="18"/>
                <w:szCs w:val="18"/>
              </w:rPr>
              <w:t>审计的合并报表（</w:t>
            </w:r>
            <w:r>
              <w:rPr>
                <w:rFonts w:ascii="Times New Roman" w:hAnsi="Times New Roman" w:cs="Times New Roman" w:eastAsia="Times New Roman" w:hint="default"/>
                <w:spacing w:val="-4"/>
                <w:sz w:val="18"/>
                <w:szCs w:val="18"/>
              </w:rPr>
              <w:t>2011 </w:t>
            </w:r>
            <w:r>
              <w:rPr>
                <w:rFonts w:ascii="宋体" w:hAnsi="宋体" w:cs="宋体" w:eastAsia="宋体" w:hint="default"/>
                <w:spacing w:val="-5"/>
                <w:sz w:val="18"/>
                <w:szCs w:val="18"/>
              </w:rPr>
              <w:t>年度）合并报表总资产 </w:t>
            </w:r>
            <w:r>
              <w:rPr>
                <w:rFonts w:ascii="Times New Roman" w:hAnsi="Times New Roman" w:cs="Times New Roman" w:eastAsia="Times New Roman" w:hint="default"/>
                <w:sz w:val="18"/>
                <w:szCs w:val="18"/>
              </w:rPr>
              <w:t>90,616.77</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w:t>
            </w:r>
          </w:p>
        </w:tc>
        <w:tc>
          <w:tcPr>
            <w:tcW w:w="4784" w:type="dxa"/>
            <w:vMerge/>
            <w:tcBorders>
              <w:left w:val="single" w:sz="4" w:space="0" w:color="000000"/>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35.73%</w:t>
            </w:r>
            <w:r>
              <w:rPr>
                <w:rFonts w:ascii="宋体" w:hAnsi="宋体" w:cs="宋体" w:eastAsia="宋体" w:hint="default"/>
                <w:sz w:val="18"/>
                <w:szCs w:val="18"/>
              </w:rPr>
              <w:t>，符合《公司章程》第一百五十五条第（三）款关</w:t>
            </w:r>
          </w:p>
        </w:tc>
        <w:tc>
          <w:tcPr>
            <w:tcW w:w="4784" w:type="dxa"/>
            <w:vMerge/>
            <w:tcBorders>
              <w:left w:val="single" w:sz="4" w:space="0" w:color="000000"/>
              <w:right w:val="single" w:sz="4" w:space="0" w:color="000000"/>
            </w:tcBorders>
          </w:tcPr>
          <w:p>
            <w:pPr/>
          </w:p>
        </w:tc>
      </w:tr>
      <w:tr>
        <w:trPr>
          <w:trHeight w:val="308"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7"/>
              <w:jc w:val="center"/>
              <w:rPr>
                <w:rFonts w:ascii="宋体" w:hAnsi="宋体" w:cs="宋体" w:eastAsia="宋体" w:hint="default"/>
                <w:sz w:val="18"/>
                <w:szCs w:val="18"/>
              </w:rPr>
            </w:pPr>
            <w:r>
              <w:rPr>
                <w:rFonts w:ascii="宋体" w:hAnsi="宋体" w:cs="宋体" w:eastAsia="宋体" w:hint="default"/>
                <w:sz w:val="18"/>
                <w:szCs w:val="18"/>
              </w:rPr>
              <w:t>于“重大投资计划或重大现金支出”的定义。根据公司的发</w:t>
            </w:r>
          </w:p>
        </w:tc>
        <w:tc>
          <w:tcPr>
            <w:tcW w:w="4784" w:type="dxa"/>
            <w:vMerge/>
            <w:tcBorders>
              <w:left w:val="single" w:sz="4" w:space="0" w:color="000000"/>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展战略及重大投资未来对资金的需求情况，公司当前必须集</w:t>
            </w:r>
          </w:p>
        </w:tc>
        <w:tc>
          <w:tcPr>
            <w:tcW w:w="4784" w:type="dxa"/>
            <w:vMerge/>
            <w:tcBorders>
              <w:left w:val="single" w:sz="4" w:space="0" w:color="000000"/>
              <w:right w:val="single" w:sz="4" w:space="0" w:color="000000"/>
            </w:tcBorders>
          </w:tcPr>
          <w:p>
            <w:pPr/>
          </w:p>
        </w:tc>
      </w:tr>
      <w:tr>
        <w:trPr>
          <w:trHeight w:val="316"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中资金用于经营，以确保公司经营的可持续发展。公司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tc>
        <w:tc>
          <w:tcPr>
            <w:tcW w:w="4784" w:type="dxa"/>
            <w:vMerge/>
            <w:tcBorders>
              <w:left w:val="single" w:sz="4" w:space="0" w:color="000000"/>
              <w:right w:val="single" w:sz="4" w:space="0" w:color="000000"/>
            </w:tcBorders>
          </w:tcPr>
          <w:p>
            <w:pPr/>
          </w:p>
        </w:tc>
      </w:tr>
      <w:tr>
        <w:trPr>
          <w:trHeight w:val="308"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7"/>
              <w:jc w:val="center"/>
              <w:rPr>
                <w:rFonts w:ascii="宋体" w:hAnsi="宋体" w:cs="宋体" w:eastAsia="宋体" w:hint="default"/>
                <w:sz w:val="18"/>
                <w:szCs w:val="18"/>
              </w:rPr>
            </w:pPr>
            <w:r>
              <w:rPr>
                <w:rFonts w:ascii="宋体" w:hAnsi="宋体" w:cs="宋体" w:eastAsia="宋体" w:hint="default"/>
                <w:sz w:val="18"/>
                <w:szCs w:val="18"/>
              </w:rPr>
              <w:t>年度拟不进行利润分配，也不进行资本公积金转增股本，全</w:t>
            </w:r>
          </w:p>
        </w:tc>
        <w:tc>
          <w:tcPr>
            <w:tcW w:w="4784" w:type="dxa"/>
            <w:vMerge/>
            <w:tcBorders>
              <w:left w:val="single" w:sz="4" w:space="0" w:color="000000"/>
              <w:right w:val="single" w:sz="4" w:space="0" w:color="000000"/>
            </w:tcBorders>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部利润滚存于公司，仍归属于全部股东所有，未分配利润公</w:t>
            </w:r>
          </w:p>
        </w:tc>
        <w:tc>
          <w:tcPr>
            <w:tcW w:w="4784" w:type="dxa"/>
            <w:vMerge/>
            <w:tcBorders>
              <w:left w:val="single" w:sz="4" w:space="0" w:color="000000"/>
              <w:right w:val="single" w:sz="4" w:space="0" w:color="000000"/>
            </w:tcBorders>
          </w:tcPr>
          <w:p>
            <w:pPr/>
          </w:p>
        </w:tc>
      </w:tr>
      <w:tr>
        <w:trPr>
          <w:trHeight w:val="358" w:hRule="exact"/>
        </w:trPr>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司计划用于与主营业务有关的流动资产和非流动资产支出。</w:t>
            </w:r>
          </w:p>
        </w:tc>
        <w:tc>
          <w:tcPr>
            <w:tcW w:w="4784"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92"/>
        <w:jc w:val="left"/>
        <w:rPr>
          <w:b w:val="0"/>
          <w:bCs w:val="0"/>
        </w:rPr>
      </w:pPr>
      <w:r>
        <w:rPr/>
        <w:t>五、内幕信息知情人管理制度的建立和执行情况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66" w:right="92"/>
        <w:jc w:val="left"/>
      </w:pPr>
      <w:r>
        <w:rPr/>
        <w:t>（一）内幕信息知情人管理制度建立和执行情况 </w:t>
      </w:r>
      <w:r>
        <w:rPr>
          <w:spacing w:val="-2"/>
        </w:rPr>
        <w:t>公司制定了《内幕信息知情人登记管理制度》、《信息披露制度》、《重大信息内部报告制度》等制度，明确了内幕信</w:t>
      </w:r>
    </w:p>
    <w:p>
      <w:pPr>
        <w:pStyle w:val="BodyText"/>
        <w:spacing w:line="316" w:lineRule="auto" w:before="19"/>
        <w:ind w:right="92"/>
        <w:jc w:val="left"/>
      </w:pPr>
      <w:r>
        <w:rPr>
          <w:spacing w:val="-2"/>
        </w:rPr>
        <w:t>息和内幕知情人的范围、规范了内幕信息知情人登记备案的程序、确立了内幕信息的保密原则和奖惩措施，使得公司内幕信</w:t>
      </w:r>
      <w:r>
        <w:rPr>
          <w:spacing w:val="-65"/>
        </w:rPr>
        <w:t> </w:t>
      </w:r>
      <w:r>
        <w:rPr>
          <w:spacing w:val="-65"/>
        </w:rPr>
      </w:r>
      <w:r>
        <w:rPr/>
        <w:t>息管理工作有法可依、有据可循，维护了信息披露的公平性。</w:t>
      </w:r>
    </w:p>
    <w:p>
      <w:pPr>
        <w:pStyle w:val="BodyText"/>
        <w:spacing w:line="316" w:lineRule="auto" w:before="19"/>
        <w:ind w:right="111" w:firstLine="352"/>
        <w:jc w:val="both"/>
      </w:pPr>
      <w:r>
        <w:rPr>
          <w:spacing w:val="-2"/>
        </w:rPr>
        <w:t>报告期内，公司严格按照相关法律法规要求，加大对《内幕信息知情人登记管理制度》等相关制度的执行力度，严格按</w:t>
      </w:r>
      <w:r>
        <w:rPr/>
        <w:t> </w:t>
      </w:r>
      <w:r>
        <w:rPr>
          <w:spacing w:val="-2"/>
        </w:rPr>
        <w:t>照规定履行内幕信息流转程序、内幕信息知情人登记程序、严格控制内幕信息知情人范围，并及时向深圳证券交易所和广东</w:t>
      </w:r>
      <w:r>
        <w:rPr>
          <w:spacing w:val="-65"/>
        </w:rPr>
        <w:t> </w:t>
      </w:r>
      <w:r>
        <w:rPr>
          <w:spacing w:val="-65"/>
        </w:rPr>
      </w:r>
      <w:r>
        <w:rPr/>
        <w:t>证监局报备内幕信息知情人登记情况。</w:t>
      </w:r>
    </w:p>
    <w:p>
      <w:pPr>
        <w:pStyle w:val="BodyText"/>
        <w:spacing w:line="316" w:lineRule="auto" w:before="19"/>
        <w:ind w:left="474" w:right="92" w:hanging="8"/>
        <w:jc w:val="left"/>
      </w:pPr>
      <w:r>
        <w:rPr/>
        <w:t>（二）报告期内自查内幕信息知情人涉嫌内幕交易以及监管部门的查处和整改情况 </w:t>
      </w:r>
      <w:r>
        <w:rPr>
          <w:spacing w:val="-2"/>
        </w:rPr>
        <w:t>报告期内，公司董事、监事及高级管理人员和其他相关知情人严格遵守了内幕信息知情人管理制度，未发现有内幕信息</w:t>
      </w:r>
    </w:p>
    <w:p>
      <w:pPr>
        <w:pStyle w:val="BodyText"/>
        <w:spacing w:line="240" w:lineRule="auto" w:before="19"/>
        <w:ind w:right="92"/>
        <w:jc w:val="left"/>
      </w:pPr>
      <w:r>
        <w:rPr/>
        <w:t>知情人利用内幕信息买卖本公司股份的情况。报告期内，未发生因内幕信息知情人涉嫌内幕交易受到监管部门查处情况。</w:t>
      </w:r>
    </w:p>
    <w:p>
      <w:pPr>
        <w:spacing w:line="240" w:lineRule="auto" w:before="2"/>
        <w:rPr>
          <w:rFonts w:ascii="宋体" w:hAnsi="宋体" w:cs="宋体" w:eastAsia="宋体" w:hint="default"/>
          <w:sz w:val="25"/>
          <w:szCs w:val="25"/>
        </w:rPr>
      </w:pPr>
    </w:p>
    <w:p>
      <w:pPr>
        <w:pStyle w:val="Heading2"/>
        <w:spacing w:line="240" w:lineRule="auto" w:before="0"/>
        <w:ind w:right="92"/>
        <w:jc w:val="left"/>
        <w:rPr>
          <w:b w:val="0"/>
          <w:bCs w:val="0"/>
        </w:rPr>
      </w:pPr>
      <w:r>
        <w:rPr/>
        <w:t>六、报告期内接待调研、沟通、采访等活动登记表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1496"/>
        <w:gridCol w:w="1498"/>
        <w:gridCol w:w="1496"/>
        <w:gridCol w:w="2088"/>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57" w:right="48"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子公司深圳市世家会艺术</w:t>
            </w:r>
          </w:p>
        </w:tc>
      </w:tr>
      <w:tr>
        <w:trPr>
          <w:trHeight w:val="624"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广东潮州</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华夏基金</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品投资有限公司的概况、 公司生产经营情况及产品</w:t>
            </w:r>
          </w:p>
        </w:tc>
      </w:tr>
      <w:tr>
        <w:trPr>
          <w:trHeight w:val="358"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业务规划等内容。</w:t>
            </w: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潮州与景德镇两个陶瓷产</w:t>
            </w:r>
          </w:p>
        </w:tc>
      </w:tr>
      <w:tr>
        <w:trPr>
          <w:trHeight w:val="30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区的区别、子公司深圳市</w:t>
            </w:r>
          </w:p>
        </w:tc>
      </w:tr>
      <w:tr>
        <w:trPr>
          <w:trHeight w:val="322"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广东潮州</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浙商证券</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世家会艺术品投资有限公</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司的概况、公司生产经营</w:t>
            </w:r>
          </w:p>
        </w:tc>
      </w:tr>
      <w:tr>
        <w:trPr>
          <w:trHeight w:val="328"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情况及产品业务规划等内</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1496"/>
        <w:gridCol w:w="1498"/>
        <w:gridCol w:w="1496"/>
        <w:gridCol w:w="2088"/>
      </w:tblGrid>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spacing w:before="1"/>
        <w:ind w:left="455" w:right="531" w:firstLine="0"/>
        <w:jc w:val="center"/>
        <w:rPr>
          <w:rFonts w:ascii="宋体" w:hAnsi="宋体" w:cs="宋体" w:eastAsia="宋体" w:hint="default"/>
          <w:sz w:val="32"/>
          <w:szCs w:val="32"/>
        </w:rPr>
      </w:pPr>
      <w:r>
        <w:rPr>
          <w:rFonts w:ascii="宋体" w:hAnsi="宋体" w:cs="宋体" w:eastAsia="宋体" w:hint="default"/>
          <w:b/>
          <w:bCs/>
          <w:sz w:val="32"/>
          <w:szCs w:val="32"/>
        </w:rPr>
        <w:t>第五节</w:t>
      </w:r>
      <w:r>
        <w:rPr>
          <w:rFonts w:ascii="宋体" w:hAnsi="宋体" w:cs="宋体" w:eastAsia="宋体" w:hint="default"/>
          <w:b/>
          <w:bCs/>
          <w:spacing w:val="-2"/>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1"/>
        <w:jc w:val="left"/>
        <w:rPr>
          <w:b w:val="0"/>
          <w:bCs w:val="0"/>
        </w:rPr>
      </w:pPr>
      <w:r>
        <w:rPr/>
        <w:t>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本年度公司无重大诉讼、仲裁事项。</w:t>
      </w:r>
    </w:p>
    <w:p>
      <w:pPr>
        <w:spacing w:line="240" w:lineRule="auto" w:before="7"/>
        <w:rPr>
          <w:rFonts w:ascii="宋体" w:hAnsi="宋体" w:cs="宋体" w:eastAsia="宋体" w:hint="default"/>
          <w:sz w:val="19"/>
          <w:szCs w:val="19"/>
        </w:rPr>
      </w:pPr>
    </w:p>
    <w:p>
      <w:pPr>
        <w:pStyle w:val="Heading2"/>
        <w:spacing w:line="240" w:lineRule="auto" w:before="0"/>
        <w:ind w:right="91"/>
        <w:jc w:val="left"/>
        <w:rPr>
          <w:b w:val="0"/>
          <w:bCs w:val="0"/>
        </w:rPr>
      </w:pPr>
      <w:r>
        <w:rPr/>
        <w:t>二、上市公司发生控股股东及其关联方非经营性占用资金情况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5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会计师事务所对资金占用的专项审核意见</w:t>
      </w:r>
    </w:p>
    <w:p>
      <w:pPr>
        <w:pStyle w:val="BodyText"/>
        <w:spacing w:line="302" w:lineRule="auto" w:before="43"/>
        <w:ind w:left="113" w:right="91"/>
        <w:jc w:val="left"/>
      </w:pPr>
      <w:r>
        <w:rPr>
          <w:spacing w:val="-2"/>
        </w:rPr>
        <w:t>根椐中国证券监督管理委员会及国务院国有资产监督管理委员会《关于规范上市公司与关联方资金往来及上市公司对外担保</w:t>
      </w:r>
      <w:r>
        <w:rPr>
          <w:spacing w:val="-64"/>
        </w:rPr>
        <w:t> </w:t>
      </w:r>
      <w:r>
        <w:rPr>
          <w:spacing w:val="-64"/>
        </w:rPr>
      </w:r>
      <w:r>
        <w:rPr/>
        <w:t>若干问题的通知》（证监发【</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56</w:t>
      </w:r>
      <w:r>
        <w:rPr/>
        <w:t>号）的要求及深圳证券交易所《关于做好上市公司</w:t>
      </w:r>
      <w:r>
        <w:rPr>
          <w:rFonts w:ascii="Times New Roman" w:hAnsi="Times New Roman" w:cs="Times New Roman" w:eastAsia="Times New Roman" w:hint="default"/>
        </w:rPr>
        <w:t>2012</w:t>
      </w:r>
      <w:r>
        <w:rPr/>
        <w:t>年年度报告披露工作的通知》 </w:t>
      </w:r>
      <w:r>
        <w:rPr>
          <w:spacing w:val="-2"/>
        </w:rPr>
        <w:t>的要求，长城集团编制了本专项说明所附的《</w:t>
      </w:r>
      <w:r>
        <w:rPr>
          <w:rFonts w:ascii="Times New Roman" w:hAnsi="Times New Roman" w:cs="Times New Roman" w:eastAsia="Times New Roman" w:hint="default"/>
          <w:spacing w:val="-2"/>
        </w:rPr>
        <w:t>2012</w:t>
      </w:r>
      <w:r>
        <w:rPr>
          <w:spacing w:val="-2"/>
        </w:rPr>
        <w:t>年度广东长城集团股份有限公司控股股东及其它关联方占用资金情况汇总</w:t>
      </w:r>
      <w:r>
        <w:rPr>
          <w:spacing w:val="-60"/>
        </w:rPr>
        <w:t> </w:t>
      </w:r>
      <w:r>
        <w:rPr>
          <w:spacing w:val="-2"/>
        </w:rPr>
        <w:t>表》（以下简称</w:t>
      </w:r>
      <w:r>
        <w:rPr>
          <w:rFonts w:ascii="Times New Roman" w:hAnsi="Times New Roman" w:cs="Times New Roman" w:eastAsia="Times New Roman" w:hint="default"/>
          <w:spacing w:val="-2"/>
        </w:rPr>
        <w:t>“</w:t>
      </w:r>
      <w:r>
        <w:rPr>
          <w:spacing w:val="-2"/>
        </w:rPr>
        <w:t>汇总表</w:t>
      </w:r>
      <w:r>
        <w:rPr>
          <w:rFonts w:ascii="Times New Roman" w:hAnsi="Times New Roman" w:cs="Times New Roman" w:eastAsia="Times New Roman" w:hint="default"/>
          <w:spacing w:val="-2"/>
        </w:rPr>
        <w:t>”</w:t>
      </w:r>
      <w:r>
        <w:rPr>
          <w:spacing w:val="-2"/>
        </w:rPr>
        <w:t>）。如实编制和对外披露汇总表，并保证其真实性、合法性及完整性是长城集团的责任。我们对汇</w:t>
      </w:r>
      <w:r>
        <w:rPr>
          <w:spacing w:val="-46"/>
        </w:rPr>
        <w:t> </w:t>
      </w:r>
      <w:r>
        <w:rPr>
          <w:spacing w:val="-46"/>
        </w:rPr>
      </w:r>
      <w:r>
        <w:rPr>
          <w:spacing w:val="-2"/>
        </w:rPr>
        <w:t>总表所载资料与我们审计长城集团</w:t>
      </w:r>
      <w:r>
        <w:rPr>
          <w:rFonts w:ascii="Times New Roman" w:hAnsi="Times New Roman" w:cs="Times New Roman" w:eastAsia="Times New Roman" w:hint="default"/>
          <w:spacing w:val="-2"/>
        </w:rPr>
        <w:t>2012</w:t>
      </w:r>
      <w:r>
        <w:rPr>
          <w:spacing w:val="-2"/>
        </w:rPr>
        <w:t>年度财务报表时所复核的会计资料和经审计的财务报表相关内容进行了核对，在所有</w:t>
      </w:r>
      <w:r>
        <w:rPr>
          <w:spacing w:val="-60"/>
        </w:rPr>
        <w:t> </w:t>
      </w:r>
      <w:r>
        <w:rPr>
          <w:spacing w:val="-60"/>
        </w:rPr>
      </w:r>
      <w:r>
        <w:rPr>
          <w:spacing w:val="-2"/>
        </w:rPr>
        <w:t>重大方面没有发现不一致之处。除了对长城集团实施</w:t>
      </w:r>
      <w:r>
        <w:rPr>
          <w:rFonts w:ascii="Times New Roman" w:hAnsi="Times New Roman" w:cs="Times New Roman" w:eastAsia="Times New Roman" w:hint="default"/>
          <w:spacing w:val="-2"/>
        </w:rPr>
        <w:t>2012</w:t>
      </w:r>
      <w:r>
        <w:rPr>
          <w:spacing w:val="-2"/>
        </w:rPr>
        <w:t>年度财务报表审计中所执行的对关联往来相关的审计程序外，我们</w:t>
      </w:r>
      <w:r>
        <w:rPr>
          <w:spacing w:val="-60"/>
        </w:rPr>
        <w:t> </w:t>
      </w:r>
      <w:r>
        <w:rPr>
          <w:spacing w:val="-60"/>
        </w:rPr>
      </w:r>
      <w:r>
        <w:rPr>
          <w:spacing w:val="-6"/>
        </w:rPr>
        <w:t>未对汇总表所载资料执行额外的审计或其它程序。详见《控股股东及其它关联方占用资金情况的专项说明》（广会所专字</w:t>
      </w:r>
      <w:r>
        <w:rPr>
          <w:rFonts w:ascii="Times New Roman" w:hAnsi="Times New Roman" w:cs="Times New Roman" w:eastAsia="Times New Roman" w:hint="default"/>
          <w:spacing w:val="-6"/>
        </w:rPr>
        <w:t>[2013]</w:t>
      </w:r>
      <w:r>
        <w:rPr>
          <w:rFonts w:ascii="Times New Roman" w:hAnsi="Times New Roman" w:cs="Times New Roman" w:eastAsia="Times New Roman" w:hint="default"/>
          <w:spacing w:val="-15"/>
        </w:rPr>
        <w:t> </w:t>
      </w:r>
      <w:r>
        <w:rPr/>
        <w:t>第</w:t>
      </w:r>
      <w:r>
        <w:rPr>
          <w:rFonts w:ascii="Times New Roman" w:hAnsi="Times New Roman" w:cs="Times New Roman" w:eastAsia="Times New Roman" w:hint="default"/>
        </w:rPr>
        <w:t>13000630039</w:t>
      </w:r>
      <w:r>
        <w:rPr/>
        <w:t>号）。</w:t>
      </w:r>
    </w:p>
    <w:p>
      <w:pPr>
        <w:spacing w:line="240" w:lineRule="auto" w:before="1"/>
        <w:rPr>
          <w:rFonts w:ascii="宋体" w:hAnsi="宋体" w:cs="宋体" w:eastAsia="宋体" w:hint="default"/>
          <w:sz w:val="20"/>
          <w:szCs w:val="20"/>
        </w:rPr>
      </w:pPr>
    </w:p>
    <w:p>
      <w:pPr>
        <w:pStyle w:val="Heading2"/>
        <w:spacing w:line="240" w:lineRule="auto" w:before="0"/>
        <w:ind w:right="91"/>
        <w:jc w:val="left"/>
        <w:rPr>
          <w:b w:val="0"/>
          <w:bCs w:val="0"/>
        </w:rPr>
      </w:pPr>
      <w:r>
        <w:rPr/>
        <w:t>三、重大关联交易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1"/>
        <w:jc w:val="left"/>
        <w:rPr>
          <w:b w:val="0"/>
          <w:bCs w:val="0"/>
        </w:rPr>
      </w:pPr>
      <w:r>
        <w:rPr>
          <w:rFonts w:ascii="Times New Roman" w:hAnsi="Times New Roman" w:cs="Times New Roman" w:eastAsia="Times New Roman" w:hint="default"/>
        </w:rPr>
        <w:t>1</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113" w:right="191" w:firstLine="360"/>
        <w:jc w:val="both"/>
      </w:pPr>
      <w:r>
        <w:rPr>
          <w:spacing w:val="-2"/>
        </w:rPr>
        <w:t>公司与陈虞深、陈得光、陈钦龙、蔡廷和、吴淡珠（以下称为</w:t>
      </w:r>
      <w:r>
        <w:rPr>
          <w:rFonts w:ascii="Times New Roman" w:hAnsi="Times New Roman" w:cs="Times New Roman" w:eastAsia="Times New Roman" w:hint="default"/>
          <w:spacing w:val="-2"/>
        </w:rPr>
        <w:t>“</w:t>
      </w:r>
      <w:r>
        <w:rPr>
          <w:spacing w:val="-2"/>
        </w:rPr>
        <w:t>出租方</w:t>
      </w:r>
      <w:r>
        <w:rPr>
          <w:rFonts w:ascii="Times New Roman" w:hAnsi="Times New Roman" w:cs="Times New Roman" w:eastAsia="Times New Roman" w:hint="default"/>
          <w:spacing w:val="-2"/>
        </w:rPr>
        <w:t>”</w:t>
      </w:r>
      <w:r>
        <w:rPr>
          <w:spacing w:val="-2"/>
        </w:rPr>
        <w:t>）签订厂房租用协议，协议约定由于公司业务发</w:t>
      </w:r>
      <w:r>
        <w:rPr/>
        <w:t> </w:t>
      </w:r>
      <w:r>
        <w:rPr>
          <w:spacing w:val="-1"/>
        </w:rPr>
        <w:t>展需要，租赁出租方位于潮州市枫溪区蔡陇村蔡尾片厂房（租赁面积以土地面积</w:t>
      </w:r>
      <w:r>
        <w:rPr>
          <w:rFonts w:ascii="Times New Roman" w:hAnsi="Times New Roman" w:cs="Times New Roman" w:eastAsia="Times New Roman" w:hint="default"/>
          <w:spacing w:val="-1"/>
        </w:rPr>
        <w:t>16773.37</w:t>
      </w:r>
      <w:r>
        <w:rPr>
          <w:spacing w:val="-1"/>
        </w:rPr>
        <w:t>平方为准）用于装饰大型产品展厅</w:t>
      </w:r>
      <w:r>
        <w:rPr>
          <w:spacing w:val="-70"/>
        </w:rPr>
        <w:t> </w:t>
      </w:r>
      <w:r>
        <w:rPr>
          <w:spacing w:val="-70"/>
        </w:rPr>
      </w:r>
      <w:r>
        <w:rPr>
          <w:spacing w:val="-1"/>
        </w:rPr>
        <w:t>及产品研发中心，租赁期自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01</w:t>
      </w:r>
      <w:r>
        <w:rPr>
          <w:spacing w:val="-1"/>
        </w:rPr>
        <w:t>月</w:t>
      </w:r>
      <w:r>
        <w:rPr>
          <w:rFonts w:ascii="Times New Roman" w:hAnsi="Times New Roman" w:cs="Times New Roman" w:eastAsia="Times New Roman" w:hint="default"/>
          <w:spacing w:val="-1"/>
        </w:rPr>
        <w:t>01</w:t>
      </w:r>
      <w:r>
        <w:rPr>
          <w:spacing w:val="-1"/>
        </w:rPr>
        <w:t>日至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w:t>
      </w:r>
      <w:r>
        <w:rPr>
          <w:rFonts w:ascii="Times New Roman" w:hAnsi="Times New Roman" w:cs="Times New Roman" w:eastAsia="Times New Roman" w:hint="default"/>
          <w:spacing w:val="-1"/>
        </w:rPr>
        <w:t>,</w:t>
      </w:r>
      <w:r>
        <w:rPr>
          <w:spacing w:val="-1"/>
        </w:rPr>
        <w:t>共</w:t>
      </w:r>
      <w:r>
        <w:rPr>
          <w:rFonts w:ascii="Times New Roman" w:hAnsi="Times New Roman" w:cs="Times New Roman" w:eastAsia="Times New Roman" w:hint="default"/>
          <w:spacing w:val="-1"/>
        </w:rPr>
        <w:t>6</w:t>
      </w:r>
      <w:r>
        <w:rPr>
          <w:spacing w:val="-1"/>
        </w:rPr>
        <w:t>年，自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01</w:t>
      </w:r>
      <w:r>
        <w:rPr>
          <w:spacing w:val="-1"/>
        </w:rPr>
        <w:t>月</w:t>
      </w:r>
      <w:r>
        <w:rPr>
          <w:rFonts w:ascii="Times New Roman" w:hAnsi="Times New Roman" w:cs="Times New Roman" w:eastAsia="Times New Roman" w:hint="default"/>
          <w:spacing w:val="-1"/>
        </w:rPr>
        <w:t>01</w:t>
      </w:r>
      <w:r>
        <w:rPr>
          <w:spacing w:val="-1"/>
        </w:rPr>
        <w:t>日至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日第一年享受优</w:t>
      </w:r>
      <w:r>
        <w:rPr>
          <w:spacing w:val="-57"/>
        </w:rPr>
        <w:t> </w:t>
      </w:r>
      <w:r>
        <w:rPr/>
        <w:t>惠租金为</w:t>
      </w:r>
      <w:r>
        <w:rPr>
          <w:rFonts w:ascii="Times New Roman" w:hAnsi="Times New Roman" w:cs="Times New Roman" w:eastAsia="Times New Roman" w:hint="default"/>
        </w:rPr>
        <w:t>1,127,170.46</w:t>
      </w:r>
      <w:r>
        <w:rPr/>
        <w:t>元</w:t>
      </w:r>
      <w:r>
        <w:rPr>
          <w:rFonts w:ascii="Times New Roman" w:hAnsi="Times New Roman" w:cs="Times New Roman" w:eastAsia="Times New Roman" w:hint="default"/>
        </w:rPr>
        <w:t>/</w:t>
      </w:r>
      <w:r>
        <w:rPr/>
        <w:t>年，自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日的租金为</w:t>
      </w:r>
      <w:r>
        <w:rPr>
          <w:rFonts w:ascii="Times New Roman" w:hAnsi="Times New Roman" w:cs="Times New Roman" w:eastAsia="Times New Roman" w:hint="default"/>
        </w:rPr>
        <w:t>1,239,887.51</w:t>
      </w:r>
      <w:r>
        <w:rPr/>
        <w:t>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日租金为</w:t>
      </w:r>
      <w:r>
        <w:rPr>
          <w:rFonts w:ascii="Times New Roman" w:hAnsi="Times New Roman" w:cs="Times New Roman" w:eastAsia="Times New Roman" w:hint="default"/>
        </w:rPr>
        <w:t>1,363,876.26</w:t>
      </w:r>
      <w:r>
        <w:rPr/>
        <w:t>元</w:t>
      </w:r>
      <w:r>
        <w:rPr>
          <w:rFonts w:ascii="Times New Roman" w:hAnsi="Times New Roman" w:cs="Times New Roman" w:eastAsia="Times New Roman" w:hint="default"/>
        </w:rPr>
        <w:t>/</w:t>
      </w:r>
      <w:r>
        <w:rPr/>
        <w:t>年。</w:t>
      </w:r>
    </w:p>
    <w:p>
      <w:pPr>
        <w:pStyle w:val="BodyText"/>
        <w:spacing w:line="240" w:lineRule="auto" w:before="53"/>
        <w:ind w:left="455" w:right="3509"/>
        <w:jc w:val="center"/>
      </w:pPr>
      <w:r>
        <w:rPr/>
        <w:t>关联方交易的定价方式：执行双方在参考市场价格的情况下确定的协议价。</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16"/>
        <w:gridCol w:w="1478"/>
        <w:gridCol w:w="1649"/>
        <w:gridCol w:w="1363"/>
        <w:gridCol w:w="1506"/>
        <w:gridCol w:w="1088"/>
      </w:tblGrid>
      <w:tr>
        <w:trPr>
          <w:trHeight w:val="779"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承租方</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租赁资产</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59"/>
              <w:ind w:left="2" w:right="767"/>
              <w:jc w:val="left"/>
              <w:rPr>
                <w:rFonts w:ascii="宋体" w:hAnsi="宋体" w:cs="宋体" w:eastAsia="宋体" w:hint="default"/>
                <w:sz w:val="18"/>
                <w:szCs w:val="18"/>
              </w:rPr>
            </w:pPr>
            <w:r>
              <w:rPr>
                <w:rFonts w:ascii="宋体" w:hAnsi="宋体" w:cs="宋体" w:eastAsia="宋体" w:hint="default"/>
                <w:sz w:val="18"/>
                <w:szCs w:val="18"/>
              </w:rPr>
              <w:t>本年度 租赁价格</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1" w:right="170"/>
              <w:jc w:val="left"/>
              <w:rPr>
                <w:rFonts w:ascii="宋体" w:hAnsi="宋体" w:cs="宋体" w:eastAsia="宋体" w:hint="default"/>
                <w:sz w:val="18"/>
                <w:szCs w:val="18"/>
              </w:rPr>
            </w:pPr>
            <w:r>
              <w:rPr>
                <w:rFonts w:ascii="宋体" w:hAnsi="宋体" w:cs="宋体" w:eastAsia="宋体" w:hint="default"/>
                <w:sz w:val="18"/>
                <w:szCs w:val="18"/>
              </w:rPr>
              <w:t>租赁价格确 定依据</w:t>
            </w:r>
          </w:p>
        </w:tc>
      </w:tr>
      <w:tr>
        <w:trPr>
          <w:trHeight w:val="373" w:hRule="exact"/>
        </w:trPr>
        <w:tc>
          <w:tcPr>
            <w:tcW w:w="15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陈虞深、陈得光、</w:t>
            </w:r>
          </w:p>
        </w:tc>
        <w:tc>
          <w:tcPr>
            <w:tcW w:w="14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广东长城集团股份</w:t>
            </w:r>
          </w:p>
        </w:tc>
        <w:tc>
          <w:tcPr>
            <w:tcW w:w="16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潮州市枫溪区蔡陇村</w:t>
            </w:r>
          </w:p>
        </w:tc>
        <w:tc>
          <w:tcPr>
            <w:tcW w:w="136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2011.1.1-</w:t>
            </w:r>
          </w:p>
        </w:tc>
        <w:tc>
          <w:tcPr>
            <w:tcW w:w="150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1,239,887.51</w:t>
            </w:r>
          </w:p>
        </w:tc>
        <w:tc>
          <w:tcPr>
            <w:tcW w:w="10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基于市场协</w:t>
            </w:r>
          </w:p>
        </w:tc>
      </w:tr>
      <w:tr>
        <w:trPr>
          <w:trHeight w:val="332" w:hRule="exact"/>
        </w:trPr>
        <w:tc>
          <w:tcPr>
            <w:tcW w:w="151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陈钦龙、蔡廷和、</w:t>
            </w:r>
          </w:p>
        </w:tc>
        <w:tc>
          <w:tcPr>
            <w:tcW w:w="14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4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蔡尾片厂房</w:t>
            </w:r>
          </w:p>
        </w:tc>
        <w:tc>
          <w:tcPr>
            <w:tcW w:w="1363"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2" w:right="0"/>
              <w:jc w:val="left"/>
              <w:rPr>
                <w:rFonts w:ascii="Times New Roman" w:hAnsi="Times New Roman" w:cs="Times New Roman" w:eastAsia="Times New Roman" w:hint="default"/>
                <w:sz w:val="18"/>
                <w:szCs w:val="18"/>
              </w:rPr>
            </w:pPr>
            <w:r>
              <w:rPr>
                <w:rFonts w:ascii="Times New Roman"/>
                <w:sz w:val="18"/>
              </w:rPr>
              <w:t>2016.12.31</w:t>
            </w:r>
          </w:p>
        </w:tc>
        <w:tc>
          <w:tcPr>
            <w:tcW w:w="1506" w:type="dxa"/>
            <w:tcBorders>
              <w:top w:val="nil" w:sz="6" w:space="0" w:color="auto"/>
              <w:left w:val="single" w:sz="6" w:space="0" w:color="000000"/>
              <w:bottom w:val="nil" w:sz="6" w:space="0" w:color="auto"/>
              <w:right w:val="single" w:sz="6" w:space="0" w:color="000000"/>
            </w:tcBorders>
          </w:tcPr>
          <w:p>
            <w:pPr/>
          </w:p>
        </w:tc>
        <w:tc>
          <w:tcPr>
            <w:tcW w:w="108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议价</w:t>
            </w:r>
          </w:p>
        </w:tc>
      </w:tr>
      <w:tr>
        <w:trPr>
          <w:trHeight w:val="346" w:hRule="exact"/>
        </w:trPr>
        <w:tc>
          <w:tcPr>
            <w:tcW w:w="1516"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left="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478" w:type="dxa"/>
            <w:tcBorders>
              <w:top w:val="nil" w:sz="6" w:space="0" w:color="auto"/>
              <w:left w:val="single" w:sz="6" w:space="0" w:color="000000"/>
              <w:bottom w:val="single" w:sz="6" w:space="0" w:color="000000"/>
              <w:right w:val="single" w:sz="6" w:space="0" w:color="000000"/>
            </w:tcBorders>
          </w:tcPr>
          <w:p>
            <w:pPr/>
          </w:p>
        </w:tc>
        <w:tc>
          <w:tcPr>
            <w:tcW w:w="1649" w:type="dxa"/>
            <w:tcBorders>
              <w:top w:val="nil" w:sz="6" w:space="0" w:color="auto"/>
              <w:left w:val="single" w:sz="6" w:space="0" w:color="000000"/>
              <w:bottom w:val="single" w:sz="6" w:space="0" w:color="000000"/>
              <w:right w:val="single" w:sz="6" w:space="0" w:color="000000"/>
            </w:tcBorders>
          </w:tcPr>
          <w:p>
            <w:pPr/>
          </w:p>
        </w:tc>
        <w:tc>
          <w:tcPr>
            <w:tcW w:w="1363" w:type="dxa"/>
            <w:tcBorders>
              <w:top w:val="nil" w:sz="6" w:space="0" w:color="auto"/>
              <w:left w:val="single" w:sz="6" w:space="0" w:color="000000"/>
              <w:bottom w:val="single" w:sz="6" w:space="0" w:color="000000"/>
              <w:right w:val="single" w:sz="6" w:space="0" w:color="000000"/>
            </w:tcBorders>
          </w:tcPr>
          <w:p>
            <w:pPr/>
          </w:p>
        </w:tc>
        <w:tc>
          <w:tcPr>
            <w:tcW w:w="1506" w:type="dxa"/>
            <w:tcBorders>
              <w:top w:val="nil" w:sz="6" w:space="0" w:color="auto"/>
              <w:left w:val="single" w:sz="6" w:space="0" w:color="000000"/>
              <w:bottom w:val="single" w:sz="6" w:space="0" w:color="000000"/>
              <w:right w:val="single" w:sz="6" w:space="0" w:color="000000"/>
            </w:tcBorders>
          </w:tcPr>
          <w:p>
            <w:pPr/>
          </w:p>
        </w:tc>
        <w:tc>
          <w:tcPr>
            <w:tcW w:w="1088"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980" w:top="1060" w:bottom="1160" w:left="1020" w:right="940"/>
        </w:sectPr>
      </w:pPr>
    </w:p>
    <w:p>
      <w:pPr>
        <w:spacing w:line="240" w:lineRule="auto" w:before="9"/>
        <w:rPr>
          <w:rFonts w:ascii="宋体" w:hAnsi="宋体" w:cs="宋体" w:eastAsia="宋体" w:hint="default"/>
          <w:sz w:val="23"/>
          <w:szCs w:val="23"/>
        </w:rPr>
      </w:pPr>
    </w:p>
    <w:p>
      <w:pPr>
        <w:pStyle w:val="Heading2"/>
        <w:spacing w:line="240" w:lineRule="auto"/>
        <w:ind w:right="92"/>
        <w:jc w:val="left"/>
        <w:rPr>
          <w:b w:val="0"/>
          <w:bCs w:val="0"/>
        </w:rPr>
      </w:pPr>
      <w:r>
        <w:rPr/>
        <w:t>四、重大合同及其履行情况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托管情况说明</w:t>
      </w:r>
    </w:p>
    <w:p>
      <w:pPr>
        <w:pStyle w:val="Heading4"/>
        <w:spacing w:line="240" w:lineRule="auto" w:before="90"/>
        <w:ind w:left="114" w:right="92"/>
        <w:jc w:val="left"/>
      </w:pPr>
      <w:r>
        <w:rPr/>
        <w:t>报告期内，公司无托管情况。</w:t>
      </w:r>
    </w:p>
    <w:p>
      <w:pPr>
        <w:pStyle w:val="BodyText"/>
        <w:spacing w:line="240" w:lineRule="auto" w:before="102"/>
        <w:ind w:right="92"/>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92"/>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承包情况说明</w:t>
      </w:r>
    </w:p>
    <w:p>
      <w:pPr>
        <w:pStyle w:val="Heading4"/>
        <w:spacing w:line="240" w:lineRule="auto" w:before="90"/>
        <w:ind w:left="114" w:right="92"/>
        <w:jc w:val="left"/>
      </w:pPr>
      <w:r>
        <w:rPr/>
        <w:t>报告期内，公司无承包情况。</w:t>
      </w:r>
    </w:p>
    <w:p>
      <w:pPr>
        <w:pStyle w:val="BodyText"/>
        <w:spacing w:line="240" w:lineRule="auto" w:before="102"/>
        <w:ind w:right="92"/>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2"/>
        <w:jc w:val="left"/>
      </w:pPr>
      <w:r>
        <w:rPr/>
        <w:t>租赁情况说明</w:t>
      </w:r>
    </w:p>
    <w:p>
      <w:pPr>
        <w:pStyle w:val="BodyText"/>
        <w:spacing w:line="300" w:lineRule="auto" w:before="117"/>
        <w:ind w:left="113" w:right="11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日，公司子公司深圳长城世家商贸有限公司与深圳市世纪工艺品文化市场有限公司签署《深圳市房地产 </w:t>
      </w:r>
      <w:r>
        <w:rPr>
          <w:spacing w:val="-1"/>
        </w:rPr>
        <w:t>租赁合同书》及补充协议，向其租赁商铺及办公楼共计面积</w:t>
      </w:r>
      <w:r>
        <w:rPr>
          <w:rFonts w:ascii="Times New Roman" w:hAnsi="Times New Roman" w:cs="Times New Roman" w:eastAsia="Times New Roman" w:hint="default"/>
          <w:spacing w:val="-1"/>
        </w:rPr>
        <w:t>13,516</w:t>
      </w:r>
      <w:r>
        <w:rPr>
          <w:spacing w:val="-1"/>
        </w:rPr>
        <w:t>平方米，租赁期陆年，自</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w:t>
      </w:r>
      <w:r>
        <w:rPr>
          <w:spacing w:val="-65"/>
        </w:rPr>
        <w:t> </w:t>
      </w:r>
      <w:r>
        <w:rPr/>
        <w:t>止，年租金</w:t>
      </w:r>
      <w:r>
        <w:rPr>
          <w:rFonts w:ascii="Times New Roman" w:hAnsi="Times New Roman" w:cs="Times New Roman" w:eastAsia="Times New Roman" w:hint="default"/>
        </w:rPr>
        <w:t>5,676,720</w:t>
      </w:r>
      <w:r>
        <w:rPr/>
        <w:t>元。目前，相关合同正在正常执行中。</w:t>
      </w:r>
    </w:p>
    <w:p>
      <w:pPr>
        <w:pStyle w:val="BodyText"/>
        <w:spacing w:line="300" w:lineRule="auto" w:before="52"/>
        <w:ind w:left="113" w:right="92"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日，公司与陈虞深、陈得光、陈钦龙、蔡廷和、吴淡珠签订《厂房租用协议》，租赁后者位于潮州市枫</w:t>
      </w:r>
      <w:r>
        <w:rPr/>
        <w:t> </w:t>
      </w:r>
      <w:r>
        <w:rPr>
          <w:spacing w:val="-2"/>
        </w:rPr>
        <w:t>溪区蔡陇村蔡尾片厂房的房地产用以产品的大型展厅及新产品的研发中心。该租赁房地产的用地面积为</w:t>
      </w:r>
      <w:r>
        <w:rPr>
          <w:rFonts w:ascii="Times New Roman" w:hAnsi="Times New Roman" w:cs="Times New Roman" w:eastAsia="Times New Roman" w:hint="default"/>
          <w:spacing w:val="-2"/>
        </w:rPr>
        <w:t>16,773.37</w:t>
      </w:r>
      <w:r>
        <w:rPr>
          <w:spacing w:val="-2"/>
        </w:rPr>
        <w:t>平方米，建</w:t>
      </w:r>
      <w:r>
        <w:rPr>
          <w:spacing w:val="-54"/>
        </w:rPr>
        <w:t> </w:t>
      </w:r>
      <w:r>
        <w:rPr>
          <w:spacing w:val="-54"/>
        </w:rPr>
      </w:r>
      <w:r>
        <w:rPr/>
        <w:t>筑面积约为</w:t>
      </w:r>
      <w:r>
        <w:rPr>
          <w:rFonts w:ascii="Times New Roman" w:hAnsi="Times New Roman" w:cs="Times New Roman" w:eastAsia="Times New Roman" w:hint="default"/>
        </w:rPr>
        <w:t>26,800</w:t>
      </w:r>
      <w:r>
        <w:rPr/>
        <w:t>平方米，租金计算以用地面积数为依据，租赁期限为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租金为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1,127,170.46</w:t>
      </w:r>
      <w:r>
        <w:rPr/>
        <w:t>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1,239,887.51</w:t>
      </w:r>
      <w:r>
        <w:rPr/>
        <w:t>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1,363,876.26</w:t>
      </w:r>
      <w:r>
        <w:rPr/>
        <w:t>元</w:t>
      </w:r>
      <w:r>
        <w:rPr>
          <w:rFonts w:ascii="Times New Roman" w:hAnsi="Times New Roman" w:cs="Times New Roman" w:eastAsia="Times New Roman" w:hint="default"/>
        </w:rPr>
        <w:t>/</w:t>
      </w:r>
      <w:r>
        <w:rPr/>
        <w:t>年。目前，相关合同正在正常执行中。</w:t>
      </w:r>
    </w:p>
    <w:p>
      <w:pPr>
        <w:pStyle w:val="BodyText"/>
        <w:spacing w:line="240" w:lineRule="auto" w:before="52"/>
        <w:ind w:left="113" w:right="92"/>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13"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70"/>
        <w:gridCol w:w="870"/>
        <w:gridCol w:w="870"/>
        <w:gridCol w:w="870"/>
        <w:gridCol w:w="870"/>
        <w:gridCol w:w="869"/>
        <w:gridCol w:w="869"/>
        <w:gridCol w:w="869"/>
        <w:gridCol w:w="869"/>
        <w:gridCol w:w="869"/>
        <w:gridCol w:w="870"/>
      </w:tblGrid>
      <w:tr>
        <w:trPr>
          <w:trHeight w:val="1026"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0" w:right="68" w:hanging="272"/>
              <w:jc w:val="left"/>
              <w:rPr>
                <w:rFonts w:ascii="宋体" w:hAnsi="宋体" w:cs="宋体" w:eastAsia="宋体" w:hint="default"/>
                <w:sz w:val="18"/>
                <w:szCs w:val="18"/>
              </w:rPr>
            </w:pPr>
            <w:r>
              <w:rPr>
                <w:rFonts w:ascii="宋体" w:hAnsi="宋体" w:cs="宋体" w:eastAsia="宋体" w:hint="default"/>
                <w:sz w:val="18"/>
                <w:szCs w:val="18"/>
              </w:rPr>
              <w:t>出包方名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19"/>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0" w:right="68"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9" w:right="67"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8"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5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世纪工艺 品文化市 场有限公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15"/>
              <w:jc w:val="both"/>
              <w:rPr>
                <w:rFonts w:ascii="宋体" w:hAnsi="宋体" w:cs="宋体" w:eastAsia="宋体" w:hint="default"/>
                <w:sz w:val="18"/>
                <w:szCs w:val="18"/>
              </w:rPr>
            </w:pPr>
            <w:r>
              <w:rPr>
                <w:rFonts w:ascii="宋体" w:hAnsi="宋体" w:cs="宋体" w:eastAsia="宋体" w:hint="default"/>
                <w:sz w:val="18"/>
                <w:szCs w:val="18"/>
              </w:rPr>
              <w:t>深圳长城 世家商贸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商铺及办 公楼共计 面积 </w:t>
            </w:r>
            <w:r>
              <w:rPr>
                <w:rFonts w:ascii="Times New Roman" w:hAnsi="Times New Roman" w:cs="Times New Roman" w:eastAsia="Times New Roman" w:hint="default"/>
                <w:sz w:val="18"/>
                <w:szCs w:val="18"/>
              </w:rPr>
              <w:t>13,516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方米</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-567.67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2</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74" w:right="92"/>
        <w:jc w:val="left"/>
      </w:pPr>
      <w:r>
        <w:rPr/>
        <w:t>报告期内，公司无应披露的重大采购或销售合同。</w:t>
      </w:r>
    </w:p>
    <w:p>
      <w:pPr>
        <w:spacing w:after="0" w:line="240" w:lineRule="auto"/>
        <w:jc w:val="left"/>
        <w:sectPr>
          <w:footerReference w:type="default" r:id="rId17"/>
          <w:pgSz w:w="11910" w:h="16840"/>
          <w:pgMar w:footer="980" w:header="747"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92"/>
        <w:jc w:val="left"/>
        <w:rPr>
          <w:b w:val="0"/>
          <w:bCs w:val="0"/>
        </w:rPr>
      </w:pPr>
      <w:r>
        <w:rPr/>
        <w:t>五、承诺事项履行情况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、公司或持股</w:t>
      </w:r>
      <w:r>
        <w:rPr>
          <w:spacing w:val="-7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1"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945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公司各发起人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由于公司整体 变更股份公司 </w:t>
            </w:r>
            <w:r>
              <w:rPr>
                <w:rFonts w:ascii="宋体" w:hAnsi="宋体" w:cs="宋体" w:eastAsia="宋体" w:hint="default"/>
                <w:spacing w:val="-6"/>
                <w:sz w:val="18"/>
                <w:szCs w:val="18"/>
              </w:rPr>
              <w:t>时，相关法律对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整体变更股份 公司涉及的个 人所得税的缴 纳尚没有明确 </w:t>
            </w:r>
            <w:r>
              <w:rPr>
                <w:rFonts w:ascii="宋体" w:hAnsi="宋体" w:cs="宋体" w:eastAsia="宋体" w:hint="default"/>
                <w:spacing w:val="-6"/>
                <w:sz w:val="18"/>
                <w:szCs w:val="18"/>
              </w:rPr>
              <w:t>的规定，公司暂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未代本人扣缴 </w:t>
            </w:r>
            <w:r>
              <w:rPr>
                <w:rFonts w:ascii="宋体" w:hAnsi="宋体" w:cs="宋体" w:eastAsia="宋体" w:hint="default"/>
                <w:spacing w:val="-6"/>
                <w:sz w:val="18"/>
                <w:szCs w:val="18"/>
              </w:rPr>
              <w:t>相关税款。如果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今后国家有关 税务主管部门 就上述事项要 求本人补交税 款或承担法律 </w:t>
            </w:r>
            <w:r>
              <w:rPr>
                <w:rFonts w:ascii="宋体" w:hAnsi="宋体" w:cs="宋体" w:eastAsia="宋体" w:hint="default"/>
                <w:spacing w:val="-6"/>
                <w:sz w:val="18"/>
                <w:szCs w:val="18"/>
              </w:rPr>
              <w:t>责任，本人愿意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按照有关部门 的要求自行补 缴税款或承担 相应的法律责 </w:t>
            </w:r>
            <w:r>
              <w:rPr>
                <w:rFonts w:ascii="宋体" w:hAnsi="宋体" w:cs="宋体" w:eastAsia="宋体" w:hint="default"/>
                <w:spacing w:val="-6"/>
                <w:sz w:val="18"/>
                <w:szCs w:val="18"/>
              </w:rPr>
              <w:t>任。如有关部门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要求公司承担 </w:t>
            </w:r>
            <w:r>
              <w:rPr>
                <w:rFonts w:ascii="宋体" w:hAnsi="宋体" w:cs="宋体" w:eastAsia="宋体" w:hint="default"/>
                <w:spacing w:val="-6"/>
                <w:sz w:val="18"/>
                <w:szCs w:val="18"/>
              </w:rPr>
              <w:t>法律责任，本人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愿意按发起设 立股份公司时 的持股比例承 担相应法律责 任并对公司因 此受到的损失 给予补偿。</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各发起人严格 </w:t>
            </w:r>
            <w:r>
              <w:rPr>
                <w:rFonts w:ascii="宋体" w:hAnsi="宋体" w:cs="宋体" w:eastAsia="宋体" w:hint="default"/>
                <w:spacing w:val="-7"/>
                <w:sz w:val="18"/>
                <w:szCs w:val="18"/>
              </w:rPr>
              <w:t>信守承诺，未发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现违反承诺的 情况。</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6"/>
                <w:sz w:val="18"/>
                <w:szCs w:val="18"/>
              </w:rPr>
              <w:t>控股股东、实际</w:t>
            </w:r>
            <w:r>
              <w:rPr>
                <w:rFonts w:ascii="宋体" w:hAnsi="宋体" w:cs="宋体" w:eastAsia="宋体" w:hint="default"/>
                <w:sz w:val="18"/>
                <w:szCs w:val="18"/>
              </w:rPr>
              <w:t> 控制人蔡廷祥 及其配偶吴淡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both"/>
              <w:rPr>
                <w:rFonts w:ascii="宋体" w:hAnsi="宋体" w:cs="宋体" w:eastAsia="宋体" w:hint="default"/>
                <w:sz w:val="18"/>
                <w:szCs w:val="18"/>
              </w:rPr>
            </w:pPr>
            <w:r>
              <w:rPr>
                <w:rFonts w:ascii="宋体" w:hAnsi="宋体" w:cs="宋体" w:eastAsia="宋体" w:hint="default"/>
                <w:sz w:val="18"/>
                <w:szCs w:val="18"/>
              </w:rPr>
              <w:t>《避免和消除 同业竞争的承 </w:t>
            </w:r>
            <w:r>
              <w:rPr>
                <w:rFonts w:ascii="宋体" w:hAnsi="宋体" w:cs="宋体" w:eastAsia="宋体" w:hint="default"/>
                <w:spacing w:val="-13"/>
                <w:sz w:val="18"/>
                <w:szCs w:val="18"/>
              </w:rPr>
              <w:t>诺函》，具体内</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w:t>
            </w:r>
            <w:r>
              <w:rPr>
                <w:rFonts w:ascii="宋体" w:hAnsi="宋体" w:cs="宋体" w:eastAsia="宋体" w:hint="default"/>
                <w:spacing w:val="-7"/>
                <w:sz w:val="18"/>
                <w:szCs w:val="18"/>
              </w:rPr>
              <w:t>控股股东、实际</w:t>
            </w:r>
          </w:p>
        </w:tc>
      </w:tr>
    </w:tbl>
    <w:p>
      <w:pPr>
        <w:spacing w:after="0" w:line="300" w:lineRule="auto"/>
        <w:jc w:val="left"/>
        <w:rPr>
          <w:rFonts w:ascii="宋体" w:hAnsi="宋体" w:cs="宋体" w:eastAsia="宋体" w:hint="default"/>
          <w:sz w:val="18"/>
          <w:szCs w:val="18"/>
        </w:rPr>
        <w:sectPr>
          <w:footerReference w:type="default" r:id="rId18"/>
          <w:pgSz w:w="11910" w:h="16840"/>
          <w:pgMar w:footer="980" w:header="747" w:top="1060" w:bottom="1160" w:left="1020" w:right="102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珠</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容为：第一条</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控制人蔡廷祥</w:t>
            </w: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在本人作为广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及其配偶吴淡</w:t>
            </w: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东长城集团股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珠严格信守承</w:t>
            </w: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诺，未发现违反</w:t>
            </w: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控股股东或者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间或者持有广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东长城集团股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16"/>
              <w:jc w:val="left"/>
              <w:rPr>
                <w:rFonts w:ascii="宋体" w:hAnsi="宋体" w:cs="宋体" w:eastAsia="宋体" w:hint="default"/>
                <w:sz w:val="18"/>
                <w:szCs w:val="18"/>
              </w:rPr>
            </w:pPr>
            <w:r>
              <w:rPr>
                <w:rFonts w:ascii="宋体" w:hAnsi="宋体" w:cs="宋体" w:eastAsia="宋体" w:hint="default"/>
                <w:sz w:val="18"/>
                <w:szCs w:val="18"/>
              </w:rPr>
              <w:t>以上股份期间，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本人不在任何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地域以任何形</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式，从事法律、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法规和中国证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券监督管理委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员会规章所规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定的可能与广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东长城集团股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成同业竞争的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活动。本人今后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如果不再是广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东长城集团股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控股股东或实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际控制人，本人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自该控股或实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际控制关系解</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除之日起五年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内，仍必须信守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前款的承诺。第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二条  本人从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第三方获得的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商业机会如果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属于广东长城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集团股份有限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公司主营业务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范围之内的，则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本人将及时告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知广东长城集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团股份有限公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司，并尽可能地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协助广东长城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集团股份有限</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320.040009pt;margin-top:72.480003pt;width:87.6pt;height:686.55pt;mso-position-horizontal-relative:page;mso-position-vertical-relative:page;z-index:-730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7"/>
                    <w:ind w:left="0" w:right="0"/>
                    <w:jc w:val="left"/>
                  </w:pPr>
                  <w:r>
                    <w:rPr/>
                    <w:t>捏造、</w:t>
                  </w:r>
                </w:p>
              </w:txbxContent>
            </v:textbox>
            <w10:wrap type="none"/>
          </v:shape>
        </w:pict>
      </w: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公司取得该商</w:t>
            </w:r>
          </w:p>
        </w:tc>
        <w:tc>
          <w:tcPr>
            <w:tcW w:w="1277" w:type="dxa"/>
            <w:vMerge w:val="restart"/>
            <w:tcBorders>
              <w:top w:val="single" w:sz="4" w:space="0" w:color="000000"/>
              <w:left w:val="single" w:sz="4" w:space="0" w:color="000000"/>
              <w:right w:val="single" w:sz="4" w:space="0" w:color="000000"/>
            </w:tcBorders>
          </w:tcPr>
          <w:p>
            <w:pPr>
              <w:pStyle w:val="TableParagraph"/>
              <w:spacing w:line="13730" w:lineRule="exact"/>
              <w:ind w:left="-2" w:right="-5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5pt;height:686.55pt;mso-position-horizontal-relative:char;mso-position-vertical-relative:line" coordorigin="0,0" coordsize="1270,13731">
                  <v:group style="position:absolute;left:0;top:0;width:1270;height:13731" coordorigin="0,0" coordsize="1270,13731">
                    <v:shape style="position:absolute;left:0;top:0;width:1270;height:13731" coordorigin="0,0" coordsize="1270,13731" path="m0,13730l1270,13730,1270,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业机会。第三条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本人不以任何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方式从事任何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可能影响广东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长城集团股份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和发展的业务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或活动，包括：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6"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、利用现有的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8"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社会资源和客</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户资源阻碍或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者限制广东长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城集团股份有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限公司的独立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6"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发展；</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8"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散布不利于广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东长城集团股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消息，损害广东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长城集团股份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有限公司的商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6"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誉。</w:t>
            </w:r>
            <w:r>
              <w:rPr>
                <w:rFonts w:ascii="Times New Roman" w:hAnsi="Times New Roman" w:cs="Times New Roman" w:eastAsia="Times New Roman" w:hint="default"/>
                <w:sz w:val="18"/>
                <w:szCs w:val="18"/>
              </w:rPr>
              <w:t>3</w:t>
            </w:r>
            <w:r>
              <w:rPr>
                <w:rFonts w:ascii="宋体" w:hAnsi="宋体" w:cs="宋体" w:eastAsia="宋体" w:hint="default"/>
                <w:sz w:val="18"/>
                <w:szCs w:val="18"/>
              </w:rPr>
              <w:t>、利用对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8"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广东长城集团</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的控制地位施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加不良影响，造</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成广东长城集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团股份有限公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司高级管理人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员、研发人员、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技术人员等核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心人员的异常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6"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变动；</w:t>
            </w:r>
            <w:r>
              <w:rPr>
                <w:rFonts w:ascii="Times New Roman" w:hAnsi="Times New Roman" w:cs="Times New Roman" w:eastAsia="Times New Roman" w:hint="default"/>
                <w:sz w:val="18"/>
                <w:szCs w:val="18"/>
              </w:rPr>
              <w:t>4</w:t>
            </w:r>
            <w:r>
              <w:rPr>
                <w:rFonts w:ascii="宋体" w:hAnsi="宋体" w:cs="宋体" w:eastAsia="宋体" w:hint="default"/>
                <w:sz w:val="18"/>
                <w:szCs w:val="18"/>
              </w:rPr>
              <w:t>、从广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8"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东长城集团股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份有限公司招</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聘专业技术人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员，销售人员、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第四条  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将督促本人的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配偶、成年子女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及其配偶，子女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配偶的父母，本</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人的兄弟姐妹</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及其配偶、本人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配偶的兄弟姐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妹及其配偶，以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及本人投资的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企业，同受本承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58" w:hRule="exact"/>
        </w:trPr>
        <w:tc>
          <w:tcPr>
            <w:tcW w:w="319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诺函的约束。</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357" w:hRule="exact"/>
        </w:trPr>
        <w:tc>
          <w:tcPr>
            <w:tcW w:w="3194"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自公司首次公</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开发行的股票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在证券交易所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上市交易之日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起三十六个月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内，不转让或委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托他人管理本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人持有的公司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股份，也不由公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司回购本人所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持有的股份。在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公司实际控制 人为蔡廷祥及 其配偶吴淡珠， 同时作为公司 </w:t>
            </w:r>
            <w:r>
              <w:rPr>
                <w:rFonts w:ascii="宋体" w:hAnsi="宋体" w:cs="宋体" w:eastAsia="宋体" w:hint="default"/>
                <w:spacing w:val="-6"/>
                <w:sz w:val="18"/>
                <w:szCs w:val="18"/>
              </w:rPr>
              <w:t>董事、高管的蔡</w:t>
            </w:r>
            <w:r>
              <w:rPr>
                <w:rFonts w:ascii="宋体" w:hAnsi="宋体" w:cs="宋体" w:eastAsia="宋体" w:hint="default"/>
                <w:sz w:val="18"/>
                <w:szCs w:val="18"/>
              </w:rPr>
              <w:t> 廷祥、吴淡珠</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上述锁定期间 </w:t>
            </w:r>
            <w:r>
              <w:rPr>
                <w:rFonts w:ascii="宋体" w:hAnsi="宋体" w:cs="宋体" w:eastAsia="宋体" w:hint="default"/>
                <w:spacing w:val="-6"/>
                <w:sz w:val="18"/>
                <w:szCs w:val="18"/>
              </w:rPr>
              <w:t>届满后，在本人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任职期间，每年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转让的股份不 超过本人持有 股份总数的百 </w:t>
            </w:r>
            <w:r>
              <w:rPr>
                <w:rFonts w:ascii="宋体" w:hAnsi="宋体" w:cs="宋体" w:eastAsia="宋体" w:hint="default"/>
                <w:spacing w:val="-6"/>
                <w:sz w:val="18"/>
                <w:szCs w:val="18"/>
              </w:rPr>
              <w:t>分之二十五，且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在离职后半年 </w:t>
            </w:r>
            <w:r>
              <w:rPr>
                <w:rFonts w:ascii="宋体" w:hAnsi="宋体" w:cs="宋体" w:eastAsia="宋体" w:hint="default"/>
                <w:spacing w:val="-6"/>
                <w:sz w:val="18"/>
                <w:szCs w:val="18"/>
              </w:rPr>
              <w:t>内，不转让本人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w:t>
            </w:r>
            <w:r>
              <w:rPr>
                <w:rFonts w:ascii="宋体" w:hAnsi="宋体" w:cs="宋体" w:eastAsia="宋体" w:hint="default"/>
                <w:spacing w:val="-7"/>
                <w:sz w:val="18"/>
                <w:szCs w:val="18"/>
              </w:rPr>
              <w:t>控股股东、实际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控制人蔡廷祥 及其配偶吴淡 珠严格信守承 </w:t>
            </w:r>
            <w:r>
              <w:rPr>
                <w:rFonts w:ascii="宋体" w:hAnsi="宋体" w:cs="宋体" w:eastAsia="宋体" w:hint="default"/>
                <w:spacing w:val="-7"/>
                <w:sz w:val="18"/>
                <w:szCs w:val="18"/>
              </w:rPr>
              <w:t>诺，未发现违反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承诺的情况。</w:t>
            </w: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所持有的股份；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在申报离职六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个月后的十二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个月内通过证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券交易所挂牌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交易出售公司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股票的数量占</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本人所持有公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司股票总数的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比例不超过百</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分之五十。</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r>
        <w:trPr>
          <w:trHeight w:val="1922" w:hRule="exact"/>
        </w:trPr>
        <w:tc>
          <w:tcPr>
            <w:tcW w:w="3194"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公司股东陈素 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自公司首次公 开发行的股票 在证券交易所 上市交易之日 起三十六个月 </w:t>
            </w:r>
            <w:r>
              <w:rPr>
                <w:rFonts w:ascii="宋体" w:hAnsi="宋体" w:cs="宋体" w:eastAsia="宋体" w:hint="default"/>
                <w:spacing w:val="-6"/>
                <w:sz w:val="18"/>
                <w:szCs w:val="18"/>
              </w:rPr>
              <w:t>内，不转让或委</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股东陈素芳严 </w:t>
            </w:r>
            <w:r>
              <w:rPr>
                <w:rFonts w:ascii="宋体" w:hAnsi="宋体" w:cs="宋体" w:eastAsia="宋体" w:hint="default"/>
                <w:spacing w:val="-7"/>
                <w:sz w:val="18"/>
                <w:szCs w:val="18"/>
              </w:rPr>
              <w:t>格信守承诺，未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发现违反承诺</w:t>
            </w:r>
          </w:p>
        </w:tc>
      </w:tr>
    </w:tbl>
    <w:p>
      <w:pPr>
        <w:spacing w:after="0" w:line="312"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1610" w:hRule="exact"/>
        </w:trPr>
        <w:tc>
          <w:tcPr>
            <w:tcW w:w="3194"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托他人管理本 人持有的公司 </w:t>
            </w:r>
            <w:r>
              <w:rPr>
                <w:rFonts w:ascii="宋体" w:hAnsi="宋体" w:cs="宋体" w:eastAsia="宋体" w:hint="default"/>
                <w:spacing w:val="-6"/>
                <w:sz w:val="18"/>
                <w:szCs w:val="18"/>
              </w:rPr>
              <w:t>股份，也不由公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司回购本人所 持有的股份。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6018" w:hRule="exact"/>
        </w:trPr>
        <w:tc>
          <w:tcPr>
            <w:tcW w:w="3194"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公司董秘兼副 总经理任锋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在本人任职期 </w:t>
            </w:r>
            <w:r>
              <w:rPr>
                <w:rFonts w:ascii="宋体" w:hAnsi="宋体" w:cs="宋体" w:eastAsia="宋体" w:hint="default"/>
                <w:spacing w:val="-6"/>
                <w:sz w:val="18"/>
                <w:szCs w:val="18"/>
              </w:rPr>
              <w:t>间，每年转让的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股份不超过本 人持有股份总 数的百分之二 </w:t>
            </w:r>
            <w:r>
              <w:rPr>
                <w:rFonts w:ascii="宋体" w:hAnsi="宋体" w:cs="宋体" w:eastAsia="宋体" w:hint="default"/>
                <w:spacing w:val="-6"/>
                <w:sz w:val="18"/>
                <w:szCs w:val="18"/>
              </w:rPr>
              <w:t>十五，且在离职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后半年内，不转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让本人所持有 </w:t>
            </w:r>
            <w:r>
              <w:rPr>
                <w:rFonts w:ascii="宋体" w:hAnsi="宋体" w:cs="宋体" w:eastAsia="宋体" w:hint="default"/>
                <w:spacing w:val="-6"/>
                <w:sz w:val="18"/>
                <w:szCs w:val="18"/>
              </w:rPr>
              <w:t>的股份；在申报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离职六个月后 的十二个月内 通过证券交易 所挂牌交易出 售公司股票的 数量占本人所 持有公司股票 总数的比例不 超过百分之五 十。</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公司董秘兼副 总经理任锋严 </w:t>
            </w:r>
            <w:r>
              <w:rPr>
                <w:rFonts w:ascii="宋体" w:hAnsi="宋体" w:cs="宋体" w:eastAsia="宋体" w:hint="default"/>
                <w:spacing w:val="-7"/>
                <w:sz w:val="18"/>
                <w:szCs w:val="18"/>
              </w:rPr>
              <w:t>格信守承诺，未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发现违反承诺 的情况。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日，上述全体承诺人严格信守承诺，未出现违反上述承诺的</w:t>
            </w:r>
            <w:r>
              <w:rPr>
                <w:rFonts w:ascii="宋体" w:hAnsi="宋体" w:cs="宋体" w:eastAsia="宋体" w:hint="default"/>
                <w:sz w:val="18"/>
                <w:szCs w:val="18"/>
              </w:rPr>
              <w:t> 情况。</w:t>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5"/>
        <w:ind w:right="91"/>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4"/>
        </w:rPr>
        <w:t> </w:t>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950"/>
        <w:jc w:val="left"/>
      </w:pPr>
      <w:r>
        <w:rPr/>
        <w:t>不适用。 盈利预测相关披露索引</w:t>
      </w: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盈利预测披露日期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盈利预测披露媒体名称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盈利预测公告名称</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00"/>
        </w:sectPr>
      </w:pPr>
    </w:p>
    <w:p>
      <w:pPr>
        <w:spacing w:line="240" w:lineRule="auto" w:before="9"/>
        <w:rPr>
          <w:rFonts w:ascii="宋体" w:hAnsi="宋体" w:cs="宋体" w:eastAsia="宋体" w:hint="default"/>
          <w:sz w:val="23"/>
          <w:szCs w:val="23"/>
        </w:rPr>
      </w:pPr>
    </w:p>
    <w:p>
      <w:pPr>
        <w:pStyle w:val="Heading2"/>
        <w:spacing w:line="240" w:lineRule="auto"/>
        <w:ind w:right="92"/>
        <w:jc w:val="left"/>
        <w:rPr>
          <w:b w:val="0"/>
          <w:bCs w:val="0"/>
        </w:rPr>
      </w:pPr>
      <w:r>
        <w:rPr/>
        <w:t>六、聘任、解聘会计师事务所情况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2"/>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7"/>
        <w:gridCol w:w="5682"/>
      </w:tblGrid>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广东正中珠江会计师事务所有限公司</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杨文蔚，杨新春</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2"/>
        <w:jc w:val="left"/>
      </w:pPr>
      <w:r>
        <w:rPr/>
        <w:t>是否改聘会计师事务所</w:t>
      </w:r>
    </w:p>
    <w:p>
      <w:pPr>
        <w:pStyle w:val="BodyText"/>
        <w:spacing w:line="240" w:lineRule="auto" w:before="117"/>
        <w:ind w:right="92"/>
        <w:jc w:val="left"/>
      </w:pPr>
      <w:r>
        <w:rPr/>
        <w:t>□ 是 √ 否 </w:t>
      </w:r>
    </w:p>
    <w:p>
      <w:pPr>
        <w:spacing w:line="240" w:lineRule="auto" w:before="1"/>
        <w:rPr>
          <w:rFonts w:ascii="宋体" w:hAnsi="宋体" w:cs="宋体" w:eastAsia="宋体" w:hint="default"/>
          <w:sz w:val="25"/>
          <w:szCs w:val="25"/>
        </w:rPr>
      </w:pPr>
    </w:p>
    <w:p>
      <w:pPr>
        <w:pStyle w:val="Heading2"/>
        <w:spacing w:line="240" w:lineRule="auto" w:before="0"/>
        <w:ind w:right="92"/>
        <w:jc w:val="left"/>
        <w:rPr>
          <w:b w:val="0"/>
          <w:bCs w:val="0"/>
        </w:rPr>
      </w:pPr>
      <w:r>
        <w:rPr/>
        <w:t>七、上市公司及其董事、监事、高级管理人员、公司股东、实际控制人和收购人处罚及整改</w:t>
      </w:r>
      <w:r>
        <w:rPr>
          <w:spacing w:val="-119"/>
        </w:rPr>
        <w:t> </w:t>
      </w:r>
      <w:r>
        <w:rPr/>
        <w:t>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510"/>
        <w:jc w:val="left"/>
      </w:pPr>
      <w:r>
        <w:rPr/>
        <w:t>□ 适用 √ 不适用 上市公司及其子公司是否被列入环保部门公布的污染严重企业名单</w:t>
      </w:r>
    </w:p>
    <w:p>
      <w:pPr>
        <w:pStyle w:val="BodyText"/>
        <w:spacing w:line="357" w:lineRule="auto" w:before="29"/>
        <w:ind w:right="5590"/>
        <w:jc w:val="left"/>
      </w:pPr>
      <w:r>
        <w:rPr/>
        <w:t>□ 是 √ 否 上市公司及其子公司是否存在其他重大社会安全问题</w:t>
      </w:r>
    </w:p>
    <w:p>
      <w:pPr>
        <w:pStyle w:val="BodyText"/>
        <w:spacing w:line="360" w:lineRule="auto" w:before="28"/>
        <w:ind w:right="7750"/>
        <w:jc w:val="left"/>
      </w:pPr>
      <w:r>
        <w:rPr/>
        <w:t>□ 是 √ 否 报告期内是否被行政处罚</w:t>
      </w:r>
    </w:p>
    <w:p>
      <w:pPr>
        <w:pStyle w:val="BodyText"/>
        <w:spacing w:line="240" w:lineRule="auto" w:before="26"/>
        <w:ind w:right="92"/>
        <w:jc w:val="left"/>
      </w:pPr>
      <w:r>
        <w:rPr/>
        <w:t>□ 是 √ 否 </w:t>
      </w:r>
    </w:p>
    <w:p>
      <w:pPr>
        <w:spacing w:after="0" w:line="240" w:lineRule="auto"/>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1"/>
        <w:ind w:left="2926" w:right="92" w:firstLine="0"/>
        <w:jc w:val="left"/>
        <w:rPr>
          <w:rFonts w:ascii="宋体" w:hAnsi="宋体" w:cs="宋体" w:eastAsia="宋体" w:hint="default"/>
          <w:sz w:val="32"/>
          <w:szCs w:val="32"/>
        </w:rPr>
      </w:pPr>
      <w:r>
        <w:rPr>
          <w:rFonts w:ascii="宋体" w:hAnsi="宋体" w:cs="宋体" w:eastAsia="宋体" w:hint="default"/>
          <w:b/>
          <w:bCs/>
          <w:sz w:val="32"/>
          <w:szCs w:val="32"/>
        </w:rPr>
        <w:t>第六节</w:t>
      </w:r>
      <w:r>
        <w:rPr>
          <w:rFonts w:ascii="宋体" w:hAnsi="宋体" w:cs="宋体" w:eastAsia="宋体" w:hint="default"/>
          <w:b/>
          <w:bCs/>
          <w:spacing w:val="-2"/>
          <w:sz w:val="32"/>
          <w:szCs w:val="32"/>
        </w:rPr>
        <w:t> </w:t>
      </w:r>
      <w:r>
        <w:rPr>
          <w:rFonts w:ascii="宋体" w:hAnsi="宋体" w:cs="宋体" w:eastAsia="宋体" w:hint="default"/>
          <w:b/>
          <w:bCs/>
          <w:sz w:val="32"/>
          <w:szCs w:val="32"/>
        </w:rPr>
        <w:t>股份变动及股东情况</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2"/>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033"/>
        <w:gridCol w:w="844"/>
        <w:gridCol w:w="844"/>
        <w:gridCol w:w="845"/>
        <w:gridCol w:w="842"/>
        <w:gridCol w:w="844"/>
        <w:gridCol w:w="842"/>
        <w:gridCol w:w="844"/>
        <w:gridCol w:w="814"/>
        <w:gridCol w:w="814"/>
      </w:tblGrid>
      <w:tr>
        <w:trPr>
          <w:trHeight w:val="402" w:hRule="exact"/>
        </w:trPr>
        <w:tc>
          <w:tcPr>
            <w:tcW w:w="2033" w:type="dxa"/>
            <w:vMerge w:val="restart"/>
            <w:tcBorders>
              <w:top w:val="single" w:sz="4" w:space="0" w:color="000000"/>
              <w:left w:val="single" w:sz="4" w:space="0" w:color="000000"/>
              <w:right w:val="single" w:sz="4" w:space="0" w:color="000000"/>
            </w:tcBorders>
            <w:shd w:val="clear" w:color="auto" w:fill="D3D3D3"/>
          </w:tcPr>
          <w:p>
            <w:pPr/>
          </w:p>
        </w:tc>
        <w:tc>
          <w:tcPr>
            <w:tcW w:w="16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3"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6" w:right="55"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51,808,50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25,154,25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23,654,25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75,462,75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50.31%</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48,810,00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24,405,00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24,405,00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73,215,00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48.81%</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48,810,00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24,405,00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24,405,00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73,215,00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48.81%</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2,998,500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749,250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-750,750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2,247,750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48,191,50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48.19%</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24,845,75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26,345,75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74,537,25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49.69%</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48,191,50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48.19%</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24,845,75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1,500,000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26,345,75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74,537,25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49.69%</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92"/>
        <w:jc w:val="left"/>
      </w:pPr>
      <w:r>
        <w:rPr/>
        <w:t>股份变动的原因</w:t>
      </w:r>
    </w:p>
    <w:p>
      <w:pPr>
        <w:pStyle w:val="BodyText"/>
        <w:spacing w:line="240" w:lineRule="auto" w:before="117"/>
        <w:ind w:right="92"/>
        <w:jc w:val="left"/>
      </w:pPr>
      <w:r>
        <w:rPr>
          <w:rFonts w:ascii="Times New Roman" w:hAnsi="Times New Roman" w:cs="Times New Roman" w:eastAsia="Times New Roman" w:hint="default"/>
        </w:rPr>
        <w:t>1</w:t>
      </w:r>
      <w:r>
        <w:rPr/>
        <w:t>、离任监事李锐源先生持有的</w:t>
      </w:r>
      <w:r>
        <w:rPr>
          <w:rFonts w:ascii="Times New Roman" w:hAnsi="Times New Roman" w:cs="Times New Roman" w:eastAsia="Times New Roman" w:hint="default"/>
        </w:rPr>
        <w:t>1,500,000</w:t>
      </w:r>
      <w:r>
        <w:rPr/>
        <w:t>万股高管锁定股于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日解禁，成为无限售条件股；</w:t>
      </w:r>
    </w:p>
    <w:p>
      <w:pPr>
        <w:pStyle w:val="BodyText"/>
        <w:spacing w:line="240" w:lineRule="auto" w:before="63"/>
        <w:ind w:left="113" w:right="92"/>
        <w:jc w:val="left"/>
      </w:pPr>
      <w:r>
        <w:rPr>
          <w:rFonts w:ascii="Times New Roman" w:hAnsi="Times New Roman" w:cs="Times New Roman" w:eastAsia="Times New Roman" w:hint="default"/>
          <w:spacing w:val="-2"/>
        </w:rPr>
        <w:t>2</w:t>
      </w:r>
      <w:r>
        <w:rPr>
          <w:spacing w:val="-2"/>
        </w:rPr>
        <w:t>、根据公司于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日召开的</w:t>
      </w:r>
      <w:r>
        <w:rPr>
          <w:rFonts w:ascii="Times New Roman" w:hAnsi="Times New Roman" w:cs="Times New Roman" w:eastAsia="Times New Roman" w:hint="default"/>
          <w:spacing w:val="-2"/>
        </w:rPr>
        <w:t>2011</w:t>
      </w:r>
      <w:r>
        <w:rPr>
          <w:spacing w:val="-2"/>
        </w:rPr>
        <w:t>年年度股东大会审议通过的</w:t>
      </w:r>
      <w:r>
        <w:rPr>
          <w:rFonts w:ascii="Times New Roman" w:hAnsi="Times New Roman" w:cs="Times New Roman" w:eastAsia="Times New Roman" w:hint="default"/>
          <w:spacing w:val="-2"/>
        </w:rPr>
        <w:t>2011</w:t>
      </w:r>
      <w:r>
        <w:rPr>
          <w:spacing w:val="-2"/>
        </w:rPr>
        <w:t>年度利润分配方案，公司以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p>
    <w:p>
      <w:pPr>
        <w:pStyle w:val="BodyText"/>
        <w:spacing w:line="300" w:lineRule="auto" w:before="63"/>
        <w:ind w:left="113" w:right="101"/>
        <w:jc w:val="left"/>
      </w:pPr>
      <w:r>
        <w:rPr>
          <w:rFonts w:ascii="Times New Roman" w:hAnsi="Times New Roman" w:cs="Times New Roman" w:eastAsia="Times New Roman" w:hint="default"/>
        </w:rPr>
        <w:t>100,000,000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股，变更后公司总股本增加至</w:t>
      </w:r>
      <w:r>
        <w:rPr>
          <w:rFonts w:ascii="Times New Roman" w:hAnsi="Times New Roman" w:cs="Times New Roman" w:eastAsia="Times New Roman" w:hint="default"/>
        </w:rPr>
        <w:t>150,000,000</w:t>
      </w:r>
      <w:r>
        <w:rPr/>
        <w:t>股，本次权益分派股权 登记日为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日，除权除息日为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日，一切已办理完毕。</w:t>
      </w:r>
    </w:p>
    <w:p>
      <w:pPr>
        <w:spacing w:after="0" w:line="300" w:lineRule="auto"/>
        <w:jc w:val="left"/>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left="113" w:right="92"/>
        <w:jc w:val="left"/>
      </w:pPr>
      <w:r>
        <w:rPr/>
        <w:t>股份变动的批准情况</w:t>
      </w:r>
    </w:p>
    <w:p>
      <w:pPr>
        <w:pStyle w:val="BodyText"/>
        <w:spacing w:line="319" w:lineRule="auto" w:before="117"/>
        <w:ind w:left="113" w:right="9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rFonts w:ascii="Times New Roman" w:hAnsi="Times New Roman" w:cs="Times New Roman" w:eastAsia="Times New Roman" w:hint="default"/>
          <w:spacing w:val="-2"/>
        </w:rPr>
        <w:t>2011</w:t>
      </w:r>
      <w:r>
        <w:rPr>
          <w:spacing w:val="-2"/>
        </w:rPr>
        <w:t>年度利润分配方案经公司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日召开的第二届董事会第四次会议审议通过，并经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日召开的</w:t>
      </w:r>
      <w:r>
        <w:rPr>
          <w:rFonts w:ascii="Times New Roman" w:hAnsi="Times New Roman" w:cs="Times New Roman" w:eastAsia="Times New Roman" w:hint="default"/>
          <w:spacing w:val="-2"/>
        </w:rPr>
        <w:t>2011</w:t>
      </w:r>
      <w:r>
        <w:rPr>
          <w:spacing w:val="-2"/>
        </w:rPr>
        <w:t>年年</w:t>
      </w:r>
      <w:r>
        <w:rPr>
          <w:spacing w:val="-42"/>
        </w:rPr>
        <w:t> </w:t>
      </w:r>
      <w:r>
        <w:rPr/>
        <w:t>度股东大会审议通过后实施，本次权益分派股权登记日为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日，除权除息日为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360" w:lineRule="auto"/>
        <w:ind w:left="113" w:right="7931"/>
        <w:jc w:val="left"/>
      </w:pPr>
      <w:r>
        <w:rPr/>
        <w:t>日，一切已办理完毕。 股份变动的过户情况 不适用</w:t>
      </w:r>
    </w:p>
    <w:p>
      <w:pPr>
        <w:pStyle w:val="BodyText"/>
        <w:spacing w:line="240" w:lineRule="auto" w:before="26"/>
        <w:ind w:left="113" w:right="92"/>
        <w:jc w:val="left"/>
      </w:pPr>
      <w:r>
        <w:rPr/>
        <w:t>股份变动对最近一年和最近一期基本每股收益和稀释每股收益、归属于公司普通股股东的每股净资产等财务指标的影响</w:t>
      </w:r>
    </w:p>
    <w:p>
      <w:pPr>
        <w:pStyle w:val="BodyText"/>
        <w:spacing w:line="240" w:lineRule="auto" w:before="116"/>
        <w:ind w:left="113" w:right="92"/>
        <w:jc w:val="left"/>
      </w:pPr>
      <w:r>
        <w:rPr/>
        <w:t>√ 适用 □ 不适用</w:t>
      </w:r>
    </w:p>
    <w:p>
      <w:pPr>
        <w:pStyle w:val="BodyText"/>
        <w:spacing w:line="319" w:lineRule="auto" w:before="117"/>
        <w:ind w:right="92" w:firstLine="360"/>
        <w:jc w:val="left"/>
      </w:pPr>
      <w:r>
        <w:rPr>
          <w:rFonts w:ascii="Times New Roman" w:hAnsi="Times New Roman" w:cs="Times New Roman" w:eastAsia="Times New Roman" w:hint="default"/>
        </w:rPr>
        <w:t>“</w:t>
      </w:r>
      <w:r>
        <w:rPr/>
        <w:t>基本每股收益</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稀释每股收益</w:t>
      </w:r>
      <w:r>
        <w:rPr>
          <w:rFonts w:ascii="Times New Roman" w:hAnsi="Times New Roman" w:cs="Times New Roman" w:eastAsia="Times New Roman" w:hint="default"/>
        </w:rPr>
        <w:t>”</w:t>
      </w:r>
      <w:r>
        <w:rPr/>
        <w:t>，按照资本公积金每</w:t>
      </w:r>
      <w:r>
        <w:rPr>
          <w:rFonts w:ascii="Times New Roman" w:hAnsi="Times New Roman" w:cs="Times New Roman" w:eastAsia="Times New Roman" w:hint="default"/>
        </w:rPr>
        <w:t>10</w:t>
      </w:r>
      <w:r>
        <w:rPr>
          <w:rFonts w:ascii="Times New Roman" w:hAnsi="Times New Roman" w:cs="Times New Roman" w:eastAsia="Times New Roman" w:hint="default"/>
          <w:spacing w:val="40"/>
        </w:rPr>
        <w:t> </w:t>
      </w:r>
      <w:r>
        <w:rPr/>
        <w:t>股转增</w:t>
      </w:r>
      <w:r>
        <w:rPr>
          <w:rFonts w:ascii="Times New Roman" w:hAnsi="Times New Roman" w:cs="Times New Roman" w:eastAsia="Times New Roman" w:hint="default"/>
        </w:rPr>
        <w:t>5</w:t>
      </w:r>
      <w:r>
        <w:rPr/>
        <w:t>股后，以</w:t>
      </w:r>
      <w:r>
        <w:rPr>
          <w:rFonts w:ascii="Times New Roman" w:hAnsi="Times New Roman" w:cs="Times New Roman" w:eastAsia="Times New Roman" w:hint="default"/>
        </w:rPr>
        <w:t>150,000,000</w:t>
      </w:r>
      <w:r>
        <w:rPr/>
        <w:t>股为基数计算；</w:t>
      </w:r>
      <w:r>
        <w:rPr>
          <w:rFonts w:ascii="Times New Roman" w:hAnsi="Times New Roman" w:cs="Times New Roman" w:eastAsia="Times New Roman" w:hint="default"/>
        </w:rPr>
        <w:t>“</w:t>
      </w:r>
      <w:r>
        <w:rPr/>
        <w:t>归属于上市公</w:t>
      </w:r>
      <w:r>
        <w:rPr>
          <w:spacing w:val="1"/>
        </w:rPr>
        <w:t> </w:t>
      </w:r>
      <w:r>
        <w:rPr/>
        <w:t>司股东的每股净资产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每股经营活动产生的现金流量净额</w:t>
      </w:r>
      <w:r>
        <w:rPr>
          <w:rFonts w:ascii="Times New Roman" w:hAnsi="Times New Roman" w:cs="Times New Roman" w:eastAsia="Times New Roman" w:hint="default"/>
        </w:rPr>
        <w:t>”</w:t>
      </w:r>
      <w:r>
        <w:rPr/>
        <w:t>以对应的报告期期末公司实际股本数为基数计算。 公司认为必要或证券监管机构要求披露的其他内容</w:t>
      </w:r>
    </w:p>
    <w:p>
      <w:pPr>
        <w:pStyle w:val="BodyText"/>
        <w:spacing w:line="240" w:lineRule="auto" w:before="56"/>
        <w:ind w:right="92"/>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9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86"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19,125,000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57,375,000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61"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p>
        </w:tc>
      </w:tr>
      <w:tr>
        <w:trPr>
          <w:trHeight w:val="308"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日首次解除限</w:t>
            </w: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 锋 </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1,498,500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749,250</w:t>
            </w:r>
            <w:r>
              <w:rPr>
                <w:rFonts w:ascii="Times New Roman"/>
                <w:sz w:val="18"/>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2,247,750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售，以后每年按 照所持股份总数</w:t>
            </w:r>
          </w:p>
        </w:tc>
      </w:tr>
      <w:tr>
        <w:trPr>
          <w:trHeight w:val="316"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w:t>
            </w:r>
          </w:p>
        </w:tc>
      </w:tr>
      <w:tr>
        <w:trPr>
          <w:trHeight w:val="353"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李锐源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51,808,500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25,154,250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75,462,750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ind w:right="0"/>
        <w:jc w:val="both"/>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113" w:right="110"/>
        <w:jc w:val="both"/>
      </w:pPr>
      <w:r>
        <w:rPr>
          <w:spacing w:val="-2"/>
        </w:rPr>
        <w:t>根据公司</w:t>
      </w:r>
      <w:r>
        <w:rPr>
          <w:rFonts w:ascii="Times New Roman" w:hAnsi="Times New Roman" w:cs="Times New Roman" w:eastAsia="Times New Roman" w:hint="default"/>
          <w:spacing w:val="-2"/>
        </w:rPr>
        <w:t>2011</w:t>
      </w:r>
      <w:r>
        <w:rPr>
          <w:spacing w:val="-2"/>
        </w:rPr>
        <w:t>年年度股东大会审议通过的</w:t>
      </w:r>
      <w:r>
        <w:rPr>
          <w:rFonts w:ascii="Times New Roman" w:hAnsi="Times New Roman" w:cs="Times New Roman" w:eastAsia="Times New Roman" w:hint="default"/>
          <w:spacing w:val="-2"/>
        </w:rPr>
        <w:t>2011</w:t>
      </w:r>
      <w:r>
        <w:rPr>
          <w:spacing w:val="-2"/>
        </w:rPr>
        <w:t>年度利润分配方案：以公司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100,000,000</w:t>
      </w:r>
      <w:r>
        <w:rPr>
          <w:spacing w:val="-2"/>
        </w:rPr>
        <w:t>股为基数，向全</w:t>
      </w:r>
      <w:r>
        <w:rPr>
          <w:spacing w:val="-36"/>
        </w:rPr>
        <w:t> </w:t>
      </w:r>
      <w:r>
        <w:rPr>
          <w:spacing w:val="-36"/>
        </w:rPr>
      </w:r>
      <w:r>
        <w:rPr>
          <w:spacing w:val="-1"/>
        </w:rPr>
        <w:t>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1.2</w:t>
      </w:r>
      <w:r>
        <w:rPr>
          <w:spacing w:val="-1"/>
        </w:rPr>
        <w:t>元人民币现金（含税）；同时，以资本公积金向全体股东每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股。报告期内，公司实施了</w:t>
      </w:r>
      <w:r>
        <w:rPr>
          <w:rFonts w:ascii="Times New Roman" w:hAnsi="Times New Roman" w:cs="Times New Roman" w:eastAsia="Times New Roman" w:hint="default"/>
          <w:spacing w:val="-1"/>
        </w:rPr>
        <w:t>2011</w:t>
      </w:r>
      <w:r>
        <w:rPr>
          <w:spacing w:val="-1"/>
        </w:rPr>
        <w:t>年</w:t>
      </w:r>
      <w:r>
        <w:rPr>
          <w:spacing w:val="-68"/>
        </w:rPr>
        <w:t> </w:t>
      </w:r>
      <w:r>
        <w:rPr/>
        <w:t>度利润分配方案，公司总股本由</w:t>
      </w:r>
      <w:r>
        <w:rPr>
          <w:rFonts w:ascii="Times New Roman" w:hAnsi="Times New Roman" w:cs="Times New Roman" w:eastAsia="Times New Roman" w:hint="default"/>
        </w:rPr>
        <w:t>100,000,000</w:t>
      </w:r>
      <w:r>
        <w:rPr/>
        <w:t>股增加至</w:t>
      </w:r>
      <w:r>
        <w:rPr>
          <w:rFonts w:ascii="Times New Roman" w:hAnsi="Times New Roman" w:cs="Times New Roman" w:eastAsia="Times New Roman" w:hint="default"/>
        </w:rPr>
        <w:t>150,000,000</w:t>
      </w:r>
      <w:r>
        <w:rPr/>
        <w:t>股。</w:t>
      </w:r>
    </w:p>
    <w:p>
      <w:pPr>
        <w:spacing w:after="0" w:line="300" w:lineRule="auto"/>
        <w:jc w:val="both"/>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Heading2"/>
        <w:spacing w:line="240" w:lineRule="auto"/>
        <w:ind w:right="92"/>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2"/>
        <w:gridCol w:w="1368"/>
        <w:gridCol w:w="1368"/>
        <w:gridCol w:w="1368"/>
        <w:gridCol w:w="1368"/>
        <w:gridCol w:w="1368"/>
        <w:gridCol w:w="1368"/>
      </w:tblGrid>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11,031</w:t>
            </w:r>
            <w:r>
              <w:rPr>
                <w:rFonts w:ascii="Times New Roman"/>
                <w:sz w:val="18"/>
              </w:rPr>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10,384</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29"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56,790,000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7,920,000</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both"/>
              <w:rPr>
                <w:rFonts w:ascii="宋体" w:hAnsi="宋体" w:cs="宋体" w:eastAsia="宋体" w:hint="default"/>
                <w:sz w:val="18"/>
                <w:szCs w:val="18"/>
              </w:rPr>
            </w:pPr>
            <w:r>
              <w:rPr>
                <w:rFonts w:ascii="宋体" w:hAnsi="宋体" w:cs="宋体" w:eastAsia="宋体" w:hint="default"/>
                <w:sz w:val="18"/>
                <w:szCs w:val="18"/>
              </w:rPr>
              <w:t>深圳市深港产学 研创业投资有限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1"/>
                <w:szCs w:val="11"/>
              </w:rPr>
            </w:pPr>
            <w:r>
              <w:rPr>
                <w:rFonts w:ascii="Times New Roman"/>
                <w:sz w:val="18"/>
              </w:rPr>
              <w:t>5,400,000</w:t>
            </w:r>
            <w:r>
              <w:rPr>
                <w:rFonts w:ascii="Times New Roman"/>
                <w:color w:val="FF0000"/>
                <w:position w:val="6"/>
                <w:sz w:val="11"/>
              </w:rPr>
              <w:t>1</w:t>
            </w:r>
            <w:r>
              <w:rPr>
                <w:rFonts w:ascii="Times New Roman"/>
                <w:sz w:val="1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both"/>
              <w:rPr>
                <w:rFonts w:ascii="宋体" w:hAnsi="宋体" w:cs="宋体" w:eastAsia="宋体" w:hint="default"/>
                <w:sz w:val="18"/>
                <w:szCs w:val="18"/>
              </w:rPr>
            </w:pPr>
            <w:r>
              <w:rPr>
                <w:rFonts w:ascii="宋体" w:hAnsi="宋体" w:cs="宋体" w:eastAsia="宋体" w:hint="default"/>
                <w:sz w:val="18"/>
                <w:szCs w:val="18"/>
              </w:rPr>
              <w:t>海通证券股份有 限公司客户信用 交易担保证券账 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1,562,350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深圳市东方明珠</w:t>
            </w:r>
          </w:p>
          <w:p>
            <w:pPr>
              <w:pStyle w:val="TableParagraph"/>
              <w:spacing w:line="316" w:lineRule="auto" w:before="76"/>
              <w:ind w:left="22" w:right="67"/>
              <w:jc w:val="left"/>
              <w:rPr>
                <w:rFonts w:ascii="宋体" w:hAnsi="宋体" w:cs="宋体" w:eastAsia="宋体" w:hint="default"/>
                <w:sz w:val="18"/>
                <w:szCs w:val="18"/>
              </w:rPr>
            </w:pPr>
            <w:r>
              <w:rPr>
                <w:rFonts w:ascii="宋体" w:hAnsi="宋体" w:cs="宋体" w:eastAsia="宋体" w:hint="default"/>
                <w:sz w:val="18"/>
                <w:szCs w:val="18"/>
              </w:rPr>
              <w:t>（集团）股份有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both"/>
              <w:rPr>
                <w:rFonts w:ascii="宋体" w:hAnsi="宋体" w:cs="宋体" w:eastAsia="宋体" w:hint="default"/>
                <w:sz w:val="18"/>
                <w:szCs w:val="18"/>
              </w:rPr>
            </w:pPr>
            <w:r>
              <w:rPr>
                <w:rFonts w:ascii="宋体" w:hAnsi="宋体" w:cs="宋体" w:eastAsia="宋体" w:hint="default"/>
                <w:sz w:val="18"/>
                <w:szCs w:val="18"/>
              </w:rPr>
              <w:t>中国银行－华夏 策略精选灵活配 置混合型证券投 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1,130,669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李锐源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5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0" w:type="dxa"/>
            <w:gridSpan w:val="2"/>
            <w:vMerge/>
            <w:tcBorders>
              <w:left w:val="single" w:sz="4" w:space="0" w:color="000000"/>
              <w:bottom w:val="single" w:sz="4" w:space="0" w:color="000000"/>
              <w:right w:val="single" w:sz="4" w:space="0" w:color="000000"/>
            </w:tcBorders>
            <w:shd w:val="clear" w:color="auto" w:fill="D3D3D3"/>
          </w:tcPr>
          <w:p>
            <w:pPr/>
          </w:p>
        </w:tc>
        <w:tc>
          <w:tcPr>
            <w:tcW w:w="4104" w:type="dxa"/>
            <w:gridSpan w:val="3"/>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 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1,947,000</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海通证券股份有限公司客户信用 交易担保证券账户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1,562,350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1,562,350</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2"/>
                <w:sz w:val="18"/>
                <w:szCs w:val="18"/>
              </w:rPr>
              <w:t>深圳市东方明珠（集团）股份有限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44"/>
        <w:ind w:left="0" w:right="116"/>
        <w:jc w:val="right"/>
      </w:pPr>
      <w:r>
        <w:rPr/>
        <w:pict>
          <v:shape style="position:absolute;margin-left:56.459999pt;margin-top:-136.987991pt;width:479.25pt;height:188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0"/>
                    <w:gridCol w:w="4104"/>
                    <w:gridCol w:w="1368"/>
                    <w:gridCol w:w="1368"/>
                  </w:tblGrid>
                  <w:tr>
                    <w:trPr>
                      <w:trHeight w:val="71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中国银行－华夏策略精选灵活配 置混合型证券投资基金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1,130,669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1,130,669</w:t>
                        </w:r>
                      </w:p>
                    </w:tc>
                  </w:tr>
                  <w:tr>
                    <w:trPr>
                      <w:trHeight w:val="402"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李锐源</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1,125,000</w:t>
                        </w:r>
                      </w:p>
                    </w:tc>
                  </w:tr>
                  <w:tr>
                    <w:trPr>
                      <w:trHeight w:val="402"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林兆东</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849,000</w:t>
                        </w:r>
                      </w:p>
                    </w:tc>
                  </w:tr>
                  <w:tr>
                    <w:trPr>
                      <w:trHeight w:val="402"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李敏</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749,250</w:t>
                        </w:r>
                      </w:p>
                    </w:tc>
                  </w:tr>
                  <w:tr>
                    <w:trPr>
                      <w:trHeight w:val="402"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712,500</w:t>
                        </w:r>
                      </w:p>
                    </w:tc>
                  </w:tr>
                  <w:tr>
                    <w:trPr>
                      <w:trHeight w:val="1026" w:hRule="exact"/>
                    </w:trPr>
                    <w:tc>
                      <w:tcPr>
                        <w:tcW w:w="2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公司股东蔡廷祥和股东吴淡珠为夫妻关系；蔡廷祥与陈素芳是舅甥亲属关系。除此以外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公司未知其他股东间是否存在关联关系，也未知其是否属于上市公司持股变动信息披露</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管理办法中规定的一致行动人。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right="0"/>
        <w:jc w:val="left"/>
      </w:pPr>
      <w:r>
        <w:rPr>
          <w:spacing w:val="-14"/>
        </w:rPr>
        <w:t>注：</w:t>
      </w:r>
      <w:r>
        <w:rPr>
          <w:rFonts w:ascii="Times New Roman" w:hAnsi="Times New Roman" w:cs="Times New Roman" w:eastAsia="Times New Roman" w:hint="default"/>
          <w:spacing w:val="-14"/>
        </w:rPr>
        <w:t>1  </w:t>
      </w:r>
      <w:r>
        <w:rPr>
          <w:rFonts w:ascii="Times New Roman" w:hAnsi="Times New Roman" w:cs="Times New Roman" w:eastAsia="Times New Roman" w:hint="default"/>
          <w:spacing w:val="-9"/>
        </w:rPr>
        <w:t> </w:t>
      </w:r>
      <w:r>
        <w:rPr/>
        <w:t>深圳市深港产学研创业投资有限公司通过普通股票账户持有公司股票</w:t>
      </w:r>
      <w:r>
        <w:rPr>
          <w:spacing w:val="-42"/>
        </w:rPr>
        <w:t> </w:t>
      </w:r>
      <w:r>
        <w:rPr>
          <w:rFonts w:ascii="Times New Roman" w:hAnsi="Times New Roman" w:cs="Times New Roman" w:eastAsia="Times New Roman" w:hint="default"/>
        </w:rPr>
        <w:t>398</w:t>
      </w:r>
      <w:r>
        <w:rPr>
          <w:rFonts w:ascii="Times New Roman" w:hAnsi="Times New Roman" w:cs="Times New Roman" w:eastAsia="Times New Roman" w:hint="default"/>
          <w:spacing w:val="4"/>
        </w:rPr>
        <w:t> </w:t>
      </w:r>
      <w:r>
        <w:rPr>
          <w:spacing w:val="-3"/>
        </w:rPr>
        <w:t>万股，通过融资融券股票账户持有公司股票</w:t>
      </w:r>
    </w:p>
    <w:p>
      <w:pPr>
        <w:pStyle w:val="BodyText"/>
        <w:spacing w:line="240" w:lineRule="auto" w:before="63"/>
        <w:ind w:left="113" w:right="92"/>
        <w:jc w:val="left"/>
      </w:pPr>
      <w:r>
        <w:rPr>
          <w:rFonts w:ascii="Times New Roman" w:hAnsi="Times New Roman" w:cs="Times New Roman" w:eastAsia="Times New Roman" w:hint="default"/>
        </w:rPr>
        <w:t>142 </w:t>
      </w:r>
      <w:r>
        <w:rPr/>
        <w:t>万股，合计</w:t>
      </w:r>
      <w:r>
        <w:rPr>
          <w:spacing w:val="-46"/>
        </w:rPr>
        <w:t> </w:t>
      </w:r>
      <w:r>
        <w:rPr>
          <w:rFonts w:ascii="Times New Roman" w:hAnsi="Times New Roman" w:cs="Times New Roman" w:eastAsia="Times New Roman" w:hint="default"/>
        </w:rPr>
        <w:t>540 </w:t>
      </w:r>
      <w:r>
        <w:rPr/>
        <w:t>万股。</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 w:right="2786"/>
        <w:jc w:val="left"/>
      </w:pPr>
      <w:r>
        <w:rPr/>
        <w:t>公司的控股股东为自然人蔡廷祥，持有公司股份</w:t>
      </w:r>
      <w:r>
        <w:rPr>
          <w:rFonts w:ascii="Times New Roman" w:hAnsi="Times New Roman" w:cs="Times New Roman" w:eastAsia="Times New Roman" w:hint="default"/>
        </w:rPr>
        <w:t>57,375,000</w:t>
      </w:r>
      <w:r>
        <w:rPr/>
        <w:t>股，占公司总股本的</w:t>
      </w:r>
      <w:r>
        <w:rPr>
          <w:rFonts w:ascii="Times New Roman" w:hAnsi="Times New Roman" w:cs="Times New Roman" w:eastAsia="Times New Roman" w:hint="default"/>
        </w:rPr>
        <w:t>38.25%</w:t>
      </w:r>
      <w:r>
        <w:rPr/>
        <w:t>。 蔡廷祥的基本情况详见本报告第七节</w:t>
      </w:r>
      <w:r>
        <w:rPr>
          <w:rFonts w:ascii="Times New Roman" w:hAnsi="Times New Roman" w:cs="Times New Roman" w:eastAsia="Times New Roman" w:hint="default"/>
        </w:rPr>
        <w:t>“</w:t>
      </w:r>
      <w:r>
        <w:rPr/>
        <w:t>董事、监事、高级管理人员和员工情况</w:t>
      </w:r>
      <w:r>
        <w:rPr>
          <w:rFonts w:ascii="Times New Roman" w:hAnsi="Times New Roman" w:cs="Times New Roman" w:eastAsia="Times New Roman" w:hint="default"/>
        </w:rPr>
        <w:t>”</w:t>
      </w:r>
      <w:r>
        <w:rPr/>
        <w:t>。 报告期内，本公司控股股东未发生变化。</w:t>
      </w:r>
    </w:p>
    <w:p>
      <w:pPr>
        <w:spacing w:line="240" w:lineRule="auto" w:before="6"/>
        <w:rPr>
          <w:rFonts w:ascii="宋体" w:hAnsi="宋体" w:cs="宋体" w:eastAsia="宋体" w:hint="default"/>
          <w:sz w:val="23"/>
          <w:szCs w:val="23"/>
        </w:rPr>
      </w:pPr>
    </w:p>
    <w:p>
      <w:pPr>
        <w:pStyle w:val="Heading3"/>
        <w:spacing w:line="240" w:lineRule="auto"/>
        <w:ind w:right="92"/>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 w:right="1706"/>
        <w:jc w:val="left"/>
      </w:pPr>
      <w:r>
        <w:rPr/>
        <w:t>蔡廷祥及其配偶吴淡珠为公司实际控制人，共同持有公司股份</w:t>
      </w:r>
      <w:r>
        <w:rPr>
          <w:rFonts w:ascii="Times New Roman" w:hAnsi="Times New Roman" w:cs="Times New Roman" w:eastAsia="Times New Roman" w:hint="default"/>
        </w:rPr>
        <w:t>65,295,000</w:t>
      </w:r>
      <w:r>
        <w:rPr/>
        <w:t>股，占公司总股本的</w:t>
      </w:r>
      <w:r>
        <w:rPr>
          <w:rFonts w:ascii="Times New Roman" w:hAnsi="Times New Roman" w:cs="Times New Roman" w:eastAsia="Times New Roman" w:hint="default"/>
        </w:rPr>
        <w:t>43.53%</w:t>
      </w:r>
      <w:r>
        <w:rPr/>
        <w:t>。 蔡廷祥及其配偶吴淡珠的基本情况详见本报告第七节</w:t>
      </w:r>
      <w:r>
        <w:rPr>
          <w:rFonts w:ascii="Times New Roman" w:hAnsi="Times New Roman" w:cs="Times New Roman" w:eastAsia="Times New Roman" w:hint="default"/>
        </w:rPr>
        <w:t>“</w:t>
      </w:r>
      <w:r>
        <w:rPr/>
        <w:t>董事、监事、高级管理人员和员工情况</w:t>
      </w:r>
      <w:r>
        <w:rPr>
          <w:rFonts w:ascii="Times New Roman" w:hAnsi="Times New Roman" w:cs="Times New Roman" w:eastAsia="Times New Roman" w:hint="default"/>
        </w:rPr>
        <w:t>”</w:t>
      </w:r>
      <w:r>
        <w:rPr/>
        <w:t>。 报告期内，本公司实际控制人未发生变化。</w:t>
      </w:r>
    </w:p>
    <w:p>
      <w:pPr>
        <w:pStyle w:val="BodyText"/>
        <w:spacing w:line="240" w:lineRule="auto" w:before="71"/>
        <w:ind w:left="113" w:right="92"/>
        <w:jc w:val="left"/>
      </w:pPr>
      <w:r>
        <w:rPr/>
        <w:t>公司与实际控制人之间的产权及控制关系的方框图</w:t>
      </w:r>
    </w:p>
    <w:p>
      <w:pPr>
        <w:spacing w:line="240" w:lineRule="auto" w:before="4"/>
        <w:rPr>
          <w:rFonts w:ascii="宋体" w:hAnsi="宋体" w:cs="宋体" w:eastAsia="宋体" w:hint="default"/>
          <w:sz w:val="23"/>
          <w:szCs w:val="23"/>
        </w:rPr>
      </w:pPr>
    </w:p>
    <w:p>
      <w:pPr>
        <w:spacing w:line="3045" w:lineRule="exact"/>
        <w:ind w:left="2847"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2648190" cy="1933575"/>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20" cstate="print"/>
                    <a:stretch>
                      <a:fillRect/>
                    </a:stretch>
                  </pic:blipFill>
                  <pic:spPr>
                    <a:xfrm>
                      <a:off x="0" y="0"/>
                      <a:ext cx="2648190" cy="1933575"/>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3"/>
        <w:rPr>
          <w:rFonts w:ascii="宋体" w:hAnsi="宋体" w:cs="宋体" w:eastAsia="宋体" w:hint="default"/>
          <w:sz w:val="15"/>
          <w:szCs w:val="15"/>
        </w:rPr>
      </w:pPr>
    </w:p>
    <w:p>
      <w:pPr>
        <w:spacing w:before="0"/>
        <w:ind w:left="114" w:right="92"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92"/>
        <w:jc w:val="left"/>
      </w:pPr>
      <w:r>
        <w:rPr/>
        <w:t>□ 适用 √ 不适用</w:t>
      </w:r>
    </w:p>
    <w:p>
      <w:pPr>
        <w:spacing w:after="0" w:line="240" w:lineRule="auto"/>
        <w:jc w:val="left"/>
        <w:sectPr>
          <w:footerReference w:type="default" r:id="rId19"/>
          <w:pgSz w:w="11910" w:h="16840"/>
          <w:pgMar w:footer="980" w:header="747"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4</w:t>
      </w:r>
      <w:r>
        <w:rPr/>
        <w:t>、其他持股在</w:t>
      </w:r>
      <w:r>
        <w:rPr>
          <w:spacing w:val="-61"/>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183"/>
        <w:gridCol w:w="1093"/>
        <w:gridCol w:w="888"/>
        <w:gridCol w:w="1800"/>
        <w:gridCol w:w="1801"/>
        <w:gridCol w:w="1802"/>
      </w:tblGrid>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89" w:right="66"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16" w:right="84"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bl>
    <w:p>
      <w:pPr>
        <w:spacing w:line="240" w:lineRule="auto" w:before="2"/>
        <w:rPr>
          <w:rFonts w:ascii="宋体" w:hAnsi="宋体" w:cs="宋体" w:eastAsia="宋体" w:hint="default"/>
          <w:b/>
          <w:bCs/>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5</w:t>
      </w:r>
      <w:r>
        <w:rPr/>
        <w:t>、前</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01" w:right="50" w:hanging="450"/>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91" w:right="49" w:hanging="539"/>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 锋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bl>
    <w:p>
      <w:pPr>
        <w:spacing w:after="0" w:line="240" w:lineRule="auto"/>
        <w:jc w:val="left"/>
        <w:rPr>
          <w:rFonts w:ascii="宋体" w:hAnsi="宋体" w:cs="宋体" w:eastAsia="宋体" w:hint="default"/>
          <w:sz w:val="18"/>
          <w:szCs w:val="18"/>
        </w:rPr>
        <w:sectPr>
          <w:footerReference w:type="default" r:id="rId21"/>
          <w:pgSz w:w="11910" w:h="16840"/>
          <w:pgMar w:footer="980" w:header="747" w:top="1060" w:bottom="1160" w:left="1020" w:right="1020"/>
          <w:pgNumType w:start="4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1"/>
        <w:ind w:left="1642" w:right="92" w:firstLine="0"/>
        <w:jc w:val="left"/>
        <w:rPr>
          <w:rFonts w:ascii="宋体" w:hAnsi="宋体" w:cs="宋体" w:eastAsia="宋体" w:hint="default"/>
          <w:sz w:val="32"/>
          <w:szCs w:val="32"/>
        </w:rPr>
      </w:pPr>
      <w:r>
        <w:rPr>
          <w:rFonts w:ascii="宋体" w:hAnsi="宋体" w:cs="宋体" w:eastAsia="宋体" w:hint="default"/>
          <w:b/>
          <w:bCs/>
          <w:sz w:val="32"/>
          <w:szCs w:val="32"/>
        </w:rPr>
        <w:t>第七节</w:t>
      </w:r>
      <w:r>
        <w:rPr>
          <w:rFonts w:ascii="宋体" w:hAnsi="宋体" w:cs="宋体" w:eastAsia="宋体" w:hint="default"/>
          <w:b/>
          <w:bCs/>
          <w:spacing w:val="-1"/>
          <w:sz w:val="32"/>
          <w:szCs w:val="32"/>
        </w:rPr>
        <w:t> </w:t>
      </w:r>
      <w:r>
        <w:rPr>
          <w:rFonts w:ascii="宋体" w:hAnsi="宋体" w:cs="宋体" w:eastAsia="宋体" w:hint="default"/>
          <w:b/>
          <w:bCs/>
          <w:sz w:val="32"/>
          <w:szCs w:val="32"/>
        </w:rPr>
        <w:t>董事、监事、高级管理人员和员工情况</w:t>
      </w:r>
      <w:r>
        <w:rPr>
          <w:rFonts w:ascii="宋体" w:hAnsi="宋体" w:cs="宋体" w:eastAsia="宋体" w:hint="default"/>
          <w:sz w:val="32"/>
          <w:szCs w:val="32"/>
        </w:rPr>
      </w:r>
    </w:p>
    <w:p>
      <w:pPr>
        <w:spacing w:line="240" w:lineRule="auto" w:before="11"/>
        <w:rPr>
          <w:rFonts w:ascii="宋体" w:hAnsi="宋体" w:cs="宋体" w:eastAsia="宋体" w:hint="default"/>
          <w:b/>
          <w:bCs/>
          <w:sz w:val="38"/>
          <w:szCs w:val="38"/>
        </w:rPr>
      </w:pPr>
    </w:p>
    <w:p>
      <w:pPr>
        <w:pStyle w:val="Heading2"/>
        <w:spacing w:line="240" w:lineRule="auto" w:before="0"/>
        <w:ind w:right="92"/>
        <w:jc w:val="left"/>
        <w:rPr>
          <w:b w:val="0"/>
          <w:bCs w:val="0"/>
        </w:rPr>
      </w:pPr>
      <w:r>
        <w:rPr/>
        <w:pict>
          <v:shape style="position:absolute;margin-left:408.480011pt;margin-top:33.035938pt;width:57.9pt;height:97.7pt;mso-position-horizontal-relative:page;mso-position-vertical-relative:paragraph;z-index:-73024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0"/>
                    <w:ind w:left="0" w:right="0"/>
                    <w:jc w:val="left"/>
                  </w:pPr>
                  <w:r>
                    <w:rPr/>
                    <w:t>（股）</w:t>
                  </w:r>
                </w:p>
              </w:txbxContent>
            </v:textbox>
            <w10:wrap type="none"/>
          </v:shape>
        </w:pict>
      </w:r>
      <w:r>
        <w:rPr/>
        <w:pict>
          <v:shape style="position:absolute;margin-left:494.88031pt;margin-top:33.035938pt;width:39.85pt;height:97.7pt;mso-position-horizontal-relative:page;mso-position-vertical-relative:paragraph;z-index:-73021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0"/>
                    <w:ind w:left="0" w:right="0"/>
                    <w:jc w:val="left"/>
                  </w:pPr>
                  <w:r>
                    <w:rPr/>
                    <w:t>）</w:t>
                  </w:r>
                </w:p>
              </w:txbxContent>
            </v:textbox>
            <w10:wrap type="none"/>
          </v:shape>
        </w:pict>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684"/>
        <w:gridCol w:w="682"/>
        <w:gridCol w:w="683"/>
        <w:gridCol w:w="683"/>
        <w:gridCol w:w="683"/>
        <w:gridCol w:w="684"/>
        <w:gridCol w:w="684"/>
        <w:gridCol w:w="683"/>
        <w:gridCol w:w="684"/>
        <w:gridCol w:w="683"/>
        <w:gridCol w:w="683"/>
        <w:gridCol w:w="683"/>
        <w:gridCol w:w="684"/>
        <w:gridCol w:w="683"/>
      </w:tblGrid>
      <w:tr>
        <w:trPr>
          <w:trHeight w:val="1962" w:hRule="exact"/>
        </w:trPr>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156" w:right="66"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64"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66" w:right="66"/>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154" w:right="65"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6" w:right="65"/>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65" w:firstLine="44"/>
              <w:jc w:val="both"/>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08"/>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38,250,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19,125,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57,375,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公积金 转股</w:t>
            </w: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08"/>
              <w:jc w:val="both"/>
              <w:rPr>
                <w:rFonts w:ascii="宋体" w:hAnsi="宋体" w:cs="宋体" w:eastAsia="宋体" w:hint="default"/>
                <w:sz w:val="18"/>
                <w:szCs w:val="18"/>
              </w:rPr>
            </w:pPr>
            <w:r>
              <w:rPr>
                <w:rFonts w:ascii="宋体" w:hAnsi="宋体" w:cs="宋体" w:eastAsia="宋体" w:hint="default"/>
                <w:sz w:val="18"/>
                <w:szCs w:val="18"/>
              </w:rPr>
              <w:t>副董事 长、副 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公积金 转股</w:t>
            </w:r>
          </w:p>
        </w:tc>
      </w:tr>
      <w:tr>
        <w:trPr>
          <w:trHeight w:val="133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08"/>
              <w:jc w:val="both"/>
              <w:rPr>
                <w:rFonts w:ascii="宋体" w:hAnsi="宋体" w:cs="宋体" w:eastAsia="宋体" w:hint="default"/>
                <w:sz w:val="18"/>
                <w:szCs w:val="18"/>
              </w:rPr>
            </w:pPr>
            <w:r>
              <w:rPr>
                <w:rFonts w:ascii="宋体" w:hAnsi="宋体" w:cs="宋体" w:eastAsia="宋体" w:hint="default"/>
                <w:sz w:val="18"/>
                <w:szCs w:val="18"/>
              </w:rPr>
              <w:t>董事、 董秘、 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999,000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2,997,0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108"/>
              <w:jc w:val="left"/>
              <w:rPr>
                <w:rFonts w:ascii="宋体" w:hAnsi="宋体" w:cs="宋体" w:eastAsia="宋体" w:hint="default"/>
                <w:sz w:val="18"/>
                <w:szCs w:val="18"/>
              </w:rPr>
            </w:pPr>
            <w:r>
              <w:rPr>
                <w:rFonts w:ascii="宋体" w:hAnsi="宋体" w:cs="宋体" w:eastAsia="宋体" w:hint="default"/>
                <w:sz w:val="18"/>
                <w:szCs w:val="18"/>
              </w:rPr>
              <w:t>公积金 转股</w:t>
            </w:r>
          </w:p>
        </w:tc>
      </w:tr>
      <w:tr>
        <w:trPr>
          <w:trHeight w:val="133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翟振群</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08"/>
              <w:jc w:val="both"/>
              <w:rPr>
                <w:rFonts w:ascii="宋体" w:hAnsi="宋体" w:cs="宋体" w:eastAsia="宋体" w:hint="default"/>
                <w:sz w:val="18"/>
                <w:szCs w:val="18"/>
              </w:rPr>
            </w:pPr>
            <w:r>
              <w:rPr>
                <w:rFonts w:ascii="宋体" w:hAnsi="宋体" w:cs="宋体" w:eastAsia="宋体" w:hint="default"/>
                <w:sz w:val="18"/>
                <w:szCs w:val="18"/>
              </w:rPr>
              <w:t>董事、 财务总 监、副 总经理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侯文全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王铁军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安宁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684"/>
        <w:gridCol w:w="682"/>
        <w:gridCol w:w="683"/>
        <w:gridCol w:w="683"/>
        <w:gridCol w:w="683"/>
        <w:gridCol w:w="684"/>
        <w:gridCol w:w="684"/>
        <w:gridCol w:w="683"/>
        <w:gridCol w:w="684"/>
        <w:gridCol w:w="683"/>
        <w:gridCol w:w="683"/>
        <w:gridCol w:w="683"/>
        <w:gridCol w:w="684"/>
        <w:gridCol w:w="683"/>
      </w:tblGrid>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9"/>
              <w:jc w:val="right"/>
              <w:rPr>
                <w:rFonts w:ascii="宋体" w:hAnsi="宋体" w:cs="宋体" w:eastAsia="宋体" w:hint="default"/>
                <w:sz w:val="18"/>
                <w:szCs w:val="18"/>
              </w:rPr>
            </w:pPr>
            <w:r>
              <w:rPr>
                <w:rFonts w:ascii="宋体" w:hAnsi="宋体" w:cs="宋体" w:eastAsia="宋体" w:hint="default"/>
                <w:sz w:val="18"/>
                <w:szCs w:val="18"/>
              </w:rPr>
              <w:t>谢建歆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9"/>
              <w:jc w:val="right"/>
              <w:rPr>
                <w:rFonts w:ascii="宋体" w:hAnsi="宋体" w:cs="宋体" w:eastAsia="宋体" w:hint="default"/>
                <w:sz w:val="18"/>
                <w:szCs w:val="18"/>
              </w:rPr>
            </w:pPr>
            <w:r>
              <w:rPr>
                <w:rFonts w:ascii="宋体" w:hAnsi="宋体" w:cs="宋体" w:eastAsia="宋体" w:hint="default"/>
                <w:sz w:val="18"/>
                <w:szCs w:val="18"/>
              </w:rPr>
              <w:t>金永丽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9"/>
              <w:jc w:val="right"/>
              <w:rPr>
                <w:rFonts w:ascii="宋体" w:hAnsi="宋体" w:cs="宋体" w:eastAsia="宋体" w:hint="default"/>
                <w:sz w:val="18"/>
                <w:szCs w:val="18"/>
              </w:rPr>
            </w:pPr>
            <w:r>
              <w:rPr>
                <w:rFonts w:ascii="宋体" w:hAnsi="宋体" w:cs="宋体" w:eastAsia="宋体" w:hint="default"/>
                <w:sz w:val="18"/>
                <w:szCs w:val="18"/>
              </w:rPr>
              <w:t>陈伟雄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9"/>
              <w:jc w:val="right"/>
              <w:rPr>
                <w:rFonts w:ascii="宋体" w:hAnsi="宋体" w:cs="宋体" w:eastAsia="宋体" w:hint="default"/>
                <w:sz w:val="18"/>
                <w:szCs w:val="18"/>
              </w:rPr>
            </w:pPr>
            <w:r>
              <w:rPr>
                <w:rFonts w:ascii="宋体" w:hAnsi="宋体" w:cs="宋体" w:eastAsia="宋体" w:hint="default"/>
                <w:sz w:val="18"/>
                <w:szCs w:val="18"/>
              </w:rPr>
              <w:t>陈睿峰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45,528,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22,764,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68,292,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ind w:right="91"/>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473" w:right="4050" w:hanging="360"/>
        <w:jc w:val="left"/>
      </w:pPr>
      <w:r>
        <w:rPr/>
        <w:t>公司现任董事、监事、高级管理人员最近</w:t>
      </w:r>
      <w:r>
        <w:rPr>
          <w:spacing w:val="-46"/>
        </w:rPr>
        <w:t> </w:t>
      </w:r>
      <w:r>
        <w:rPr>
          <w:rFonts w:ascii="Times New Roman" w:hAnsi="Times New Roman" w:cs="Times New Roman" w:eastAsia="Times New Roman" w:hint="default"/>
        </w:rPr>
        <w:t>5 </w:t>
      </w:r>
      <w:r>
        <w:rPr/>
        <w:t>年的主要工作经历 公司现任董事、监事、高级管理人员最近</w:t>
      </w:r>
      <w:r>
        <w:rPr>
          <w:rFonts w:ascii="Times New Roman" w:hAnsi="Times New Roman" w:cs="Times New Roman" w:eastAsia="Times New Roman" w:hint="default"/>
        </w:rPr>
        <w:t>5</w:t>
      </w:r>
      <w:r>
        <w:rPr/>
        <w:t>年的主要工作经历 </w:t>
      </w:r>
      <w:r>
        <w:rPr>
          <w:rFonts w:ascii="Times New Roman" w:hAnsi="Times New Roman" w:cs="Times New Roman" w:eastAsia="Times New Roman" w:hint="default"/>
        </w:rPr>
        <w:t>1</w:t>
      </w:r>
      <w:r>
        <w:rPr/>
        <w:t>、董事会成员</w:t>
      </w:r>
    </w:p>
    <w:p>
      <w:pPr>
        <w:pStyle w:val="BodyText"/>
        <w:spacing w:line="300" w:lineRule="auto"/>
        <w:ind w:left="473" w:right="91"/>
        <w:jc w:val="left"/>
      </w:pPr>
      <w:r>
        <w:rPr/>
        <w:t>公司董事会由</w:t>
      </w:r>
      <w:r>
        <w:rPr>
          <w:rFonts w:ascii="Times New Roman" w:hAnsi="Times New Roman" w:cs="Times New Roman" w:eastAsia="Times New Roman" w:hint="default"/>
        </w:rPr>
        <w:t>9</w:t>
      </w:r>
      <w:r>
        <w:rPr/>
        <w:t>名董事组成，其中独立董事</w:t>
      </w:r>
      <w:r>
        <w:rPr>
          <w:rFonts w:ascii="Times New Roman" w:hAnsi="Times New Roman" w:cs="Times New Roman" w:eastAsia="Times New Roman" w:hint="default"/>
        </w:rPr>
        <w:t>3</w:t>
      </w:r>
      <w:r>
        <w:rPr/>
        <w:t>名。公司董事简历如下： </w:t>
      </w:r>
      <w:r>
        <w:rPr>
          <w:spacing w:val="-2"/>
        </w:rPr>
        <w:t>蔡廷祥，董事长，男，中国国籍，无永久境外居留权，</w:t>
      </w:r>
      <w:r>
        <w:rPr>
          <w:rFonts w:ascii="Times New Roman" w:hAnsi="Times New Roman" w:cs="Times New Roman" w:eastAsia="Times New Roman" w:hint="default"/>
          <w:spacing w:val="-2"/>
        </w:rPr>
        <w:t>1965</w:t>
      </w:r>
      <w:r>
        <w:rPr>
          <w:spacing w:val="-2"/>
        </w:rPr>
        <w:t>年出生，长江商学院高级工商管理硕士，广东省艺术陶瓷高</w:t>
      </w:r>
    </w:p>
    <w:p>
      <w:pPr>
        <w:pStyle w:val="BodyText"/>
        <w:spacing w:line="312" w:lineRule="auto" w:before="13"/>
        <w:ind w:left="113" w:right="191"/>
        <w:jc w:val="both"/>
      </w:pPr>
      <w:r>
        <w:rPr>
          <w:spacing w:val="-2"/>
        </w:rPr>
        <w:t>级工艺美术师。曾任潮州市长城陶瓷制作厂总经理，广东长城集团有限公司董事长。现任本公司董事长、总经理，广东省人</w:t>
      </w:r>
      <w:r>
        <w:rPr>
          <w:spacing w:val="-66"/>
        </w:rPr>
        <w:t> </w:t>
      </w:r>
      <w:r>
        <w:rPr>
          <w:spacing w:val="-66"/>
        </w:rPr>
      </w:r>
      <w:r>
        <w:rPr>
          <w:spacing w:val="-2"/>
        </w:rPr>
        <w:t>大代表，并兼任中国轻工工艺品进出口商会陶瓷分会名誉会长、中国陶瓷工业协会副理事长、广东省陶瓷协会副会长、深圳</w:t>
      </w:r>
      <w:r>
        <w:rPr>
          <w:spacing w:val="-66"/>
        </w:rPr>
        <w:t> </w:t>
      </w:r>
      <w:r>
        <w:rPr>
          <w:spacing w:val="-66"/>
        </w:rPr>
      </w:r>
      <w:r>
        <w:rPr/>
        <w:t>潮汕商会常务副会长、潮州市陶瓷行业协会会长等社会职务，获得</w:t>
      </w:r>
      <w:r>
        <w:rPr>
          <w:rFonts w:ascii="Times New Roman" w:hAnsi="Times New Roman" w:cs="Times New Roman" w:eastAsia="Times New Roman" w:hint="default"/>
        </w:rPr>
        <w:t>“</w:t>
      </w:r>
      <w:r>
        <w:rPr/>
        <w:t>广东省劳动模范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中国陶瓷行业杰出企业家</w:t>
      </w:r>
      <w:r>
        <w:rPr>
          <w:rFonts w:ascii="Times New Roman" w:hAnsi="Times New Roman" w:cs="Times New Roman" w:eastAsia="Times New Roman" w:hint="default"/>
        </w:rPr>
        <w:t>”“</w:t>
      </w:r>
      <w:r>
        <w:rPr/>
        <w:t>优秀青 年企业家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中国优秀民营科技企业家</w:t>
      </w:r>
      <w:r>
        <w:rPr>
          <w:rFonts w:ascii="Times New Roman" w:hAnsi="Times New Roman" w:cs="Times New Roman" w:eastAsia="Times New Roman" w:hint="default"/>
        </w:rPr>
        <w:t>”</w:t>
      </w:r>
      <w:r>
        <w:rPr/>
        <w:t>等荣誉称号。</w:t>
      </w:r>
    </w:p>
    <w:p>
      <w:pPr>
        <w:pStyle w:val="BodyText"/>
        <w:spacing w:line="300" w:lineRule="auto" w:before="3"/>
        <w:ind w:left="113" w:right="91" w:firstLine="360"/>
        <w:jc w:val="left"/>
      </w:pPr>
      <w:r>
        <w:rPr>
          <w:spacing w:val="-4"/>
        </w:rPr>
        <w:t>吴淡珠，副董事长，女，中国国籍，无永久境外居留权，</w:t>
      </w:r>
      <w:r>
        <w:rPr>
          <w:rFonts w:ascii="Times New Roman" w:hAnsi="Times New Roman" w:cs="Times New Roman" w:eastAsia="Times New Roman" w:hint="default"/>
          <w:spacing w:val="-4"/>
        </w:rPr>
        <w:t>1973</w:t>
      </w:r>
      <w:r>
        <w:rPr>
          <w:spacing w:val="-4"/>
        </w:rPr>
        <w:t>年出生，本科学历。曾任潮州市长城陶瓷制作厂副总经理，</w:t>
      </w:r>
      <w:r>
        <w:rPr/>
        <w:t> 广东长城集团有限公司营销总监、副董事长、副总经理。现任本公司副董事长、副总经理，潮州市女企业家协会会长。</w:t>
      </w:r>
    </w:p>
    <w:p>
      <w:pPr>
        <w:pStyle w:val="BodyText"/>
        <w:spacing w:line="309" w:lineRule="auto" w:before="31"/>
        <w:ind w:left="113" w:right="91" w:firstLine="360"/>
        <w:jc w:val="left"/>
      </w:pPr>
      <w:r>
        <w:rPr>
          <w:spacing w:val="-4"/>
        </w:rPr>
        <w:t>任锋，董事，男，中国国籍，无永久境外居留权，</w:t>
      </w:r>
      <w:r>
        <w:rPr>
          <w:rFonts w:ascii="Times New Roman" w:hAnsi="Times New Roman" w:cs="Times New Roman" w:eastAsia="Times New Roman" w:hint="default"/>
          <w:spacing w:val="-4"/>
        </w:rPr>
        <w:t>1969</w:t>
      </w:r>
      <w:r>
        <w:rPr>
          <w:spacing w:val="-4"/>
        </w:rPr>
        <w:t>年出生，本科学历，并先后在长江商学院、中欧商学院进修学习。</w:t>
      </w:r>
      <w:r>
        <w:rPr/>
        <w:t> </w:t>
      </w:r>
      <w:r>
        <w:rPr>
          <w:spacing w:val="-2"/>
        </w:rPr>
        <w:t>曾任职于辽宁省八家子铅锌矿技术室、北京城建亚泰公司市政分公司、广东省潮州市神奇果园旅游景区、广东省高级技工学</w:t>
      </w:r>
      <w:r>
        <w:rPr>
          <w:spacing w:val="-65"/>
        </w:rPr>
        <w:t> </w:t>
      </w:r>
      <w:r>
        <w:rPr>
          <w:spacing w:val="-65"/>
        </w:rPr>
      </w:r>
      <w:r>
        <w:rPr/>
        <w:t>校潮州分校。</w:t>
      </w:r>
      <w:r>
        <w:rPr>
          <w:rFonts w:ascii="Times New Roman" w:hAnsi="Times New Roman" w:cs="Times New Roman" w:eastAsia="Times New Roman" w:hint="default"/>
        </w:rPr>
        <w:t>2003</w:t>
      </w:r>
      <w:r>
        <w:rPr/>
        <w:t>年加入本公司并历任办公室主任、副总经理、常务副总经理。现任本公司董事会秘书、副总经理、董事。</w:t>
      </w:r>
    </w:p>
    <w:p>
      <w:pPr>
        <w:pStyle w:val="BodyText"/>
        <w:spacing w:line="300" w:lineRule="auto" w:before="5"/>
        <w:ind w:left="113" w:right="91" w:firstLine="360"/>
        <w:jc w:val="left"/>
      </w:pPr>
      <w:r>
        <w:rPr>
          <w:spacing w:val="-2"/>
        </w:rPr>
        <w:t>翟振群，董事，男，中国国籍，无永久境外居留权，</w:t>
      </w:r>
      <w:r>
        <w:rPr>
          <w:rFonts w:ascii="Times New Roman" w:hAnsi="Times New Roman" w:cs="Times New Roman" w:eastAsia="Times New Roman" w:hint="default"/>
          <w:spacing w:val="-2"/>
        </w:rPr>
        <w:t>1962</w:t>
      </w:r>
      <w:r>
        <w:rPr>
          <w:spacing w:val="-2"/>
        </w:rPr>
        <w:t>年出生，本科学历。曾任职于湖北塑料编织厂、台湾云辰集团</w:t>
      </w:r>
      <w:r>
        <w:rPr/>
        <w:t> 东莞利源电子厂、东莞明兴五金厂（港资）。现任本公司财务总监、副总经理、董事。</w:t>
      </w:r>
    </w:p>
    <w:p>
      <w:pPr>
        <w:pStyle w:val="BodyText"/>
        <w:spacing w:line="309" w:lineRule="auto" w:before="31"/>
        <w:ind w:left="113" w:right="91" w:firstLine="360"/>
        <w:jc w:val="left"/>
      </w:pPr>
      <w:r>
        <w:rPr>
          <w:spacing w:val="-2"/>
        </w:rPr>
        <w:t>刘浩，董事，男，中国国籍，无永久境外居留权，</w:t>
      </w:r>
      <w:r>
        <w:rPr>
          <w:rFonts w:ascii="Times New Roman" w:hAnsi="Times New Roman" w:cs="Times New Roman" w:eastAsia="Times New Roman" w:hint="default"/>
          <w:spacing w:val="-2"/>
        </w:rPr>
        <w:t>1967</w:t>
      </w:r>
      <w:r>
        <w:rPr>
          <w:spacing w:val="-2"/>
        </w:rPr>
        <w:t>年出生，本科学历。曾任</w:t>
      </w:r>
      <w:r>
        <w:rPr>
          <w:rFonts w:ascii="Times New Roman" w:hAnsi="Times New Roman" w:cs="Times New Roman" w:eastAsia="Times New Roman" w:hint="default"/>
          <w:spacing w:val="-2"/>
        </w:rPr>
        <w:t>WELLCHOICE</w:t>
      </w:r>
      <w:r>
        <w:rPr>
          <w:spacing w:val="-2"/>
        </w:rPr>
        <w:t>投资集团公司投资总监、</w:t>
      </w:r>
      <w:r>
        <w:rPr/>
        <w:t> </w:t>
      </w:r>
      <w:r>
        <w:rPr>
          <w:spacing w:val="-2"/>
        </w:rPr>
        <w:t>深圳市东方明珠集团公司总裁助理兼投资部经理。现任本公司董事、深圳市深港产学研创业投资有限公司投资经理、深圳市</w:t>
      </w:r>
      <w:r>
        <w:rPr>
          <w:spacing w:val="-65"/>
        </w:rPr>
        <w:t> </w:t>
      </w:r>
      <w:r>
        <w:rPr>
          <w:spacing w:val="-65"/>
        </w:rPr>
      </w:r>
      <w:r>
        <w:rPr/>
        <w:t>彩虹精细化工股份有限公司监事。</w:t>
      </w:r>
    </w:p>
    <w:p>
      <w:pPr>
        <w:pStyle w:val="BodyText"/>
        <w:spacing w:line="312" w:lineRule="auto" w:before="24"/>
        <w:ind w:left="113" w:right="91" w:firstLine="360"/>
        <w:jc w:val="left"/>
      </w:pPr>
      <w:r>
        <w:rPr/>
        <w:t>高洪星，董事，男，中国国籍，无永久境外居留权，</w:t>
      </w:r>
      <w:r>
        <w:rPr>
          <w:rFonts w:ascii="Times New Roman" w:hAnsi="Times New Roman" w:cs="Times New Roman" w:eastAsia="Times New Roman" w:hint="default"/>
        </w:rPr>
        <w:t>1962</w:t>
      </w:r>
      <w:r>
        <w:rPr/>
        <w:t>年出生，博士，高级经济师。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日前，曾任深圳发 </w:t>
      </w:r>
      <w:r>
        <w:rPr>
          <w:spacing w:val="-2"/>
        </w:rPr>
        <w:t>展银行支行行长、中国农业发展银行广东省分行信贷处处长、国泰君安证券股份有限公司深圳分公司副总裁、华林证券有限</w:t>
      </w:r>
      <w:r>
        <w:rPr>
          <w:spacing w:val="-65"/>
        </w:rPr>
        <w:t> </w:t>
      </w:r>
      <w:r>
        <w:rPr>
          <w:spacing w:val="-65"/>
        </w:rPr>
      </w:r>
      <w:r>
        <w:rPr/>
        <w:t>责任公司董事长兼总裁。现任本公司董事、香港卫视董事局主席、北京对外经贸大学和人民银行总行研究生部研究生导师、 特聘教授、深圳高级职称评委会评委。</w:t>
      </w:r>
    </w:p>
    <w:p>
      <w:pPr>
        <w:pStyle w:val="BodyText"/>
        <w:spacing w:line="300" w:lineRule="auto" w:before="22"/>
        <w:ind w:left="113" w:right="190" w:firstLine="360"/>
        <w:jc w:val="both"/>
      </w:pPr>
      <w:r>
        <w:rPr>
          <w:spacing w:val="-2"/>
        </w:rPr>
        <w:t>王铁军，独立董事，男，中国国籍，无永久境外居留权，</w:t>
      </w:r>
      <w:r>
        <w:rPr>
          <w:rFonts w:ascii="Times New Roman" w:hAnsi="Times New Roman" w:cs="Times New Roman" w:eastAsia="Times New Roman" w:hint="default"/>
          <w:spacing w:val="-2"/>
        </w:rPr>
        <w:t>1955</w:t>
      </w:r>
      <w:r>
        <w:rPr>
          <w:spacing w:val="-2"/>
        </w:rPr>
        <w:t>年出生，加州美国大学金融学博士。现任北京高科创业投</w:t>
      </w:r>
      <w:r>
        <w:rPr/>
        <w:t> </w:t>
      </w:r>
      <w:r>
        <w:rPr>
          <w:spacing w:val="-2"/>
        </w:rPr>
        <w:t>资顾问有限公司</w:t>
      </w:r>
      <w:r>
        <w:rPr>
          <w:rFonts w:ascii="Times New Roman" w:hAnsi="Times New Roman" w:cs="Times New Roman" w:eastAsia="Times New Roman" w:hint="default"/>
          <w:spacing w:val="-2"/>
        </w:rPr>
        <w:t>CEO</w:t>
      </w:r>
      <w:r>
        <w:rPr>
          <w:spacing w:val="-2"/>
        </w:rPr>
        <w:t>、兼任北京大学公共经济管理研究中心投融资研究所副所长、北京工商大学教授、加州美国大学教授及</w:t>
      </w:r>
      <w:r>
        <w:rPr>
          <w:spacing w:val="-64"/>
        </w:rPr>
        <w:t> </w:t>
      </w:r>
      <w:r>
        <w:rPr>
          <w:spacing w:val="-64"/>
        </w:rPr>
      </w:r>
      <w:r>
        <w:rPr/>
        <w:t>博士生导师。现担任本公司独立董事。</w:t>
      </w:r>
    </w:p>
    <w:p>
      <w:pPr>
        <w:spacing w:after="0" w:line="300" w:lineRule="auto"/>
        <w:jc w:val="both"/>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09" w:lineRule="auto" w:before="44"/>
        <w:ind w:right="191" w:firstLine="360"/>
        <w:jc w:val="both"/>
      </w:pPr>
      <w:r>
        <w:rPr>
          <w:spacing w:val="-2"/>
        </w:rPr>
        <w:t>安宁，独立董事，男，中国国籍，无永久境外居留权，</w:t>
      </w:r>
      <w:r>
        <w:rPr>
          <w:rFonts w:ascii="Times New Roman" w:hAnsi="Times New Roman" w:cs="Times New Roman" w:eastAsia="Times New Roman" w:hint="default"/>
          <w:spacing w:val="-2"/>
        </w:rPr>
        <w:t>1972</w:t>
      </w:r>
      <w:r>
        <w:rPr>
          <w:spacing w:val="-2"/>
        </w:rPr>
        <w:t>年出生，长江商学院</w:t>
      </w:r>
      <w:r>
        <w:rPr>
          <w:rFonts w:ascii="Times New Roman" w:hAnsi="Times New Roman" w:cs="Times New Roman" w:eastAsia="Times New Roman" w:hint="default"/>
          <w:spacing w:val="-2"/>
        </w:rPr>
        <w:t>EMBA</w:t>
      </w:r>
      <w:r>
        <w:rPr>
          <w:spacing w:val="-2"/>
        </w:rPr>
        <w:t>，注册会计师、税务师。曾任上</w:t>
      </w:r>
      <w:r>
        <w:rPr/>
        <w:t> </w:t>
      </w:r>
      <w:r>
        <w:rPr>
          <w:spacing w:val="-2"/>
        </w:rPr>
        <w:t>海美克投资管理有限公司副总经理，健康元药业集团股份有限公司财务总监。现任本公司独立董事、丽珠医药集团股份有限</w:t>
      </w:r>
      <w:r>
        <w:rPr>
          <w:spacing w:val="-65"/>
        </w:rPr>
        <w:t> </w:t>
      </w:r>
      <w:r>
        <w:rPr>
          <w:spacing w:val="-65"/>
        </w:rPr>
      </w:r>
      <w:r>
        <w:rPr/>
        <w:t>公司常务副总裁。</w:t>
      </w:r>
    </w:p>
    <w:p>
      <w:pPr>
        <w:pStyle w:val="BodyText"/>
        <w:spacing w:line="300" w:lineRule="auto" w:before="24"/>
        <w:ind w:right="108" w:firstLine="360"/>
        <w:jc w:val="both"/>
      </w:pPr>
      <w:r>
        <w:rPr/>
        <w:t>侯文全，独立董事，男，中国国籍，无永久境外居留权，</w:t>
      </w:r>
      <w:r>
        <w:rPr>
          <w:rFonts w:ascii="Times New Roman" w:hAnsi="Times New Roman" w:cs="Times New Roman" w:eastAsia="Times New Roman" w:hint="default"/>
        </w:rPr>
        <w:t>1964</w:t>
      </w:r>
      <w:r>
        <w:rPr/>
        <w:t>年出生，本科学历。曾任职于北京玻璃集团玻璃仪器厂， 工程师。现任本公司独立董事、中国陶瓷工业协会副秘书长。</w:t>
      </w:r>
    </w:p>
    <w:p>
      <w:pPr>
        <w:pStyle w:val="BodyText"/>
        <w:spacing w:line="300" w:lineRule="auto" w:before="31"/>
        <w:ind w:left="474" w:right="4050"/>
        <w:jc w:val="left"/>
      </w:pPr>
      <w:r>
        <w:rPr>
          <w:rFonts w:ascii="Times New Roman" w:hAnsi="Times New Roman" w:cs="Times New Roman" w:eastAsia="Times New Roman" w:hint="default"/>
        </w:rPr>
        <w:t>2</w:t>
      </w:r>
      <w:r>
        <w:rPr/>
        <w:t>、监事会成员 公司监事会由</w:t>
      </w:r>
      <w:r>
        <w:rPr>
          <w:rFonts w:ascii="Times New Roman" w:hAnsi="Times New Roman" w:cs="Times New Roman" w:eastAsia="Times New Roman" w:hint="default"/>
        </w:rPr>
        <w:t>3</w:t>
      </w:r>
      <w:r>
        <w:rPr/>
        <w:t>名成员组成，其中职工代表</w:t>
      </w:r>
      <w:r>
        <w:rPr>
          <w:rFonts w:ascii="Times New Roman" w:hAnsi="Times New Roman" w:cs="Times New Roman" w:eastAsia="Times New Roman" w:hint="default"/>
        </w:rPr>
        <w:t>1</w:t>
      </w:r>
      <w:r>
        <w:rPr/>
        <w:t>名。公司监事简历如下：</w:t>
      </w:r>
    </w:p>
    <w:p>
      <w:pPr>
        <w:pStyle w:val="BodyText"/>
        <w:spacing w:line="309" w:lineRule="auto" w:before="13"/>
        <w:ind w:right="191" w:firstLine="360"/>
        <w:jc w:val="both"/>
      </w:pPr>
      <w:r>
        <w:rPr>
          <w:spacing w:val="-2"/>
        </w:rPr>
        <w:t>谢建歆，监事会主席，男，中国国籍，无永久境外居留权，</w:t>
      </w:r>
      <w:r>
        <w:rPr>
          <w:rFonts w:ascii="Times New Roman" w:hAnsi="Times New Roman" w:cs="Times New Roman" w:eastAsia="Times New Roman" w:hint="default"/>
          <w:spacing w:val="-2"/>
        </w:rPr>
        <w:t>1984</w:t>
      </w:r>
      <w:r>
        <w:rPr>
          <w:spacing w:val="-2"/>
        </w:rPr>
        <w:t>年出生，大专学历。</w:t>
      </w:r>
      <w:r>
        <w:rPr>
          <w:rFonts w:ascii="Times New Roman" w:hAnsi="Times New Roman" w:cs="Times New Roman" w:eastAsia="Times New Roman" w:hint="default"/>
          <w:spacing w:val="-2"/>
        </w:rPr>
        <w:t>2006</w:t>
      </w:r>
      <w:r>
        <w:rPr>
          <w:spacing w:val="-2"/>
        </w:rPr>
        <w:t>年加入本公司，先后任技术研</w:t>
      </w:r>
      <w:r>
        <w:rPr/>
        <w:t> </w:t>
      </w:r>
      <w:r>
        <w:rPr>
          <w:spacing w:val="-2"/>
        </w:rPr>
        <w:t>发中心样品室管理员、行政管理中心行政助理、行政管理中心人力资源部经理。现任本公司人事总监、品牌总监兼监事会主</w:t>
      </w:r>
      <w:r>
        <w:rPr>
          <w:spacing w:val="-67"/>
        </w:rPr>
        <w:t> </w:t>
      </w:r>
      <w:r>
        <w:rPr>
          <w:spacing w:val="-67"/>
        </w:rPr>
      </w:r>
      <w:r>
        <w:rPr/>
        <w:t>席。</w:t>
      </w:r>
    </w:p>
    <w:p>
      <w:pPr>
        <w:pStyle w:val="BodyText"/>
        <w:spacing w:line="300" w:lineRule="auto" w:before="24"/>
        <w:ind w:right="108" w:firstLine="360"/>
        <w:jc w:val="both"/>
      </w:pPr>
      <w:r>
        <w:rPr/>
        <w:t>陈伟雄，监事，男，中国国籍，无永久境外居留权，</w:t>
      </w:r>
      <w:r>
        <w:rPr>
          <w:rFonts w:ascii="Times New Roman" w:hAnsi="Times New Roman" w:cs="Times New Roman" w:eastAsia="Times New Roman" w:hint="default"/>
        </w:rPr>
        <w:t>1974</w:t>
      </w:r>
      <w:r>
        <w:rPr/>
        <w:t>年出生，本科学历。</w:t>
      </w:r>
      <w:r>
        <w:rPr>
          <w:rFonts w:ascii="Times New Roman" w:hAnsi="Times New Roman" w:cs="Times New Roman" w:eastAsia="Times New Roman" w:hint="default"/>
        </w:rPr>
        <w:t>1994</w:t>
      </w:r>
      <w:r>
        <w:rPr/>
        <w:t>年加入本公司，先后任总经理助理、 行政总监。现任本公司办公室主任、监事。</w:t>
      </w:r>
    </w:p>
    <w:p>
      <w:pPr>
        <w:pStyle w:val="BodyText"/>
        <w:spacing w:line="300" w:lineRule="auto" w:before="31"/>
        <w:ind w:right="101" w:firstLine="360"/>
        <w:jc w:val="both"/>
      </w:pPr>
      <w:r>
        <w:rPr>
          <w:spacing w:val="-4"/>
        </w:rPr>
        <w:t>金永丽，职工监事，女，中国国籍，无永久境外居留权，</w:t>
      </w:r>
      <w:r>
        <w:rPr>
          <w:rFonts w:ascii="Times New Roman" w:hAnsi="Times New Roman" w:cs="Times New Roman" w:eastAsia="Times New Roman" w:hint="default"/>
          <w:spacing w:val="-4"/>
        </w:rPr>
        <w:t>1981</w:t>
      </w:r>
      <w:r>
        <w:rPr>
          <w:spacing w:val="-4"/>
        </w:rPr>
        <w:t>年出生，大专学历。</w:t>
      </w:r>
      <w:r>
        <w:rPr>
          <w:rFonts w:ascii="Times New Roman" w:hAnsi="Times New Roman" w:cs="Times New Roman" w:eastAsia="Times New Roman" w:hint="default"/>
          <w:spacing w:val="-4"/>
        </w:rPr>
        <w:t>2003</w:t>
      </w:r>
      <w:r>
        <w:rPr>
          <w:spacing w:val="-4"/>
        </w:rPr>
        <w:t>年加入本公司，先后任车间统计、</w:t>
      </w:r>
      <w:r>
        <w:rPr/>
        <w:t> 试验室检测员。现任本公司研发中心助理、职工监事。</w:t>
      </w:r>
    </w:p>
    <w:p>
      <w:pPr>
        <w:pStyle w:val="BodyText"/>
        <w:spacing w:line="314" w:lineRule="auto" w:before="31"/>
        <w:ind w:left="474" w:right="3870"/>
        <w:jc w:val="left"/>
      </w:pPr>
      <w:r>
        <w:rPr>
          <w:rFonts w:ascii="Times New Roman" w:hAnsi="Times New Roman" w:cs="Times New Roman" w:eastAsia="Times New Roman" w:hint="default"/>
        </w:rPr>
        <w:t>3</w:t>
      </w:r>
      <w:r>
        <w:rPr/>
        <w:t>、高级管理人员 蔡廷祥，总经理，工作经历请参见前述董事会成员介绍。 吴淡珠，副总经理，工作经历请参见前述董事会成员介绍。 任锋，董事会秘书兼副总经理，工作经历请参见前述董事会成员介绍。 翟振群，财务总监兼副总经理，工作经历请参见前述董事会成员介绍。</w:t>
      </w:r>
    </w:p>
    <w:p>
      <w:pPr>
        <w:pStyle w:val="BodyText"/>
        <w:spacing w:line="307" w:lineRule="auto" w:before="20"/>
        <w:ind w:right="191" w:firstLine="360"/>
        <w:jc w:val="both"/>
      </w:pPr>
      <w:r>
        <w:rPr>
          <w:spacing w:val="-2"/>
        </w:rPr>
        <w:t>陈睿峰，副总经理，男，中国国籍，无永久境外居留权，</w:t>
      </w:r>
      <w:r>
        <w:rPr>
          <w:rFonts w:ascii="Times New Roman" w:hAnsi="Times New Roman" w:cs="Times New Roman" w:eastAsia="Times New Roman" w:hint="default"/>
          <w:spacing w:val="-2"/>
        </w:rPr>
        <w:t>1976</w:t>
      </w:r>
      <w:r>
        <w:rPr>
          <w:spacing w:val="-2"/>
        </w:rPr>
        <w:t>年出生，中南财经政法大学</w:t>
      </w:r>
      <w:r>
        <w:rPr>
          <w:rFonts w:ascii="Times New Roman" w:hAnsi="Times New Roman" w:cs="Times New Roman" w:eastAsia="Times New Roman" w:hint="default"/>
          <w:spacing w:val="-2"/>
        </w:rPr>
        <w:t>EMBA</w:t>
      </w:r>
      <w:r>
        <w:rPr>
          <w:spacing w:val="-2"/>
        </w:rPr>
        <w:t>（高级管理人员工商管</w:t>
      </w:r>
      <w:r>
        <w:rPr/>
        <w:t> </w:t>
      </w:r>
      <w:r>
        <w:rPr>
          <w:spacing w:val="-2"/>
        </w:rPr>
        <w:t>理硕士）。曾任杭州阳光创意广告公司品牌管理总监，国有上市公司酒鬼酒（</w:t>
      </w:r>
      <w:r>
        <w:rPr>
          <w:rFonts w:ascii="Times New Roman" w:hAnsi="Times New Roman" w:cs="Times New Roman" w:eastAsia="Times New Roman" w:hint="default"/>
          <w:spacing w:val="-2"/>
        </w:rPr>
        <w:t>000799</w:t>
      </w:r>
      <w:r>
        <w:rPr>
          <w:spacing w:val="-2"/>
        </w:rPr>
        <w:t>）股份公司及销售公司总经理助理，浙</w:t>
      </w:r>
      <w:r>
        <w:rPr>
          <w:spacing w:val="-58"/>
        </w:rPr>
        <w:t> </w:t>
      </w:r>
      <w:r>
        <w:rPr>
          <w:spacing w:val="-58"/>
        </w:rPr>
      </w:r>
      <w:r>
        <w:rPr>
          <w:spacing w:val="-2"/>
        </w:rPr>
        <w:t>江百兴食品（中日合资）营销副总兼中国事业部总经理，北京平大境界酒业公司常务副总兼营销总监（贵州茅台酒股份公司</w:t>
      </w:r>
      <w:r>
        <w:rPr>
          <w:spacing w:val="-67"/>
        </w:rPr>
        <w:t> </w:t>
      </w:r>
      <w:r>
        <w:rPr>
          <w:spacing w:val="-67"/>
        </w:rPr>
      </w:r>
      <w:r>
        <w:rPr/>
        <w:t>出品的水立方酒品牌总运营商）。现任本公司副总经理。</w:t>
      </w:r>
    </w:p>
    <w:p>
      <w:pPr>
        <w:pStyle w:val="BodyText"/>
        <w:spacing w:line="240" w:lineRule="auto" w:before="67"/>
        <w:ind w:right="91"/>
        <w:jc w:val="left"/>
      </w:pPr>
      <w:r>
        <w:rPr/>
        <w:t>在股东单位任职情况</w:t>
      </w:r>
    </w:p>
    <w:p>
      <w:pPr>
        <w:pStyle w:val="BodyText"/>
        <w:spacing w:line="240" w:lineRule="auto" w:before="116"/>
        <w:ind w:right="91"/>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30"/>
        <w:gridCol w:w="1589"/>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9"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刘浩先生现任本公司股东深圳市深港产学研创业投资有限公司的投资经理。除前述外，其他董监高没有在 股东单位任职。</w:t>
            </w:r>
          </w:p>
        </w:tc>
      </w:tr>
    </w:tbl>
    <w:p>
      <w:pPr>
        <w:pStyle w:val="BodyText"/>
        <w:spacing w:line="240" w:lineRule="auto" w:before="50"/>
        <w:ind w:right="91"/>
        <w:jc w:val="left"/>
      </w:pPr>
      <w:r>
        <w:rPr/>
        <w:t>在其他单位任职情况</w:t>
      </w:r>
    </w:p>
    <w:p>
      <w:pPr>
        <w:pStyle w:val="BodyText"/>
        <w:spacing w:line="240" w:lineRule="auto" w:before="116"/>
        <w:ind w:right="91"/>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3191"/>
        <w:gridCol w:w="1062"/>
        <w:gridCol w:w="1196"/>
        <w:gridCol w:w="1324"/>
        <w:gridCol w:w="1595"/>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5"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王铁军</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北京高科创业投资顾问有限公司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CEO</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王铁军</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北京大学公共经济管理研究中心投融资 研究所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香港卫视</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940"/>
        </w:sectPr>
      </w:pPr>
    </w:p>
    <w:p>
      <w:pPr>
        <w:spacing w:line="240" w:lineRule="auto" w:before="8"/>
        <w:rPr>
          <w:rFonts w:ascii="宋体" w:hAnsi="宋体" w:cs="宋体" w:eastAsia="宋体" w:hint="default"/>
          <w:sz w:val="28"/>
          <w:szCs w:val="28"/>
        </w:rPr>
      </w:pPr>
      <w:r>
        <w:rPr/>
        <w:pict>
          <v:group style="position:absolute;margin-left:329.640015pt;margin-top:72.480003pt;width:59.4pt;height:35.25pt;mso-position-horizontal-relative:page;mso-position-vertical-relative:page;z-index:-730192" coordorigin="6593,1450" coordsize="1188,705">
            <v:shape style="position:absolute;left:6593;top:1450;width:1188;height:705" coordorigin="6593,1450" coordsize="1188,705" path="m6593,2154l7781,2154,7781,1450,6593,1450,6593,215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201"/>
        <w:gridCol w:w="3191"/>
        <w:gridCol w:w="1062"/>
        <w:gridCol w:w="1196"/>
        <w:gridCol w:w="1324"/>
        <w:gridCol w:w="1595"/>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北京对外经贸大学和人民银行总行研究 生部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7"/>
              <w:jc w:val="left"/>
              <w:rPr>
                <w:rFonts w:ascii="宋体" w:hAnsi="宋体" w:cs="宋体" w:eastAsia="宋体" w:hint="default"/>
                <w:sz w:val="18"/>
                <w:szCs w:val="18"/>
              </w:rPr>
            </w:pPr>
            <w:r>
              <w:rPr>
                <w:rFonts w:ascii="宋体" w:hAnsi="宋体" w:cs="宋体" w:eastAsia="宋体" w:hint="default"/>
                <w:sz w:val="18"/>
                <w:szCs w:val="18"/>
              </w:rPr>
              <w:t>研究生导师 特聘教授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侯文全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中国陶瓷工业协会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深圳市彩虹精细化工股份有限公司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丽珠医药集团股份有限公</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7"/>
              <w:jc w:val="left"/>
              <w:rPr>
                <w:rFonts w:ascii="宋体" w:hAnsi="宋体" w:cs="宋体" w:eastAsia="宋体" w:hint="default"/>
                <w:sz w:val="18"/>
                <w:szCs w:val="18"/>
              </w:rPr>
            </w:pPr>
            <w:r>
              <w:rPr>
                <w:rFonts w:ascii="宋体" w:hAnsi="宋体" w:cs="宋体" w:eastAsia="宋体" w:hint="default"/>
                <w:sz w:val="18"/>
                <w:szCs w:val="18"/>
              </w:rPr>
              <w:t>董事兼常务 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ind w:right="92"/>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pStyle w:val="BodyText"/>
        <w:spacing w:line="240" w:lineRule="auto" w:before="44"/>
        <w:ind w:left="0" w:right="118"/>
        <w:jc w:val="right"/>
      </w:pPr>
      <w:r>
        <w:rPr/>
        <w:pict>
          <v:shape style="position:absolute;margin-left:56.459999pt;margin-top:-67.627678pt;width:479.2pt;height:138.8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5"/>
                    <w:gridCol w:w="5974"/>
                  </w:tblGrid>
                  <w:tr>
                    <w:trPr>
                      <w:trHeight w:val="1026"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
                          <w:jc w:val="both"/>
                          <w:rPr>
                            <w:rFonts w:ascii="宋体" w:hAnsi="宋体" w:cs="宋体" w:eastAsia="宋体" w:hint="default"/>
                            <w:sz w:val="18"/>
                            <w:szCs w:val="18"/>
                          </w:rPr>
                        </w:pPr>
                        <w:r>
                          <w:rPr>
                            <w:rFonts w:ascii="宋体" w:hAnsi="宋体" w:cs="宋体" w:eastAsia="宋体" w:hint="default"/>
                            <w:spacing w:val="-1"/>
                            <w:sz w:val="18"/>
                            <w:szCs w:val="18"/>
                          </w:rPr>
                          <w:t>公司董事、监事报酬由公司股东大会决定，公司高级管理人员报酬由公司董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事会决定；在公司承担职务的董事、监事、高级管理人员报酬由公司支付， 董事、监事不另外支付津贴。</w:t>
                        </w:r>
                      </w:p>
                    </w:tc>
                  </w:tr>
                  <w:tr>
                    <w:trPr>
                      <w:trHeight w:val="355" w:hRule="exact"/>
                    </w:trPr>
                    <w:tc>
                      <w:tcPr>
                        <w:tcW w:w="3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59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
                            <w:sz w:val="18"/>
                            <w:szCs w:val="18"/>
                          </w:rPr>
                          <w:t>董事、监事和高级管理人员的报酬按照《公司章程》及《薪酬和考核委员会</w:t>
                        </w:r>
                      </w:p>
                    </w:tc>
                  </w:tr>
                  <w:tr>
                    <w:trPr>
                      <w:trHeight w:val="312" w:hRule="exact"/>
                    </w:trPr>
                    <w:tc>
                      <w:tcPr>
                        <w:tcW w:w="3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工作细则》等规定，依据公司经营状况、盈利水平结合其职位、责任、能力</w:t>
                        </w:r>
                      </w:p>
                    </w:tc>
                  </w:tr>
                  <w:tr>
                    <w:trPr>
                      <w:trHeight w:val="359" w:hRule="exact"/>
                    </w:trPr>
                    <w:tc>
                      <w:tcPr>
                        <w:tcW w:w="3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59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市场薪资行情等因素确定并发放。</w:t>
                        </w:r>
                      </w:p>
                    </w:tc>
                  </w:tr>
                  <w:tr>
                    <w:trPr>
                      <w:trHeight w:val="360" w:hRule="exact"/>
                    </w:trPr>
                    <w:tc>
                      <w:tcPr>
                        <w:tcW w:w="3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p>
                    </w:tc>
                    <w:tc>
                      <w:tcPr>
                        <w:tcW w:w="59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公司现有董事、监事、高级管理人员共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年度在公司领取的税前</w:t>
                        </w:r>
                      </w:p>
                    </w:tc>
                  </w:tr>
                  <w:tr>
                    <w:trPr>
                      <w:trHeight w:val="354" w:hRule="exact"/>
                    </w:trPr>
                    <w:tc>
                      <w:tcPr>
                        <w:tcW w:w="3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59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报酬总额为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right="92"/>
        <w:jc w:val="left"/>
      </w:pPr>
      <w:r>
        <w:rPr/>
        <w:t>公司报告期内董事、监事和高级管理人员报酬情况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8"/>
        <w:gridCol w:w="1195"/>
        <w:gridCol w:w="1195"/>
        <w:gridCol w:w="1196"/>
        <w:gridCol w:w="1196"/>
        <w:gridCol w:w="1195"/>
        <w:gridCol w:w="1196"/>
        <w:gridCol w:w="1196"/>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0"/>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0"/>
              <w:jc w:val="left"/>
              <w:rPr>
                <w:rFonts w:ascii="宋体" w:hAnsi="宋体" w:cs="宋体" w:eastAsia="宋体" w:hint="default"/>
                <w:sz w:val="18"/>
                <w:szCs w:val="18"/>
              </w:rPr>
            </w:pPr>
            <w:r>
              <w:rPr>
                <w:rFonts w:ascii="宋体" w:hAnsi="宋体" w:cs="宋体" w:eastAsia="宋体" w:hint="default"/>
                <w:sz w:val="18"/>
                <w:szCs w:val="18"/>
              </w:rPr>
              <w:t>副董事长、副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0"/>
              <w:jc w:val="left"/>
              <w:rPr>
                <w:rFonts w:ascii="宋体" w:hAnsi="宋体" w:cs="宋体" w:eastAsia="宋体" w:hint="default"/>
                <w:sz w:val="18"/>
                <w:szCs w:val="18"/>
              </w:rPr>
            </w:pPr>
            <w:r>
              <w:rPr>
                <w:rFonts w:ascii="宋体" w:hAnsi="宋体" w:cs="宋体" w:eastAsia="宋体" w:hint="default"/>
                <w:sz w:val="18"/>
                <w:szCs w:val="18"/>
              </w:rPr>
              <w:t>董事、董秘、 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147,600.00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翟振群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0"/>
              <w:jc w:val="left"/>
              <w:rPr>
                <w:rFonts w:ascii="宋体" w:hAnsi="宋体" w:cs="宋体" w:eastAsia="宋体" w:hint="default"/>
                <w:sz w:val="18"/>
                <w:szCs w:val="18"/>
              </w:rPr>
            </w:pPr>
            <w:r>
              <w:rPr>
                <w:rFonts w:ascii="宋体" w:hAnsi="宋体" w:cs="宋体" w:eastAsia="宋体" w:hint="default"/>
                <w:sz w:val="18"/>
                <w:szCs w:val="18"/>
              </w:rPr>
              <w:t>董事、财务总 监、副总经理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147,600.00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侯文全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王铁军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52,000.00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8"/>
        <w:gridCol w:w="1195"/>
        <w:gridCol w:w="1195"/>
        <w:gridCol w:w="1196"/>
        <w:gridCol w:w="1196"/>
        <w:gridCol w:w="1195"/>
        <w:gridCol w:w="1196"/>
        <w:gridCol w:w="1196"/>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37,200.00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78,000.00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陈睿峰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1,392,400.00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1"/>
                <w:szCs w:val="11"/>
              </w:rPr>
            </w:pPr>
            <w:r>
              <w:rPr>
                <w:rFonts w:ascii="Times New Roman"/>
                <w:sz w:val="18"/>
              </w:rPr>
              <w:t>1,392,400.00</w:t>
            </w:r>
            <w:r>
              <w:rPr>
                <w:rFonts w:ascii="Times New Roman"/>
                <w:color w:val="FF0000"/>
                <w:position w:val="6"/>
                <w:sz w:val="11"/>
              </w:rPr>
              <w:t>1</w:t>
            </w:r>
            <w:r>
              <w:rPr>
                <w:rFonts w:ascii="Times New Roman"/>
                <w:sz w:val="11"/>
              </w:rPr>
            </w:r>
          </w:p>
        </w:tc>
      </w:tr>
    </w:tbl>
    <w:p>
      <w:pPr>
        <w:pStyle w:val="BodyText"/>
        <w:spacing w:line="338" w:lineRule="auto" w:before="50"/>
        <w:ind w:right="92"/>
        <w:jc w:val="left"/>
      </w:pPr>
      <w:r>
        <w:rPr/>
        <w:t>注：</w:t>
      </w:r>
      <w:r>
        <w:rPr>
          <w:rFonts w:ascii="Times New Roman" w:hAnsi="Times New Roman" w:cs="Times New Roman" w:eastAsia="Times New Roman" w:hint="default"/>
        </w:rPr>
        <w:t>1 </w:t>
      </w:r>
      <w:r>
        <w:rPr/>
        <w:t>上表中，董监高从公司获得的报酬总额未包含公司为其支付的社保、公积金部分。 公司董事、监事、高级管理人员报告期内被授予的股权激励情况</w:t>
      </w:r>
    </w:p>
    <w:p>
      <w:pPr>
        <w:pStyle w:val="BodyText"/>
        <w:spacing w:line="240" w:lineRule="auto" w:before="43"/>
        <w:ind w:right="92"/>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before="0"/>
        <w:ind w:right="92"/>
        <w:jc w:val="left"/>
        <w:rPr>
          <w:b w:val="0"/>
          <w:bCs w:val="0"/>
        </w:rPr>
      </w:pPr>
      <w:r>
        <w:rPr/>
        <w:t>四、报告期核心技术团队或关键技术人员变动情况（非董事、监事、高级管理人员）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报告期内，公司核心技术团队或关键技术人员未发生变动。</w:t>
      </w:r>
    </w:p>
    <w:p>
      <w:pPr>
        <w:spacing w:line="240" w:lineRule="auto" w:before="1"/>
        <w:rPr>
          <w:rFonts w:ascii="宋体" w:hAnsi="宋体" w:cs="宋体" w:eastAsia="宋体" w:hint="default"/>
          <w:sz w:val="25"/>
          <w:szCs w:val="25"/>
        </w:rPr>
      </w:pPr>
    </w:p>
    <w:p>
      <w:pPr>
        <w:pStyle w:val="Heading2"/>
        <w:spacing w:line="240" w:lineRule="auto" w:before="0"/>
        <w:ind w:right="92"/>
        <w:jc w:val="left"/>
        <w:rPr>
          <w:b w:val="0"/>
          <w:bCs w:val="0"/>
        </w:rPr>
      </w:pPr>
      <w:r>
        <w:rPr/>
        <w:t>五、公司员工情况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4" w:right="92"/>
        <w:jc w:val="left"/>
      </w:pPr>
      <w:r>
        <w:rPr/>
        <w:t>截至2012年12月31日，公司员工共有1128名，构成情况如下：</w:t>
      </w:r>
    </w:p>
    <w:p>
      <w:pPr>
        <w:pStyle w:val="Heading3"/>
        <w:spacing w:line="240" w:lineRule="auto" w:before="52"/>
        <w:ind w:left="536" w:right="92"/>
        <w:jc w:val="left"/>
        <w:rPr>
          <w:b w:val="0"/>
          <w:bCs w:val="0"/>
        </w:rPr>
      </w:pPr>
      <w:r>
        <w:rPr>
          <w:rFonts w:ascii="Times New Roman" w:hAnsi="Times New Roman" w:cs="Times New Roman" w:eastAsia="Times New Roman" w:hint="default"/>
        </w:rPr>
        <w:t>1</w:t>
      </w:r>
      <w:r>
        <w:rPr/>
        <w:t>、按专业构成划分</w:t>
      </w:r>
      <w:r>
        <w:rPr>
          <w:b w:val="0"/>
          <w:bCs w:val="0"/>
        </w:rPr>
      </w:r>
    </w:p>
    <w:p>
      <w:pPr>
        <w:spacing w:line="240" w:lineRule="auto" w:before="10"/>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3436"/>
        <w:gridCol w:w="3240"/>
        <w:gridCol w:w="2880"/>
      </w:tblGrid>
      <w:tr>
        <w:trPr>
          <w:trHeight w:val="348" w:hRule="exact"/>
        </w:trPr>
        <w:tc>
          <w:tcPr>
            <w:tcW w:w="3436"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分类</w:t>
            </w:r>
          </w:p>
        </w:tc>
        <w:tc>
          <w:tcPr>
            <w:tcW w:w="61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年末</w:t>
            </w:r>
          </w:p>
        </w:tc>
      </w:tr>
      <w:tr>
        <w:trPr>
          <w:trHeight w:val="347" w:hRule="exact"/>
        </w:trPr>
        <w:tc>
          <w:tcPr>
            <w:tcW w:w="3436" w:type="dxa"/>
            <w:vMerge/>
            <w:tcBorders>
              <w:left w:val="single" w:sz="6" w:space="0" w:color="000000"/>
              <w:bottom w:val="single" w:sz="6" w:space="0" w:color="000000"/>
              <w:right w:val="single" w:sz="6" w:space="0" w:color="000000"/>
            </w:tcBorders>
          </w:tcPr>
          <w:p>
            <w:pP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w w:val="95"/>
                <w:sz w:val="18"/>
              </w:rPr>
              <w:t>86</w:t>
            </w:r>
            <w:r>
              <w:rPr>
                <w:rFonts w:ascii="Times New Roman"/>
                <w:w w:val="95"/>
                <w:sz w:val="18"/>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w w:val="95"/>
                <w:sz w:val="18"/>
              </w:rPr>
              <w:t>7.62%</w:t>
            </w:r>
            <w:r>
              <w:rPr>
                <w:rFonts w:ascii="Times New Roman"/>
                <w:w w:val="95"/>
                <w:sz w:val="18"/>
              </w:rPr>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管理办公人员</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w w:val="95"/>
                <w:sz w:val="18"/>
              </w:rPr>
              <w:t>454</w:t>
            </w:r>
            <w:r>
              <w:rPr>
                <w:rFonts w:ascii="Times New Roman"/>
                <w:w w:val="95"/>
                <w:sz w:val="18"/>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40.25%</w:t>
            </w:r>
            <w:r>
              <w:rPr>
                <w:rFonts w:ascii="Times New Roman"/>
                <w:sz w:val="18"/>
              </w:rPr>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w w:val="95"/>
                <w:sz w:val="18"/>
              </w:rPr>
              <w:t>588</w:t>
            </w:r>
            <w:r>
              <w:rPr>
                <w:rFonts w:ascii="Times New Roman"/>
                <w:w w:val="95"/>
                <w:sz w:val="18"/>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52.13%</w:t>
            </w:r>
            <w:r>
              <w:rPr>
                <w:rFonts w:ascii="Times New Roman"/>
                <w:sz w:val="18"/>
              </w:rPr>
            </w:r>
          </w:p>
        </w:tc>
      </w:tr>
      <w:tr>
        <w:trPr>
          <w:trHeight w:val="42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3"/>
                <w:sz w:val="18"/>
              </w:rPr>
              <w:t>1128</w:t>
            </w:r>
            <w:r>
              <w:rPr>
                <w:rFonts w:ascii="Times New Roman"/>
                <w:sz w:val="18"/>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r>
    </w:tbl>
    <w:p>
      <w:pPr>
        <w:pStyle w:val="Heading3"/>
        <w:spacing w:line="276" w:lineRule="exact"/>
        <w:ind w:left="536" w:right="92"/>
        <w:jc w:val="left"/>
        <w:rPr>
          <w:b w:val="0"/>
          <w:bCs w:val="0"/>
        </w:rPr>
      </w:pPr>
      <w:r>
        <w:rPr>
          <w:rFonts w:ascii="Times New Roman" w:hAnsi="Times New Roman" w:cs="Times New Roman" w:eastAsia="Times New Roman" w:hint="default"/>
        </w:rPr>
        <w:t>2</w:t>
      </w:r>
      <w:r>
        <w:rPr/>
        <w:t>、按受教育程度划分</w:t>
      </w:r>
      <w:r>
        <w:rPr>
          <w:b w:val="0"/>
          <w:bCs w:val="0"/>
        </w:rPr>
      </w:r>
    </w:p>
    <w:p>
      <w:pPr>
        <w:spacing w:line="240" w:lineRule="auto" w:before="11"/>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3616"/>
        <w:gridCol w:w="3060"/>
        <w:gridCol w:w="2921"/>
      </w:tblGrid>
      <w:tr>
        <w:trPr>
          <w:trHeight w:val="347" w:hRule="exact"/>
        </w:trPr>
        <w:tc>
          <w:tcPr>
            <w:tcW w:w="3616" w:type="dxa"/>
            <w:vMerge w:val="restart"/>
            <w:tcBorders>
              <w:top w:val="single" w:sz="6" w:space="0" w:color="000000"/>
              <w:left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9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年末</w:t>
            </w:r>
          </w:p>
        </w:tc>
      </w:tr>
      <w:tr>
        <w:trPr>
          <w:trHeight w:val="347" w:hRule="exact"/>
        </w:trPr>
        <w:tc>
          <w:tcPr>
            <w:tcW w:w="3616" w:type="dxa"/>
            <w:vMerge/>
            <w:tcBorders>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47"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90</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7.98%</w:t>
            </w:r>
          </w:p>
        </w:tc>
      </w:tr>
      <w:tr>
        <w:trPr>
          <w:trHeight w:val="347"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133</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2"/>
                <w:sz w:val="18"/>
              </w:rPr>
              <w:t>11.79%</w:t>
            </w:r>
          </w:p>
        </w:tc>
      </w:tr>
      <w:tr>
        <w:trPr>
          <w:trHeight w:val="347"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905</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80.23%</w:t>
            </w:r>
          </w:p>
        </w:tc>
      </w:tr>
      <w:tr>
        <w:trPr>
          <w:trHeight w:val="427" w:hRule="exact"/>
        </w:trPr>
        <w:tc>
          <w:tcPr>
            <w:tcW w:w="3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2"/>
                <w:sz w:val="18"/>
              </w:rPr>
              <w:t>1128</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0"/>
        <w:ind w:right="92"/>
        <w:jc w:val="left"/>
      </w:pPr>
      <w:r>
        <w:rPr/>
        <w:t>公司没有需要承担费用的离退休职工。</w:t>
      </w:r>
    </w:p>
    <w:p>
      <w:pPr>
        <w:spacing w:after="0" w:line="240" w:lineRule="auto"/>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710" w:right="3866"/>
        <w:jc w:val="center"/>
        <w:rPr>
          <w:b w:val="0"/>
          <w:bCs w:val="0"/>
        </w:rPr>
      </w:pPr>
      <w:bookmarkStart w:name="_TOC_250002" w:id="1"/>
      <w:r>
        <w:rPr/>
        <w:t>第八节</w:t>
      </w:r>
      <w:r>
        <w:rPr>
          <w:spacing w:val="-2"/>
        </w:rPr>
        <w:t> </w:t>
      </w:r>
      <w:r>
        <w:rPr/>
        <w:t>公司治理</w:t>
      </w:r>
      <w:bookmarkEnd w:id="1"/>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17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271" w:firstLine="360"/>
        <w:jc w:val="both"/>
      </w:pPr>
      <w:r>
        <w:rPr>
          <w:spacing w:val="-2"/>
        </w:rPr>
        <w:t>报告期内，公司严格按照《公司法》、《证券法》、《深圳证券交易所创业板股票上市规则》、《深圳证券交易所创业</w:t>
      </w:r>
      <w:r>
        <w:rPr/>
        <w:t> </w:t>
      </w:r>
      <w:r>
        <w:rPr>
          <w:spacing w:val="-2"/>
        </w:rPr>
        <w:t>板上市公司规范运作指引》等有关法律、行政法规和规范性文件的要求，强化对公司内部控制的检查，完善公司的法人治理</w:t>
      </w:r>
      <w:r>
        <w:rPr>
          <w:spacing w:val="-67"/>
        </w:rPr>
        <w:t> </w:t>
      </w:r>
      <w:r>
        <w:rPr>
          <w:spacing w:val="-67"/>
        </w:rPr>
      </w:r>
      <w:r>
        <w:rPr>
          <w:spacing w:val="-5"/>
        </w:rPr>
        <w:t>结构，防范及控制经营决策及管理风险，促进公司规范运作，提高公司治理水平。截至报告期末，公司治理实际情况符合《上</w:t>
      </w:r>
      <w:r>
        <w:rPr>
          <w:spacing w:val="-79"/>
        </w:rPr>
        <w:t> </w:t>
      </w:r>
      <w:r>
        <w:rPr>
          <w:spacing w:val="-79"/>
        </w:rPr>
      </w:r>
      <w:r>
        <w:rPr/>
        <w:t>市公司治理准则》和《深圳证券交易所创业板上市公司规范运作指引》等文件的要求。</w:t>
      </w:r>
    </w:p>
    <w:p>
      <w:pPr>
        <w:pStyle w:val="BodyText"/>
        <w:spacing w:line="316" w:lineRule="auto" w:before="19"/>
        <w:ind w:left="474" w:right="170"/>
        <w:jc w:val="left"/>
      </w:pPr>
      <w:r>
        <w:rPr>
          <w:rFonts w:ascii="宋体" w:hAnsi="宋体" w:cs="宋体" w:eastAsia="宋体" w:hint="default"/>
          <w:b/>
          <w:bCs/>
        </w:rPr>
        <w:t>1、股东与股东大会</w:t>
      </w:r>
      <w:r>
        <w:rPr>
          <w:rFonts w:ascii="宋体" w:hAnsi="宋体" w:cs="宋体" w:eastAsia="宋体" w:hint="default"/>
          <w:b/>
          <w:bCs/>
          <w:w w:val="99"/>
        </w:rPr>
        <w:t> </w:t>
      </w:r>
      <w:r>
        <w:rPr>
          <w:spacing w:val="-2"/>
        </w:rPr>
        <w:t>公司股东按照《公司章程》的规定按其所持股份享受股东权利，并承担相应义务。股东大会是公司最高权力机构，公司</w:t>
      </w:r>
    </w:p>
    <w:p>
      <w:pPr>
        <w:pStyle w:val="BodyText"/>
        <w:spacing w:line="316" w:lineRule="auto" w:before="19"/>
        <w:ind w:right="170"/>
        <w:jc w:val="left"/>
      </w:pPr>
      <w:r>
        <w:rPr/>
        <w:t>严格按照《上市公司股东大会规则》、《公司章程》和《股东大会议事规则》等规定和要求，规范地召集、召开股东大会， </w:t>
      </w:r>
      <w:r>
        <w:rPr>
          <w:spacing w:val="-2"/>
        </w:rPr>
        <w:t>确保所有股东，特别是中小股东享有平等的地位并能充分行使相应的权利。公司在业务、资产、人员、机构、财务等方面均</w:t>
      </w:r>
      <w:r>
        <w:rPr>
          <w:spacing w:val="-69"/>
        </w:rPr>
        <w:t> </w:t>
      </w:r>
      <w:r>
        <w:rPr>
          <w:spacing w:val="-69"/>
        </w:rPr>
      </w:r>
      <w:r>
        <w:rPr/>
        <w:t>独立于股东，充分保护了社会公众股股东的权益。</w:t>
      </w:r>
    </w:p>
    <w:p>
      <w:pPr>
        <w:spacing w:line="316" w:lineRule="auto" w:before="19"/>
        <w:ind w:left="474" w:right="170" w:firstLine="0"/>
        <w:jc w:val="left"/>
        <w:rPr>
          <w:rFonts w:ascii="宋体" w:hAnsi="宋体" w:cs="宋体" w:eastAsia="宋体" w:hint="default"/>
          <w:sz w:val="18"/>
          <w:szCs w:val="18"/>
        </w:rPr>
      </w:pPr>
      <w:r>
        <w:rPr>
          <w:rFonts w:ascii="宋体" w:hAnsi="宋体" w:cs="宋体" w:eastAsia="宋体" w:hint="default"/>
          <w:b/>
          <w:bCs/>
          <w:sz w:val="18"/>
          <w:szCs w:val="18"/>
        </w:rPr>
        <w:t>2、公司与控股股东、实际控制人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公司控股股东、实际控制人严格按照相关法律、法规、公司章程等规范自己的行为，没有超越股东大会直接或间接干预</w:t>
      </w:r>
    </w:p>
    <w:p>
      <w:pPr>
        <w:pStyle w:val="BodyText"/>
        <w:spacing w:line="316" w:lineRule="auto" w:before="19"/>
        <w:ind w:right="271"/>
        <w:jc w:val="both"/>
      </w:pPr>
      <w:r>
        <w:rPr>
          <w:spacing w:val="-2"/>
        </w:rPr>
        <w:t>公司的决策和经营活动。公司拥有独立完整的业务体系和自主经营能力，在业务、组织机构、财务、人员、资产上独立于控</w:t>
      </w:r>
      <w:r>
        <w:rPr>
          <w:spacing w:val="-69"/>
        </w:rPr>
        <w:t> </w:t>
      </w:r>
      <w:r>
        <w:rPr>
          <w:spacing w:val="-69"/>
        </w:rPr>
      </w:r>
      <w:r>
        <w:rPr>
          <w:spacing w:val="-2"/>
        </w:rPr>
        <w:t>股股东和实际控制人，公司董事会和监事会等内部机构独立运作。报告期内，公司没有为控股股东及关联企业提供担保，亦</w:t>
      </w:r>
      <w:r>
        <w:rPr>
          <w:spacing w:val="-64"/>
        </w:rPr>
        <w:t> </w:t>
      </w:r>
      <w:r>
        <w:rPr>
          <w:spacing w:val="-64"/>
        </w:rPr>
      </w:r>
      <w:r>
        <w:rPr/>
        <w:t>不存在控股股东占用上市公司资金的行为。</w:t>
      </w:r>
    </w:p>
    <w:p>
      <w:pPr>
        <w:pStyle w:val="BodyText"/>
        <w:spacing w:line="316" w:lineRule="auto" w:before="19"/>
        <w:ind w:left="474" w:right="170"/>
        <w:jc w:val="left"/>
      </w:pPr>
      <w:r>
        <w:rPr>
          <w:rFonts w:ascii="宋体" w:hAnsi="宋体" w:cs="宋体" w:eastAsia="宋体" w:hint="default"/>
          <w:b/>
          <w:bCs/>
        </w:rPr>
        <w:t>3、董事与董事会</w:t>
      </w:r>
      <w:r>
        <w:rPr>
          <w:rFonts w:ascii="宋体" w:hAnsi="宋体" w:cs="宋体" w:eastAsia="宋体" w:hint="default"/>
          <w:b/>
          <w:bCs/>
          <w:w w:val="99"/>
        </w:rPr>
        <w:t> </w:t>
      </w:r>
      <w:r>
        <w:rPr>
          <w:spacing w:val="-2"/>
        </w:rPr>
        <w:t>公司董事会设董事9名，其中独立董事3名，董事会的人员构成符合法律、法规和《公司章程》的要求，公司董事会下设</w:t>
      </w:r>
    </w:p>
    <w:p>
      <w:pPr>
        <w:pStyle w:val="BodyText"/>
        <w:spacing w:line="240" w:lineRule="auto" w:before="19"/>
        <w:ind w:right="0"/>
        <w:jc w:val="left"/>
      </w:pPr>
      <w:r>
        <w:rPr>
          <w:spacing w:val="-2"/>
        </w:rPr>
        <w:t>战略、薪酬和考核、提名、审计等四个专门委员会。报告期内，各专门委员会分别按照《董事会战略发展委员会工作细则》、</w:t>
      </w:r>
    </w:p>
    <w:p>
      <w:pPr>
        <w:pStyle w:val="BodyText"/>
        <w:spacing w:line="316" w:lineRule="auto" w:before="76"/>
        <w:ind w:right="271"/>
        <w:jc w:val="both"/>
      </w:pPr>
      <w:r>
        <w:rPr>
          <w:spacing w:val="-2"/>
        </w:rPr>
        <w:t>《董事会薪酬和考核委员会工作细则》、《董事会提名委员会工作细则》和《审计委员会年报工作规则》、《审计委员会议</w:t>
      </w:r>
      <w:r>
        <w:rPr>
          <w:spacing w:val="-67"/>
        </w:rPr>
        <w:t> </w:t>
      </w:r>
      <w:r>
        <w:rPr>
          <w:spacing w:val="-67"/>
        </w:rPr>
      </w:r>
      <w:r>
        <w:rPr>
          <w:spacing w:val="-2"/>
        </w:rPr>
        <w:t>事规则》开展工作；各位董事能够依据《董事会议事规则》、《独立董事制度》、《深圳证券交易所创业板上市公司规范运</w:t>
      </w:r>
      <w:r>
        <w:rPr>
          <w:spacing w:val="-68"/>
        </w:rPr>
        <w:t> </w:t>
      </w:r>
      <w:r>
        <w:rPr>
          <w:spacing w:val="-68"/>
        </w:rPr>
      </w:r>
      <w:r>
        <w:rPr/>
        <w:t>作指引》等开展工作，出席董事会和股东大会，勤勉尽责地履行职责和义务。</w:t>
      </w:r>
    </w:p>
    <w:p>
      <w:pPr>
        <w:pStyle w:val="BodyText"/>
        <w:spacing w:line="316" w:lineRule="auto" w:before="19"/>
        <w:ind w:left="474" w:right="170" w:hanging="8"/>
        <w:jc w:val="left"/>
      </w:pPr>
      <w:r>
        <w:rPr>
          <w:rFonts w:ascii="宋体" w:hAnsi="宋体" w:cs="宋体" w:eastAsia="宋体" w:hint="default"/>
          <w:b/>
          <w:bCs/>
        </w:rPr>
        <w:t>4、监事与监事会</w:t>
      </w:r>
      <w:r>
        <w:rPr>
          <w:rFonts w:ascii="宋体" w:hAnsi="宋体" w:cs="宋体" w:eastAsia="宋体" w:hint="default"/>
          <w:b/>
          <w:bCs/>
          <w:w w:val="99"/>
        </w:rPr>
        <w:t> </w:t>
      </w:r>
      <w:r>
        <w:rPr>
          <w:spacing w:val="-2"/>
        </w:rPr>
        <w:t>公司监事会设监事3名，其中职工监事1名，监事会的人员构成符合法律、法规和《公司章程》的要求。报告期内，各位</w:t>
      </w:r>
    </w:p>
    <w:p>
      <w:pPr>
        <w:pStyle w:val="BodyText"/>
        <w:spacing w:line="316" w:lineRule="auto" w:before="19"/>
        <w:ind w:right="170"/>
        <w:jc w:val="left"/>
      </w:pPr>
      <w:r>
        <w:rPr>
          <w:spacing w:val="-2"/>
        </w:rPr>
        <w:t>监事能够按照《监事会议事规则》的要求，认真履行自己的职责，本着对公司和全体股东负责的精神，依法、独立地对公司</w:t>
      </w:r>
      <w:r>
        <w:rPr>
          <w:spacing w:val="-68"/>
        </w:rPr>
        <w:t> </w:t>
      </w:r>
      <w:r>
        <w:rPr>
          <w:spacing w:val="-68"/>
        </w:rPr>
      </w:r>
      <w:r>
        <w:rPr/>
        <w:t>的重大事项、财务状况以及董事、高管人员履行职责的合法合规性进行监督。</w:t>
      </w:r>
    </w:p>
    <w:p>
      <w:pPr>
        <w:spacing w:line="316" w:lineRule="auto" w:before="19"/>
        <w:ind w:left="474" w:right="170" w:hanging="8"/>
        <w:jc w:val="left"/>
        <w:rPr>
          <w:rFonts w:ascii="宋体" w:hAnsi="宋体" w:cs="宋体" w:eastAsia="宋体" w:hint="default"/>
          <w:sz w:val="18"/>
          <w:szCs w:val="18"/>
        </w:rPr>
      </w:pPr>
      <w:r>
        <w:rPr>
          <w:rFonts w:ascii="宋体" w:hAnsi="宋体" w:cs="宋体" w:eastAsia="宋体" w:hint="default"/>
          <w:b/>
          <w:bCs/>
          <w:sz w:val="18"/>
          <w:szCs w:val="18"/>
        </w:rPr>
        <w:t>5、绩效评价与激励约束机制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公司建立了高级管理人员的薪酬与企业经营业绩挂钩的激励约束机制。公司董事会下设的提名委员会、薪酬和考核委员</w:t>
      </w:r>
    </w:p>
    <w:p>
      <w:pPr>
        <w:pStyle w:val="BodyText"/>
        <w:spacing w:line="316" w:lineRule="auto" w:before="19"/>
        <w:ind w:left="474" w:right="170" w:hanging="360"/>
        <w:jc w:val="left"/>
      </w:pPr>
      <w:r>
        <w:rPr/>
        <w:t>会负责对公司的董事、监事、高管进行绩效考核，公司现有的考核及激励约束机制符合公司的发展现状。 </w:t>
      </w:r>
      <w:r>
        <w:rPr>
          <w:rFonts w:ascii="宋体" w:hAnsi="宋体" w:cs="宋体" w:eastAsia="宋体" w:hint="default"/>
          <w:b/>
          <w:bCs/>
        </w:rPr>
        <w:t>6、关于信息披露与透明度</w:t>
      </w:r>
      <w:r>
        <w:rPr>
          <w:rFonts w:ascii="宋体" w:hAnsi="宋体" w:cs="宋体" w:eastAsia="宋体" w:hint="default"/>
          <w:b/>
          <w:bCs/>
          <w:w w:val="99"/>
        </w:rPr>
        <w:t> </w:t>
      </w:r>
      <w:r>
        <w:rPr>
          <w:spacing w:val="-2"/>
        </w:rPr>
        <w:t>公司制定的《信息披露制度》规范了公司信息披露行为，确保披露信息真实、准确、完整、及时，促进公司依法规范运</w:t>
      </w:r>
    </w:p>
    <w:p>
      <w:pPr>
        <w:pStyle w:val="BodyText"/>
        <w:spacing w:line="316" w:lineRule="auto" w:before="19"/>
        <w:ind w:right="260"/>
        <w:jc w:val="left"/>
      </w:pPr>
      <w:r>
        <w:rPr>
          <w:spacing w:val="-1"/>
        </w:rPr>
        <w:t>作，维护公司和投资者的合法权益。</w:t>
      </w:r>
      <w:r>
        <w:rPr>
          <w:spacing w:val="18"/>
        </w:rPr>
        <w:t> </w:t>
      </w:r>
      <w:r>
        <w:rPr>
          <w:spacing w:val="-2"/>
        </w:rPr>
        <w:t>公司制定《中国证券报》、《证券时报》和巨潮网</w:t>
      </w:r>
      <w:hyperlink r:id="rId12">
        <w:r>
          <w:rPr>
            <w:spacing w:val="-2"/>
          </w:rPr>
          <w:t>（www.cninfo.com.cn）</w:t>
        </w:r>
      </w:hyperlink>
      <w:r>
        <w:rPr>
          <w:spacing w:val="-2"/>
        </w:rPr>
        <w:t>为公司信息</w:t>
      </w:r>
      <w:r>
        <w:rPr>
          <w:spacing w:val="-87"/>
        </w:rPr>
        <w:t> </w:t>
      </w:r>
      <w:r>
        <w:rPr>
          <w:spacing w:val="-87"/>
        </w:rPr>
      </w:r>
      <w:r>
        <w:rPr/>
        <w:t>披露的指定报纸和网站，确保公司所有股东能够以平等的机会获得信息。</w:t>
      </w:r>
    </w:p>
    <w:p>
      <w:pPr>
        <w:pStyle w:val="BodyText"/>
        <w:spacing w:line="316" w:lineRule="auto" w:before="19"/>
        <w:ind w:left="474" w:right="170"/>
        <w:jc w:val="left"/>
      </w:pPr>
      <w:r>
        <w:rPr>
          <w:rFonts w:ascii="宋体" w:hAnsi="宋体" w:cs="宋体" w:eastAsia="宋体" w:hint="default"/>
          <w:b/>
          <w:bCs/>
        </w:rPr>
        <w:t>7、相关利益者</w:t>
      </w:r>
      <w:r>
        <w:rPr>
          <w:rFonts w:ascii="宋体" w:hAnsi="宋体" w:cs="宋体" w:eastAsia="宋体" w:hint="default"/>
          <w:b/>
          <w:bCs/>
          <w:w w:val="99"/>
        </w:rPr>
        <w:t> </w:t>
      </w:r>
      <w:r>
        <w:rPr>
          <w:spacing w:val="-4"/>
        </w:rPr>
        <w:t>公司充分尊重和维护相关利益者的合法权益，实现社会、股东、员工等各方面利益的协调平衡，诚信对待供应商和客户，</w:t>
      </w:r>
    </w:p>
    <w:p>
      <w:pPr>
        <w:pStyle w:val="BodyText"/>
        <w:spacing w:line="240" w:lineRule="auto" w:before="19"/>
        <w:ind w:right="170"/>
        <w:jc w:val="left"/>
      </w:pPr>
      <w:r>
        <w:rPr/>
        <w:t>坚持与相关利益者互利共赢的原则，共同推动公司持续、稳健发展。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170"/>
        <w:jc w:val="left"/>
      </w:pPr>
      <w:r>
        <w:rPr/>
        <w:t>公司治理与《公司法》和中国证监会相关规定的要求是否存在差异</w:t>
      </w:r>
    </w:p>
    <w:p>
      <w:pPr>
        <w:pStyle w:val="BodyText"/>
        <w:spacing w:line="240" w:lineRule="auto" w:before="116"/>
        <w:ind w:right="1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0" w:top="1060" w:bottom="1160" w:left="1020" w:right="860"/>
        </w:sectPr>
      </w:pPr>
    </w:p>
    <w:p>
      <w:pPr>
        <w:spacing w:line="240" w:lineRule="auto" w:before="9"/>
        <w:rPr>
          <w:rFonts w:ascii="宋体" w:hAnsi="宋体" w:cs="宋体" w:eastAsia="宋体" w:hint="default"/>
          <w:sz w:val="23"/>
          <w:szCs w:val="23"/>
        </w:rPr>
      </w:pPr>
    </w:p>
    <w:p>
      <w:pPr>
        <w:pStyle w:val="Heading2"/>
        <w:spacing w:line="240" w:lineRule="auto"/>
        <w:ind w:right="91"/>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1"/>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9"/>
          <w:szCs w:val="19"/>
        </w:rPr>
      </w:pPr>
    </w:p>
    <w:p>
      <w:pPr>
        <w:pStyle w:val="Heading3"/>
        <w:spacing w:line="240" w:lineRule="auto" w:before="35"/>
        <w:ind w:right="91"/>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年第三次临时股东大会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91"/>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91"/>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1" w:firstLine="360"/>
        <w:jc w:val="left"/>
      </w:pPr>
      <w:r>
        <w:rPr>
          <w:spacing w:val="-4"/>
        </w:rPr>
        <w:t>为了提高公司的规范运作水平，增强信息披露的真实性、准确性、完整性和及时性，提高年报信息披露的质量和透明度，</w:t>
      </w:r>
      <w:r>
        <w:rPr/>
        <w:t> </w:t>
      </w:r>
      <w:r>
        <w:rPr>
          <w:spacing w:val="-3"/>
        </w:rPr>
        <w:t>公司第一届董事会第十一次会议审议通过了《年报信息披露重大差错责任追究制度》。</w:t>
      </w:r>
    </w:p>
    <w:p>
      <w:pPr>
        <w:spacing w:after="0" w:line="316" w:lineRule="auto"/>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07" w:lineRule="auto" w:before="44"/>
        <w:ind w:right="111" w:firstLine="360"/>
        <w:jc w:val="both"/>
      </w:pPr>
      <w:r>
        <w:rPr>
          <w:spacing w:val="-5"/>
        </w:rPr>
        <w:t>报告期内，由于公司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年的四项长期资产达到预定可使用状态的时点及摊销期限的认定有误，导致折旧及摊销金额 </w:t>
      </w:r>
      <w:r>
        <w:rPr>
          <w:spacing w:val="-2"/>
        </w:rPr>
        <w:t>增加影响利润，以及深圳子公司的广告进度提前，根据会计准则要求广告费用需按实际进度配比入账进而影响利润，导致公</w:t>
      </w:r>
      <w:r>
        <w:rPr>
          <w:spacing w:val="-65"/>
        </w:rPr>
        <w:t> </w:t>
      </w:r>
      <w:r>
        <w:rPr>
          <w:spacing w:val="-65"/>
        </w:rPr>
      </w:r>
      <w:r>
        <w:rPr/>
        <w:t>司</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年度业绩预增预告预计业绩增长与实际增长幅度之间形成差异，公司在随后的</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spacing w:val="-5"/>
        </w:rPr>
        <w:t>年度业绩快报中进行了修正，并</w:t>
      </w:r>
      <w:r>
        <w:rPr/>
        <w:t> 按照《年报信息披露重大差错责任追究制度》等公司制度，对相关责任人员追究了责任。</w:t>
      </w:r>
    </w:p>
    <w:p>
      <w:pPr>
        <w:spacing w:line="240" w:lineRule="auto" w:before="4"/>
        <w:rPr>
          <w:rFonts w:ascii="宋体" w:hAnsi="宋体" w:cs="宋体" w:eastAsia="宋体" w:hint="default"/>
          <w:sz w:val="21"/>
          <w:szCs w:val="21"/>
        </w:rPr>
      </w:pPr>
    </w:p>
    <w:p>
      <w:pPr>
        <w:pStyle w:val="Heading2"/>
        <w:spacing w:line="240" w:lineRule="auto" w:before="0"/>
        <w:ind w:right="92"/>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2"/>
        <w:jc w:val="left"/>
      </w:pPr>
      <w:r>
        <w:rPr/>
        <w:t>监事会在报告期内的监督活动是否发现公司存在风险</w:t>
      </w:r>
    </w:p>
    <w:p>
      <w:pPr>
        <w:pStyle w:val="BodyText"/>
        <w:spacing w:line="340" w:lineRule="auto" w:before="116"/>
        <w:ind w:right="63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40" w:lineRule="auto"/>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455" w:right="531"/>
        <w:jc w:val="center"/>
        <w:rPr>
          <w:b w:val="0"/>
          <w:bCs w:val="0"/>
        </w:rPr>
      </w:pPr>
      <w:bookmarkStart w:name="_TOC_250001" w:id="2"/>
      <w:r>
        <w:rPr/>
        <w:t>第九节</w:t>
      </w:r>
      <w:r>
        <w:rPr>
          <w:spacing w:val="-2"/>
        </w:rPr>
        <w:t> </w:t>
      </w:r>
      <w:r>
        <w:rPr/>
        <w:t>财务报告</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1"/>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广东正中珠江会计师事务所有限公司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广会所审字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13000630018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pStyle w:val="BodyText"/>
        <w:spacing w:line="240" w:lineRule="auto" w:before="50"/>
        <w:ind w:left="455" w:right="532"/>
        <w:jc w:val="center"/>
      </w:pPr>
      <w:r>
        <w:rPr/>
        <w:t>审计报告正文</w:t>
      </w:r>
    </w:p>
    <w:p>
      <w:pPr>
        <w:pStyle w:val="Heading5"/>
        <w:spacing w:line="240" w:lineRule="auto"/>
        <w:ind w:left="474" w:right="91"/>
        <w:jc w:val="left"/>
        <w:rPr>
          <w:b w:val="0"/>
          <w:bCs w:val="0"/>
        </w:rPr>
      </w:pPr>
      <w:r>
        <w:rPr/>
        <w:t>广东长城集团股份有限公司全体股东：</w:t>
      </w:r>
      <w:r>
        <w:rPr>
          <w:b w:val="0"/>
          <w:bCs w:val="0"/>
        </w:rPr>
      </w:r>
    </w:p>
    <w:p>
      <w:pPr>
        <w:pStyle w:val="BodyText"/>
        <w:spacing w:line="300" w:lineRule="auto" w:before="116"/>
        <w:ind w:right="219" w:firstLine="360"/>
        <w:jc w:val="both"/>
      </w:pPr>
      <w:r>
        <w:rPr/>
        <w:t>我们审计了后附的广东长城集团股份有限公司（以下简称</w:t>
      </w:r>
      <w:r>
        <w:rPr>
          <w:rFonts w:ascii="Times New Roman" w:hAnsi="Times New Roman" w:cs="Times New Roman" w:eastAsia="Times New Roman" w:hint="default"/>
        </w:rPr>
        <w:t>“</w:t>
      </w:r>
      <w:r>
        <w:rPr/>
        <w:t>长城集团</w:t>
      </w:r>
      <w:r>
        <w:rPr>
          <w:rFonts w:ascii="Times New Roman" w:hAnsi="Times New Roman" w:cs="Times New Roman" w:eastAsia="Times New Roman" w:hint="default"/>
        </w:rPr>
        <w:t>”</w:t>
      </w:r>
      <w:r>
        <w:rPr/>
        <w:t>）财务报表，包括</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 公司资产负债表，</w:t>
      </w:r>
      <w:r>
        <w:rPr>
          <w:rFonts w:ascii="Times New Roman" w:hAnsi="Times New Roman" w:cs="Times New Roman" w:eastAsia="Times New Roman" w:hint="default"/>
        </w:rPr>
        <w:t>2012 </w:t>
      </w:r>
      <w:r>
        <w:rPr/>
        <w:t>年度的合并及母公司利润表、合并及母公司现金流量表、合并及母公司股东权益变动表，以及财务 报表附注。</w:t>
      </w:r>
    </w:p>
    <w:p>
      <w:pPr>
        <w:spacing w:line="357" w:lineRule="auto" w:before="72"/>
        <w:ind w:left="474" w:right="91"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编制和公允列报财务报表是长城集团管理层的责任，这种责任包括：（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）按照企业会计准则的规定编制财务报表，并使</w:t>
      </w:r>
    </w:p>
    <w:p>
      <w:pPr>
        <w:pStyle w:val="BodyText"/>
        <w:spacing w:line="214" w:lineRule="exact"/>
        <w:ind w:right="91"/>
        <w:jc w:val="left"/>
      </w:pPr>
      <w:r>
        <w:rPr/>
        <w:t>其实现公允反映</w:t>
      </w:r>
      <w:r>
        <w:rPr>
          <w:spacing w:val="-90"/>
        </w:rPr>
        <w:t>；</w:t>
      </w:r>
      <w:r>
        <w:rPr/>
        <w:t>（</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60" w:lineRule="auto" w:before="102"/>
        <w:ind w:left="474" w:right="9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222" w:lineRule="exact"/>
        <w:ind w:right="0"/>
        <w:jc w:val="left"/>
      </w:pPr>
      <w:r>
        <w:rPr/>
        <w:t>工作。中国注册会计师审计准则要求我们遵守中国注册会计师职业道德守则，计划和执行审计工作以对财务报表是否不存在</w:t>
      </w:r>
    </w:p>
    <w:p>
      <w:pPr>
        <w:pStyle w:val="BodyText"/>
        <w:spacing w:line="357" w:lineRule="auto" w:before="76"/>
        <w:ind w:left="474" w:right="90" w:hanging="360"/>
        <w:jc w:val="left"/>
      </w:pPr>
      <w:r>
        <w:rPr/>
        <w:t>重大错报获取合理保证。 审计工作涉及实施审计程序，以获取有关财务报表金额和披露的审计证据。选择的审计程序取决于注册会计师的判断，</w:t>
      </w:r>
    </w:p>
    <w:p>
      <w:pPr>
        <w:pStyle w:val="BodyText"/>
        <w:spacing w:line="224" w:lineRule="exact"/>
        <w:ind w:right="0"/>
        <w:jc w:val="left"/>
      </w:pPr>
      <w:r>
        <w:rPr/>
        <w:t>包括对由于舞弊或错误导致的财务报表重大错报风险的评估。在进行风险评估时，注册会计师考虑与财务报表编制和公允列</w:t>
      </w:r>
    </w:p>
    <w:p>
      <w:pPr>
        <w:pStyle w:val="BodyText"/>
        <w:spacing w:line="316" w:lineRule="auto" w:before="76"/>
        <w:ind w:right="91"/>
        <w:jc w:val="left"/>
      </w:pPr>
      <w:r>
        <w:rPr>
          <w:spacing w:val="-2"/>
        </w:rPr>
        <w:t>报相关的内部控制，以设计恰当的审计程序，但目的并非对内部控制的有效性发表意见。审计工作还包括评价管理层选用会</w:t>
      </w:r>
      <w:r>
        <w:rPr>
          <w:spacing w:val="-65"/>
        </w:rPr>
        <w:t> </w:t>
      </w:r>
      <w:r>
        <w:rPr>
          <w:spacing w:val="-65"/>
        </w:rPr>
      </w:r>
      <w:r>
        <w:rPr/>
        <w:t>计政策的恰当性和作出会计估计的合理性，以及评价财务报表的总体列报。</w:t>
      </w:r>
    </w:p>
    <w:p>
      <w:pPr>
        <w:pStyle w:val="BodyText"/>
        <w:spacing w:line="360" w:lineRule="auto" w:before="58"/>
        <w:ind w:left="474" w:right="3150"/>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26"/>
        <w:ind w:left="474" w:right="91"/>
        <w:jc w:val="left"/>
      </w:pPr>
      <w:r>
        <w:rPr/>
        <w:t>我们认为，长城集团财务报表在所有重大方面按照企业会计准则的规定编制，公允反映了长城集团</w:t>
      </w:r>
      <w:r>
        <w:rPr>
          <w:spacing w:val="-46"/>
        </w:rPr>
        <w:t> </w:t>
      </w:r>
      <w:r>
        <w:rPr>
          <w:rFonts w:ascii="Times New Roman" w:hAnsi="Times New Roman" w:cs="Times New Roman" w:eastAsia="Times New Roman" w:hint="default"/>
        </w:rPr>
        <w:t>2012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63"/>
        <w:ind w:right="91"/>
        <w:jc w:val="left"/>
      </w:pPr>
      <w:r>
        <w:rPr/>
        <w:t>的财务状况以及</w:t>
      </w:r>
      <w:r>
        <w:rPr>
          <w:spacing w:val="-46"/>
        </w:rPr>
        <w:t> </w:t>
      </w:r>
      <w:r>
        <w:rPr>
          <w:rFonts w:ascii="Times New Roman" w:hAnsi="Times New Roman" w:cs="Times New Roman" w:eastAsia="Times New Roman" w:hint="default"/>
        </w:rPr>
        <w:t>2012 </w:t>
      </w:r>
      <w:r>
        <w:rPr/>
        <w:t>年度的经营成果和现金流量。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tabs>
          <w:tab w:pos="5153" w:val="left" w:leader="none"/>
        </w:tabs>
        <w:spacing w:line="717" w:lineRule="auto"/>
        <w:ind w:left="5154" w:right="2808" w:hanging="4680"/>
        <w:jc w:val="left"/>
      </w:pPr>
      <w:r>
        <w:rPr/>
        <w:t>广东正中珠江会计师事务所有限公司</w:t>
        <w:tab/>
        <w:t>中国注册会计师：杨文蔚 中国注册会计师：杨新春</w:t>
      </w:r>
    </w:p>
    <w:p>
      <w:pPr>
        <w:pStyle w:val="BodyText"/>
        <w:tabs>
          <w:tab w:pos="5153" w:val="left" w:leader="none"/>
        </w:tabs>
        <w:spacing w:line="240" w:lineRule="auto" w:before="109"/>
        <w:ind w:left="474" w:right="91"/>
        <w:jc w:val="left"/>
      </w:pPr>
      <w:r>
        <w:rPr/>
        <w:t>中国  广州</w:t>
        <w:tab/>
        <w:t>二〇一三年三月二十九日</w:t>
      </w:r>
    </w:p>
    <w:p>
      <w:pPr>
        <w:spacing w:after="0" w:line="240" w:lineRule="auto"/>
        <w:jc w:val="left"/>
        <w:sectPr>
          <w:footerReference w:type="default" r:id="rId22"/>
          <w:pgSz w:w="11910" w:h="16840"/>
          <w:pgMar w:footer="980" w:header="747" w:top="1060" w:bottom="1160" w:left="1020" w:right="940"/>
        </w:sectPr>
      </w:pPr>
    </w:p>
    <w:p>
      <w:pPr>
        <w:spacing w:line="240" w:lineRule="auto" w:before="9"/>
        <w:rPr>
          <w:rFonts w:ascii="宋体" w:hAnsi="宋体" w:cs="宋体" w:eastAsia="宋体" w:hint="default"/>
          <w:sz w:val="23"/>
          <w:szCs w:val="23"/>
        </w:rPr>
      </w:pPr>
    </w:p>
    <w:p>
      <w:pPr>
        <w:pStyle w:val="Heading2"/>
        <w:spacing w:line="240" w:lineRule="auto"/>
        <w:ind w:right="92"/>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2"/>
        <w:jc w:val="left"/>
      </w:pPr>
      <w:r>
        <w:rPr/>
        <w:t>财务附注中报表的单位为：人民币元</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2"/>
        <w:jc w:val="left"/>
      </w:pPr>
      <w:r>
        <w:rPr/>
        <w:t>编制单位：广东长城集团股份有限公司</w:t>
      </w:r>
    </w:p>
    <w:p>
      <w:pPr>
        <w:pStyle w:val="BodyText"/>
        <w:spacing w:line="240" w:lineRule="auto" w:before="116"/>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609,920,675.63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544,931,094.69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132,649,314.64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74,457,986.67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13,357,578.03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31,126,677.88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4,526,207.50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6,977,619.74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5,435,368.16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4,885,574.55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90,269,928.74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75,608,379.94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2,739,350.43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860,298,423.13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741,437,333.47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136,533,805.05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132,969,892.88</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80" w:header="747" w:top="1060" w:bottom="1160" w:left="1020" w:right="102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9,135,600.00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6,304,136.30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6,261,077.94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25,158,332.25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15,502,158.10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1,323,931.84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861,686.55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170,392,205.44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164,730,415.47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1,030,690,628.57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906,167,748.94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17,410,398.00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9,233,013.61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4,785,032.34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3,608,552.84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4,469,057.01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3,546,159.08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3,700,091.50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-1,582,386.95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417,205.56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251,365.28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2,041,192.84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1,717,130.45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252,822,977.25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136,773,834.31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252,822,977.25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136,773,834.31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485,894,284.84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535,894,284.84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21,516,154.40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16,547,540.41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120,457,212.08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116,952,089.38</w:t>
            </w:r>
            <w:r>
              <w:rPr>
                <w:rFonts w:ascii="Times New Roman"/>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777,867,651.32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769,393,914.63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777,867,651.32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769,393,914.63</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1,030,690,628.57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906,167,748.94</w:t>
            </w:r>
          </w:p>
        </w:tc>
      </w:tr>
    </w:tbl>
    <w:p>
      <w:pPr>
        <w:spacing w:line="240" w:lineRule="auto" w:before="2"/>
        <w:rPr>
          <w:rFonts w:ascii="Times New Roman" w:hAnsi="Times New Roman" w:cs="Times New Roman" w:eastAsia="Times New Roman" w:hint="default"/>
          <w:sz w:val="23"/>
          <w:szCs w:val="23"/>
        </w:rPr>
      </w:pPr>
    </w:p>
    <w:p>
      <w:pPr>
        <w:pStyle w:val="BodyText"/>
        <w:tabs>
          <w:tab w:pos="3533" w:val="left" w:leader="none"/>
          <w:tab w:pos="7673" w:val="left" w:leader="none"/>
        </w:tabs>
        <w:spacing w:line="240" w:lineRule="auto" w:before="44"/>
        <w:ind w:right="92"/>
        <w:jc w:val="left"/>
      </w:pPr>
      <w:r>
        <w:rPr/>
        <w:t>法定代表人：蔡廷祥</w:t>
        <w:tab/>
        <w:t>主管会计工作负责人：翟振群</w:t>
        <w:tab/>
        <w:t>会计机构负责人：陈小媚</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2"/>
        <w:jc w:val="left"/>
      </w:pPr>
      <w:r>
        <w:rPr/>
        <w:t>编制单位：广东长城集团股份有限公司</w:t>
      </w:r>
    </w:p>
    <w:p>
      <w:pPr>
        <w:pStyle w:val="BodyText"/>
        <w:spacing w:line="240" w:lineRule="auto" w:before="116"/>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4" w:right="0"/>
              <w:jc w:val="left"/>
              <w:rPr>
                <w:rFonts w:ascii="Times New Roman" w:hAnsi="Times New Roman" w:cs="Times New Roman" w:eastAsia="Times New Roman" w:hint="default"/>
                <w:sz w:val="18"/>
                <w:szCs w:val="18"/>
              </w:rPr>
            </w:pPr>
            <w:r>
              <w:rPr>
                <w:rFonts w:ascii="Times New Roman"/>
                <w:sz w:val="18"/>
              </w:rPr>
              <w:t>601,793,654.22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9" w:right="0"/>
              <w:jc w:val="left"/>
              <w:rPr>
                <w:rFonts w:ascii="Times New Roman" w:hAnsi="Times New Roman" w:cs="Times New Roman" w:eastAsia="Times New Roman" w:hint="default"/>
                <w:sz w:val="18"/>
                <w:szCs w:val="18"/>
              </w:rPr>
            </w:pPr>
            <w:r>
              <w:rPr>
                <w:rFonts w:ascii="Times New Roman"/>
                <w:sz w:val="18"/>
              </w:rPr>
              <w:t>537,592,832.11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126,155,460.02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82,259,833.64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8,086,675.25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15,073,139.47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4,526,207.50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6,977,619.74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85,691,686.39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52,372,351.41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70,556,366.02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63,307,518.81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560,027.64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898,770,077.04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761,033,295.18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27,768,014.40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25,768,014.40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121,894,664.76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117,780,761.13</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8,902,500.00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5,608,596.93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6,069,616.40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14,459,382.37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4,128,899.79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1,838,988.33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1,190,692.69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172,641,646.79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163,840,484.41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1,071,411,723.83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924,873,779.59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12,114,605.78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7,555,669.18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1,820,269.22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1,470,533.07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3,141,455.60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2,704,205.47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3,522,671.10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-805,904.36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417,205.56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251,365.28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146,754.72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1,135,288.97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241,162,961.98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132,311,157.61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241,162,961.98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132,311,157.61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485,894,284.84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535,894,284.84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21,516,154.40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16,547,540.41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172,838,322.61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140,120,796.73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830,248,761.85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792,562,621.98</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1,071,411,723.83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924,873,779.59</w:t>
            </w:r>
          </w:p>
        </w:tc>
      </w:tr>
    </w:tbl>
    <w:p>
      <w:pPr>
        <w:spacing w:line="240" w:lineRule="auto" w:before="2"/>
        <w:rPr>
          <w:rFonts w:ascii="Times New Roman" w:hAnsi="Times New Roman" w:cs="Times New Roman" w:eastAsia="Times New Roman" w:hint="default"/>
          <w:sz w:val="23"/>
          <w:szCs w:val="23"/>
        </w:rPr>
      </w:pPr>
    </w:p>
    <w:p>
      <w:pPr>
        <w:pStyle w:val="BodyText"/>
        <w:tabs>
          <w:tab w:pos="3533" w:val="left" w:leader="none"/>
          <w:tab w:pos="7673" w:val="left" w:leader="none"/>
        </w:tabs>
        <w:spacing w:line="240" w:lineRule="auto" w:before="44"/>
        <w:ind w:right="92"/>
        <w:jc w:val="left"/>
      </w:pPr>
      <w:r>
        <w:rPr/>
        <w:t>法定代表人：蔡廷祥</w:t>
        <w:tab/>
        <w:t>主管会计工作负责人：翟振群</w:t>
        <w:tab/>
        <w:t>会计机构负责人：陈小媚</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right="92"/>
        <w:jc w:val="left"/>
      </w:pPr>
      <w:r>
        <w:rPr/>
        <w:t>编制单位：广东长城集团股份有限公司</w:t>
      </w:r>
    </w:p>
    <w:p>
      <w:pPr>
        <w:pStyle w:val="BodyText"/>
        <w:spacing w:line="240" w:lineRule="auto" w:before="117"/>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371,313,399.05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407,928,670.00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371,313,399.05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407,928,670.00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357,778,971.19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367,830,351.47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261,132,694.76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288,714,902.04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3,239,540.50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3,269,205.50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46,380,287.82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35,193,246.41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41,613,184.06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38,165,405.96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2,005,545.22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1,076,142.66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3,407,718.83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1,411,448.90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13,534,427.86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40,098,318.53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17,655,941.33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7,695,662.51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81,195.35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435,308.55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680.25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31,109,173.84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47,358,672.49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10,635,437.15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9,617,230.64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20,473,736.69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37,741,441.85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20,473,736.69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37,741,441.85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0.25</w:t>
            </w:r>
            <w:r>
              <w:rPr>
                <w:rFonts w:ascii="Times New Roman"/>
                <w:w w:val="95"/>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0.25</w:t>
            </w:r>
            <w:r>
              <w:rPr>
                <w:rFonts w:ascii="Times New Roman"/>
                <w:w w:val="95"/>
                <w:sz w:val="18"/>
              </w:rPr>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20,473,736.69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37,741,441.85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20,473,736.69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37,741,441.85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92"/>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33" w:val="left" w:leader="none"/>
          <w:tab w:pos="7673" w:val="left" w:leader="none"/>
        </w:tabs>
        <w:spacing w:line="240" w:lineRule="auto" w:before="141"/>
        <w:ind w:right="92"/>
        <w:jc w:val="left"/>
      </w:pPr>
      <w:r>
        <w:rPr/>
        <w:t>法定代表人：蔡廷祥</w:t>
        <w:tab/>
        <w:t>主管会计工作负责人：翟振群</w:t>
        <w:tab/>
        <w:t>会计机构负责人：陈小媚</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2"/>
        <w:jc w:val="left"/>
      </w:pPr>
      <w:r>
        <w:rPr/>
        <w:t>编制单位：广东长城集团股份有限公司</w:t>
      </w:r>
    </w:p>
    <w:p>
      <w:pPr>
        <w:pStyle w:val="BodyText"/>
        <w:spacing w:line="240" w:lineRule="auto" w:before="116"/>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345,525,283.03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387,319,600.17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249,530,944.05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284,630,958.98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3,118,131.26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3,129,751.48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14,497,648.87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14,083,257.75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28,683,468.15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24,366,205.14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2,213,774.68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606,742.92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4,321,970.93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3,457,674.89</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43,159,345.09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57,045,009.01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16,793,321.00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7,692,535.00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82,769.53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424,643.00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59,869,896.56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64,312,901.01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10,183,756.69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9,125,214.06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49,686,139.87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55,187,686.95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0.37</w:t>
            </w:r>
            <w:r>
              <w:rPr>
                <w:rFonts w:ascii="Times New Roman"/>
                <w:w w:val="95"/>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0.37</w:t>
            </w:r>
            <w:r>
              <w:rPr>
                <w:rFonts w:ascii="Times New Roman"/>
                <w:w w:val="95"/>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49,686,139.87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55,187,686.95</w:t>
            </w:r>
          </w:p>
        </w:tc>
      </w:tr>
    </w:tbl>
    <w:p>
      <w:pPr>
        <w:spacing w:line="240" w:lineRule="auto" w:before="4"/>
        <w:rPr>
          <w:rFonts w:ascii="宋体" w:hAnsi="宋体" w:cs="宋体" w:eastAsia="宋体" w:hint="default"/>
          <w:sz w:val="20"/>
          <w:szCs w:val="20"/>
        </w:rPr>
      </w:pPr>
    </w:p>
    <w:p>
      <w:pPr>
        <w:pStyle w:val="BodyText"/>
        <w:tabs>
          <w:tab w:pos="3533" w:val="left" w:leader="none"/>
          <w:tab w:pos="7673" w:val="left" w:leader="none"/>
        </w:tabs>
        <w:spacing w:line="240" w:lineRule="auto" w:before="44"/>
        <w:ind w:right="92"/>
        <w:jc w:val="left"/>
      </w:pPr>
      <w:r>
        <w:rPr/>
        <w:t>法定代表人：蔡廷祥</w:t>
        <w:tab/>
        <w:t>主管会计工作负责人：翟振群</w:t>
        <w:tab/>
        <w:t>会计机构负责人：陈小媚</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right="92"/>
        <w:jc w:val="left"/>
      </w:pPr>
      <w:r>
        <w:rPr/>
        <w:t>编制单位：广东长城集团股份有限公司</w:t>
      </w:r>
    </w:p>
    <w:p>
      <w:pPr>
        <w:pStyle w:val="BodyText"/>
        <w:spacing w:line="240" w:lineRule="auto" w:before="117"/>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323,324,621.49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402,228,022.09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18,174,745.75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14,553,642.38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30,943,758.76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15,272,648.37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372,443,126.00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432,054,312.84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253,489,815.51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316,106,897.18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51,212,296.48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39,732,175.94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15,879,039.15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15,207,058.08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40,225,956.55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40,867,749.30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360,807,107.69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411,913,880.50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11,636,018.31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20,140,432.34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22,765,903.46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24,975,455.09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22,765,903.46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24,975,455.09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-22,765,903.46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-24,975,455.09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220,350,000.00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24,101,941.05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7,256,280.38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144,101,941.05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157,256,280.38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76,248,058.95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-7,256,280.38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-128,592.86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-478,408.50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64,989,580.94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-12,569,711.63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544,931,094.69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557,500,806.32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609,920,675.63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544,931,094.69</w:t>
            </w:r>
          </w:p>
        </w:tc>
      </w:tr>
    </w:tbl>
    <w:p>
      <w:pPr>
        <w:spacing w:line="240" w:lineRule="auto" w:before="2"/>
        <w:rPr>
          <w:rFonts w:ascii="Times New Roman" w:hAnsi="Times New Roman" w:cs="Times New Roman" w:eastAsia="Times New Roman" w:hint="default"/>
          <w:sz w:val="23"/>
          <w:szCs w:val="23"/>
        </w:rPr>
      </w:pPr>
    </w:p>
    <w:p>
      <w:pPr>
        <w:pStyle w:val="BodyText"/>
        <w:tabs>
          <w:tab w:pos="3533" w:val="left" w:leader="none"/>
          <w:tab w:pos="7673" w:val="left" w:leader="none"/>
        </w:tabs>
        <w:spacing w:line="240" w:lineRule="auto" w:before="44"/>
        <w:ind w:right="92"/>
        <w:jc w:val="left"/>
      </w:pPr>
      <w:r>
        <w:rPr/>
        <w:t>法定代表人：蔡廷祥</w:t>
        <w:tab/>
        <w:t>主管会计工作负责人：翟振群</w:t>
        <w:tab/>
        <w:t>会计机构负责人：陈小媚</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2"/>
        <w:jc w:val="left"/>
      </w:pPr>
      <w:r>
        <w:rPr/>
        <w:t>编制单位：广东长城集团股份有限公司</w:t>
      </w:r>
    </w:p>
    <w:p>
      <w:pPr>
        <w:pStyle w:val="BodyText"/>
        <w:spacing w:line="240" w:lineRule="auto" w:before="116"/>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312,009,928.56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372,521,507.32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15,322,165.55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14,528,689.31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29,991,168.55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15,113,347.08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357,323,262.66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402,163,543.71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247,187,533.41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290,943,174.81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33,610,693.42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31,528,964.27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14,483,795.45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13,163,442.32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19,589,141.65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16,347,944.60</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80" w:header="747"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314,871,163.93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351,983,526.00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42,452,098.73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50,180,017.71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17,244,924.96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17,341,687.00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19,244,924.96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19,341,687.00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-19,244,924.96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-19,341,687.00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155,140,000.00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24,101,941.05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7,014,527.88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34,689,721.10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46,549,858.37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178,791,662.15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193,564,386.25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41,208,337.85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-38,424,386.25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-214,689.51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-490,446.09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64,200,822.11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-8,076,501.63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537,592,832.11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545,669,333.74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601,793,654.22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537,592,832.11</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980" w:header="747" w:top="1060" w:bottom="1160" w:left="1020" w:right="1020"/>
          <w:pgNumType w:start="61"/>
        </w:sectPr>
      </w:pPr>
    </w:p>
    <w:p>
      <w:pPr>
        <w:spacing w:line="240" w:lineRule="auto" w:before="5"/>
        <w:rPr>
          <w:rFonts w:ascii="Times New Roman" w:hAnsi="Times New Roman" w:cs="Times New Roman" w:eastAsia="Times New Roman" w:hint="default"/>
          <w:sz w:val="29"/>
          <w:szCs w:val="29"/>
        </w:rPr>
      </w:pPr>
    </w:p>
    <w:p>
      <w:pPr>
        <w:pStyle w:val="BodyText"/>
        <w:tabs>
          <w:tab w:pos="3533" w:val="left" w:leader="none"/>
          <w:tab w:pos="7673" w:val="left" w:leader="none"/>
        </w:tabs>
        <w:spacing w:line="240" w:lineRule="auto" w:before="44"/>
        <w:ind w:left="113" w:right="92"/>
        <w:jc w:val="left"/>
      </w:pPr>
      <w:r>
        <w:rPr/>
        <w:t>法定代表人：蔡廷祥</w:t>
        <w:tab/>
        <w:t>主管会计工作负责人：翟振群</w:t>
        <w:tab/>
        <w:t>会计机构负责人：陈小媚</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pStyle w:val="BodyText"/>
        <w:spacing w:line="360" w:lineRule="auto" w:before="44"/>
        <w:ind w:right="-20"/>
        <w:jc w:val="left"/>
      </w:pPr>
      <w:r>
        <w:rPr/>
        <w:t>编制单位：广东长城集团股份有限公司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060" w:bottom="1160" w:left="1020" w:right="1020"/>
          <w:cols w:num="2" w:equalWidth="0">
            <w:col w:w="3175" w:space="5744"/>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2" w:hRule="exact"/>
        </w:trPr>
        <w:tc>
          <w:tcPr>
            <w:tcW w:w="2368" w:type="dxa"/>
            <w:vMerge/>
            <w:tcBorders>
              <w:left w:val="single" w:sz="4" w:space="0" w:color="000000"/>
              <w:right w:val="single" w:sz="4" w:space="0" w:color="000000"/>
            </w:tcBorders>
            <w:shd w:val="clear" w:color="auto" w:fill="D3D3D3"/>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535,894,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284.84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16,547,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540.41</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116,952,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089.38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769,393,91</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535,894,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284.84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16,547,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540.41</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116,952,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089.38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769,393,91</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4.63</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4,968,6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13.99</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3,505,12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2.70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8,473,736.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20,473,7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36.69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20,473,736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20,473,7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36.69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20,473,736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4,968,6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13.99</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-16,968,</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613.99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4,968,6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13.99</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-4,968,6</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13.99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485,894,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284.84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21,516,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154.40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120,457,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212.08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777,867,65</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1.32</w:t>
            </w:r>
          </w:p>
        </w:tc>
      </w:tr>
    </w:tbl>
    <w:p>
      <w:pPr>
        <w:pStyle w:val="BodyText"/>
        <w:spacing w:line="240" w:lineRule="auto" w:before="50"/>
        <w:ind w:right="92"/>
        <w:jc w:val="left"/>
      </w:pPr>
      <w:r>
        <w:rPr/>
        <w:t>上年金额</w:t>
      </w:r>
    </w:p>
    <w:p>
      <w:pPr>
        <w:pStyle w:val="BodyText"/>
        <w:spacing w:line="240" w:lineRule="auto" w:before="116"/>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8" w:type="dxa"/>
            <w:vMerge/>
            <w:tcBorders>
              <w:left w:val="single" w:sz="4" w:space="0" w:color="000000"/>
              <w:right w:val="single" w:sz="4" w:space="0" w:color="000000"/>
            </w:tcBorders>
            <w:shd w:val="clear" w:color="auto" w:fill="D3D3D3"/>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535,894,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284.84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11,028,7</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71.71</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84,729,4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16.23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731,652,47</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2.78</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535,894,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284.84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11,028,7</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71.71</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84,729,4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16.23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731,652,47</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2.78</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5,518,7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68.70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32,222,6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73.15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37,741,441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37,741,4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41.85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37,741,441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 w:right="0"/>
              <w:jc w:val="left"/>
              <w:rPr>
                <w:rFonts w:ascii="Times New Roman" w:hAnsi="Times New Roman" w:cs="Times New Roman" w:eastAsia="Times New Roman" w:hint="default"/>
                <w:sz w:val="18"/>
                <w:szCs w:val="18"/>
              </w:rPr>
            </w:pPr>
            <w:r>
              <w:rPr>
                <w:rFonts w:ascii="Times New Roman"/>
                <w:sz w:val="18"/>
              </w:rPr>
              <w:t>37,741,4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1" w:right="0"/>
              <w:jc w:val="left"/>
              <w:rPr>
                <w:rFonts w:ascii="Times New Roman" w:hAnsi="Times New Roman" w:cs="Times New Roman" w:eastAsia="Times New Roman" w:hint="default"/>
                <w:sz w:val="18"/>
                <w:szCs w:val="18"/>
              </w:rPr>
            </w:pPr>
            <w:r>
              <w:rPr>
                <w:rFonts w:ascii="Times New Roman"/>
                <w:sz w:val="18"/>
              </w:rPr>
              <w:t>37,741,441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36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8" w:right="0"/>
              <w:jc w:val="left"/>
              <w:rPr>
                <w:rFonts w:ascii="Times New Roman" w:hAnsi="Times New Roman" w:cs="Times New Roman" w:eastAsia="Times New Roman" w:hint="default"/>
                <w:sz w:val="18"/>
                <w:szCs w:val="18"/>
              </w:rPr>
            </w:pPr>
            <w:r>
              <w:rPr>
                <w:rFonts w:ascii="Times New Roman"/>
                <w:sz w:val="18"/>
              </w:rPr>
              <w:t>41.85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5,518,7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68.70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-5,518,7</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68.70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5,518,7</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68.70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-5,518,7</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68.70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535,894,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284.84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16,547,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540.41</w:t>
            </w: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116,952,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089.38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769,393,91</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4.63</w:t>
            </w:r>
          </w:p>
        </w:tc>
      </w:tr>
    </w:tbl>
    <w:p>
      <w:pPr>
        <w:spacing w:line="240" w:lineRule="auto" w:before="3"/>
        <w:rPr>
          <w:rFonts w:ascii="宋体" w:hAnsi="宋体" w:cs="宋体" w:eastAsia="宋体" w:hint="default"/>
          <w:sz w:val="20"/>
          <w:szCs w:val="20"/>
        </w:rPr>
      </w:pPr>
    </w:p>
    <w:p>
      <w:pPr>
        <w:pStyle w:val="BodyText"/>
        <w:tabs>
          <w:tab w:pos="3533" w:val="left" w:leader="none"/>
          <w:tab w:pos="7673" w:val="left" w:leader="none"/>
        </w:tabs>
        <w:spacing w:line="240" w:lineRule="auto" w:before="44"/>
        <w:ind w:right="92"/>
        <w:jc w:val="left"/>
      </w:pPr>
      <w:r>
        <w:rPr/>
        <w:t>法定代表人：蔡廷祥</w:t>
        <w:tab/>
        <w:t>主管会计工作负责人：翟振群</w:t>
        <w:tab/>
        <w:t>会计机构负责人：陈小媚</w:t>
      </w:r>
    </w:p>
    <w:p>
      <w:pPr>
        <w:spacing w:line="240" w:lineRule="auto" w:before="0"/>
        <w:rPr>
          <w:rFonts w:ascii="宋体" w:hAnsi="宋体" w:cs="宋体" w:eastAsia="宋体" w:hint="default"/>
          <w:sz w:val="18"/>
          <w:szCs w:val="18"/>
        </w:rPr>
      </w:pPr>
    </w:p>
    <w:p>
      <w:pPr>
        <w:pStyle w:val="Heading3"/>
        <w:spacing w:line="240" w:lineRule="auto" w:before="118"/>
        <w:ind w:right="9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pStyle w:val="BodyText"/>
        <w:spacing w:line="360" w:lineRule="auto" w:before="44"/>
        <w:ind w:right="-20"/>
        <w:jc w:val="left"/>
      </w:pPr>
      <w:r>
        <w:rPr/>
        <w:t>编制单位：广东长城集团股份有限公司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060" w:bottom="1160" w:left="1020" w:right="1020"/>
          <w:cols w:num="2" w:equalWidth="0">
            <w:col w:w="3175" w:space="5744"/>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892"/>
      </w:tblGrid>
      <w:tr>
        <w:trPr>
          <w:trHeight w:val="402" w:hRule="exact"/>
        </w:trPr>
        <w:tc>
          <w:tcPr>
            <w:tcW w:w="24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4" w:hRule="exact"/>
        </w:trPr>
        <w:tc>
          <w:tcPr>
            <w:tcW w:w="247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0"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bl>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38.600296pt;margin-top:610.380005pt;width:86pt;height:35.3pt;mso-position-horizontal-relative:page;mso-position-vertical-relative:page;z-index:-730144" type="#_x0000_t202" filled="false" stroked="false">
            <v:textbox inset="0,0,0,0">
              <w:txbxContent>
                <w:p>
                  <w:pPr>
                    <w:spacing w:line="240" w:lineRule="auto" w:before="11"/>
                    <w:rPr>
                      <w:rFonts w:ascii="Times New Roman" w:hAnsi="Times New Roman" w:cs="Times New Roman" w:eastAsia="Times New Roman" w:hint="default"/>
                      <w:sz w:val="17"/>
                      <w:szCs w:val="17"/>
                    </w:rPr>
                  </w:pPr>
                </w:p>
                <w:p>
                  <w:pPr>
                    <w:pStyle w:val="BodyText"/>
                    <w:spacing w:line="240" w:lineRule="auto"/>
                    <w:ind w:left="0" w:right="0"/>
                    <w:jc w:val="left"/>
                  </w:pPr>
                  <w:r>
                    <w:rPr/>
                    <w:t>（或股本）</w:t>
                  </w:r>
                </w:p>
              </w:txbxContent>
            </v:textbox>
            <w10:wrap type="none"/>
          </v:shape>
        </w:pict>
      </w:r>
      <w:r>
        <w:rPr/>
        <w:pict>
          <v:shape style="position:absolute;margin-left:138.600296pt;margin-top:646.080017pt;width:86pt;height:19.7pt;mso-position-horizontal-relative:page;mso-position-vertical-relative:page;z-index:-730120" type="#_x0000_t202" filled="false" stroked="false">
            <v:textbox inset="0,0,0,0">
              <w:txbxContent>
                <w:p>
                  <w:pPr>
                    <w:pStyle w:val="BodyText"/>
                    <w:spacing w:line="240" w:lineRule="auto" w:before="50"/>
                    <w:ind w:left="0" w:right="0"/>
                    <w:jc w:val="left"/>
                  </w:pPr>
                  <w:r>
                    <w:rPr/>
                    <w:t>（或股本）</w:t>
                  </w:r>
                </w:p>
              </w:txbxContent>
            </v:textbox>
            <w10:wrap type="none"/>
          </v:shape>
        </w:pict>
      </w:r>
      <w:r>
        <w:rPr/>
        <w:pict>
          <v:group style="position:absolute;margin-left:180.720001pt;margin-top:610.380005pt;width:43.9pt;height:55.4pt;mso-position-horizontal-relative:page;mso-position-vertical-relative:page;z-index:-730096" coordorigin="3614,12208" coordsize="878,1108">
            <v:group style="position:absolute;left:3614;top:12208;width:878;height:706" coordorigin="3614,12208" coordsize="878,706">
              <v:shape style="position:absolute;left:3614;top:12208;width:878;height:706" coordorigin="3614,12208" coordsize="878,706" path="m3614,12913l4492,12913,4492,12208,3614,12208,3614,12913xe" filled="true" fillcolor="#ffffff" stroked="false">
                <v:path arrowok="t"/>
                <v:fill type="solid"/>
              </v:shape>
            </v:group>
            <v:group style="position:absolute;left:3614;top:12922;width:878;height:394" coordorigin="3614,12922" coordsize="878,394">
              <v:shape style="position:absolute;left:3614;top:12922;width:878;height:394" coordorigin="3614,12922" coordsize="878,394" path="m3614,13315l4492,13315,4492,12922,3614,12922,3614,13315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892"/>
      </w:tblGrid>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535,894,28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4.84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16,547,540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140,120,79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6.73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792,562,62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535,894,28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4.84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16,547,540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140,120,79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6.73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792,562,62</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1.98</w:t>
            </w: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02"/>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32,717,525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37,686,139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49,686,139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49,686,139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49,686,139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49,686,139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-16,968,61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3.99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39.559708pt;margin-top:728.460022pt;width:86pt;height:19.75pt;mso-position-horizontal-relative:page;mso-position-vertical-relative:page;z-index:-730072" type="#_x0000_t202" filled="false" stroked="false">
            <v:textbox inset="0,0,0,0">
              <w:txbxContent>
                <w:p>
                  <w:pPr>
                    <w:pStyle w:val="BodyText"/>
                    <w:spacing w:line="240" w:lineRule="auto" w:before="50"/>
                    <w:ind w:left="0" w:right="0"/>
                    <w:jc w:val="left"/>
                  </w:pPr>
                  <w:r>
                    <w:rPr/>
                    <w:t>（或股本）</w:t>
                  </w:r>
                </w:p>
              </w:txbxContent>
            </v:textbox>
            <w10:wrap type="none"/>
          </v:shape>
        </w:pict>
      </w:r>
      <w:r>
        <w:rPr/>
        <w:pict>
          <v:shape style="position:absolute;margin-left:139.559708pt;margin-top:748.559998pt;width:86pt;height:19.75pt;mso-position-horizontal-relative:page;mso-position-vertical-relative:page;z-index:-730048" type="#_x0000_t202" filled="false" stroked="false">
            <v:textbox inset="0,0,0,0">
              <w:txbxContent>
                <w:p>
                  <w:pPr>
                    <w:pStyle w:val="BodyText"/>
                    <w:spacing w:line="240" w:lineRule="auto" w:before="50"/>
                    <w:ind w:left="0" w:right="0"/>
                    <w:jc w:val="left"/>
                  </w:pPr>
                  <w:r>
                    <w:rPr/>
                    <w:t>（或股本）</w:t>
                  </w:r>
                </w:p>
              </w:txbxContent>
            </v:textbox>
            <w10:wrap type="none"/>
          </v:shape>
        </w:pict>
      </w:r>
      <w:r>
        <w:rPr/>
        <w:pict>
          <v:group style="position:absolute;margin-left:181.679993pt;margin-top:728.460022pt;width:43.9pt;height:39.85pt;mso-position-horizontal-relative:page;mso-position-vertical-relative:page;z-index:-730024" coordorigin="3634,14569" coordsize="878,797">
            <v:group style="position:absolute;left:3634;top:14569;width:878;height:395" coordorigin="3634,14569" coordsize="878,395">
              <v:shape style="position:absolute;left:3634;top:14569;width:878;height:395" coordorigin="3634,14569" coordsize="878,395" path="m3634,14964l4511,14964,4511,14569,3634,14569,3634,14964xe" filled="true" fillcolor="#ffffff" stroked="false">
                <v:path arrowok="t"/>
                <v:fill type="solid"/>
              </v:shape>
            </v:group>
            <v:group style="position:absolute;left:3634;top:14971;width:878;height:395" coordorigin="3634,14971" coordsize="878,395">
              <v:shape style="position:absolute;left:3634;top:14971;width:878;height:395" coordorigin="3634,14971" coordsize="878,395" path="m3634,15366l4511,15366,4511,14971,3634,14971,3634,15366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477"/>
        <w:gridCol w:w="884"/>
        <w:gridCol w:w="886"/>
        <w:gridCol w:w="884"/>
        <w:gridCol w:w="887"/>
        <w:gridCol w:w="886"/>
        <w:gridCol w:w="886"/>
        <w:gridCol w:w="887"/>
        <w:gridCol w:w="892"/>
      </w:tblGrid>
      <w:tr>
        <w:trPr>
          <w:trHeight w:val="402"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485,894,28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4.84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21,516,154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172,838,32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2.61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830,248,76</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1.85</w:t>
            </w:r>
          </w:p>
        </w:tc>
      </w:tr>
    </w:tbl>
    <w:p>
      <w:pPr>
        <w:pStyle w:val="BodyText"/>
        <w:spacing w:line="240" w:lineRule="auto" w:before="50"/>
        <w:ind w:right="92"/>
        <w:jc w:val="left"/>
      </w:pPr>
      <w:r>
        <w:rPr/>
        <w:t>上年金额</w:t>
      </w:r>
    </w:p>
    <w:p>
      <w:pPr>
        <w:pStyle w:val="BodyText"/>
        <w:spacing w:line="240" w:lineRule="auto" w:before="116"/>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6"/>
        <w:gridCol w:w="884"/>
        <w:gridCol w:w="886"/>
        <w:gridCol w:w="884"/>
        <w:gridCol w:w="884"/>
        <w:gridCol w:w="883"/>
        <w:gridCol w:w="884"/>
        <w:gridCol w:w="884"/>
        <w:gridCol w:w="882"/>
      </w:tblGrid>
      <w:tr>
        <w:trPr>
          <w:trHeight w:val="402" w:hRule="exact"/>
        </w:trPr>
        <w:tc>
          <w:tcPr>
            <w:tcW w:w="24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14" w:hRule="exact"/>
        </w:trPr>
        <w:tc>
          <w:tcPr>
            <w:tcW w:w="2496"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6"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5" w:right="7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0"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 w:right="0"/>
              <w:jc w:val="left"/>
              <w:rPr>
                <w:rFonts w:ascii="Times New Roman" w:hAnsi="Times New Roman" w:cs="Times New Roman" w:eastAsia="Times New Roman" w:hint="default"/>
                <w:sz w:val="18"/>
                <w:szCs w:val="18"/>
              </w:rPr>
            </w:pPr>
            <w:r>
              <w:rPr>
                <w:rFonts w:ascii="Times New Roman"/>
                <w:sz w:val="18"/>
              </w:rPr>
              <w:t>535,894,28</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4.84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11,028,771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90,451,878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left"/>
              <w:rPr>
                <w:rFonts w:ascii="Times New Roman" w:hAnsi="Times New Roman" w:cs="Times New Roman" w:eastAsia="Times New Roman" w:hint="default"/>
                <w:sz w:val="18"/>
                <w:szCs w:val="18"/>
              </w:rPr>
            </w:pPr>
            <w:r>
              <w:rPr>
                <w:rFonts w:ascii="Times New Roman"/>
                <w:sz w:val="18"/>
              </w:rPr>
              <w:t>737,374,93</w:t>
            </w:r>
          </w:p>
          <w:p>
            <w:pPr>
              <w:pStyle w:val="TableParagraph"/>
              <w:spacing w:line="240" w:lineRule="auto" w:before="106"/>
              <w:ind w:left="533" w:right="0"/>
              <w:jc w:val="left"/>
              <w:rPr>
                <w:rFonts w:ascii="Times New Roman" w:hAnsi="Times New Roman" w:cs="Times New Roman" w:eastAsia="Times New Roman" w:hint="default"/>
                <w:sz w:val="18"/>
                <w:szCs w:val="18"/>
              </w:rPr>
            </w:pPr>
            <w:r>
              <w:rPr>
                <w:rFonts w:ascii="Times New Roman"/>
                <w:sz w:val="18"/>
              </w:rPr>
              <w:t>5.03</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535,894,28</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4.84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11,028,771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90,451,878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737,374,93</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5.03</w:t>
            </w:r>
          </w:p>
        </w:tc>
      </w:tr>
      <w:tr>
        <w:trPr>
          <w:trHeight w:val="71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5,518,768.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49,668,918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55,187,686</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pacing w:val="-1"/>
                <w:w w:val="95"/>
                <w:sz w:val="18"/>
              </w:rPr>
              <w:t>.95</w:t>
            </w:r>
            <w:r>
              <w:rPr>
                <w:rFonts w:ascii="Times New Roman"/>
                <w:w w:val="95"/>
                <w:sz w:val="18"/>
              </w:rPr>
            </w:r>
          </w:p>
        </w:tc>
      </w:tr>
      <w:tr>
        <w:trPr>
          <w:trHeight w:val="71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55,187,686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55,187,686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.95</w:t>
            </w:r>
            <w:r>
              <w:rPr>
                <w:rFonts w:ascii="Times New Roman"/>
                <w:w w:val="95"/>
                <w:sz w:val="18"/>
              </w:rPr>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55,187,686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55,187,686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.95</w:t>
            </w:r>
            <w:r>
              <w:rPr>
                <w:rFonts w:ascii="Times New Roman"/>
                <w:w w:val="95"/>
                <w:sz w:val="18"/>
              </w:rPr>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5,518,768.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-5,518,768.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5,518,768.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-5,518,768.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6"/>
        <w:gridCol w:w="884"/>
        <w:gridCol w:w="886"/>
        <w:gridCol w:w="884"/>
        <w:gridCol w:w="884"/>
        <w:gridCol w:w="883"/>
        <w:gridCol w:w="884"/>
        <w:gridCol w:w="884"/>
        <w:gridCol w:w="882"/>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535,894,28</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4.84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16,547,540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140,120,79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6.73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792,562,62</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1.98</w:t>
            </w:r>
          </w:p>
        </w:tc>
      </w:tr>
    </w:tbl>
    <w:p>
      <w:pPr>
        <w:spacing w:line="240" w:lineRule="auto" w:before="4"/>
        <w:rPr>
          <w:rFonts w:ascii="宋体" w:hAnsi="宋体" w:cs="宋体" w:eastAsia="宋体" w:hint="default"/>
          <w:sz w:val="20"/>
          <w:szCs w:val="20"/>
        </w:rPr>
      </w:pPr>
    </w:p>
    <w:p>
      <w:pPr>
        <w:pStyle w:val="BodyText"/>
        <w:tabs>
          <w:tab w:pos="3533" w:val="left" w:leader="none"/>
          <w:tab w:pos="7673" w:val="left" w:leader="none"/>
        </w:tabs>
        <w:spacing w:line="240" w:lineRule="auto" w:before="44"/>
        <w:ind w:right="91"/>
        <w:jc w:val="left"/>
      </w:pPr>
      <w:r>
        <w:rPr/>
        <w:t>法定代表人：蔡廷祥</w:t>
        <w:tab/>
        <w:t>主管会计工作负责人：翟振群</w:t>
        <w:tab/>
        <w:t>会计机构负责人：陈小媚</w:t>
      </w:r>
    </w:p>
    <w:p>
      <w:pPr>
        <w:spacing w:line="240" w:lineRule="auto" w:before="1"/>
        <w:rPr>
          <w:rFonts w:ascii="宋体" w:hAnsi="宋体" w:cs="宋体" w:eastAsia="宋体" w:hint="default"/>
          <w:sz w:val="25"/>
          <w:szCs w:val="25"/>
        </w:rPr>
      </w:pPr>
    </w:p>
    <w:p>
      <w:pPr>
        <w:pStyle w:val="Heading2"/>
        <w:spacing w:line="240" w:lineRule="auto" w:before="0"/>
        <w:ind w:right="91"/>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历史沿革和变更情况</w:t>
      </w:r>
    </w:p>
    <w:p>
      <w:pPr>
        <w:pStyle w:val="BodyText"/>
        <w:spacing w:line="240" w:lineRule="auto" w:before="116"/>
        <w:ind w:left="474" w:right="91"/>
        <w:jc w:val="left"/>
      </w:pPr>
      <w:r>
        <w:rPr/>
        <w:t>广东长城集团股份有限公司（以下简称</w:t>
      </w:r>
      <w:r>
        <w:rPr>
          <w:rFonts w:ascii="Times New Roman" w:hAnsi="Times New Roman" w:cs="Times New Roman" w:eastAsia="Times New Roman" w:hint="default"/>
        </w:rPr>
        <w:t>“</w:t>
      </w:r>
      <w:r>
        <w:rPr/>
        <w:t>长城集团</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）前身系广东长城集团有限公司，于</w:t>
      </w:r>
      <w:r>
        <w:rPr>
          <w:spacing w:val="-47"/>
        </w:rPr>
        <w:t> </w:t>
      </w:r>
      <w:r>
        <w:rPr>
          <w:rFonts w:ascii="Times New Roman" w:hAnsi="Times New Roman" w:cs="Times New Roman" w:eastAsia="Times New Roman" w:hint="default"/>
        </w:rPr>
        <w:t>1996</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日在潮</w:t>
      </w:r>
    </w:p>
    <w:p>
      <w:pPr>
        <w:pStyle w:val="BodyText"/>
        <w:spacing w:line="300" w:lineRule="auto" w:before="63"/>
        <w:ind w:right="173"/>
        <w:jc w:val="left"/>
      </w:pPr>
      <w:r>
        <w:rPr/>
        <w:t>州市工商行政管理局注册成立，取得注册号为</w:t>
      </w:r>
      <w:r>
        <w:rPr>
          <w:spacing w:val="-54"/>
        </w:rPr>
        <w:t> </w:t>
      </w:r>
      <w:r>
        <w:rPr>
          <w:rFonts w:ascii="Times New Roman" w:hAnsi="Times New Roman" w:cs="Times New Roman" w:eastAsia="Times New Roman" w:hint="default"/>
        </w:rPr>
        <w:t>445100000000444</w:t>
      </w:r>
      <w:r>
        <w:rPr>
          <w:rFonts w:ascii="Times New Roman" w:hAnsi="Times New Roman" w:cs="Times New Roman" w:eastAsia="Times New Roman" w:hint="default"/>
          <w:spacing w:val="-10"/>
        </w:rPr>
        <w:t> </w:t>
      </w:r>
      <w:r>
        <w:rPr/>
        <w:t>号企业法人营业执照，注册资本</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0"/>
        </w:rPr>
        <w:t> </w:t>
      </w:r>
      <w:r>
        <w:rPr/>
        <w:t>万元，由潮州市长城 陶瓷制作厂出资</w:t>
      </w:r>
      <w:r>
        <w:rPr>
          <w:spacing w:val="-46"/>
        </w:rPr>
        <w:t> </w:t>
      </w:r>
      <w:r>
        <w:rPr>
          <w:rFonts w:ascii="Times New Roman" w:hAnsi="Times New Roman" w:cs="Times New Roman" w:eastAsia="Times New Roman" w:hint="default"/>
        </w:rPr>
        <w:t>750 </w:t>
      </w:r>
      <w:r>
        <w:rPr/>
        <w:t>万元，占注册资本的</w:t>
      </w:r>
      <w:r>
        <w:rPr>
          <w:spacing w:val="-46"/>
        </w:rPr>
        <w:t> </w:t>
      </w:r>
      <w:r>
        <w:rPr>
          <w:rFonts w:ascii="Times New Roman" w:hAnsi="Times New Roman" w:cs="Times New Roman" w:eastAsia="Times New Roman" w:hint="default"/>
        </w:rPr>
        <w:t>75%</w:t>
      </w:r>
      <w:r>
        <w:rPr/>
        <w:t>；潮州市长城陶瓷制作厂有限公司出资</w:t>
      </w:r>
      <w:r>
        <w:rPr>
          <w:spacing w:val="-46"/>
        </w:rPr>
        <w:t> </w:t>
      </w:r>
      <w:r>
        <w:rPr>
          <w:rFonts w:ascii="Times New Roman" w:hAnsi="Times New Roman" w:cs="Times New Roman" w:eastAsia="Times New Roman" w:hint="default"/>
        </w:rPr>
        <w:t>150 </w:t>
      </w:r>
      <w:r>
        <w:rPr/>
        <w:t>万元，占注册资本的</w:t>
      </w:r>
      <w:r>
        <w:rPr>
          <w:spacing w:val="-46"/>
        </w:rPr>
        <w:t> </w:t>
      </w:r>
      <w:r>
        <w:rPr>
          <w:rFonts w:ascii="Times New Roman" w:hAnsi="Times New Roman" w:cs="Times New Roman" w:eastAsia="Times New Roman" w:hint="default"/>
        </w:rPr>
        <w:t>15%</w:t>
      </w:r>
      <w:r>
        <w:rPr/>
        <w:t>；潮州 市南方工艺制品厂有限公司出资</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万元，占注册资本的</w:t>
      </w:r>
      <w:r>
        <w:rPr>
          <w:spacing w:val="-46"/>
        </w:rPr>
        <w:t> </w:t>
      </w:r>
      <w:r>
        <w:rPr>
          <w:rFonts w:ascii="Times New Roman" w:hAnsi="Times New Roman" w:cs="Times New Roman" w:eastAsia="Times New Roman" w:hint="default"/>
        </w:rPr>
        <w:t>10%</w:t>
      </w:r>
      <w:r>
        <w:rPr/>
        <w:t>。</w:t>
      </w:r>
    </w:p>
    <w:p>
      <w:pPr>
        <w:pStyle w:val="BodyText"/>
        <w:spacing w:line="240" w:lineRule="auto" w:before="52"/>
        <w:ind w:left="474" w:right="91"/>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日，潮州市长城陶瓷制作厂将其持有的</w:t>
      </w:r>
      <w:r>
        <w:rPr>
          <w:spacing w:val="-47"/>
        </w:rPr>
        <w:t> </w:t>
      </w:r>
      <w:r>
        <w:rPr>
          <w:rFonts w:ascii="Times New Roman" w:hAnsi="Times New Roman" w:cs="Times New Roman" w:eastAsia="Times New Roman" w:hint="default"/>
        </w:rPr>
        <w:t>75%</w:t>
      </w:r>
      <w:r>
        <w:rPr/>
        <w:t>的股权计</w:t>
      </w:r>
      <w:r>
        <w:rPr>
          <w:spacing w:val="-46"/>
        </w:rPr>
        <w:t> </w:t>
      </w:r>
      <w:r>
        <w:rPr>
          <w:rFonts w:ascii="Times New Roman" w:hAnsi="Times New Roman" w:cs="Times New Roman" w:eastAsia="Times New Roman" w:hint="default"/>
        </w:rPr>
        <w:t>750</w:t>
      </w:r>
      <w:r>
        <w:rPr>
          <w:rFonts w:ascii="Times New Roman" w:hAnsi="Times New Roman" w:cs="Times New Roman" w:eastAsia="Times New Roman" w:hint="default"/>
          <w:spacing w:val="-2"/>
        </w:rPr>
        <w:t> </w:t>
      </w:r>
      <w:r>
        <w:rPr/>
        <w:t>万元转让给蔡廷祥，潮州市长城陶瓷制作厂</w:t>
      </w:r>
    </w:p>
    <w:p>
      <w:pPr>
        <w:pStyle w:val="BodyText"/>
        <w:spacing w:line="240" w:lineRule="auto" w:before="63"/>
        <w:ind w:right="91"/>
        <w:jc w:val="left"/>
        <w:rPr>
          <w:rFonts w:ascii="Times New Roman" w:hAnsi="Times New Roman" w:cs="Times New Roman" w:eastAsia="Times New Roman" w:hint="default"/>
        </w:rPr>
      </w:pPr>
      <w:r>
        <w:rPr/>
        <w:t>有限公司将其持有的</w:t>
      </w:r>
      <w:r>
        <w:rPr>
          <w:spacing w:val="-46"/>
        </w:rPr>
        <w:t> </w:t>
      </w:r>
      <w:r>
        <w:rPr>
          <w:rFonts w:ascii="Times New Roman" w:hAnsi="Times New Roman" w:cs="Times New Roman" w:eastAsia="Times New Roman" w:hint="default"/>
        </w:rPr>
        <w:t>15%</w:t>
      </w:r>
      <w:r>
        <w:rPr/>
        <w:t>的股权计</w:t>
      </w:r>
      <w:r>
        <w:rPr>
          <w:spacing w:val="-47"/>
        </w:rPr>
        <w:t> </w:t>
      </w:r>
      <w:r>
        <w:rPr>
          <w:rFonts w:ascii="Times New Roman" w:hAnsi="Times New Roman" w:cs="Times New Roman" w:eastAsia="Times New Roman" w:hint="default"/>
        </w:rPr>
        <w:t>150</w:t>
      </w:r>
      <w:r>
        <w:rPr>
          <w:rFonts w:ascii="Times New Roman" w:hAnsi="Times New Roman" w:cs="Times New Roman" w:eastAsia="Times New Roman" w:hint="default"/>
          <w:spacing w:val="-1"/>
        </w:rPr>
        <w:t> </w:t>
      </w:r>
      <w:r>
        <w:rPr/>
        <w:t>万元转让给吴淡珠，潮州市南方工艺制作厂有限公司将其持有的</w:t>
      </w:r>
      <w:r>
        <w:rPr>
          <w:spacing w:val="-47"/>
        </w:rPr>
        <w:t> </w:t>
      </w:r>
      <w:r>
        <w:rPr>
          <w:rFonts w:ascii="Times New Roman" w:hAnsi="Times New Roman" w:cs="Times New Roman" w:eastAsia="Times New Roman" w:hint="default"/>
        </w:rPr>
        <w:t>10%</w:t>
      </w:r>
      <w:r>
        <w:rPr/>
        <w:t>的股权计</w:t>
      </w:r>
      <w:r>
        <w:rPr>
          <w:spacing w:val="-46"/>
        </w:rPr>
        <w:t> </w:t>
      </w:r>
      <w:r>
        <w:rPr>
          <w:rFonts w:ascii="Times New Roman" w:hAnsi="Times New Roman" w:cs="Times New Roman" w:eastAsia="Times New Roman" w:hint="default"/>
        </w:rPr>
        <w:t>100</w:t>
      </w:r>
    </w:p>
    <w:p>
      <w:pPr>
        <w:pStyle w:val="BodyText"/>
        <w:spacing w:line="300" w:lineRule="auto" w:before="63"/>
        <w:ind w:right="258"/>
        <w:jc w:val="left"/>
      </w:pPr>
      <w:r>
        <w:rPr/>
        <w:t>万元转让给陈素芳，转让后各股东出资额及出资比例为蔡廷祥出资</w:t>
      </w:r>
      <w:r>
        <w:rPr>
          <w:spacing w:val="-45"/>
        </w:rPr>
        <w:t> </w:t>
      </w:r>
      <w:r>
        <w:rPr>
          <w:rFonts w:ascii="Times New Roman" w:hAnsi="Times New Roman" w:cs="Times New Roman" w:eastAsia="Times New Roman" w:hint="default"/>
        </w:rPr>
        <w:t>750</w:t>
      </w:r>
      <w:r>
        <w:rPr>
          <w:rFonts w:ascii="Times New Roman" w:hAnsi="Times New Roman" w:cs="Times New Roman" w:eastAsia="Times New Roman" w:hint="default"/>
          <w:spacing w:val="-1"/>
        </w:rPr>
        <w:t> </w:t>
      </w:r>
      <w:r>
        <w:rPr/>
        <w:t>万元，占注册资本的</w:t>
      </w:r>
      <w:r>
        <w:rPr>
          <w:spacing w:val="-46"/>
        </w:rPr>
        <w:t> </w:t>
      </w:r>
      <w:r>
        <w:rPr>
          <w:rFonts w:ascii="Times New Roman" w:hAnsi="Times New Roman" w:cs="Times New Roman" w:eastAsia="Times New Roman" w:hint="default"/>
        </w:rPr>
        <w:t>75%</w:t>
      </w:r>
      <w:r>
        <w:rPr/>
        <w:t>，吴淡珠出资</w:t>
      </w:r>
      <w:r>
        <w:rPr>
          <w:spacing w:val="-46"/>
        </w:rPr>
        <w:t> </w:t>
      </w:r>
      <w:r>
        <w:rPr>
          <w:rFonts w:ascii="Times New Roman" w:hAnsi="Times New Roman" w:cs="Times New Roman" w:eastAsia="Times New Roman" w:hint="default"/>
        </w:rPr>
        <w:t>150 </w:t>
      </w:r>
      <w:r>
        <w:rPr/>
        <w:t>万元， 占注册资本的</w:t>
      </w:r>
      <w:r>
        <w:rPr>
          <w:spacing w:val="-46"/>
        </w:rPr>
        <w:t> </w:t>
      </w:r>
      <w:r>
        <w:rPr>
          <w:rFonts w:ascii="Times New Roman" w:hAnsi="Times New Roman" w:cs="Times New Roman" w:eastAsia="Times New Roman" w:hint="default"/>
        </w:rPr>
        <w:t>15%</w:t>
      </w:r>
      <w:r>
        <w:rPr/>
        <w:t>，陈素芳出资</w:t>
      </w:r>
      <w:r>
        <w:rPr>
          <w:spacing w:val="-46"/>
        </w:rPr>
        <w:t> </w:t>
      </w:r>
      <w:r>
        <w:rPr>
          <w:rFonts w:ascii="Times New Roman" w:hAnsi="Times New Roman" w:cs="Times New Roman" w:eastAsia="Times New Roman" w:hint="default"/>
        </w:rPr>
        <w:t>100 </w:t>
      </w:r>
      <w:r>
        <w:rPr/>
        <w:t>万元，占注册资本的</w:t>
      </w:r>
      <w:r>
        <w:rPr>
          <w:spacing w:val="-46"/>
        </w:rPr>
        <w:t> </w:t>
      </w:r>
      <w:r>
        <w:rPr>
          <w:rFonts w:ascii="Times New Roman" w:hAnsi="Times New Roman" w:cs="Times New Roman" w:eastAsia="Times New Roman" w:hint="default"/>
        </w:rPr>
        <w:t>10%</w:t>
      </w:r>
      <w:r>
        <w:rPr/>
        <w:t>。</w:t>
      </w:r>
    </w:p>
    <w:p>
      <w:pPr>
        <w:pStyle w:val="BodyText"/>
        <w:spacing w:line="240" w:lineRule="auto" w:before="52"/>
        <w:ind w:left="474" w:right="91"/>
        <w:jc w:val="left"/>
        <w:rPr>
          <w:rFonts w:ascii="Times New Roman" w:hAnsi="Times New Roman" w:cs="Times New Roman" w:eastAsia="Times New Roman" w:hint="default"/>
        </w:rPr>
      </w:pPr>
      <w:r>
        <w:rPr>
          <w:rFonts w:ascii="Times New Roman" w:hAnsi="Times New Roman" w:cs="Times New Roman" w:eastAsia="Times New Roman" w:hint="default"/>
        </w:rPr>
        <w:t>2003 </w:t>
      </w:r>
      <w:r>
        <w:rPr/>
        <w:t>年</w:t>
      </w:r>
      <w:r>
        <w:rPr>
          <w:spacing w:val="-44"/>
        </w:rPr>
        <w:t> </w:t>
      </w:r>
      <w:r>
        <w:rPr>
          <w:rFonts w:ascii="Times New Roman" w:hAnsi="Times New Roman" w:cs="Times New Roman" w:eastAsia="Times New Roman" w:hint="default"/>
        </w:rPr>
        <w:t>5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3"/>
        </w:rPr>
        <w:t>日，公司增加注册资本</w:t>
      </w:r>
      <w:r>
        <w:rPr>
          <w:spacing w:val="-45"/>
        </w:rPr>
        <w:t> </w:t>
      </w:r>
      <w:r>
        <w:rPr>
          <w:rFonts w:ascii="Times New Roman" w:hAnsi="Times New Roman" w:cs="Times New Roman" w:eastAsia="Times New Roman" w:hint="default"/>
        </w:rPr>
        <w:t>4,280</w:t>
      </w:r>
      <w:r>
        <w:rPr>
          <w:rFonts w:ascii="Times New Roman" w:hAnsi="Times New Roman" w:cs="Times New Roman" w:eastAsia="Times New Roman" w:hint="default"/>
          <w:spacing w:val="1"/>
        </w:rPr>
        <w:t> </w:t>
      </w:r>
      <w:r>
        <w:rPr>
          <w:spacing w:val="-3"/>
        </w:rPr>
        <w:t>万元，其中蔡廷祥增资</w:t>
      </w:r>
      <w:r>
        <w:rPr>
          <w:spacing w:val="-45"/>
        </w:rPr>
        <w:t> </w:t>
      </w:r>
      <w:r>
        <w:rPr>
          <w:rFonts w:ascii="Times New Roman" w:hAnsi="Times New Roman" w:cs="Times New Roman" w:eastAsia="Times New Roman" w:hint="default"/>
        </w:rPr>
        <w:t>3,474 </w:t>
      </w:r>
      <w:r>
        <w:rPr>
          <w:spacing w:val="-3"/>
        </w:rPr>
        <w:t>万元、吴淡珠增资</w:t>
      </w:r>
      <w:r>
        <w:rPr>
          <w:spacing w:val="-45"/>
        </w:rPr>
        <w:t> </w:t>
      </w:r>
      <w:r>
        <w:rPr>
          <w:rFonts w:ascii="Times New Roman" w:hAnsi="Times New Roman" w:cs="Times New Roman" w:eastAsia="Times New Roman" w:hint="default"/>
        </w:rPr>
        <w:t>378</w:t>
      </w:r>
      <w:r>
        <w:rPr>
          <w:rFonts w:ascii="Times New Roman" w:hAnsi="Times New Roman" w:cs="Times New Roman" w:eastAsia="Times New Roman" w:hint="default"/>
          <w:spacing w:val="1"/>
        </w:rPr>
        <w:t> </w:t>
      </w:r>
      <w:r>
        <w:rPr>
          <w:spacing w:val="-3"/>
        </w:rPr>
        <w:t>万元、陈素芳增资</w:t>
      </w:r>
      <w:r>
        <w:rPr>
          <w:spacing w:val="-44"/>
        </w:rPr>
        <w:t> </w:t>
      </w:r>
      <w:r>
        <w:rPr>
          <w:rFonts w:ascii="Times New Roman" w:hAnsi="Times New Roman" w:cs="Times New Roman" w:eastAsia="Times New Roman" w:hint="default"/>
        </w:rPr>
        <w:t>428</w:t>
      </w:r>
    </w:p>
    <w:p>
      <w:pPr>
        <w:pStyle w:val="BodyText"/>
        <w:spacing w:line="302" w:lineRule="auto" w:before="63"/>
        <w:ind w:right="186"/>
        <w:jc w:val="left"/>
      </w:pPr>
      <w:r>
        <w:rPr/>
        <w:t>万元，公司注册资本变更为</w:t>
      </w:r>
      <w:r>
        <w:rPr>
          <w:spacing w:val="-48"/>
        </w:rPr>
        <w:t> </w:t>
      </w:r>
      <w:r>
        <w:rPr>
          <w:rFonts w:ascii="Times New Roman" w:hAnsi="Times New Roman" w:cs="Times New Roman" w:eastAsia="Times New Roman" w:hint="default"/>
        </w:rPr>
        <w:t>5,280</w:t>
      </w:r>
      <w:r>
        <w:rPr>
          <w:rFonts w:ascii="Times New Roman" w:hAnsi="Times New Roman" w:cs="Times New Roman" w:eastAsia="Times New Roman" w:hint="default"/>
          <w:spacing w:val="-3"/>
        </w:rPr>
        <w:t> </w:t>
      </w:r>
      <w:r>
        <w:rPr/>
        <w:t>万元，其中蔡廷祥出资</w:t>
      </w:r>
      <w:r>
        <w:rPr>
          <w:spacing w:val="-48"/>
        </w:rPr>
        <w:t> </w:t>
      </w:r>
      <w:r>
        <w:rPr>
          <w:rFonts w:ascii="Times New Roman" w:hAnsi="Times New Roman" w:cs="Times New Roman" w:eastAsia="Times New Roman" w:hint="default"/>
        </w:rPr>
        <w:t>4,224</w:t>
      </w:r>
      <w:r>
        <w:rPr>
          <w:rFonts w:ascii="Times New Roman" w:hAnsi="Times New Roman" w:cs="Times New Roman" w:eastAsia="Times New Roman" w:hint="default"/>
          <w:spacing w:val="-3"/>
        </w:rPr>
        <w:t> </w:t>
      </w:r>
      <w:r>
        <w:rPr/>
        <w:t>万元，占注册资本的</w:t>
      </w:r>
      <w:r>
        <w:rPr>
          <w:spacing w:val="-48"/>
        </w:rPr>
        <w:t> </w:t>
      </w:r>
      <w:r>
        <w:rPr>
          <w:rFonts w:ascii="Times New Roman" w:hAnsi="Times New Roman" w:cs="Times New Roman" w:eastAsia="Times New Roman" w:hint="default"/>
        </w:rPr>
        <w:t>80%</w:t>
      </w:r>
      <w:r>
        <w:rPr/>
        <w:t>；吴淡珠出资</w:t>
      </w:r>
      <w:r>
        <w:rPr>
          <w:spacing w:val="-48"/>
        </w:rPr>
        <w:t> </w:t>
      </w:r>
      <w:r>
        <w:rPr>
          <w:rFonts w:ascii="Times New Roman" w:hAnsi="Times New Roman" w:cs="Times New Roman" w:eastAsia="Times New Roman" w:hint="default"/>
        </w:rPr>
        <w:t>528</w:t>
      </w:r>
      <w:r>
        <w:rPr>
          <w:rFonts w:ascii="Times New Roman" w:hAnsi="Times New Roman" w:cs="Times New Roman" w:eastAsia="Times New Roman" w:hint="default"/>
          <w:spacing w:val="-3"/>
        </w:rPr>
        <w:t> </w:t>
      </w:r>
      <w:r>
        <w:rPr/>
        <w:t>万元，占注册资 本的</w:t>
      </w:r>
      <w:r>
        <w:rPr>
          <w:spacing w:val="-46"/>
        </w:rPr>
        <w:t> </w:t>
      </w:r>
      <w:r>
        <w:rPr>
          <w:rFonts w:ascii="Times New Roman" w:hAnsi="Times New Roman" w:cs="Times New Roman" w:eastAsia="Times New Roman" w:hint="default"/>
        </w:rPr>
        <w:t>10%</w:t>
      </w:r>
      <w:r>
        <w:rPr/>
        <w:t>；陈素芳出资</w:t>
      </w:r>
      <w:r>
        <w:rPr>
          <w:spacing w:val="-47"/>
        </w:rPr>
        <w:t> </w:t>
      </w:r>
      <w:r>
        <w:rPr>
          <w:rFonts w:ascii="Times New Roman" w:hAnsi="Times New Roman" w:cs="Times New Roman" w:eastAsia="Times New Roman" w:hint="default"/>
        </w:rPr>
        <w:t>528</w:t>
      </w:r>
      <w:r>
        <w:rPr>
          <w:rFonts w:ascii="Times New Roman" w:hAnsi="Times New Roman" w:cs="Times New Roman" w:eastAsia="Times New Roman" w:hint="default"/>
          <w:spacing w:val="-1"/>
        </w:rPr>
        <w:t> </w:t>
      </w:r>
      <w:r>
        <w:rPr/>
        <w:t>万元，占注册资本的</w:t>
      </w:r>
      <w:r>
        <w:rPr>
          <w:spacing w:val="-47"/>
        </w:rPr>
        <w:t> </w:t>
      </w:r>
      <w:r>
        <w:rPr>
          <w:rFonts w:ascii="Times New Roman" w:hAnsi="Times New Roman" w:cs="Times New Roman" w:eastAsia="Times New Roman" w:hint="default"/>
        </w:rPr>
        <w:t>10%</w:t>
      </w:r>
      <w:r>
        <w:rPr/>
        <w:t>。</w:t>
      </w:r>
    </w:p>
    <w:p>
      <w:pPr>
        <w:pStyle w:val="BodyText"/>
        <w:spacing w:line="240" w:lineRule="auto" w:before="50"/>
        <w:ind w:left="474" w:right="91"/>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13 </w:t>
      </w:r>
      <w:r>
        <w:rPr/>
        <w:t>日，公司增加注册资本</w:t>
      </w:r>
      <w:r>
        <w:rPr>
          <w:spacing w:val="-46"/>
        </w:rPr>
        <w:t> </w:t>
      </w:r>
      <w:r>
        <w:rPr>
          <w:rFonts w:ascii="Times New Roman" w:hAnsi="Times New Roman" w:cs="Times New Roman" w:eastAsia="Times New Roman" w:hint="default"/>
        </w:rPr>
        <w:t>143</w:t>
      </w:r>
      <w:r>
        <w:rPr>
          <w:rFonts w:ascii="Times New Roman" w:hAnsi="Times New Roman" w:cs="Times New Roman" w:eastAsia="Times New Roman" w:hint="default"/>
          <w:spacing w:val="-1"/>
        </w:rPr>
        <w:t> </w:t>
      </w:r>
      <w:r>
        <w:rPr/>
        <w:t>万元，其中肖少强出资</w:t>
      </w:r>
      <w:r>
        <w:rPr>
          <w:spacing w:val="-45"/>
        </w:rPr>
        <w:t> </w:t>
      </w:r>
      <w:r>
        <w:rPr>
          <w:rFonts w:ascii="Times New Roman" w:hAnsi="Times New Roman" w:cs="Times New Roman" w:eastAsia="Times New Roman" w:hint="default"/>
        </w:rPr>
        <w:t>143 </w:t>
      </w:r>
      <w:r>
        <w:rPr/>
        <w:t>万元，公司注册资本变更为</w:t>
      </w:r>
      <w:r>
        <w:rPr>
          <w:spacing w:val="-46"/>
        </w:rPr>
        <w:t> </w:t>
      </w:r>
      <w:r>
        <w:rPr>
          <w:rFonts w:ascii="Times New Roman" w:hAnsi="Times New Roman" w:cs="Times New Roman" w:eastAsia="Times New Roman" w:hint="default"/>
        </w:rPr>
        <w:t>5,423</w:t>
      </w:r>
      <w:r>
        <w:rPr>
          <w:rFonts w:ascii="Times New Roman" w:hAnsi="Times New Roman" w:cs="Times New Roman" w:eastAsia="Times New Roman" w:hint="default"/>
          <w:spacing w:val="-1"/>
        </w:rPr>
        <w:t> </w:t>
      </w:r>
      <w:r>
        <w:rPr/>
        <w:t>万元，其中蔡</w:t>
      </w:r>
    </w:p>
    <w:p>
      <w:pPr>
        <w:pStyle w:val="BodyText"/>
        <w:spacing w:line="300" w:lineRule="auto" w:before="63"/>
        <w:ind w:right="182"/>
        <w:jc w:val="left"/>
      </w:pPr>
      <w:r>
        <w:rPr/>
        <w:t>廷祥出资</w:t>
      </w:r>
      <w:r>
        <w:rPr>
          <w:spacing w:val="-55"/>
        </w:rPr>
        <w:t> </w:t>
      </w:r>
      <w:r>
        <w:rPr>
          <w:rFonts w:ascii="Times New Roman" w:hAnsi="Times New Roman" w:cs="Times New Roman" w:eastAsia="Times New Roman" w:hint="default"/>
        </w:rPr>
        <w:t>4,224</w:t>
      </w:r>
      <w:r>
        <w:rPr>
          <w:rFonts w:ascii="Times New Roman" w:hAnsi="Times New Roman" w:cs="Times New Roman" w:eastAsia="Times New Roman" w:hint="default"/>
          <w:spacing w:val="-10"/>
        </w:rPr>
        <w:t> </w:t>
      </w:r>
      <w:r>
        <w:rPr/>
        <w:t>万元，占注册资本的</w:t>
      </w:r>
      <w:r>
        <w:rPr>
          <w:spacing w:val="-55"/>
        </w:rPr>
        <w:t> </w:t>
      </w:r>
      <w:r>
        <w:rPr>
          <w:rFonts w:ascii="Times New Roman" w:hAnsi="Times New Roman" w:cs="Times New Roman" w:eastAsia="Times New Roman" w:hint="default"/>
        </w:rPr>
        <w:t>77.90%</w:t>
      </w:r>
      <w:r>
        <w:rPr/>
        <w:t>；吴淡珠出资</w:t>
      </w:r>
      <w:r>
        <w:rPr>
          <w:spacing w:val="-54"/>
        </w:rPr>
        <w:t> </w:t>
      </w:r>
      <w:r>
        <w:rPr>
          <w:rFonts w:ascii="Times New Roman" w:hAnsi="Times New Roman" w:cs="Times New Roman" w:eastAsia="Times New Roman" w:hint="default"/>
        </w:rPr>
        <w:t>528</w:t>
      </w:r>
      <w:r>
        <w:rPr>
          <w:rFonts w:ascii="Times New Roman" w:hAnsi="Times New Roman" w:cs="Times New Roman" w:eastAsia="Times New Roman" w:hint="default"/>
          <w:spacing w:val="-10"/>
        </w:rPr>
        <w:t> </w:t>
      </w:r>
      <w:r>
        <w:rPr/>
        <w:t>万元，占注册资本的</w:t>
      </w:r>
      <w:r>
        <w:rPr>
          <w:spacing w:val="-54"/>
        </w:rPr>
        <w:t> </w:t>
      </w:r>
      <w:r>
        <w:rPr>
          <w:rFonts w:ascii="Times New Roman" w:hAnsi="Times New Roman" w:cs="Times New Roman" w:eastAsia="Times New Roman" w:hint="default"/>
        </w:rPr>
        <w:t>9.73%</w:t>
      </w:r>
      <w:r>
        <w:rPr/>
        <w:t>；陈素芳出资</w:t>
      </w:r>
      <w:r>
        <w:rPr>
          <w:spacing w:val="-54"/>
        </w:rPr>
        <w:t> </w:t>
      </w:r>
      <w:r>
        <w:rPr>
          <w:rFonts w:ascii="Times New Roman" w:hAnsi="Times New Roman" w:cs="Times New Roman" w:eastAsia="Times New Roman" w:hint="default"/>
        </w:rPr>
        <w:t>528</w:t>
      </w:r>
      <w:r>
        <w:rPr>
          <w:rFonts w:ascii="Times New Roman" w:hAnsi="Times New Roman" w:cs="Times New Roman" w:eastAsia="Times New Roman" w:hint="default"/>
          <w:spacing w:val="-10"/>
        </w:rPr>
        <w:t> </w:t>
      </w:r>
      <w:r>
        <w:rPr/>
        <w:t>万元，占注册资 本的</w:t>
      </w:r>
      <w:r>
        <w:rPr>
          <w:spacing w:val="-47"/>
        </w:rPr>
        <w:t> </w:t>
      </w:r>
      <w:r>
        <w:rPr>
          <w:rFonts w:ascii="Times New Roman" w:hAnsi="Times New Roman" w:cs="Times New Roman" w:eastAsia="Times New Roman" w:hint="default"/>
        </w:rPr>
        <w:t>9.73%</w:t>
      </w:r>
      <w:r>
        <w:rPr/>
        <w:t>；肖少强出资</w:t>
      </w:r>
      <w:r>
        <w:rPr>
          <w:spacing w:val="-47"/>
        </w:rPr>
        <w:t> </w:t>
      </w:r>
      <w:r>
        <w:rPr>
          <w:rFonts w:ascii="Times New Roman" w:hAnsi="Times New Roman" w:cs="Times New Roman" w:eastAsia="Times New Roman" w:hint="default"/>
        </w:rPr>
        <w:t>143</w:t>
      </w:r>
      <w:r>
        <w:rPr>
          <w:rFonts w:ascii="Times New Roman" w:hAnsi="Times New Roman" w:cs="Times New Roman" w:eastAsia="Times New Roman" w:hint="default"/>
          <w:spacing w:val="-3"/>
        </w:rPr>
        <w:t> </w:t>
      </w:r>
      <w:r>
        <w:rPr/>
        <w:t>万元，占注册资本的</w:t>
      </w:r>
      <w:r>
        <w:rPr>
          <w:spacing w:val="-47"/>
        </w:rPr>
        <w:t> </w:t>
      </w:r>
      <w:r>
        <w:rPr>
          <w:rFonts w:ascii="Times New Roman" w:hAnsi="Times New Roman" w:cs="Times New Roman" w:eastAsia="Times New Roman" w:hint="default"/>
        </w:rPr>
        <w:t>2.64%</w:t>
      </w:r>
      <w:r>
        <w:rPr/>
        <w:t>。</w:t>
      </w:r>
    </w:p>
    <w:p>
      <w:pPr>
        <w:pStyle w:val="BodyText"/>
        <w:spacing w:line="300" w:lineRule="auto" w:before="52"/>
        <w:ind w:left="113" w:right="104" w:firstLine="36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日，公司股东蔡廷祥将其持有的</w:t>
      </w:r>
      <w:r>
        <w:rPr>
          <w:spacing w:val="-47"/>
        </w:rPr>
        <w:t> </w:t>
      </w:r>
      <w:r>
        <w:rPr>
          <w:rFonts w:ascii="Times New Roman" w:hAnsi="Times New Roman" w:cs="Times New Roman" w:eastAsia="Times New Roman" w:hint="default"/>
        </w:rPr>
        <w:t>1.05%</w:t>
      </w:r>
      <w:r>
        <w:rPr/>
        <w:t>的公司股权转让给柯少玲。转让后，实收资本中各股东出资额及 持股比例为：蔡廷祥出资</w:t>
      </w:r>
      <w:r>
        <w:rPr>
          <w:spacing w:val="-46"/>
        </w:rPr>
        <w:t> </w:t>
      </w:r>
      <w:r>
        <w:rPr>
          <w:rFonts w:ascii="Times New Roman" w:hAnsi="Times New Roman" w:cs="Times New Roman" w:eastAsia="Times New Roman" w:hint="default"/>
        </w:rPr>
        <w:t>4,166.80</w:t>
      </w:r>
      <w:r>
        <w:rPr>
          <w:rFonts w:ascii="Times New Roman" w:hAnsi="Times New Roman" w:cs="Times New Roman" w:eastAsia="Times New Roman" w:hint="default"/>
          <w:spacing w:val="-2"/>
        </w:rPr>
        <w:t> </w:t>
      </w:r>
      <w:r>
        <w:rPr/>
        <w:t>万元，占注册资本的</w:t>
      </w:r>
      <w:r>
        <w:rPr>
          <w:spacing w:val="-46"/>
        </w:rPr>
        <w:t> </w:t>
      </w:r>
      <w:r>
        <w:rPr>
          <w:rFonts w:ascii="Times New Roman" w:hAnsi="Times New Roman" w:cs="Times New Roman" w:eastAsia="Times New Roman" w:hint="default"/>
        </w:rPr>
        <w:t>76.85%</w:t>
      </w:r>
      <w:r>
        <w:rPr/>
        <w:t>；吴淡珠出资</w:t>
      </w:r>
      <w:r>
        <w:rPr>
          <w:spacing w:val="-46"/>
        </w:rPr>
        <w:t> </w:t>
      </w:r>
      <w:r>
        <w:rPr>
          <w:rFonts w:ascii="Times New Roman" w:hAnsi="Times New Roman" w:cs="Times New Roman" w:eastAsia="Times New Roman" w:hint="default"/>
        </w:rPr>
        <w:t>528</w:t>
      </w:r>
      <w:r>
        <w:rPr>
          <w:rFonts w:ascii="Times New Roman" w:hAnsi="Times New Roman" w:cs="Times New Roman" w:eastAsia="Times New Roman" w:hint="default"/>
          <w:spacing w:val="-2"/>
        </w:rPr>
        <w:t> </w:t>
      </w:r>
      <w:r>
        <w:rPr/>
        <w:t>万元，占注册资本的</w:t>
      </w:r>
      <w:r>
        <w:rPr>
          <w:spacing w:val="-46"/>
        </w:rPr>
        <w:t> </w:t>
      </w:r>
      <w:r>
        <w:rPr>
          <w:rFonts w:ascii="Times New Roman" w:hAnsi="Times New Roman" w:cs="Times New Roman" w:eastAsia="Times New Roman" w:hint="default"/>
        </w:rPr>
        <w:t>9.73%</w:t>
      </w:r>
      <w:r>
        <w:rPr/>
        <w:t>；陈素芳出资 </w:t>
      </w:r>
      <w:r>
        <w:rPr>
          <w:rFonts w:ascii="Times New Roman" w:hAnsi="Times New Roman" w:cs="Times New Roman" w:eastAsia="Times New Roman" w:hint="default"/>
        </w:rPr>
        <w:t>528</w:t>
      </w:r>
      <w:r>
        <w:rPr>
          <w:rFonts w:ascii="Times New Roman" w:hAnsi="Times New Roman" w:cs="Times New Roman" w:eastAsia="Times New Roman" w:hint="default"/>
          <w:spacing w:val="-1"/>
        </w:rPr>
        <w:t> </w:t>
      </w:r>
      <w:r>
        <w:rPr/>
        <w:t>万元，占注册资本的</w:t>
      </w:r>
      <w:r>
        <w:rPr>
          <w:spacing w:val="-47"/>
        </w:rPr>
        <w:t> </w:t>
      </w:r>
      <w:r>
        <w:rPr>
          <w:rFonts w:ascii="Times New Roman" w:hAnsi="Times New Roman" w:cs="Times New Roman" w:eastAsia="Times New Roman" w:hint="default"/>
        </w:rPr>
        <w:t>9.73%</w:t>
      </w:r>
      <w:r>
        <w:rPr/>
        <w:t>；肖少强出资</w:t>
      </w:r>
      <w:r>
        <w:rPr>
          <w:spacing w:val="-47"/>
        </w:rPr>
        <w:t> </w:t>
      </w:r>
      <w:r>
        <w:rPr>
          <w:rFonts w:ascii="Times New Roman" w:hAnsi="Times New Roman" w:cs="Times New Roman" w:eastAsia="Times New Roman" w:hint="default"/>
        </w:rPr>
        <w:t>143</w:t>
      </w:r>
      <w:r>
        <w:rPr>
          <w:rFonts w:ascii="Times New Roman" w:hAnsi="Times New Roman" w:cs="Times New Roman" w:eastAsia="Times New Roman" w:hint="default"/>
          <w:spacing w:val="-1"/>
        </w:rPr>
        <w:t> </w:t>
      </w:r>
      <w:r>
        <w:rPr/>
        <w:t>万元，占注册资本的</w:t>
      </w:r>
      <w:r>
        <w:rPr>
          <w:spacing w:val="-47"/>
        </w:rPr>
        <w:t> </w:t>
      </w:r>
      <w:r>
        <w:rPr>
          <w:rFonts w:ascii="Times New Roman" w:hAnsi="Times New Roman" w:cs="Times New Roman" w:eastAsia="Times New Roman" w:hint="default"/>
        </w:rPr>
        <w:t>2.64%</w:t>
      </w:r>
      <w:r>
        <w:rPr/>
        <w:t>；柯少玲出资</w:t>
      </w:r>
      <w:r>
        <w:rPr>
          <w:spacing w:val="-47"/>
        </w:rPr>
        <w:t> </w:t>
      </w:r>
      <w:r>
        <w:rPr>
          <w:rFonts w:ascii="Times New Roman" w:hAnsi="Times New Roman" w:cs="Times New Roman" w:eastAsia="Times New Roman" w:hint="default"/>
        </w:rPr>
        <w:t>57.20</w:t>
      </w:r>
      <w:r>
        <w:rPr>
          <w:rFonts w:ascii="Times New Roman" w:hAnsi="Times New Roman" w:cs="Times New Roman" w:eastAsia="Times New Roman" w:hint="default"/>
          <w:spacing w:val="-2"/>
        </w:rPr>
        <w:t> </w:t>
      </w:r>
      <w:r>
        <w:rPr/>
        <w:t>万元，占注册资本</w:t>
      </w:r>
      <w:r>
        <w:rPr>
          <w:spacing w:val="-46"/>
        </w:rPr>
        <w:t> </w:t>
      </w:r>
      <w:r>
        <w:rPr>
          <w:rFonts w:ascii="Times New Roman" w:hAnsi="Times New Roman" w:cs="Times New Roman" w:eastAsia="Times New Roman" w:hint="default"/>
        </w:rPr>
        <w:t>1.05%</w:t>
      </w:r>
      <w:r>
        <w:rPr/>
        <w:t>。</w:t>
      </w:r>
    </w:p>
    <w:p>
      <w:pPr>
        <w:pStyle w:val="BodyText"/>
        <w:spacing w:line="240" w:lineRule="auto" w:before="53"/>
        <w:ind w:left="473" w:right="91"/>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日，公司股东蔡廷祥与陈锦贤、陈得光、任锋签订股权转让协议，蔡廷祥将其持有的</w:t>
      </w:r>
      <w:r>
        <w:rPr>
          <w:spacing w:val="-47"/>
        </w:rPr>
        <w:t>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8.756%</w:t>
      </w:r>
      <w:r>
        <w:rPr/>
        <w:t>、</w:t>
      </w:r>
    </w:p>
    <w:p>
      <w:pPr>
        <w:pStyle w:val="BodyText"/>
        <w:spacing w:line="300" w:lineRule="auto" w:before="63"/>
        <w:ind w:right="94"/>
        <w:jc w:val="left"/>
      </w:pPr>
      <w:r>
        <w:rPr>
          <w:rFonts w:ascii="Times New Roman" w:hAnsi="Times New Roman" w:cs="Times New Roman" w:eastAsia="Times New Roman" w:hint="default"/>
        </w:rPr>
        <w:t>3.33%</w:t>
      </w:r>
      <w:r>
        <w:rPr/>
        <w:t>的股权分别转让给陈锦贤、陈得光、任锋；公司股东吴淡珠与陈得光签订股权转让协议，吴淡珠将其持有的</w:t>
      </w:r>
      <w:r>
        <w:rPr>
          <w:spacing w:val="-47"/>
        </w:rPr>
        <w:t> </w:t>
      </w:r>
      <w:r>
        <w:rPr>
          <w:rFonts w:ascii="Times New Roman" w:hAnsi="Times New Roman" w:cs="Times New Roman" w:eastAsia="Times New Roman" w:hint="default"/>
        </w:rPr>
        <w:t>0.93%</w:t>
      </w:r>
      <w:r>
        <w:rPr/>
        <w:t>股 权转让给陈得光；公司股东陈素芳与陈得光签订股权转让协议，陈素芳将其持有的</w:t>
      </w:r>
      <w:r>
        <w:rPr>
          <w:spacing w:val="-63"/>
        </w:rPr>
        <w:t> </w:t>
      </w:r>
      <w:r>
        <w:rPr>
          <w:rFonts w:ascii="Times New Roman" w:hAnsi="Times New Roman" w:cs="Times New Roman" w:eastAsia="Times New Roman" w:hint="default"/>
        </w:rPr>
        <w:t>0.93%</w:t>
      </w:r>
      <w:r>
        <w:rPr/>
        <w:t>股权转让给陈得光。转让后，实收 资本中各股东出资额及持股比例为：蔡廷祥出资</w:t>
      </w:r>
      <w:r>
        <w:rPr>
          <w:spacing w:val="-47"/>
        </w:rPr>
        <w:t> </w:t>
      </w:r>
      <w:r>
        <w:rPr>
          <w:rFonts w:ascii="Times New Roman" w:hAnsi="Times New Roman" w:cs="Times New Roman" w:eastAsia="Times New Roman" w:hint="default"/>
        </w:rPr>
        <w:t>34,571,625.00</w:t>
      </w:r>
      <w:r>
        <w:rPr>
          <w:rFonts w:ascii="Times New Roman" w:hAnsi="Times New Roman" w:cs="Times New Roman" w:eastAsia="Times New Roman" w:hint="default"/>
          <w:spacing w:val="-2"/>
        </w:rPr>
        <w:t> </w:t>
      </w:r>
      <w:r>
        <w:rPr/>
        <w:t>元，占注册资本的</w:t>
      </w:r>
      <w:r>
        <w:rPr>
          <w:spacing w:val="-48"/>
        </w:rPr>
        <w:t> </w:t>
      </w:r>
      <w:r>
        <w:rPr>
          <w:rFonts w:ascii="Times New Roman" w:hAnsi="Times New Roman" w:cs="Times New Roman" w:eastAsia="Times New Roman" w:hint="default"/>
        </w:rPr>
        <w:t>63.75%</w:t>
      </w:r>
      <w:r>
        <w:rPr/>
        <w:t>；陈得光出资</w:t>
      </w:r>
      <w:r>
        <w:rPr>
          <w:spacing w:val="-48"/>
        </w:rPr>
        <w:t> </w:t>
      </w:r>
      <w:r>
        <w:rPr>
          <w:rFonts w:ascii="Times New Roman" w:hAnsi="Times New Roman" w:cs="Times New Roman" w:eastAsia="Times New Roman" w:hint="default"/>
        </w:rPr>
        <w:t>5,763,736.00</w:t>
      </w:r>
      <w:r>
        <w:rPr>
          <w:rFonts w:ascii="Times New Roman" w:hAnsi="Times New Roman" w:cs="Times New Roman" w:eastAsia="Times New Roman" w:hint="default"/>
          <w:spacing w:val="-3"/>
        </w:rPr>
        <w:t> </w:t>
      </w:r>
      <w:r>
        <w:rPr/>
        <w:t>元，占 注册资本的</w:t>
      </w:r>
      <w:r>
        <w:rPr>
          <w:spacing w:val="-47"/>
        </w:rPr>
        <w:t> </w:t>
      </w:r>
      <w:r>
        <w:rPr>
          <w:rFonts w:ascii="Times New Roman" w:hAnsi="Times New Roman" w:cs="Times New Roman" w:eastAsia="Times New Roman" w:hint="default"/>
        </w:rPr>
        <w:t>10.63%</w:t>
      </w:r>
      <w:r>
        <w:rPr/>
        <w:t>；吴淡珠出资</w:t>
      </w:r>
      <w:r>
        <w:rPr>
          <w:spacing w:val="-47"/>
        </w:rPr>
        <w:t> </w:t>
      </w:r>
      <w:r>
        <w:rPr>
          <w:rFonts w:ascii="Times New Roman" w:hAnsi="Times New Roman" w:cs="Times New Roman" w:eastAsia="Times New Roman" w:hint="default"/>
        </w:rPr>
        <w:t>4,772,240.00</w:t>
      </w:r>
      <w:r>
        <w:rPr>
          <w:rFonts w:ascii="Times New Roman" w:hAnsi="Times New Roman" w:cs="Times New Roman" w:eastAsia="Times New Roman" w:hint="default"/>
          <w:spacing w:val="-2"/>
        </w:rPr>
        <w:t> </w:t>
      </w:r>
      <w:r>
        <w:rPr>
          <w:spacing w:val="-3"/>
        </w:rPr>
        <w:t>元，占注册资本的</w:t>
      </w:r>
      <w:r>
        <w:rPr>
          <w:spacing w:val="-46"/>
        </w:rPr>
        <w:t> </w:t>
      </w:r>
      <w:r>
        <w:rPr>
          <w:rFonts w:ascii="Times New Roman" w:hAnsi="Times New Roman" w:cs="Times New Roman" w:eastAsia="Times New Roman" w:hint="default"/>
          <w:spacing w:val="-3"/>
        </w:rPr>
        <w:t>8.80%</w:t>
      </w:r>
      <w:r>
        <w:rPr>
          <w:spacing w:val="-3"/>
        </w:rPr>
        <w:t>；陈素芳出资</w:t>
      </w:r>
      <w:r>
        <w:rPr>
          <w:spacing w:val="-47"/>
        </w:rPr>
        <w:t> </w:t>
      </w:r>
      <w:r>
        <w:rPr>
          <w:rFonts w:ascii="Times New Roman" w:hAnsi="Times New Roman" w:cs="Times New Roman" w:eastAsia="Times New Roman" w:hint="default"/>
        </w:rPr>
        <w:t>4,772,240.00</w:t>
      </w:r>
      <w:r>
        <w:rPr>
          <w:rFonts w:ascii="Times New Roman" w:hAnsi="Times New Roman" w:cs="Times New Roman" w:eastAsia="Times New Roman" w:hint="default"/>
          <w:spacing w:val="-2"/>
        </w:rPr>
        <w:t> </w:t>
      </w:r>
      <w:r>
        <w:rPr>
          <w:spacing w:val="-3"/>
        </w:rPr>
        <w:t>元，占注册资本的</w:t>
      </w:r>
      <w:r>
        <w:rPr>
          <w:spacing w:val="-47"/>
        </w:rPr>
        <w:t> </w:t>
      </w:r>
      <w:r>
        <w:rPr>
          <w:rFonts w:ascii="Times New Roman" w:hAnsi="Times New Roman" w:cs="Times New Roman" w:eastAsia="Times New Roman" w:hint="default"/>
        </w:rPr>
        <w:t>8.80%</w:t>
      </w:r>
      <w:r>
        <w:rPr/>
        <w:t>； 任锋出资</w:t>
      </w:r>
      <w:r>
        <w:rPr>
          <w:spacing w:val="-49"/>
        </w:rPr>
        <w:t> </w:t>
      </w:r>
      <w:r>
        <w:rPr>
          <w:rFonts w:ascii="Times New Roman" w:hAnsi="Times New Roman" w:cs="Times New Roman" w:eastAsia="Times New Roman" w:hint="default"/>
        </w:rPr>
        <w:t>1,805,859.00</w:t>
      </w:r>
      <w:r>
        <w:rPr>
          <w:rFonts w:ascii="Times New Roman" w:hAnsi="Times New Roman" w:cs="Times New Roman" w:eastAsia="Times New Roman" w:hint="default"/>
          <w:spacing w:val="-3"/>
        </w:rPr>
        <w:t> </w:t>
      </w:r>
      <w:r>
        <w:rPr>
          <w:spacing w:val="-3"/>
        </w:rPr>
        <w:t>元，占注册资本的</w:t>
      </w:r>
      <w:r>
        <w:rPr>
          <w:spacing w:val="-48"/>
        </w:rPr>
        <w:t> </w:t>
      </w:r>
      <w:r>
        <w:rPr>
          <w:rFonts w:ascii="Times New Roman" w:hAnsi="Times New Roman" w:cs="Times New Roman" w:eastAsia="Times New Roman" w:hint="default"/>
        </w:rPr>
        <w:t>3.33%</w:t>
      </w:r>
      <w:r>
        <w:rPr/>
        <w:t>；肖少强出资</w:t>
      </w:r>
      <w:r>
        <w:rPr>
          <w:spacing w:val="-48"/>
        </w:rPr>
        <w:t> </w:t>
      </w:r>
      <w:r>
        <w:rPr>
          <w:rFonts w:ascii="Times New Roman" w:hAnsi="Times New Roman" w:cs="Times New Roman" w:eastAsia="Times New Roman" w:hint="default"/>
        </w:rPr>
        <w:t>1,430,000.00</w:t>
      </w:r>
      <w:r>
        <w:rPr>
          <w:rFonts w:ascii="Times New Roman" w:hAnsi="Times New Roman" w:cs="Times New Roman" w:eastAsia="Times New Roman" w:hint="default"/>
          <w:spacing w:val="-4"/>
        </w:rPr>
        <w:t> </w:t>
      </w:r>
      <w:r>
        <w:rPr>
          <w:spacing w:val="-3"/>
        </w:rPr>
        <w:t>元，占注册资本的</w:t>
      </w:r>
      <w:r>
        <w:rPr>
          <w:spacing w:val="-49"/>
        </w:rPr>
        <w:t> </w:t>
      </w:r>
      <w:r>
        <w:rPr>
          <w:rFonts w:ascii="Times New Roman" w:hAnsi="Times New Roman" w:cs="Times New Roman" w:eastAsia="Times New Roman" w:hint="default"/>
        </w:rPr>
        <w:t>2.64%</w:t>
      </w:r>
      <w:r>
        <w:rPr/>
        <w:t>；柯少玲出资</w:t>
      </w:r>
      <w:r>
        <w:rPr>
          <w:spacing w:val="-48"/>
        </w:rPr>
        <w:t> </w:t>
      </w:r>
      <w:r>
        <w:rPr>
          <w:rFonts w:ascii="Times New Roman" w:hAnsi="Times New Roman" w:cs="Times New Roman" w:eastAsia="Times New Roman" w:hint="default"/>
        </w:rPr>
        <w:t>572,000.00 </w:t>
      </w:r>
      <w:r>
        <w:rPr/>
        <w:t>元，占注册资本</w:t>
      </w:r>
      <w:r>
        <w:rPr>
          <w:spacing w:val="-47"/>
        </w:rPr>
        <w:t> </w:t>
      </w:r>
      <w:r>
        <w:rPr>
          <w:rFonts w:ascii="Times New Roman" w:hAnsi="Times New Roman" w:cs="Times New Roman" w:eastAsia="Times New Roman" w:hint="default"/>
        </w:rPr>
        <w:t>1.05%</w:t>
      </w:r>
      <w:r>
        <w:rPr/>
        <w:t>；陈锦贤出资</w:t>
      </w:r>
      <w:r>
        <w:rPr>
          <w:spacing w:val="-46"/>
        </w:rPr>
        <w:t> </w:t>
      </w:r>
      <w:r>
        <w:rPr>
          <w:rFonts w:ascii="Times New Roman" w:hAnsi="Times New Roman" w:cs="Times New Roman" w:eastAsia="Times New Roman" w:hint="default"/>
        </w:rPr>
        <w:t>542,300.00</w:t>
      </w:r>
      <w:r>
        <w:rPr>
          <w:rFonts w:ascii="Times New Roman" w:hAnsi="Times New Roman" w:cs="Times New Roman" w:eastAsia="Times New Roman" w:hint="default"/>
          <w:spacing w:val="-2"/>
        </w:rPr>
        <w:t> </w:t>
      </w:r>
      <w:r>
        <w:rPr/>
        <w:t>元，占注册资本</w:t>
      </w:r>
      <w:r>
        <w:rPr>
          <w:spacing w:val="-46"/>
        </w:rPr>
        <w:t> </w:t>
      </w:r>
      <w:r>
        <w:rPr>
          <w:rFonts w:ascii="Times New Roman" w:hAnsi="Times New Roman" w:cs="Times New Roman" w:eastAsia="Times New Roman" w:hint="default"/>
        </w:rPr>
        <w:t>1.00%</w:t>
      </w:r>
      <w:r>
        <w:rPr/>
        <w:t>。</w:t>
      </w:r>
    </w:p>
    <w:p>
      <w:pPr>
        <w:pStyle w:val="BodyText"/>
        <w:spacing w:line="316" w:lineRule="auto" w:before="52"/>
        <w:ind w:left="113" w:right="191" w:firstLine="360"/>
        <w:jc w:val="both"/>
      </w:pPr>
      <w:r>
        <w:rPr>
          <w:spacing w:val="-2"/>
        </w:rPr>
        <w:t>根据广东长城集团有限公司股东会决议和广东长城集团股份有限公司发起人协议书，广东长城集团有限公司原股东作为</w:t>
      </w:r>
      <w:r>
        <w:rPr/>
        <w:t> </w:t>
      </w:r>
      <w:r>
        <w:rPr>
          <w:spacing w:val="-2"/>
        </w:rPr>
        <w:t>发起人，以发起方式将广东长城集团有限公司整体变更为广东长城集团股份有限公司，各股东以广东长城集团有限公司截至</w:t>
      </w:r>
      <w:r>
        <w:rPr>
          <w:spacing w:val="-64"/>
        </w:rPr>
        <w:t> </w:t>
      </w:r>
      <w:r>
        <w:rPr>
          <w:spacing w:val="-64"/>
        </w:rPr>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日的净资产</w:t>
      </w:r>
      <w:r>
        <w:rPr>
          <w:spacing w:val="-51"/>
        </w:rPr>
        <w:t> </w:t>
      </w:r>
      <w:r>
        <w:rPr>
          <w:rFonts w:ascii="Times New Roman" w:hAnsi="Times New Roman" w:cs="Times New Roman" w:eastAsia="Times New Roman" w:hint="default"/>
        </w:rPr>
        <w:t>119,302,484.84</w:t>
      </w:r>
      <w:r>
        <w:rPr>
          <w:rFonts w:ascii="Times New Roman" w:hAnsi="Times New Roman" w:cs="Times New Roman" w:eastAsia="Times New Roman" w:hint="default"/>
          <w:spacing w:val="-7"/>
        </w:rPr>
        <w:t> </w:t>
      </w:r>
      <w:r>
        <w:rPr/>
        <w:t>元中的</w:t>
      </w:r>
      <w:r>
        <w:rPr>
          <w:spacing w:val="-51"/>
        </w:rPr>
        <w:t> </w:t>
      </w:r>
      <w:r>
        <w:rPr>
          <w:rFonts w:ascii="Times New Roman" w:hAnsi="Times New Roman" w:cs="Times New Roman" w:eastAsia="Times New Roman" w:hint="default"/>
        </w:rPr>
        <w:t>60,000,000.00</w:t>
      </w:r>
      <w:r>
        <w:rPr>
          <w:rFonts w:ascii="Times New Roman" w:hAnsi="Times New Roman" w:cs="Times New Roman" w:eastAsia="Times New Roman" w:hint="default"/>
          <w:spacing w:val="-7"/>
        </w:rPr>
        <w:t> </w:t>
      </w:r>
      <w:r>
        <w:rPr/>
        <w:t>元作为折股依据，相应折合为长城集团的全部股份，各发起</w:t>
      </w:r>
    </w:p>
    <w:p>
      <w:pPr>
        <w:pStyle w:val="BodyText"/>
        <w:spacing w:line="248" w:lineRule="exact"/>
        <w:ind w:left="113" w:right="91"/>
        <w:jc w:val="left"/>
      </w:pPr>
      <w:r>
        <w:rPr/>
        <w:t>人所持有的广东长城集团有限公司的股权相应转为长城集团的股份。长城集团注册资本为</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万元，实收资本为</w:t>
      </w:r>
      <w:r>
        <w:rPr>
          <w:spacing w:val="-4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w:t>
      </w:r>
    </w:p>
    <w:p>
      <w:pPr>
        <w:spacing w:after="0" w:line="248" w:lineRule="exact"/>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left="113" w:right="189"/>
        <w:jc w:val="both"/>
      </w:pPr>
      <w:r>
        <w:rPr/>
        <w:t>元。至此注册资本中各股东出资额以及持股比例分别为：蔡廷祥出资</w:t>
      </w:r>
      <w:r>
        <w:rPr>
          <w:spacing w:val="-62"/>
        </w:rPr>
        <w:t> </w:t>
      </w:r>
      <w:r>
        <w:rPr>
          <w:rFonts w:ascii="Times New Roman" w:hAnsi="Times New Roman" w:cs="Times New Roman" w:eastAsia="Times New Roman" w:hint="default"/>
        </w:rPr>
        <w:t>3,825</w:t>
      </w:r>
      <w:r>
        <w:rPr>
          <w:rFonts w:ascii="Times New Roman" w:hAnsi="Times New Roman" w:cs="Times New Roman" w:eastAsia="Times New Roman" w:hint="default"/>
          <w:spacing w:val="-18"/>
        </w:rPr>
        <w:t> </w:t>
      </w:r>
      <w:r>
        <w:rPr>
          <w:spacing w:val="-3"/>
        </w:rPr>
        <w:t>万元，占注册资本的</w:t>
      </w:r>
      <w:r>
        <w:rPr>
          <w:spacing w:val="-63"/>
        </w:rPr>
        <w:t> </w:t>
      </w:r>
      <w:r>
        <w:rPr>
          <w:rFonts w:ascii="Times New Roman" w:hAnsi="Times New Roman" w:cs="Times New Roman" w:eastAsia="Times New Roman" w:hint="default"/>
        </w:rPr>
        <w:t>63.75%</w:t>
      </w:r>
      <w:r>
        <w:rPr/>
        <w:t>；陈得光出资</w:t>
      </w:r>
      <w:r>
        <w:rPr>
          <w:spacing w:val="-63"/>
        </w:rPr>
        <w:t> </w:t>
      </w:r>
      <w:r>
        <w:rPr>
          <w:rFonts w:ascii="Times New Roman" w:hAnsi="Times New Roman" w:cs="Times New Roman" w:eastAsia="Times New Roman" w:hint="default"/>
        </w:rPr>
        <w:t>637.80 </w:t>
      </w:r>
      <w:r>
        <w:rPr/>
        <w:t>万，占注册资本的</w:t>
      </w:r>
      <w:r>
        <w:rPr>
          <w:spacing w:val="-58"/>
        </w:rPr>
        <w:t> </w:t>
      </w:r>
      <w:r>
        <w:rPr>
          <w:rFonts w:ascii="Times New Roman" w:hAnsi="Times New Roman" w:cs="Times New Roman" w:eastAsia="Times New Roman" w:hint="default"/>
        </w:rPr>
        <w:t>10.63%</w:t>
      </w:r>
      <w:r>
        <w:rPr/>
        <w:t>；吴淡珠出资</w:t>
      </w:r>
      <w:r>
        <w:rPr>
          <w:spacing w:val="-58"/>
        </w:rPr>
        <w:t> </w:t>
      </w:r>
      <w:r>
        <w:rPr>
          <w:rFonts w:ascii="Times New Roman" w:hAnsi="Times New Roman" w:cs="Times New Roman" w:eastAsia="Times New Roman" w:hint="default"/>
        </w:rPr>
        <w:t>528</w:t>
      </w:r>
      <w:r>
        <w:rPr>
          <w:rFonts w:ascii="Times New Roman" w:hAnsi="Times New Roman" w:cs="Times New Roman" w:eastAsia="Times New Roman" w:hint="default"/>
          <w:spacing w:val="-13"/>
        </w:rPr>
        <w:t> </w:t>
      </w:r>
      <w:r>
        <w:rPr/>
        <w:t>万元，占注册资本的</w:t>
      </w:r>
      <w:r>
        <w:rPr>
          <w:spacing w:val="-58"/>
        </w:rPr>
        <w:t> </w:t>
      </w:r>
      <w:r>
        <w:rPr>
          <w:rFonts w:ascii="Times New Roman" w:hAnsi="Times New Roman" w:cs="Times New Roman" w:eastAsia="Times New Roman" w:hint="default"/>
        </w:rPr>
        <w:t>8.80%</w:t>
      </w:r>
      <w:r>
        <w:rPr/>
        <w:t>；陈素芳出资</w:t>
      </w:r>
      <w:r>
        <w:rPr>
          <w:spacing w:val="-58"/>
        </w:rPr>
        <w:t> </w:t>
      </w:r>
      <w:r>
        <w:rPr>
          <w:rFonts w:ascii="Times New Roman" w:hAnsi="Times New Roman" w:cs="Times New Roman" w:eastAsia="Times New Roman" w:hint="default"/>
        </w:rPr>
        <w:t>528</w:t>
      </w:r>
      <w:r>
        <w:rPr>
          <w:rFonts w:ascii="Times New Roman" w:hAnsi="Times New Roman" w:cs="Times New Roman" w:eastAsia="Times New Roman" w:hint="default"/>
          <w:spacing w:val="-13"/>
        </w:rPr>
        <w:t> </w:t>
      </w:r>
      <w:r>
        <w:rPr/>
        <w:t>万元，占注册资本的</w:t>
      </w:r>
      <w:r>
        <w:rPr>
          <w:spacing w:val="-58"/>
        </w:rPr>
        <w:t> </w:t>
      </w:r>
      <w:r>
        <w:rPr>
          <w:rFonts w:ascii="Times New Roman" w:hAnsi="Times New Roman" w:cs="Times New Roman" w:eastAsia="Times New Roman" w:hint="default"/>
        </w:rPr>
        <w:t>8.80%</w:t>
      </w:r>
      <w:r>
        <w:rPr/>
        <w:t>；任锋 出资</w:t>
      </w:r>
      <w:r>
        <w:rPr>
          <w:spacing w:val="-50"/>
        </w:rPr>
        <w:t> </w:t>
      </w:r>
      <w:r>
        <w:rPr>
          <w:rFonts w:ascii="Times New Roman" w:hAnsi="Times New Roman" w:cs="Times New Roman" w:eastAsia="Times New Roman" w:hint="default"/>
        </w:rPr>
        <w:t>199.80</w:t>
      </w:r>
      <w:r>
        <w:rPr>
          <w:rFonts w:ascii="Times New Roman" w:hAnsi="Times New Roman" w:cs="Times New Roman" w:eastAsia="Times New Roman" w:hint="default"/>
          <w:spacing w:val="-6"/>
        </w:rPr>
        <w:t> </w:t>
      </w:r>
      <w:r>
        <w:rPr/>
        <w:t>万元，占注册资本的</w:t>
      </w:r>
      <w:r>
        <w:rPr>
          <w:spacing w:val="-50"/>
        </w:rPr>
        <w:t> </w:t>
      </w:r>
      <w:r>
        <w:rPr>
          <w:rFonts w:ascii="Times New Roman" w:hAnsi="Times New Roman" w:cs="Times New Roman" w:eastAsia="Times New Roman" w:hint="default"/>
        </w:rPr>
        <w:t>3.33%</w:t>
      </w:r>
      <w:r>
        <w:rPr/>
        <w:t>；肖少强出资</w:t>
      </w:r>
      <w:r>
        <w:rPr>
          <w:spacing w:val="-50"/>
        </w:rPr>
        <w:t> </w:t>
      </w:r>
      <w:r>
        <w:rPr>
          <w:rFonts w:ascii="Times New Roman" w:hAnsi="Times New Roman" w:cs="Times New Roman" w:eastAsia="Times New Roman" w:hint="default"/>
        </w:rPr>
        <w:t>158.40</w:t>
      </w:r>
      <w:r>
        <w:rPr>
          <w:rFonts w:ascii="Times New Roman" w:hAnsi="Times New Roman" w:cs="Times New Roman" w:eastAsia="Times New Roman" w:hint="default"/>
          <w:spacing w:val="-5"/>
        </w:rPr>
        <w:t> </w:t>
      </w:r>
      <w:r>
        <w:rPr/>
        <w:t>万元，占注册资本的</w:t>
      </w:r>
      <w:r>
        <w:rPr>
          <w:spacing w:val="-50"/>
        </w:rPr>
        <w:t> </w:t>
      </w:r>
      <w:r>
        <w:rPr>
          <w:rFonts w:ascii="Times New Roman" w:hAnsi="Times New Roman" w:cs="Times New Roman" w:eastAsia="Times New Roman" w:hint="default"/>
        </w:rPr>
        <w:t>2.64%</w:t>
      </w:r>
      <w:r>
        <w:rPr/>
        <w:t>；柯少玲出资</w:t>
      </w:r>
      <w:r>
        <w:rPr>
          <w:spacing w:val="-51"/>
        </w:rPr>
        <w:t> </w:t>
      </w:r>
      <w:r>
        <w:rPr>
          <w:rFonts w:ascii="Times New Roman" w:hAnsi="Times New Roman" w:cs="Times New Roman" w:eastAsia="Times New Roman" w:hint="default"/>
        </w:rPr>
        <w:t>63</w:t>
      </w:r>
      <w:r>
        <w:rPr>
          <w:rFonts w:ascii="Times New Roman" w:hAnsi="Times New Roman" w:cs="Times New Roman" w:eastAsia="Times New Roman" w:hint="default"/>
          <w:spacing w:val="-5"/>
        </w:rPr>
        <w:t> </w:t>
      </w:r>
      <w:r>
        <w:rPr/>
        <w:t>万元，占注册资本 的</w:t>
      </w:r>
      <w:r>
        <w:rPr>
          <w:spacing w:val="-47"/>
        </w:rPr>
        <w:t> </w:t>
      </w:r>
      <w:r>
        <w:rPr>
          <w:rFonts w:ascii="Times New Roman" w:hAnsi="Times New Roman" w:cs="Times New Roman" w:eastAsia="Times New Roman" w:hint="default"/>
        </w:rPr>
        <w:t>1.05%</w:t>
      </w:r>
      <w:r>
        <w:rPr/>
        <w:t>；陈锦贤出资</w:t>
      </w:r>
      <w:r>
        <w:rPr>
          <w:spacing w:val="-47"/>
        </w:rPr>
        <w:t> </w:t>
      </w:r>
      <w:r>
        <w:rPr>
          <w:rFonts w:ascii="Times New Roman" w:hAnsi="Times New Roman" w:cs="Times New Roman" w:eastAsia="Times New Roman" w:hint="default"/>
        </w:rPr>
        <w:t>60</w:t>
      </w:r>
      <w:r>
        <w:rPr>
          <w:rFonts w:ascii="Times New Roman" w:hAnsi="Times New Roman" w:cs="Times New Roman" w:eastAsia="Times New Roman" w:hint="default"/>
          <w:spacing w:val="-3"/>
        </w:rPr>
        <w:t> </w:t>
      </w:r>
      <w:r>
        <w:rPr/>
        <w:t>万元，占注册资本的</w:t>
      </w:r>
      <w:r>
        <w:rPr>
          <w:spacing w:val="-47"/>
        </w:rPr>
        <w:t> </w:t>
      </w:r>
      <w:r>
        <w:rPr>
          <w:rFonts w:ascii="Times New Roman" w:hAnsi="Times New Roman" w:cs="Times New Roman" w:eastAsia="Times New Roman" w:hint="default"/>
        </w:rPr>
        <w:t>1.00%</w:t>
      </w:r>
      <w:r>
        <w:rPr/>
        <w:t>。</w:t>
      </w:r>
    </w:p>
    <w:p>
      <w:pPr>
        <w:pStyle w:val="BodyText"/>
        <w:spacing w:line="240" w:lineRule="auto" w:before="53"/>
        <w:ind w:left="473" w:right="91"/>
        <w:jc w:val="left"/>
      </w:pPr>
      <w:r>
        <w:rPr/>
        <w:t>根据公司相关股东会决议和修改后章程、股份认购书等规定，公司申请增加注册资本</w:t>
      </w:r>
      <w:r>
        <w:rPr>
          <w:spacing w:val="-65"/>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0"/>
        </w:rPr>
        <w:t> </w:t>
      </w:r>
      <w:r>
        <w:rPr/>
        <w:t>万元，变更后的注册资本为</w:t>
      </w:r>
    </w:p>
    <w:p>
      <w:pPr>
        <w:pStyle w:val="BodyText"/>
        <w:spacing w:line="240" w:lineRule="auto" w:before="63"/>
        <w:ind w:left="113" w:right="91"/>
        <w:jc w:val="left"/>
      </w:pPr>
      <w:r>
        <w:rPr>
          <w:rFonts w:ascii="Times New Roman" w:hAnsi="Times New Roman" w:cs="Times New Roman" w:eastAsia="Times New Roman" w:hint="default"/>
        </w:rPr>
        <w:t>7,500</w:t>
      </w:r>
      <w:r>
        <w:rPr>
          <w:rFonts w:ascii="Times New Roman" w:hAnsi="Times New Roman" w:cs="Times New Roman" w:eastAsia="Times New Roman" w:hint="default"/>
          <w:spacing w:val="-1"/>
        </w:rPr>
        <w:t> </w:t>
      </w:r>
      <w:r>
        <w:rPr/>
        <w:t>万元。新增注册资本由新股东深圳市深港产学研创业投资有限公司、广东西域投资管理有限公司、广东盈峰投资控股</w:t>
      </w:r>
    </w:p>
    <w:p>
      <w:pPr>
        <w:pStyle w:val="BodyText"/>
        <w:spacing w:line="240" w:lineRule="auto" w:before="63"/>
        <w:ind w:left="113" w:right="0"/>
        <w:jc w:val="left"/>
      </w:pPr>
      <w:r>
        <w:rPr/>
        <w:t>集团有限公司</w:t>
      </w:r>
      <w:r>
        <w:rPr>
          <w:spacing w:val="-75"/>
        </w:rPr>
        <w:t>、</w:t>
      </w:r>
      <w:r>
        <w:rPr/>
        <w:t>李锐源</w:t>
      </w:r>
      <w:r>
        <w:rPr>
          <w:spacing w:val="-72"/>
        </w:rPr>
        <w:t>、</w:t>
      </w:r>
      <w:r>
        <w:rPr/>
        <w:t>孙慧认</w:t>
      </w:r>
      <w:r>
        <w:rPr>
          <w:spacing w:val="-2"/>
        </w:rPr>
        <w:t>缴</w:t>
      </w:r>
      <w:r>
        <w:rPr>
          <w:spacing w:val="-74"/>
        </w:rPr>
        <w:t>。</w:t>
      </w:r>
      <w:r>
        <w:rPr/>
        <w:t>截至</w:t>
      </w:r>
      <w:r>
        <w:rPr>
          <w:spacing w:val="-46"/>
        </w:rPr>
        <w:t> </w:t>
      </w:r>
      <w:r>
        <w:rPr>
          <w:rFonts w:ascii="Times New Roman" w:hAnsi="Times New Roman" w:cs="Times New Roman" w:eastAsia="Times New Roman" w:hint="default"/>
        </w:rPr>
        <w:t>2008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19 </w:t>
      </w:r>
      <w:r>
        <w:rPr/>
        <w:t>日</w:t>
      </w:r>
      <w:r>
        <w:rPr>
          <w:spacing w:val="-74"/>
        </w:rPr>
        <w:t>，</w:t>
      </w:r>
      <w:r>
        <w:rPr/>
        <w:t>公司变更后累计股本</w:t>
      </w:r>
      <w:r>
        <w:rPr>
          <w:spacing w:val="-46"/>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
        </w:rPr>
        <w:t> </w:t>
      </w:r>
      <w:r>
        <w:rPr/>
        <w:t>万元</w:t>
      </w:r>
      <w:r>
        <w:rPr>
          <w:spacing w:val="-72"/>
        </w:rPr>
        <w:t>，</w:t>
      </w:r>
      <w:r>
        <w:rPr/>
        <w:t>占变更后注册资本的</w:t>
      </w:r>
      <w:r>
        <w:rPr>
          <w:spacing w:val="-46"/>
        </w:rPr>
        <w:t> </w:t>
      </w:r>
      <w:r>
        <w:rPr>
          <w:rFonts w:ascii="Times New Roman" w:hAnsi="Times New Roman" w:cs="Times New Roman" w:eastAsia="Times New Roman" w:hint="default"/>
        </w:rPr>
        <w:t>100.00%</w:t>
      </w:r>
      <w:r>
        <w:rPr/>
        <w:t>，</w:t>
      </w:r>
    </w:p>
    <w:p>
      <w:pPr>
        <w:pStyle w:val="BodyText"/>
        <w:spacing w:line="300" w:lineRule="auto" w:before="63"/>
        <w:ind w:left="113" w:right="182"/>
        <w:jc w:val="left"/>
      </w:pPr>
      <w:r>
        <w:rPr/>
        <w:t>其中：蔡廷祥出资</w:t>
      </w:r>
      <w:r>
        <w:rPr>
          <w:spacing w:val="-49"/>
        </w:rPr>
        <w:t> </w:t>
      </w:r>
      <w:r>
        <w:rPr>
          <w:rFonts w:ascii="Times New Roman" w:hAnsi="Times New Roman" w:cs="Times New Roman" w:eastAsia="Times New Roman" w:hint="default"/>
        </w:rPr>
        <w:t>3,825</w:t>
      </w:r>
      <w:r>
        <w:rPr>
          <w:rFonts w:ascii="Times New Roman" w:hAnsi="Times New Roman" w:cs="Times New Roman" w:eastAsia="Times New Roman" w:hint="default"/>
          <w:spacing w:val="-4"/>
        </w:rPr>
        <w:t> </w:t>
      </w:r>
      <w:r>
        <w:rPr/>
        <w:t>万元，占注册资本的</w:t>
      </w:r>
      <w:r>
        <w:rPr>
          <w:spacing w:val="-49"/>
        </w:rPr>
        <w:t> </w:t>
      </w:r>
      <w:r>
        <w:rPr>
          <w:rFonts w:ascii="Times New Roman" w:hAnsi="Times New Roman" w:cs="Times New Roman" w:eastAsia="Times New Roman" w:hint="default"/>
        </w:rPr>
        <w:t>51.00%</w:t>
      </w:r>
      <w:r>
        <w:rPr/>
        <w:t>；陈得光出资</w:t>
      </w:r>
      <w:r>
        <w:rPr>
          <w:spacing w:val="-49"/>
        </w:rPr>
        <w:t> </w:t>
      </w:r>
      <w:r>
        <w:rPr>
          <w:rFonts w:ascii="Times New Roman" w:hAnsi="Times New Roman" w:cs="Times New Roman" w:eastAsia="Times New Roman" w:hint="default"/>
        </w:rPr>
        <w:t>637.80</w:t>
      </w:r>
      <w:r>
        <w:rPr>
          <w:rFonts w:ascii="Times New Roman" w:hAnsi="Times New Roman" w:cs="Times New Roman" w:eastAsia="Times New Roman" w:hint="default"/>
          <w:spacing w:val="-4"/>
        </w:rPr>
        <w:t> </w:t>
      </w:r>
      <w:r>
        <w:rPr/>
        <w:t>万元，占注册资本的</w:t>
      </w:r>
      <w:r>
        <w:rPr>
          <w:spacing w:val="-49"/>
        </w:rPr>
        <w:t> </w:t>
      </w:r>
      <w:r>
        <w:rPr>
          <w:rFonts w:ascii="Times New Roman" w:hAnsi="Times New Roman" w:cs="Times New Roman" w:eastAsia="Times New Roman" w:hint="default"/>
        </w:rPr>
        <w:t>8.504%</w:t>
      </w:r>
      <w:r>
        <w:rPr/>
        <w:t>；吴淡珠出资</w:t>
      </w:r>
      <w:r>
        <w:rPr>
          <w:spacing w:val="-49"/>
        </w:rPr>
        <w:t> </w:t>
      </w:r>
      <w:r>
        <w:rPr>
          <w:rFonts w:ascii="Times New Roman" w:hAnsi="Times New Roman" w:cs="Times New Roman" w:eastAsia="Times New Roman" w:hint="default"/>
        </w:rPr>
        <w:t>528</w:t>
      </w:r>
      <w:r>
        <w:rPr>
          <w:rFonts w:ascii="Times New Roman" w:hAnsi="Times New Roman" w:cs="Times New Roman" w:eastAsia="Times New Roman" w:hint="default"/>
          <w:spacing w:val="-3"/>
        </w:rPr>
        <w:t> </w:t>
      </w:r>
      <w:r>
        <w:rPr/>
        <w:t>万 元，占注册资本的</w:t>
      </w:r>
      <w:r>
        <w:rPr>
          <w:spacing w:val="-46"/>
        </w:rPr>
        <w:t> </w:t>
      </w:r>
      <w:r>
        <w:rPr>
          <w:rFonts w:ascii="Times New Roman" w:hAnsi="Times New Roman" w:cs="Times New Roman" w:eastAsia="Times New Roman" w:hint="default"/>
        </w:rPr>
        <w:t>7.04%</w:t>
      </w:r>
      <w:r>
        <w:rPr/>
        <w:t>；陈素芳出资</w:t>
      </w:r>
      <w:r>
        <w:rPr>
          <w:spacing w:val="-46"/>
        </w:rPr>
        <w:t> </w:t>
      </w:r>
      <w:r>
        <w:rPr>
          <w:rFonts w:ascii="Times New Roman" w:hAnsi="Times New Roman" w:cs="Times New Roman" w:eastAsia="Times New Roman" w:hint="default"/>
        </w:rPr>
        <w:t>528</w:t>
      </w:r>
      <w:r>
        <w:rPr>
          <w:rFonts w:ascii="Times New Roman" w:hAnsi="Times New Roman" w:cs="Times New Roman" w:eastAsia="Times New Roman" w:hint="default"/>
          <w:spacing w:val="-2"/>
        </w:rPr>
        <w:t> </w:t>
      </w:r>
      <w:r>
        <w:rPr/>
        <w:t>万元，占注册资本的</w:t>
      </w:r>
      <w:r>
        <w:rPr>
          <w:spacing w:val="-46"/>
        </w:rPr>
        <w:t> </w:t>
      </w:r>
      <w:r>
        <w:rPr>
          <w:rFonts w:ascii="Times New Roman" w:hAnsi="Times New Roman" w:cs="Times New Roman" w:eastAsia="Times New Roman" w:hint="default"/>
        </w:rPr>
        <w:t>7.04%</w:t>
      </w:r>
      <w:r>
        <w:rPr/>
        <w:t>；任锋出资</w:t>
      </w:r>
      <w:r>
        <w:rPr>
          <w:spacing w:val="-46"/>
        </w:rPr>
        <w:t> </w:t>
      </w:r>
      <w:r>
        <w:rPr>
          <w:rFonts w:ascii="Times New Roman" w:hAnsi="Times New Roman" w:cs="Times New Roman" w:eastAsia="Times New Roman" w:hint="default"/>
        </w:rPr>
        <w:t>199.80</w:t>
      </w:r>
      <w:r>
        <w:rPr>
          <w:rFonts w:ascii="Times New Roman" w:hAnsi="Times New Roman" w:cs="Times New Roman" w:eastAsia="Times New Roman" w:hint="default"/>
          <w:spacing w:val="-2"/>
        </w:rPr>
        <w:t> </w:t>
      </w:r>
      <w:r>
        <w:rPr/>
        <w:t>万元，占注册资本的</w:t>
      </w:r>
      <w:r>
        <w:rPr>
          <w:spacing w:val="-47"/>
        </w:rPr>
        <w:t> </w:t>
      </w:r>
      <w:r>
        <w:rPr>
          <w:rFonts w:ascii="Times New Roman" w:hAnsi="Times New Roman" w:cs="Times New Roman" w:eastAsia="Times New Roman" w:hint="default"/>
        </w:rPr>
        <w:t>2.664%</w:t>
      </w:r>
      <w:r>
        <w:rPr/>
        <w:t>；肖 少强出资</w:t>
      </w:r>
      <w:r>
        <w:rPr>
          <w:spacing w:val="-47"/>
        </w:rPr>
        <w:t> </w:t>
      </w:r>
      <w:r>
        <w:rPr>
          <w:rFonts w:ascii="Times New Roman" w:hAnsi="Times New Roman" w:cs="Times New Roman" w:eastAsia="Times New Roman" w:hint="default"/>
        </w:rPr>
        <w:t>158.40</w:t>
      </w:r>
      <w:r>
        <w:rPr>
          <w:rFonts w:ascii="Times New Roman" w:hAnsi="Times New Roman" w:cs="Times New Roman" w:eastAsia="Times New Roman" w:hint="default"/>
          <w:spacing w:val="-2"/>
        </w:rPr>
        <w:t> </w:t>
      </w:r>
      <w:r>
        <w:rPr/>
        <w:t>万元，占注册资本的</w:t>
      </w:r>
      <w:r>
        <w:rPr>
          <w:spacing w:val="-46"/>
        </w:rPr>
        <w:t> </w:t>
      </w:r>
      <w:r>
        <w:rPr>
          <w:rFonts w:ascii="Times New Roman" w:hAnsi="Times New Roman" w:cs="Times New Roman" w:eastAsia="Times New Roman" w:hint="default"/>
        </w:rPr>
        <w:t>2.112%</w:t>
      </w:r>
      <w:r>
        <w:rPr/>
        <w:t>；柯少玲出资</w:t>
      </w:r>
      <w:r>
        <w:rPr>
          <w:spacing w:val="-47"/>
        </w:rPr>
        <w:t> </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t>万元，占注册资本的</w:t>
      </w:r>
      <w:r>
        <w:rPr>
          <w:spacing w:val="-47"/>
        </w:rPr>
        <w:t> </w:t>
      </w:r>
      <w:r>
        <w:rPr>
          <w:rFonts w:ascii="Times New Roman" w:hAnsi="Times New Roman" w:cs="Times New Roman" w:eastAsia="Times New Roman" w:hint="default"/>
        </w:rPr>
        <w:t>0.84%</w:t>
      </w:r>
      <w:r>
        <w:rPr/>
        <w:t>；陈锦贤出资</w:t>
      </w:r>
      <w:r>
        <w:rPr>
          <w:spacing w:val="-47"/>
        </w:rPr>
        <w:t> </w:t>
      </w:r>
      <w:r>
        <w:rPr>
          <w:rFonts w:ascii="Times New Roman" w:hAnsi="Times New Roman" w:cs="Times New Roman" w:eastAsia="Times New Roman" w:hint="default"/>
        </w:rPr>
        <w:t>60</w:t>
      </w:r>
      <w:r>
        <w:rPr>
          <w:rFonts w:ascii="Times New Roman" w:hAnsi="Times New Roman" w:cs="Times New Roman" w:eastAsia="Times New Roman" w:hint="default"/>
          <w:spacing w:val="-1"/>
        </w:rPr>
        <w:t> </w:t>
      </w:r>
      <w:r>
        <w:rPr/>
        <w:t>万元，占注册资 本的</w:t>
      </w:r>
      <w:r>
        <w:rPr>
          <w:spacing w:val="-47"/>
        </w:rPr>
        <w:t> </w:t>
      </w:r>
      <w:r>
        <w:rPr>
          <w:rFonts w:ascii="Times New Roman" w:hAnsi="Times New Roman" w:cs="Times New Roman" w:eastAsia="Times New Roman" w:hint="default"/>
        </w:rPr>
        <w:t>0.80%</w:t>
      </w:r>
      <w:r>
        <w:rPr/>
        <w:t>；深圳市深港产学研创业投资有限公司出资</w:t>
      </w:r>
      <w:r>
        <w:rPr>
          <w:spacing w:val="-47"/>
        </w:rPr>
        <w:t> </w:t>
      </w:r>
      <w:r>
        <w:rPr>
          <w:rFonts w:ascii="Times New Roman" w:hAnsi="Times New Roman" w:cs="Times New Roman" w:eastAsia="Times New Roman" w:hint="default"/>
        </w:rPr>
        <w:t>750</w:t>
      </w:r>
      <w:r>
        <w:rPr>
          <w:rFonts w:ascii="Times New Roman" w:hAnsi="Times New Roman" w:cs="Times New Roman" w:eastAsia="Times New Roman" w:hint="default"/>
          <w:spacing w:val="-3"/>
        </w:rPr>
        <w:t> </w:t>
      </w:r>
      <w:r>
        <w:rPr/>
        <w:t>万元，占注册资本的</w:t>
      </w:r>
      <w:r>
        <w:rPr>
          <w:spacing w:val="-47"/>
        </w:rPr>
        <w:t> </w:t>
      </w:r>
      <w:r>
        <w:rPr>
          <w:rFonts w:ascii="Times New Roman" w:hAnsi="Times New Roman" w:cs="Times New Roman" w:eastAsia="Times New Roman" w:hint="default"/>
        </w:rPr>
        <w:t>10.00%</w:t>
      </w:r>
      <w:r>
        <w:rPr/>
        <w:t>；广东西域投资管理有限公司出资 </w:t>
      </w:r>
      <w:r>
        <w:rPr>
          <w:rFonts w:ascii="Times New Roman" w:hAnsi="Times New Roman" w:cs="Times New Roman" w:eastAsia="Times New Roman" w:hint="default"/>
        </w:rPr>
        <w:t>262.50</w:t>
      </w:r>
      <w:r>
        <w:rPr>
          <w:rFonts w:ascii="Times New Roman" w:hAnsi="Times New Roman" w:cs="Times New Roman" w:eastAsia="Times New Roman" w:hint="default"/>
          <w:spacing w:val="-3"/>
        </w:rPr>
        <w:t> </w:t>
      </w:r>
      <w:r>
        <w:rPr/>
        <w:t>万元，占注册资本的</w:t>
      </w:r>
      <w:r>
        <w:rPr>
          <w:spacing w:val="-47"/>
        </w:rPr>
        <w:t> </w:t>
      </w:r>
      <w:r>
        <w:rPr>
          <w:rFonts w:ascii="Times New Roman" w:hAnsi="Times New Roman" w:cs="Times New Roman" w:eastAsia="Times New Roman" w:hint="default"/>
        </w:rPr>
        <w:t>3.50%</w:t>
      </w:r>
      <w:r>
        <w:rPr/>
        <w:t>；广东盈峰投资控股集团有限公司出资</w:t>
      </w:r>
      <w:r>
        <w:rPr>
          <w:spacing w:val="-47"/>
        </w:rPr>
        <w:t> </w:t>
      </w:r>
      <w:r>
        <w:rPr>
          <w:rFonts w:ascii="Times New Roman" w:hAnsi="Times New Roman" w:cs="Times New Roman" w:eastAsia="Times New Roman" w:hint="default"/>
        </w:rPr>
        <w:t>225</w:t>
      </w:r>
      <w:r>
        <w:rPr>
          <w:rFonts w:ascii="Times New Roman" w:hAnsi="Times New Roman" w:cs="Times New Roman" w:eastAsia="Times New Roman" w:hint="default"/>
          <w:spacing w:val="-3"/>
        </w:rPr>
        <w:t> </w:t>
      </w:r>
      <w:r>
        <w:rPr/>
        <w:t>万元，占注册资本的</w:t>
      </w:r>
      <w:r>
        <w:rPr>
          <w:spacing w:val="-47"/>
        </w:rPr>
        <w:t> </w:t>
      </w:r>
      <w:r>
        <w:rPr>
          <w:rFonts w:ascii="Times New Roman" w:hAnsi="Times New Roman" w:cs="Times New Roman" w:eastAsia="Times New Roman" w:hint="default"/>
        </w:rPr>
        <w:t>3.00%</w:t>
      </w:r>
      <w:r>
        <w:rPr/>
        <w:t>；李锐源出资</w:t>
      </w:r>
      <w:r>
        <w:rPr>
          <w:spacing w:val="-47"/>
        </w:rPr>
        <w:t> </w:t>
      </w:r>
      <w:r>
        <w:rPr>
          <w:rFonts w:ascii="Times New Roman" w:hAnsi="Times New Roman" w:cs="Times New Roman" w:eastAsia="Times New Roman" w:hint="default"/>
        </w:rPr>
        <w:t>150 </w:t>
      </w:r>
      <w:r>
        <w:rPr/>
        <w:t>万元，占注册资本的</w:t>
      </w:r>
      <w:r>
        <w:rPr>
          <w:spacing w:val="-49"/>
        </w:rPr>
        <w:t> </w:t>
      </w:r>
      <w:r>
        <w:rPr>
          <w:rFonts w:ascii="Times New Roman" w:hAnsi="Times New Roman" w:cs="Times New Roman" w:eastAsia="Times New Roman" w:hint="default"/>
        </w:rPr>
        <w:t>2.00%</w:t>
      </w:r>
      <w:r>
        <w:rPr/>
        <w:t>；孙慧出资</w:t>
      </w:r>
      <w:r>
        <w:rPr>
          <w:spacing w:val="-49"/>
        </w:rPr>
        <w:t> </w:t>
      </w:r>
      <w:r>
        <w:rPr>
          <w:rFonts w:ascii="Times New Roman" w:hAnsi="Times New Roman" w:cs="Times New Roman" w:eastAsia="Times New Roman" w:hint="default"/>
        </w:rPr>
        <w:t>112.50</w:t>
      </w:r>
      <w:r>
        <w:rPr>
          <w:rFonts w:ascii="Times New Roman" w:hAnsi="Times New Roman" w:cs="Times New Roman" w:eastAsia="Times New Roman" w:hint="default"/>
          <w:spacing w:val="-4"/>
        </w:rPr>
        <w:t> </w:t>
      </w:r>
      <w:r>
        <w:rPr/>
        <w:t>万元，占注册资本的</w:t>
      </w:r>
      <w:r>
        <w:rPr>
          <w:spacing w:val="-50"/>
        </w:rPr>
        <w:t> </w:t>
      </w:r>
      <w:r>
        <w:rPr>
          <w:rFonts w:ascii="Times New Roman" w:hAnsi="Times New Roman" w:cs="Times New Roman" w:eastAsia="Times New Roman" w:hint="default"/>
        </w:rPr>
        <w:t>1.50%</w:t>
      </w:r>
      <w:r>
        <w:rPr/>
        <w:t>。</w:t>
      </w:r>
    </w:p>
    <w:p>
      <w:pPr>
        <w:pStyle w:val="BodyText"/>
        <w:spacing w:line="300" w:lineRule="auto" w:before="52"/>
        <w:ind w:left="113" w:right="178" w:firstLine="36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日，陈得光与杭州中证大道丰湖投资合伙企业（有限合伙）签订股份转让协议，陈得光将其持有的长城 集团</w:t>
      </w:r>
      <w:r>
        <w:rPr>
          <w:spacing w:val="-37"/>
        </w:rPr>
        <w:t> </w:t>
      </w:r>
      <w:r>
        <w:rPr>
          <w:rFonts w:ascii="Times New Roman" w:hAnsi="Times New Roman" w:cs="Times New Roman" w:eastAsia="Times New Roman" w:hint="default"/>
        </w:rPr>
        <w:t>408</w:t>
      </w:r>
      <w:r>
        <w:rPr>
          <w:rFonts w:ascii="Times New Roman" w:hAnsi="Times New Roman" w:cs="Times New Roman" w:eastAsia="Times New Roman" w:hint="default"/>
          <w:spacing w:val="7"/>
        </w:rPr>
        <w:t> </w:t>
      </w:r>
      <w:r>
        <w:rPr/>
        <w:t>万股（占总股本的</w:t>
      </w:r>
      <w:r>
        <w:rPr>
          <w:spacing w:val="-37"/>
        </w:rPr>
        <w:t> </w:t>
      </w:r>
      <w:r>
        <w:rPr>
          <w:rFonts w:ascii="Times New Roman" w:hAnsi="Times New Roman" w:cs="Times New Roman" w:eastAsia="Times New Roman" w:hint="default"/>
          <w:spacing w:val="-3"/>
        </w:rPr>
        <w:t>5.44%</w:t>
      </w:r>
      <w:r>
        <w:rPr>
          <w:spacing w:val="-3"/>
        </w:rPr>
        <w:t>）转让给杭州中证大道丰湖投资合伙企业（有限合伙）。转让后注册资本中各股东出资额</w:t>
      </w:r>
      <w:r>
        <w:rPr>
          <w:spacing w:val="-80"/>
        </w:rPr>
        <w:t> </w:t>
      </w:r>
      <w:r>
        <w:rPr>
          <w:spacing w:val="-80"/>
        </w:rPr>
      </w:r>
      <w:r>
        <w:rPr/>
        <w:t>及出资比例为蔡廷祥出资</w:t>
      </w:r>
      <w:r>
        <w:rPr>
          <w:spacing w:val="-46"/>
        </w:rPr>
        <w:t> </w:t>
      </w:r>
      <w:r>
        <w:rPr>
          <w:rFonts w:ascii="Times New Roman" w:hAnsi="Times New Roman" w:cs="Times New Roman" w:eastAsia="Times New Roman" w:hint="default"/>
        </w:rPr>
        <w:t>3,825</w:t>
      </w:r>
      <w:r>
        <w:rPr>
          <w:rFonts w:ascii="Times New Roman" w:hAnsi="Times New Roman" w:cs="Times New Roman" w:eastAsia="Times New Roman" w:hint="default"/>
          <w:spacing w:val="-1"/>
        </w:rPr>
        <w:t> </w:t>
      </w:r>
      <w:r>
        <w:rPr/>
        <w:t>万元，占注册资本的</w:t>
      </w:r>
      <w:r>
        <w:rPr>
          <w:spacing w:val="-47"/>
        </w:rPr>
        <w:t> </w:t>
      </w:r>
      <w:r>
        <w:rPr>
          <w:rFonts w:ascii="Times New Roman" w:hAnsi="Times New Roman" w:cs="Times New Roman" w:eastAsia="Times New Roman" w:hint="default"/>
        </w:rPr>
        <w:t>51.00%</w:t>
      </w:r>
      <w:r>
        <w:rPr/>
        <w:t>；深圳市深港产学研创业投资有限公司出资</w:t>
      </w:r>
      <w:r>
        <w:rPr>
          <w:spacing w:val="-47"/>
        </w:rPr>
        <w:t> </w:t>
      </w:r>
      <w:r>
        <w:rPr>
          <w:rFonts w:ascii="Times New Roman" w:hAnsi="Times New Roman" w:cs="Times New Roman" w:eastAsia="Times New Roman" w:hint="default"/>
        </w:rPr>
        <w:t>750</w:t>
      </w:r>
      <w:r>
        <w:rPr>
          <w:rFonts w:ascii="Times New Roman" w:hAnsi="Times New Roman" w:cs="Times New Roman" w:eastAsia="Times New Roman" w:hint="default"/>
          <w:spacing w:val="-1"/>
        </w:rPr>
        <w:t> </w:t>
      </w:r>
      <w:r>
        <w:rPr/>
        <w:t>万元，占注册 资本的</w:t>
      </w:r>
      <w:r>
        <w:rPr>
          <w:spacing w:val="-58"/>
        </w:rPr>
        <w:t> </w:t>
      </w:r>
      <w:r>
        <w:rPr>
          <w:rFonts w:ascii="Times New Roman" w:hAnsi="Times New Roman" w:cs="Times New Roman" w:eastAsia="Times New Roman" w:hint="default"/>
        </w:rPr>
        <w:t>10.00%</w:t>
      </w:r>
      <w:r>
        <w:rPr/>
        <w:t>；吴淡珠出资</w:t>
      </w:r>
      <w:r>
        <w:rPr>
          <w:spacing w:val="-58"/>
        </w:rPr>
        <w:t> </w:t>
      </w:r>
      <w:r>
        <w:rPr>
          <w:rFonts w:ascii="Times New Roman" w:hAnsi="Times New Roman" w:cs="Times New Roman" w:eastAsia="Times New Roman" w:hint="default"/>
        </w:rPr>
        <w:t>528</w:t>
      </w:r>
      <w:r>
        <w:rPr>
          <w:rFonts w:ascii="Times New Roman" w:hAnsi="Times New Roman" w:cs="Times New Roman" w:eastAsia="Times New Roman" w:hint="default"/>
          <w:spacing w:val="-13"/>
        </w:rPr>
        <w:t> </w:t>
      </w:r>
      <w:r>
        <w:rPr/>
        <w:t>万元，占注册资本的</w:t>
      </w:r>
      <w:r>
        <w:rPr>
          <w:spacing w:val="-58"/>
        </w:rPr>
        <w:t> </w:t>
      </w:r>
      <w:r>
        <w:rPr>
          <w:rFonts w:ascii="Times New Roman" w:hAnsi="Times New Roman" w:cs="Times New Roman" w:eastAsia="Times New Roman" w:hint="default"/>
        </w:rPr>
        <w:t>7.04%</w:t>
      </w:r>
      <w:r>
        <w:rPr/>
        <w:t>；陈素芳出资</w:t>
      </w:r>
      <w:r>
        <w:rPr>
          <w:spacing w:val="-58"/>
        </w:rPr>
        <w:t> </w:t>
      </w:r>
      <w:r>
        <w:rPr>
          <w:rFonts w:ascii="Times New Roman" w:hAnsi="Times New Roman" w:cs="Times New Roman" w:eastAsia="Times New Roman" w:hint="default"/>
        </w:rPr>
        <w:t>528</w:t>
      </w:r>
      <w:r>
        <w:rPr>
          <w:rFonts w:ascii="Times New Roman" w:hAnsi="Times New Roman" w:cs="Times New Roman" w:eastAsia="Times New Roman" w:hint="default"/>
          <w:spacing w:val="-13"/>
        </w:rPr>
        <w:t> </w:t>
      </w:r>
      <w:r>
        <w:rPr/>
        <w:t>万元，占注册资本的</w:t>
      </w:r>
      <w:r>
        <w:rPr>
          <w:spacing w:val="-58"/>
        </w:rPr>
        <w:t> </w:t>
      </w:r>
      <w:r>
        <w:rPr>
          <w:rFonts w:ascii="Times New Roman" w:hAnsi="Times New Roman" w:cs="Times New Roman" w:eastAsia="Times New Roman" w:hint="default"/>
        </w:rPr>
        <w:t>7.04%</w:t>
      </w:r>
      <w:r>
        <w:rPr/>
        <w:t>；杭州中证大道丰 湖投资合伙企业（有限合伙）出资</w:t>
      </w:r>
      <w:r>
        <w:rPr>
          <w:spacing w:val="-47"/>
        </w:rPr>
        <w:t> </w:t>
      </w:r>
      <w:r>
        <w:rPr>
          <w:rFonts w:ascii="Times New Roman" w:hAnsi="Times New Roman" w:cs="Times New Roman" w:eastAsia="Times New Roman" w:hint="default"/>
        </w:rPr>
        <w:t>408</w:t>
      </w:r>
      <w:r>
        <w:rPr>
          <w:rFonts w:ascii="Times New Roman" w:hAnsi="Times New Roman" w:cs="Times New Roman" w:eastAsia="Times New Roman" w:hint="default"/>
          <w:spacing w:val="-1"/>
        </w:rPr>
        <w:t> </w:t>
      </w:r>
      <w:r>
        <w:rPr/>
        <w:t>万元，占注册资本的</w:t>
      </w:r>
      <w:r>
        <w:rPr>
          <w:spacing w:val="-46"/>
        </w:rPr>
        <w:t> </w:t>
      </w:r>
      <w:r>
        <w:rPr>
          <w:rFonts w:ascii="Times New Roman" w:hAnsi="Times New Roman" w:cs="Times New Roman" w:eastAsia="Times New Roman" w:hint="default"/>
        </w:rPr>
        <w:t>5.44%</w:t>
      </w:r>
      <w:r>
        <w:rPr/>
        <w:t>；广东西域投资管理有限公司出资</w:t>
      </w:r>
      <w:r>
        <w:rPr>
          <w:spacing w:val="-46"/>
        </w:rPr>
        <w:t> </w:t>
      </w:r>
      <w:r>
        <w:rPr>
          <w:rFonts w:ascii="Times New Roman" w:hAnsi="Times New Roman" w:cs="Times New Roman" w:eastAsia="Times New Roman" w:hint="default"/>
        </w:rPr>
        <w:t>262.50</w:t>
      </w:r>
      <w:r>
        <w:rPr>
          <w:rFonts w:ascii="Times New Roman" w:hAnsi="Times New Roman" w:cs="Times New Roman" w:eastAsia="Times New Roman" w:hint="default"/>
          <w:spacing w:val="-2"/>
        </w:rPr>
        <w:t> </w:t>
      </w:r>
      <w:r>
        <w:rPr/>
        <w:t>万元，占注册 资本的</w:t>
      </w:r>
      <w:r>
        <w:rPr>
          <w:spacing w:val="-57"/>
        </w:rPr>
        <w:t> </w:t>
      </w:r>
      <w:r>
        <w:rPr>
          <w:rFonts w:ascii="Times New Roman" w:hAnsi="Times New Roman" w:cs="Times New Roman" w:eastAsia="Times New Roman" w:hint="default"/>
        </w:rPr>
        <w:t>3.50%</w:t>
      </w:r>
      <w:r>
        <w:rPr/>
        <w:t>；陈得光出资</w:t>
      </w:r>
      <w:r>
        <w:rPr>
          <w:spacing w:val="-58"/>
        </w:rPr>
        <w:t> </w:t>
      </w:r>
      <w:r>
        <w:rPr>
          <w:rFonts w:ascii="Times New Roman" w:hAnsi="Times New Roman" w:cs="Times New Roman" w:eastAsia="Times New Roman" w:hint="default"/>
        </w:rPr>
        <w:t>229.80</w:t>
      </w:r>
      <w:r>
        <w:rPr>
          <w:rFonts w:ascii="Times New Roman" w:hAnsi="Times New Roman" w:cs="Times New Roman" w:eastAsia="Times New Roman" w:hint="default"/>
          <w:spacing w:val="-13"/>
        </w:rPr>
        <w:t> </w:t>
      </w:r>
      <w:r>
        <w:rPr/>
        <w:t>万元，占注册资本的</w:t>
      </w:r>
      <w:r>
        <w:rPr>
          <w:spacing w:val="-57"/>
        </w:rPr>
        <w:t> </w:t>
      </w:r>
      <w:r>
        <w:rPr>
          <w:rFonts w:ascii="Times New Roman" w:hAnsi="Times New Roman" w:cs="Times New Roman" w:eastAsia="Times New Roman" w:hint="default"/>
        </w:rPr>
        <w:t>3.06%</w:t>
      </w:r>
      <w:r>
        <w:rPr/>
        <w:t>；广东盈峰投资控股集团有限公司出资</w:t>
      </w:r>
      <w:r>
        <w:rPr>
          <w:spacing w:val="-58"/>
        </w:rPr>
        <w:t> </w:t>
      </w:r>
      <w:r>
        <w:rPr>
          <w:rFonts w:ascii="Times New Roman" w:hAnsi="Times New Roman" w:cs="Times New Roman" w:eastAsia="Times New Roman" w:hint="default"/>
        </w:rPr>
        <w:t>225</w:t>
      </w:r>
      <w:r>
        <w:rPr>
          <w:rFonts w:ascii="Times New Roman" w:hAnsi="Times New Roman" w:cs="Times New Roman" w:eastAsia="Times New Roman" w:hint="default"/>
          <w:spacing w:val="-12"/>
        </w:rPr>
        <w:t> </w:t>
      </w:r>
      <w:r>
        <w:rPr/>
        <w:t>万元，占注册资本 的</w:t>
      </w:r>
      <w:r>
        <w:rPr>
          <w:spacing w:val="-47"/>
        </w:rPr>
        <w:t> </w:t>
      </w:r>
      <w:r>
        <w:rPr>
          <w:rFonts w:ascii="Times New Roman" w:hAnsi="Times New Roman" w:cs="Times New Roman" w:eastAsia="Times New Roman" w:hint="default"/>
        </w:rPr>
        <w:t>3.00%</w:t>
      </w:r>
      <w:r>
        <w:rPr/>
        <w:t>；任锋出资</w:t>
      </w:r>
      <w:r>
        <w:rPr>
          <w:spacing w:val="-47"/>
        </w:rPr>
        <w:t> </w:t>
      </w:r>
      <w:r>
        <w:rPr>
          <w:rFonts w:ascii="Times New Roman" w:hAnsi="Times New Roman" w:cs="Times New Roman" w:eastAsia="Times New Roman" w:hint="default"/>
        </w:rPr>
        <w:t>199.80</w:t>
      </w:r>
      <w:r>
        <w:rPr>
          <w:rFonts w:ascii="Times New Roman" w:hAnsi="Times New Roman" w:cs="Times New Roman" w:eastAsia="Times New Roman" w:hint="default"/>
          <w:spacing w:val="-3"/>
        </w:rPr>
        <w:t> </w:t>
      </w:r>
      <w:r>
        <w:rPr/>
        <w:t>万元，占注册资本的</w:t>
      </w:r>
      <w:r>
        <w:rPr>
          <w:spacing w:val="-48"/>
        </w:rPr>
        <w:t> </w:t>
      </w:r>
      <w:r>
        <w:rPr>
          <w:rFonts w:ascii="Times New Roman" w:hAnsi="Times New Roman" w:cs="Times New Roman" w:eastAsia="Times New Roman" w:hint="default"/>
        </w:rPr>
        <w:t>2.67%</w:t>
      </w:r>
      <w:r>
        <w:rPr/>
        <w:t>；肖少强出资</w:t>
      </w:r>
      <w:r>
        <w:rPr>
          <w:spacing w:val="-48"/>
        </w:rPr>
        <w:t> </w:t>
      </w:r>
      <w:r>
        <w:rPr>
          <w:rFonts w:ascii="Times New Roman" w:hAnsi="Times New Roman" w:cs="Times New Roman" w:eastAsia="Times New Roman" w:hint="default"/>
        </w:rPr>
        <w:t>158.40</w:t>
      </w:r>
      <w:r>
        <w:rPr>
          <w:rFonts w:ascii="Times New Roman" w:hAnsi="Times New Roman" w:cs="Times New Roman" w:eastAsia="Times New Roman" w:hint="default"/>
          <w:spacing w:val="-3"/>
        </w:rPr>
        <w:t> </w:t>
      </w:r>
      <w:r>
        <w:rPr/>
        <w:t>万元，占注册资本的</w:t>
      </w:r>
      <w:r>
        <w:rPr>
          <w:spacing w:val="-47"/>
        </w:rPr>
        <w:t> </w:t>
      </w:r>
      <w:r>
        <w:rPr>
          <w:rFonts w:ascii="Times New Roman" w:hAnsi="Times New Roman" w:cs="Times New Roman" w:eastAsia="Times New Roman" w:hint="default"/>
        </w:rPr>
        <w:t>2.11%</w:t>
      </w:r>
      <w:r>
        <w:rPr/>
        <w:t>；李锐源出资</w:t>
      </w:r>
      <w:r>
        <w:rPr>
          <w:spacing w:val="-47"/>
        </w:rPr>
        <w:t> </w:t>
      </w:r>
      <w:r>
        <w:rPr>
          <w:rFonts w:ascii="Times New Roman" w:hAnsi="Times New Roman" w:cs="Times New Roman" w:eastAsia="Times New Roman" w:hint="default"/>
        </w:rPr>
        <w:t>150 </w:t>
      </w:r>
      <w:r>
        <w:rPr/>
        <w:t>万元，占注册资本的</w:t>
      </w:r>
      <w:r>
        <w:rPr>
          <w:spacing w:val="-47"/>
        </w:rPr>
        <w:t> </w:t>
      </w:r>
      <w:r>
        <w:rPr>
          <w:rFonts w:ascii="Times New Roman" w:hAnsi="Times New Roman" w:cs="Times New Roman" w:eastAsia="Times New Roman" w:hint="default"/>
        </w:rPr>
        <w:t>2.00%</w:t>
      </w:r>
      <w:r>
        <w:rPr/>
        <w:t>；孙慧出资</w:t>
      </w:r>
      <w:r>
        <w:rPr>
          <w:spacing w:val="-47"/>
        </w:rPr>
        <w:t> </w:t>
      </w:r>
      <w:r>
        <w:rPr>
          <w:rFonts w:ascii="Times New Roman" w:hAnsi="Times New Roman" w:cs="Times New Roman" w:eastAsia="Times New Roman" w:hint="default"/>
        </w:rPr>
        <w:t>112.50</w:t>
      </w:r>
      <w:r>
        <w:rPr>
          <w:rFonts w:ascii="Times New Roman" w:hAnsi="Times New Roman" w:cs="Times New Roman" w:eastAsia="Times New Roman" w:hint="default"/>
          <w:spacing w:val="-2"/>
        </w:rPr>
        <w:t> </w:t>
      </w:r>
      <w:r>
        <w:rPr/>
        <w:t>万元，占注册资本的</w:t>
      </w:r>
      <w:r>
        <w:rPr>
          <w:spacing w:val="-48"/>
        </w:rPr>
        <w:t> </w:t>
      </w:r>
      <w:r>
        <w:rPr>
          <w:rFonts w:ascii="Times New Roman" w:hAnsi="Times New Roman" w:cs="Times New Roman" w:eastAsia="Times New Roman" w:hint="default"/>
        </w:rPr>
        <w:t>1.50%</w:t>
      </w:r>
      <w:r>
        <w:rPr/>
        <w:t>；柯少玲出资</w:t>
      </w:r>
      <w:r>
        <w:rPr>
          <w:spacing w:val="-48"/>
        </w:rPr>
        <w:t> </w:t>
      </w:r>
      <w:r>
        <w:rPr>
          <w:rFonts w:ascii="Times New Roman" w:hAnsi="Times New Roman" w:cs="Times New Roman" w:eastAsia="Times New Roman" w:hint="default"/>
        </w:rPr>
        <w:t>63</w:t>
      </w:r>
      <w:r>
        <w:rPr>
          <w:rFonts w:ascii="Times New Roman" w:hAnsi="Times New Roman" w:cs="Times New Roman" w:eastAsia="Times New Roman" w:hint="default"/>
          <w:spacing w:val="-2"/>
        </w:rPr>
        <w:t> </w:t>
      </w:r>
      <w:r>
        <w:rPr/>
        <w:t>万元，占注册资本的</w:t>
      </w:r>
      <w:r>
        <w:rPr>
          <w:spacing w:val="-48"/>
        </w:rPr>
        <w:t> </w:t>
      </w:r>
      <w:r>
        <w:rPr>
          <w:rFonts w:ascii="Times New Roman" w:hAnsi="Times New Roman" w:cs="Times New Roman" w:eastAsia="Times New Roman" w:hint="default"/>
        </w:rPr>
        <w:t>0.84%</w:t>
      </w:r>
      <w:r>
        <w:rPr/>
        <w:t>；陈 锦贤出资</w:t>
      </w:r>
      <w:r>
        <w:rPr>
          <w:spacing w:val="-47"/>
        </w:rPr>
        <w:t> </w:t>
      </w:r>
      <w:r>
        <w:rPr>
          <w:rFonts w:ascii="Times New Roman" w:hAnsi="Times New Roman" w:cs="Times New Roman" w:eastAsia="Times New Roman" w:hint="default"/>
        </w:rPr>
        <w:t>60</w:t>
      </w:r>
      <w:r>
        <w:rPr>
          <w:rFonts w:ascii="Times New Roman" w:hAnsi="Times New Roman" w:cs="Times New Roman" w:eastAsia="Times New Roman" w:hint="default"/>
          <w:spacing w:val="-1"/>
        </w:rPr>
        <w:t> </w:t>
      </w:r>
      <w:r>
        <w:rPr/>
        <w:t>万元，占注册资本的</w:t>
      </w:r>
      <w:r>
        <w:rPr>
          <w:spacing w:val="-47"/>
        </w:rPr>
        <w:t> </w:t>
      </w:r>
      <w:r>
        <w:rPr>
          <w:rFonts w:ascii="Times New Roman" w:hAnsi="Times New Roman" w:cs="Times New Roman" w:eastAsia="Times New Roman" w:hint="default"/>
        </w:rPr>
        <w:t>0.80%</w:t>
      </w:r>
      <w:r>
        <w:rPr/>
        <w:t>。</w:t>
      </w:r>
    </w:p>
    <w:p>
      <w:pPr>
        <w:pStyle w:val="BodyText"/>
        <w:spacing w:line="240" w:lineRule="auto" w:before="52"/>
        <w:ind w:left="473" w:right="91"/>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日经中国证券监督管理委员会（证监许可</w:t>
      </w:r>
      <w:r>
        <w:rPr>
          <w:rFonts w:ascii="Times New Roman" w:hAnsi="Times New Roman" w:cs="Times New Roman" w:eastAsia="Times New Roman" w:hint="default"/>
        </w:rPr>
        <w:t>[2010]754</w:t>
      </w:r>
      <w:r>
        <w:rPr>
          <w:rFonts w:ascii="Times New Roman" w:hAnsi="Times New Roman" w:cs="Times New Roman" w:eastAsia="Times New Roman" w:hint="default"/>
          <w:spacing w:val="-2"/>
        </w:rPr>
        <w:t> </w:t>
      </w:r>
      <w:r>
        <w:rPr/>
        <w:t>号）核准，向社会公开发行</w:t>
      </w:r>
      <w:r>
        <w:rPr>
          <w:spacing w:val="-46"/>
        </w:rPr>
        <w:t> </w:t>
      </w:r>
      <w:r>
        <w:rPr>
          <w:rFonts w:ascii="Times New Roman" w:hAnsi="Times New Roman" w:cs="Times New Roman" w:eastAsia="Times New Roman" w:hint="default"/>
        </w:rPr>
        <w:t>2,500</w:t>
      </w:r>
      <w:r>
        <w:rPr>
          <w:rFonts w:ascii="Times New Roman" w:hAnsi="Times New Roman" w:cs="Times New Roman" w:eastAsia="Times New Roman" w:hint="default"/>
          <w:spacing w:val="-2"/>
        </w:rPr>
        <w:t> </w:t>
      </w:r>
      <w:r>
        <w:rPr/>
        <w:t>万股，股本变更为</w:t>
      </w:r>
    </w:p>
    <w:p>
      <w:pPr>
        <w:pStyle w:val="BodyText"/>
        <w:spacing w:line="240" w:lineRule="auto" w:before="63"/>
        <w:ind w:left="113" w:right="91"/>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万股，公司股票于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25 </w:t>
      </w:r>
      <w:r>
        <w:rPr/>
        <w:t>日在深圳证券交易所挂牌上市交易，股票代码为</w:t>
      </w:r>
      <w:r>
        <w:rPr>
          <w:spacing w:val="-46"/>
        </w:rPr>
        <w:t> </w:t>
      </w:r>
      <w:r>
        <w:rPr>
          <w:rFonts w:ascii="Times New Roman" w:hAnsi="Times New Roman" w:cs="Times New Roman" w:eastAsia="Times New Roman" w:hint="default"/>
        </w:rPr>
        <w:t>300089</w:t>
      </w:r>
      <w:r>
        <w:rPr/>
        <w:t>。</w:t>
      </w:r>
    </w:p>
    <w:p>
      <w:pPr>
        <w:pStyle w:val="BodyText"/>
        <w:spacing w:line="240" w:lineRule="auto" w:before="103"/>
        <w:ind w:right="91"/>
        <w:jc w:val="left"/>
        <w:rPr>
          <w:rFonts w:ascii="Times New Roman" w:hAnsi="Times New Roman" w:cs="Times New Roman" w:eastAsia="Times New Roman" w:hint="default"/>
        </w:rPr>
      </w:pPr>
      <w:r>
        <w:rPr/>
        <w:t>根据公司于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14"/>
        </w:rPr>
        <w:t> </w:t>
      </w:r>
      <w:r>
        <w:rPr/>
        <w:t>日召开的</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年年度股东大会决议及公司章程规定</w:t>
      </w:r>
      <w:r>
        <w:rPr>
          <w:spacing w:val="-90"/>
        </w:rPr>
        <w:t>，</w:t>
      </w:r>
      <w:r>
        <w:rPr/>
        <w:t>公司按</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日总股本</w:t>
      </w:r>
      <w:r>
        <w:rPr>
          <w:spacing w:val="-58"/>
        </w:rPr>
        <w:t> </w:t>
      </w:r>
      <w:r>
        <w:rPr>
          <w:rFonts w:ascii="Times New Roman" w:hAnsi="Times New Roman" w:cs="Times New Roman" w:eastAsia="Times New Roman" w:hint="default"/>
        </w:rPr>
        <w:t>100,000,000</w:t>
      </w:r>
    </w:p>
    <w:p>
      <w:pPr>
        <w:pStyle w:val="BodyText"/>
        <w:spacing w:line="415" w:lineRule="auto" w:before="63"/>
        <w:ind w:left="113" w:right="1894"/>
        <w:jc w:val="left"/>
        <w:rPr>
          <w:rFonts w:ascii="宋体" w:hAnsi="宋体" w:cs="宋体" w:eastAsia="宋体" w:hint="default"/>
        </w:rPr>
      </w:pPr>
      <w:r>
        <w:rPr/>
        <w:t>股为基数，以资本公积向全体股东每</w:t>
      </w:r>
      <w:r>
        <w:rPr>
          <w:spacing w:val="-46"/>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5 </w:t>
      </w:r>
      <w:r>
        <w:rPr/>
        <w:t>股，变更后公司注册资本及股本为</w:t>
      </w:r>
      <w:r>
        <w:rPr>
          <w:spacing w:val="-46"/>
        </w:rPr>
        <w:t> </w:t>
      </w:r>
      <w:r>
        <w:rPr>
          <w:rFonts w:ascii="Times New Roman" w:hAnsi="Times New Roman" w:cs="Times New Roman" w:eastAsia="Times New Roman" w:hint="default"/>
        </w:rPr>
        <w:t>150,000,000 </w:t>
      </w:r>
      <w:r>
        <w:rPr/>
        <w:t>元。 </w:t>
      </w:r>
      <w:r>
        <w:rPr>
          <w:rFonts w:ascii="宋体" w:hAnsi="宋体" w:cs="宋体" w:eastAsia="宋体" w:hint="default"/>
          <w:b/>
          <w:bCs/>
          <w:w w:val="99"/>
        </w:rPr>
      </w:r>
      <w:r>
        <w:rPr>
          <w:rFonts w:ascii="宋体" w:hAnsi="宋体" w:cs="宋体" w:eastAsia="宋体" w:hint="default"/>
          <w:b/>
          <w:bCs/>
          <w:u w:val="single" w:color="000000"/>
        </w:rPr>
        <w:t>行业性质</w:t>
      </w:r>
      <w:r>
        <w:rPr>
          <w:rFonts w:ascii="宋体" w:hAnsi="宋体" w:cs="宋体" w:eastAsia="宋体" w:hint="default"/>
          <w:b/>
          <w:bCs/>
        </w:rPr>
      </w:r>
      <w:r>
        <w:rPr>
          <w:rFonts w:ascii="宋体" w:hAnsi="宋体" w:cs="宋体" w:eastAsia="宋体" w:hint="default"/>
        </w:rPr>
      </w:r>
    </w:p>
    <w:p>
      <w:pPr>
        <w:pStyle w:val="BodyText"/>
        <w:spacing w:line="220" w:lineRule="exact"/>
        <w:ind w:left="474" w:right="91"/>
        <w:jc w:val="left"/>
      </w:pPr>
      <w:r>
        <w:rPr/>
        <w:t>陶瓷制品业。</w:t>
      </w:r>
    </w:p>
    <w:p>
      <w:pPr>
        <w:spacing w:line="240" w:lineRule="auto" w:before="7"/>
        <w:rPr>
          <w:rFonts w:ascii="宋体" w:hAnsi="宋体" w:cs="宋体" w:eastAsia="宋体" w:hint="default"/>
          <w:sz w:val="20"/>
          <w:szCs w:val="20"/>
        </w:rPr>
      </w:pPr>
    </w:p>
    <w:p>
      <w:pPr>
        <w:spacing w:line="357" w:lineRule="auto" w:before="0"/>
        <w:ind w:left="474" w:right="194" w:hanging="36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经营范围及主要产品或提供的劳务</w:t>
      </w:r>
      <w:r>
        <w:rPr>
          <w:rFonts w:ascii="宋体" w:hAnsi="宋体" w:cs="宋体" w:eastAsia="宋体" w:hint="default"/>
          <w:b/>
          <w:bCs/>
          <w:w w:val="99"/>
          <w:sz w:val="18"/>
          <w:szCs w:val="18"/>
        </w:rPr>
      </w:r>
      <w:r>
        <w:rPr>
          <w:rFonts w:ascii="宋体" w:hAnsi="宋体" w:cs="宋体" w:eastAsia="宋体" w:hint="default"/>
          <w:b/>
          <w:bCs/>
          <w:w w:val="99"/>
          <w:sz w:val="18"/>
          <w:szCs w:val="18"/>
        </w:rPr>
        <w:t> </w:t>
      </w:r>
      <w:r>
        <w:rPr>
          <w:rFonts w:ascii="宋体" w:hAnsi="宋体" w:cs="宋体" w:eastAsia="宋体" w:hint="default"/>
          <w:spacing w:val="-2"/>
          <w:sz w:val="18"/>
          <w:szCs w:val="18"/>
        </w:rPr>
        <w:t>生产、销售：工艺陶瓷、骨质瓷、抗菌镁质瓷及其他各类陶瓷，电子产品（不含电子出版物），包装制品（不含印刷）</w:t>
      </w:r>
    </w:p>
    <w:p>
      <w:pPr>
        <w:pStyle w:val="BodyText"/>
        <w:spacing w:line="224" w:lineRule="exact"/>
        <w:ind w:left="113" w:right="0"/>
        <w:jc w:val="left"/>
      </w:pPr>
      <w:r>
        <w:rPr/>
        <w:t>及陶瓷相关配套的藤、竹、木、铁、布、革、树脂、聚酯、橡胶、玻璃、五金、塑料、不锈钢制品。销售：机械设备（不含</w:t>
      </w:r>
    </w:p>
    <w:p>
      <w:pPr>
        <w:pStyle w:val="BodyText"/>
        <w:spacing w:line="316" w:lineRule="auto" w:before="76"/>
        <w:ind w:left="113" w:right="179"/>
        <w:jc w:val="left"/>
      </w:pPr>
      <w:r>
        <w:rPr/>
        <w:t>汽车</w:t>
      </w:r>
      <w:r>
        <w:rPr>
          <w:spacing w:val="-90"/>
        </w:rPr>
        <w:t>）</w:t>
      </w:r>
      <w:r>
        <w:rPr>
          <w:spacing w:val="-9"/>
        </w:rPr>
        <w:t>，</w:t>
      </w:r>
      <w:r>
        <w:rPr/>
        <w:t>五金交电</w:t>
      </w:r>
      <w:r>
        <w:rPr>
          <w:spacing w:val="-6"/>
        </w:rPr>
        <w:t>，</w:t>
      </w:r>
      <w:r>
        <w:rPr/>
        <w:t>化工产</w:t>
      </w:r>
      <w:r>
        <w:rPr>
          <w:spacing w:val="-8"/>
        </w:rPr>
        <w:t>品</w:t>
      </w:r>
      <w:r>
        <w:rPr>
          <w:spacing w:val="-2"/>
        </w:rPr>
        <w:t>（</w:t>
      </w:r>
      <w:r>
        <w:rPr/>
        <w:t>不含危险化学品</w:t>
      </w:r>
      <w:r>
        <w:rPr>
          <w:spacing w:val="-90"/>
        </w:rPr>
        <w:t>）</w:t>
      </w:r>
      <w:r>
        <w:rPr>
          <w:spacing w:val="-8"/>
        </w:rPr>
        <w:t>，</w:t>
      </w:r>
      <w:r>
        <w:rPr/>
        <w:t>家具</w:t>
      </w:r>
      <w:r>
        <w:rPr>
          <w:spacing w:val="-9"/>
        </w:rPr>
        <w:t>，</w:t>
      </w:r>
      <w:r>
        <w:rPr/>
        <w:t>建筑材料</w:t>
      </w:r>
      <w:r>
        <w:rPr>
          <w:spacing w:val="-6"/>
        </w:rPr>
        <w:t>，</w:t>
      </w:r>
      <w:r>
        <w:rPr/>
        <w:t>针</w:t>
      </w:r>
      <w:r>
        <w:rPr>
          <w:spacing w:val="-9"/>
        </w:rPr>
        <w:t>、</w:t>
      </w:r>
      <w:r>
        <w:rPr/>
        <w:t>纺织品</w:t>
      </w:r>
      <w:r>
        <w:rPr>
          <w:spacing w:val="-8"/>
        </w:rPr>
        <w:t>，</w:t>
      </w:r>
      <w:r>
        <w:rPr/>
        <w:t>金属材料</w:t>
      </w:r>
      <w:r>
        <w:rPr>
          <w:spacing w:val="-9"/>
        </w:rPr>
        <w:t>。</w:t>
      </w:r>
      <w:r>
        <w:rPr/>
        <w:t>货物进出口</w:t>
      </w:r>
      <w:r>
        <w:rPr>
          <w:spacing w:val="-8"/>
        </w:rPr>
        <w:t>、</w:t>
      </w:r>
      <w:r>
        <w:rPr/>
        <w:t>技术进出</w:t>
      </w:r>
      <w:r>
        <w:rPr>
          <w:spacing w:val="-6"/>
        </w:rPr>
        <w:t>口</w:t>
      </w:r>
      <w:r>
        <w:rPr/>
        <w:t>（法</w:t>
      </w:r>
      <w:r>
        <w:rPr/>
        <w:t> 律、行政法规禁止的项目除外；法律、行政法规限制的项目须取得许可后方可经营</w:t>
      </w:r>
      <w:r>
        <w:rPr>
          <w:spacing w:val="-90"/>
        </w:rPr>
        <w:t>）</w:t>
      </w:r>
      <w:r>
        <w:rPr/>
        <w:t>。</w:t>
      </w:r>
    </w:p>
    <w:p>
      <w:pPr>
        <w:pStyle w:val="Heading5"/>
        <w:spacing w:line="240" w:lineRule="auto" w:before="139"/>
        <w:ind w:right="91"/>
        <w:jc w:val="left"/>
        <w:rPr>
          <w:b w:val="0"/>
          <w:bCs w:val="0"/>
        </w:rPr>
      </w:pPr>
      <w:r>
        <w:rPr>
          <w:w w:val="99"/>
        </w:rPr>
      </w:r>
      <w:r>
        <w:rPr>
          <w:u w:val="single" w:color="000000"/>
        </w:rPr>
        <w:t>公司住所</w:t>
      </w:r>
      <w:r>
        <w:rPr/>
      </w:r>
      <w:r>
        <w:rPr>
          <w:b w:val="0"/>
          <w:bCs w:val="0"/>
        </w:rPr>
      </w:r>
    </w:p>
    <w:p>
      <w:pPr>
        <w:spacing w:line="240" w:lineRule="auto" w:before="8"/>
        <w:rPr>
          <w:rFonts w:ascii="宋体" w:hAnsi="宋体" w:cs="宋体" w:eastAsia="宋体" w:hint="default"/>
          <w:b/>
          <w:bCs/>
          <w:sz w:val="11"/>
          <w:szCs w:val="11"/>
        </w:rPr>
      </w:pPr>
    </w:p>
    <w:p>
      <w:pPr>
        <w:spacing w:line="439" w:lineRule="auto" w:before="44"/>
        <w:ind w:left="114" w:right="7290" w:firstLine="0"/>
        <w:jc w:val="left"/>
        <w:rPr>
          <w:rFonts w:ascii="宋体" w:hAnsi="宋体" w:cs="宋体" w:eastAsia="宋体" w:hint="default"/>
          <w:sz w:val="18"/>
          <w:szCs w:val="18"/>
        </w:rPr>
      </w:pPr>
      <w:r>
        <w:rPr>
          <w:rFonts w:ascii="宋体" w:hAnsi="宋体" w:cs="宋体" w:eastAsia="宋体" w:hint="default"/>
          <w:sz w:val="18"/>
          <w:szCs w:val="18"/>
        </w:rPr>
        <w:t>广东省潮州市枫溪区蔡陇管区。 </w:t>
      </w:r>
      <w:r>
        <w:rPr>
          <w:rFonts w:ascii="宋体" w:hAnsi="宋体" w:cs="宋体" w:eastAsia="宋体" w:hint="default"/>
          <w:b/>
          <w:bCs/>
          <w:w w:val="99"/>
          <w:sz w:val="18"/>
          <w:szCs w:val="18"/>
        </w:rPr>
      </w:r>
      <w:r>
        <w:rPr>
          <w:rFonts w:ascii="宋体" w:hAnsi="宋体" w:cs="宋体" w:eastAsia="宋体" w:hint="default"/>
          <w:b/>
          <w:bCs/>
          <w:sz w:val="18"/>
          <w:szCs w:val="18"/>
          <w:u w:val="single" w:color="000000"/>
        </w:rPr>
        <w:t>母公司以及集团最终母公司</w:t>
      </w:r>
      <w:r>
        <w:rPr>
          <w:rFonts w:ascii="宋体" w:hAnsi="宋体" w:cs="宋体" w:eastAsia="宋体" w:hint="default"/>
          <w:b/>
          <w:bCs/>
          <w:sz w:val="18"/>
          <w:szCs w:val="18"/>
        </w:rPr>
      </w:r>
      <w:r>
        <w:rPr>
          <w:rFonts w:ascii="宋体" w:hAnsi="宋体" w:cs="宋体" w:eastAsia="宋体" w:hint="default"/>
          <w:sz w:val="18"/>
          <w:szCs w:val="18"/>
        </w:rPr>
      </w:r>
    </w:p>
    <w:p>
      <w:pPr>
        <w:pStyle w:val="BodyText"/>
        <w:spacing w:line="415" w:lineRule="auto" w:before="47"/>
        <w:ind w:left="113" w:right="2971"/>
        <w:jc w:val="left"/>
        <w:rPr>
          <w:rFonts w:ascii="宋体" w:hAnsi="宋体" w:cs="宋体" w:eastAsia="宋体" w:hint="default"/>
        </w:rPr>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日，公司的控股股东为蔡廷祥，实际控制人为蔡廷祥和吴淡珠夫妇。 </w:t>
      </w:r>
      <w:r>
        <w:rPr>
          <w:rFonts w:ascii="宋体" w:hAnsi="宋体" w:cs="宋体" w:eastAsia="宋体" w:hint="default"/>
          <w:b/>
          <w:bCs/>
          <w:w w:val="99"/>
        </w:rPr>
      </w:r>
      <w:r>
        <w:rPr>
          <w:rFonts w:ascii="宋体" w:hAnsi="宋体" w:cs="宋体" w:eastAsia="宋体" w:hint="default"/>
          <w:b/>
          <w:bCs/>
          <w:u w:val="single" w:color="000000"/>
        </w:rPr>
        <w:t>公司的基本组织架构</w:t>
      </w:r>
      <w:r>
        <w:rPr>
          <w:rFonts w:ascii="宋体" w:hAnsi="宋体" w:cs="宋体" w:eastAsia="宋体" w:hint="default"/>
          <w:b/>
          <w:bCs/>
        </w:rPr>
      </w:r>
      <w:r>
        <w:rPr>
          <w:rFonts w:ascii="宋体" w:hAnsi="宋体" w:cs="宋体" w:eastAsia="宋体" w:hint="default"/>
        </w:rPr>
      </w:r>
    </w:p>
    <w:p>
      <w:pPr>
        <w:pStyle w:val="BodyText"/>
        <w:spacing w:line="316" w:lineRule="auto" w:before="65"/>
        <w:ind w:right="270"/>
        <w:jc w:val="left"/>
      </w:pPr>
      <w:r>
        <w:rPr/>
        <w:t>公司已根据《公司法》和公司章程的相关规定，设置了股东大会、董事会、监事会、总经理等组织机构。股东大会是公司 的最高权力机构；董事会负责执行股东大会决议及公司日常管理经营的决策，并向股东大会负责；总经理负责公司的日常</w:t>
      </w:r>
    </w:p>
    <w:p>
      <w:pPr>
        <w:spacing w:after="0" w:line="316" w:lineRule="auto"/>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left="113" w:right="91"/>
        <w:jc w:val="left"/>
      </w:pPr>
      <w:r>
        <w:rPr/>
        <w:t>经营管理事务。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2"/>
        <w:spacing w:line="240" w:lineRule="auto" w:before="0"/>
        <w:ind w:right="91"/>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1"/>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0"/>
        <w:jc w:val="left"/>
      </w:pPr>
      <w:r>
        <w:rPr/>
        <w:t>公司以持续经营假设为基础，根据实际发生的交易和事项，自</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w:t>
      </w:r>
      <w:r>
        <w:rPr>
          <w:spacing w:val="-85"/>
        </w:rPr>
        <w:t> </w:t>
      </w:r>
      <w:r>
        <w:rPr/>
        <w:t>准则》进行确认和计量，基于下述重要会计政策和会计估计进行财务报表编制。</w:t>
      </w:r>
    </w:p>
    <w:p>
      <w:pPr>
        <w:spacing w:line="240" w:lineRule="auto" w:before="6"/>
        <w:rPr>
          <w:rFonts w:ascii="宋体" w:hAnsi="宋体" w:cs="宋体" w:eastAsia="宋体" w:hint="default"/>
          <w:sz w:val="23"/>
          <w:szCs w:val="23"/>
        </w:rPr>
      </w:pPr>
    </w:p>
    <w:p>
      <w:pPr>
        <w:pStyle w:val="Heading3"/>
        <w:spacing w:line="240" w:lineRule="auto"/>
        <w:ind w:right="91"/>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 w:right="181"/>
        <w:jc w:val="left"/>
      </w:pPr>
      <w:r>
        <w:rPr/>
        <w:t>公司承诺编制的报告期各财务报表符合财政部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日颁布的《企业会计准则》的要求，真实、完整地反映了公司报</w:t>
      </w:r>
      <w:r>
        <w:rPr>
          <w:spacing w:val="-87"/>
        </w:rPr>
        <w:t> </w:t>
      </w:r>
      <w:r>
        <w:rPr/>
        <w:t>告期间的财务状况、经营成果和现金流量等有关信息。</w:t>
      </w:r>
    </w:p>
    <w:p>
      <w:pPr>
        <w:pStyle w:val="BodyText"/>
        <w:spacing w:line="300" w:lineRule="auto" w:before="151"/>
        <w:ind w:right="91"/>
        <w:jc w:val="left"/>
      </w:pPr>
      <w:r>
        <w:rPr>
          <w:spacing w:val="-2"/>
        </w:rPr>
        <w:t>此外，公司的财务报表同时符合中国证券监督管理委员会（以下简称</w:t>
      </w:r>
      <w:r>
        <w:rPr>
          <w:rFonts w:ascii="Times New Roman" w:hAnsi="Times New Roman" w:cs="Times New Roman" w:eastAsia="Times New Roman" w:hint="default"/>
          <w:spacing w:val="-2"/>
        </w:rPr>
        <w:t>“</w:t>
      </w:r>
      <w:r>
        <w:rPr>
          <w:spacing w:val="-2"/>
        </w:rPr>
        <w:t>证监会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2011</w:t>
      </w:r>
      <w:r>
        <w:rPr>
          <w:spacing w:val="-2"/>
        </w:rPr>
        <w:t>年颁布的《公开发行证券的公司信息披</w:t>
      </w:r>
      <w:r>
        <w:rPr>
          <w:spacing w:val="-40"/>
        </w:rPr>
        <w:t> </w:t>
      </w:r>
      <w:r>
        <w:rPr>
          <w:spacing w:val="-40"/>
        </w:rPr>
      </w:r>
      <w:r>
        <w:rPr/>
        <w:t>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财务报告的一般规定》有关财务报表的披露要求。</w:t>
      </w:r>
    </w:p>
    <w:p>
      <w:pPr>
        <w:spacing w:line="240" w:lineRule="auto" w:before="1"/>
        <w:rPr>
          <w:rFonts w:ascii="宋体" w:hAnsi="宋体" w:cs="宋体" w:eastAsia="宋体" w:hint="default"/>
          <w:sz w:val="22"/>
          <w:szCs w:val="22"/>
        </w:rPr>
      </w:pPr>
    </w:p>
    <w:p>
      <w:pPr>
        <w:spacing w:line="547" w:lineRule="auto" w:before="0"/>
        <w:ind w:left="114" w:right="49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公司的会计年度为公历年度，即每年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8"/>
        <w:ind w:right="91"/>
        <w:jc w:val="left"/>
      </w:pPr>
      <w:r>
        <w:rPr/>
        <w:t>公司以人民币作为记账本位币</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91"/>
        <w:jc w:val="left"/>
      </w:pPr>
      <w:r>
        <w:rPr>
          <w:rFonts w:ascii="Times New Roman" w:hAnsi="Times New Roman" w:cs="Times New Roman" w:eastAsia="Times New Roman" w:hint="default"/>
          <w:spacing w:val="-2"/>
        </w:rPr>
        <w:t>—</w:t>
      </w:r>
      <w:r>
        <w:rPr>
          <w:spacing w:val="-2"/>
        </w:rPr>
        <w:t>参与合并的企业在合并前后均受同一方或相同的多方最终控制，且该控制并非暂时性的，为同一控制下的企业合并。在合</w:t>
      </w:r>
      <w:r>
        <w:rPr>
          <w:spacing w:val="-64"/>
        </w:rPr>
        <w:t> </w:t>
      </w:r>
      <w:r>
        <w:rPr>
          <w:spacing w:val="-64"/>
        </w:rPr>
      </w:r>
      <w:r>
        <w:rPr/>
        <w:t>并日取得对其他参与合并企业控制权的一方为合并方，参与合并的其他企业为被合并方。</w:t>
      </w:r>
    </w:p>
    <w:p>
      <w:pPr>
        <w:pStyle w:val="BodyText"/>
        <w:spacing w:line="312" w:lineRule="auto" w:before="151"/>
        <w:ind w:right="191"/>
        <w:jc w:val="both"/>
      </w:pPr>
      <w:r>
        <w:rPr>
          <w:rFonts w:ascii="Times New Roman" w:hAnsi="Times New Roman" w:cs="Times New Roman" w:eastAsia="Times New Roman" w:hint="default"/>
          <w:spacing w:val="-2"/>
        </w:rPr>
        <w:t>——</w:t>
      </w:r>
      <w:r>
        <w:rPr>
          <w:spacing w:val="-2"/>
        </w:rPr>
        <w:t>同一控制下的企业合并，合并方以支付现金、转让非现金资产或承担债务方式作为合并对价的，在合并日按照取得被合</w:t>
      </w:r>
      <w:r>
        <w:rPr>
          <w:spacing w:val="-66"/>
        </w:rPr>
        <w:t> </w:t>
      </w:r>
      <w:r>
        <w:rPr>
          <w:spacing w:val="-66"/>
        </w:rPr>
      </w:r>
      <w:r>
        <w:rPr>
          <w:spacing w:val="-2"/>
        </w:rPr>
        <w:t>并方所有者权益账面价值的份额作为长期股权投资的投资成本，为企业合并发生的直接相关费用计入当期损益。长期股权投</w:t>
      </w:r>
      <w:r>
        <w:rPr>
          <w:spacing w:val="-64"/>
        </w:rPr>
        <w:t> </w:t>
      </w:r>
      <w:r>
        <w:rPr>
          <w:spacing w:val="-64"/>
        </w:rPr>
      </w:r>
      <w:r>
        <w:rPr>
          <w:spacing w:val="-2"/>
        </w:rPr>
        <w:t>资投资成本与支付的现金、转让的非现金资产以及所承担债务账面价值之间的差额，应当调整资本公积；资本公积不足冲减</w:t>
      </w:r>
      <w:r>
        <w:rPr>
          <w:spacing w:val="-65"/>
        </w:rPr>
        <w:t> </w:t>
      </w:r>
      <w:r>
        <w:rPr>
          <w:spacing w:val="-65"/>
        </w:rPr>
      </w:r>
      <w:r>
        <w:rPr/>
        <w:t>的，调整留存收益。</w:t>
      </w:r>
    </w:p>
    <w:p>
      <w:pPr>
        <w:pStyle w:val="BodyText"/>
        <w:spacing w:line="300" w:lineRule="auto" w:before="142"/>
        <w:ind w:right="91"/>
        <w:jc w:val="left"/>
      </w:pPr>
      <w:r>
        <w:rPr>
          <w:rFonts w:ascii="Times New Roman" w:hAnsi="Times New Roman" w:cs="Times New Roman" w:eastAsia="Times New Roman" w:hint="default"/>
          <w:spacing w:val="-2"/>
        </w:rPr>
        <w:t>—</w:t>
      </w:r>
      <w:r>
        <w:rPr>
          <w:spacing w:val="-2"/>
        </w:rPr>
        <w:t>参与合并的企业在合并前后不受同一方或相同的多方最终控制，为非同一控制下的企业合并。在合并日取得对其他参与合</w:t>
      </w:r>
      <w:r>
        <w:rPr>
          <w:spacing w:val="-64"/>
        </w:rPr>
        <w:t> </w:t>
      </w:r>
      <w:r>
        <w:rPr>
          <w:spacing w:val="-64"/>
        </w:rPr>
      </w:r>
      <w:r>
        <w:rPr/>
        <w:t>并企业控制权的一方为合并方，参与合并的其他企业为被合并方。</w:t>
      </w:r>
    </w:p>
    <w:p>
      <w:pPr>
        <w:spacing w:line="240" w:lineRule="auto" w:before="6"/>
        <w:rPr>
          <w:rFonts w:ascii="宋体" w:hAnsi="宋体" w:cs="宋体" w:eastAsia="宋体" w:hint="default"/>
          <w:sz w:val="23"/>
          <w:szCs w:val="23"/>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90"/>
        <w:jc w:val="left"/>
      </w:pPr>
      <w:r>
        <w:rPr>
          <w:rFonts w:ascii="Times New Roman" w:hAnsi="Times New Roman" w:cs="Times New Roman" w:eastAsia="Times New Roman" w:hint="default"/>
          <w:spacing w:val="-2"/>
        </w:rPr>
        <w:t>——</w:t>
      </w:r>
      <w:r>
        <w:rPr>
          <w:spacing w:val="-2"/>
        </w:rPr>
        <w:t>非同一控制下的企业合并，一次交换交易实现的企业合并，合并成本为公司在购买日为取得被购买方的控制权而付出的</w:t>
      </w:r>
      <w:r>
        <w:rPr>
          <w:spacing w:val="-64"/>
        </w:rPr>
        <w:t> </w:t>
      </w:r>
      <w:r>
        <w:rPr>
          <w:spacing w:val="-64"/>
        </w:rPr>
      </w:r>
      <w:r>
        <w:rPr/>
        <w:t>资产、发生或承担的负债以及发行的权益性证券的公允价值；非同一控制下的企业合并中，购买方为企业合并发生的审计、 </w:t>
      </w:r>
      <w:r>
        <w:rPr>
          <w:spacing w:val="-2"/>
        </w:rPr>
        <w:t>法律服务、评估咨询等中介费用以及其他相关管理费用，应当于发生时计入当期损益；购买方作为合并对价发行的权益性证</w:t>
      </w:r>
    </w:p>
    <w:p>
      <w:pPr>
        <w:spacing w:after="0" w:line="309" w:lineRule="auto"/>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left="113" w:right="91"/>
        <w:jc w:val="left"/>
      </w:pPr>
      <w:r>
        <w:rPr>
          <w:spacing w:val="-4"/>
        </w:rPr>
        <w:t>券或债务性证券的交易费用，应当计入权益性证券或债务性证券的初始确认金额。通过多次交换交易分步实现的企业合并的，</w:t>
      </w:r>
      <w:r>
        <w:rPr>
          <w:spacing w:val="-43"/>
        </w:rPr>
        <w:t> </w:t>
      </w:r>
      <w:r>
        <w:rPr>
          <w:spacing w:val="-43"/>
        </w:rPr>
      </w:r>
      <w:r>
        <w:rPr>
          <w:spacing w:val="-4"/>
        </w:rPr>
        <w:t>合并成本为每一单项交易成本之和。购买方为企业合并发生的审计、法律服务、评估咨询等中介费用以及其他相关管理费用，</w:t>
      </w:r>
      <w:r>
        <w:rPr>
          <w:spacing w:val="-43"/>
        </w:rPr>
        <w:t> </w:t>
      </w:r>
      <w:r>
        <w:rPr>
          <w:spacing w:val="-43"/>
        </w:rPr>
      </w:r>
      <w:r>
        <w:rPr>
          <w:spacing w:val="-2"/>
        </w:rPr>
        <w:t>于发生时计入当期损益；购买方作为合并对价发行的权益性证券或债务性证券的交易费用，于发生时计入权益性证券或债务</w:t>
      </w:r>
      <w:r>
        <w:rPr>
          <w:spacing w:val="-64"/>
        </w:rPr>
        <w:t> </w:t>
      </w:r>
      <w:r>
        <w:rPr>
          <w:spacing w:val="-64"/>
        </w:rPr>
      </w:r>
      <w:r>
        <w:rPr>
          <w:spacing w:val="-2"/>
        </w:rPr>
        <w:t>性证券的初始确认金额。在合并合同或协议中对可能影响合并成本的未来事项作出约定的，购买日如果估计未来事项很可能</w:t>
      </w:r>
      <w:r>
        <w:rPr>
          <w:spacing w:val="-64"/>
        </w:rPr>
        <w:t> </w:t>
      </w:r>
      <w:r>
        <w:rPr>
          <w:spacing w:val="-64"/>
        </w:rPr>
      </w:r>
      <w:r>
        <w:rPr>
          <w:spacing w:val="-2"/>
        </w:rPr>
        <w:t>发生并且对合并成本的影响金额能够可靠计量的，公司将其计入投资成本；购买成本超过按股权比例享有的被购买方可辨认</w:t>
      </w:r>
      <w:r>
        <w:rPr>
          <w:spacing w:val="-64"/>
        </w:rPr>
        <w:t> </w:t>
      </w:r>
      <w:r>
        <w:rPr>
          <w:spacing w:val="-64"/>
        </w:rPr>
      </w:r>
      <w:r>
        <w:rPr>
          <w:spacing w:val="-2"/>
        </w:rPr>
        <w:t>资产、负债的公允价值中所占份额的部分，确认为商誉。如果本公司取得的在被购买方可辨认资产、负债的公允价值中所占</w:t>
      </w:r>
      <w:r>
        <w:rPr>
          <w:spacing w:val="-67"/>
        </w:rPr>
        <w:t> </w:t>
      </w:r>
      <w:r>
        <w:rPr>
          <w:spacing w:val="-67"/>
        </w:rPr>
      </w:r>
      <w:r>
        <w:rPr/>
        <w:t>的份额超过购买成本，则超出的金额直接计入当期损益。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jc w:val="both"/>
      </w:pPr>
      <w:r>
        <w:rPr>
          <w:spacing w:val="-2"/>
        </w:rPr>
        <w:t>公司将能够实施控制的全部子公司纳入合并范围。子公司采取的会计政策与母公司不一致时，按照母公司的会计政策调整后</w:t>
      </w:r>
      <w:r>
        <w:rPr>
          <w:spacing w:val="-64"/>
        </w:rPr>
        <w:t> </w:t>
      </w:r>
      <w:r>
        <w:rPr>
          <w:spacing w:val="-64"/>
        </w:rPr>
      </w:r>
      <w:r>
        <w:rPr/>
        <w:t>进行合并。若子公司的会计期间与母公司不一致，按照母公司的会计期间对子公司财务报表进行调整。</w:t>
      </w:r>
    </w:p>
    <w:p>
      <w:pPr>
        <w:pStyle w:val="BodyText"/>
        <w:spacing w:line="312" w:lineRule="auto" w:before="139"/>
        <w:ind w:right="181"/>
        <w:jc w:val="both"/>
      </w:pPr>
      <w:r>
        <w:rPr>
          <w:spacing w:val="-2"/>
        </w:rPr>
        <w:t>编制合并报表时，以母公司和子公司的个别财务报表为基础，在将母公司与子公司之间的投资、内部往来、内部交易及其未</w:t>
      </w:r>
      <w:r>
        <w:rPr>
          <w:spacing w:val="-66"/>
        </w:rPr>
        <w:t> </w:t>
      </w:r>
      <w:r>
        <w:rPr>
          <w:spacing w:val="-66"/>
        </w:rPr>
      </w:r>
      <w:r>
        <w:rPr/>
        <w:t>实现损益等全部抵销后，逐项合并</w:t>
      </w:r>
      <w:r>
        <w:rPr>
          <w:rFonts w:ascii="Times New Roman" w:hAnsi="Times New Roman" w:cs="Times New Roman" w:eastAsia="Times New Roman" w:hint="default"/>
        </w:rPr>
        <w:t>,</w:t>
      </w:r>
      <w:r>
        <w:rPr/>
        <w:t>并计算少数股东权益和少数股东损益。少数股东权益是指母公司及其子公司以外的第三</w:t>
      </w:r>
      <w:r>
        <w:rPr>
          <w:spacing w:val="-41"/>
        </w:rPr>
        <w:t> </w:t>
      </w:r>
      <w:r>
        <w:rPr>
          <w:spacing w:val="-2"/>
        </w:rPr>
        <w:t>者在公司各子公司资产负债表日应享有的权益；少数股东损益是指母公司及其子公司以外的第三者在公司各子公司当期应享</w:t>
      </w:r>
      <w:r>
        <w:rPr>
          <w:spacing w:val="-64"/>
        </w:rPr>
        <w:t> </w:t>
      </w:r>
      <w:r>
        <w:rPr>
          <w:spacing w:val="-64"/>
        </w:rPr>
      </w:r>
      <w:r>
        <w:rPr/>
        <w:t>有的利润（或应承担的亏损）。</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现金指企业库存现金以及可以随时用于支付的存款，不能随时用于支付的存款不属于现金。</w:t>
      </w:r>
    </w:p>
    <w:p>
      <w:pPr>
        <w:spacing w:line="240" w:lineRule="auto" w:before="0"/>
        <w:rPr>
          <w:rFonts w:ascii="宋体" w:hAnsi="宋体" w:cs="宋体" w:eastAsia="宋体" w:hint="default"/>
          <w:sz w:val="15"/>
          <w:szCs w:val="15"/>
        </w:rPr>
      </w:pPr>
    </w:p>
    <w:p>
      <w:pPr>
        <w:pStyle w:val="BodyText"/>
        <w:spacing w:line="316" w:lineRule="auto"/>
        <w:ind w:right="188"/>
        <w:jc w:val="both"/>
      </w:pPr>
      <w:r>
        <w:rPr>
          <w:spacing w:val="-2"/>
        </w:rPr>
        <w:t>现金等价物指对持有的期限短（一般自购买日起三个月内到期）、流动性强、易于转换为已知金额现金、价值变动风险很小</w:t>
      </w:r>
      <w:r>
        <w:rPr>
          <w:spacing w:val="-64"/>
        </w:rPr>
        <w:t> </w:t>
      </w:r>
      <w:r>
        <w:rPr>
          <w:spacing w:val="-64"/>
        </w:rPr>
      </w:r>
      <w:r>
        <w:rPr/>
        <w:t>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90"/>
        <w:jc w:val="left"/>
      </w:pPr>
      <w:r>
        <w:rPr/>
        <w:t>公司日常核算外币业务按交易发生日的即期汇率将外币金额折算为记账本位币金额入账，每月末对资产负债表之货币资金、 </w:t>
      </w:r>
      <w:r>
        <w:rPr>
          <w:spacing w:val="-2"/>
        </w:rPr>
        <w:t>债权债务等货币性项目的外币余额按当日国家外汇市场汇率中间价进行调整，其差额作为</w:t>
      </w:r>
      <w:r>
        <w:rPr>
          <w:rFonts w:ascii="Times New Roman" w:hAnsi="Times New Roman" w:cs="Times New Roman" w:eastAsia="Times New Roman" w:hint="default"/>
          <w:spacing w:val="-2"/>
        </w:rPr>
        <w:t>“</w:t>
      </w:r>
      <w:r>
        <w:rPr>
          <w:spacing w:val="-2"/>
        </w:rPr>
        <w:t>财务费用</w:t>
      </w:r>
      <w:r>
        <w:rPr>
          <w:rFonts w:ascii="Times New Roman" w:hAnsi="Times New Roman" w:cs="Times New Roman" w:eastAsia="Times New Roman" w:hint="default"/>
          <w:spacing w:val="-2"/>
        </w:rPr>
        <w:t>—</w:t>
      </w:r>
      <w:r>
        <w:rPr>
          <w:spacing w:val="-2"/>
        </w:rPr>
        <w:t>汇兑损益</w:t>
      </w:r>
      <w:r>
        <w:rPr>
          <w:rFonts w:ascii="Times New Roman" w:hAnsi="Times New Roman" w:cs="Times New Roman" w:eastAsia="Times New Roman" w:hint="default"/>
          <w:spacing w:val="-2"/>
        </w:rPr>
        <w:t>”</w:t>
      </w:r>
      <w:r>
        <w:rPr>
          <w:spacing w:val="-2"/>
        </w:rPr>
        <w:t>计入当期损</w:t>
      </w:r>
      <w:r>
        <w:rPr>
          <w:spacing w:val="-42"/>
        </w:rPr>
        <w:t> </w:t>
      </w:r>
      <w:r>
        <w:rPr/>
        <w:t>益；属于与购建固定资产有关的借款产生的汇兑损益，按照借款费用资本化的原则进行处理。</w:t>
      </w:r>
    </w:p>
    <w:p>
      <w:pPr>
        <w:spacing w:line="240" w:lineRule="auto" w:before="0"/>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5"/>
        <w:rPr>
          <w:rFonts w:ascii="宋体" w:hAnsi="宋体" w:cs="宋体" w:eastAsia="宋体" w:hint="default"/>
          <w:b/>
          <w:bCs/>
          <w:sz w:val="26"/>
          <w:szCs w:val="26"/>
        </w:rPr>
      </w:pPr>
    </w:p>
    <w:p>
      <w:pPr>
        <w:pStyle w:val="BodyText"/>
        <w:spacing w:line="307" w:lineRule="auto"/>
        <w:ind w:right="187"/>
        <w:jc w:val="both"/>
      </w:pPr>
      <w:r>
        <w:rPr>
          <w:spacing w:val="-2"/>
        </w:rPr>
        <w:t>资产负债表中的所有资产、负债类项目均按照资产负债表日国家外汇市场汇率中间价折算为人民币金额；所有者权益类项目</w:t>
      </w:r>
      <w:r>
        <w:rPr>
          <w:spacing w:val="-64"/>
        </w:rPr>
        <w:t> </w:t>
      </w:r>
      <w:r>
        <w:rPr>
          <w:spacing w:val="-64"/>
        </w:rPr>
      </w:r>
      <w:r>
        <w:rPr>
          <w:spacing w:val="-1"/>
        </w:rPr>
        <w:t>除</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项目外，均按发生时的国家外汇市场汇率中间价折算为人民币金额；</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项目以折算后的利润分配</w:t>
      </w:r>
      <w:r>
        <w:rPr>
          <w:spacing w:val="-76"/>
        </w:rPr>
        <w:t> </w:t>
      </w:r>
      <w:r>
        <w:rPr>
          <w:spacing w:val="-2"/>
        </w:rPr>
        <w:t>表中该项目的人民币金额列示。折算后资产类项目与负债类项目和所有者权益项目合计数的差额，作为</w:t>
      </w:r>
      <w:r>
        <w:rPr>
          <w:rFonts w:ascii="Times New Roman" w:hAnsi="Times New Roman" w:cs="Times New Roman" w:eastAsia="Times New Roman" w:hint="default"/>
          <w:spacing w:val="-2"/>
        </w:rPr>
        <w:t>“</w:t>
      </w:r>
      <w:r>
        <w:rPr>
          <w:spacing w:val="-2"/>
        </w:rPr>
        <w:t>外币报表折算差额</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rPr>
        <w:t> </w:t>
      </w:r>
      <w:r>
        <w:rPr/>
        <w:t>在</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项目后单独列示。</w:t>
      </w:r>
    </w:p>
    <w:p>
      <w:pPr>
        <w:pStyle w:val="BodyText"/>
        <w:spacing w:line="300" w:lineRule="auto" w:before="127"/>
        <w:ind w:right="183"/>
        <w:jc w:val="both"/>
      </w:pPr>
      <w:r>
        <w:rPr/>
        <w:t>利润表中所有项目和所有者权益变动表中有关反映发生数的项目采用平均汇率折算为人民币金额；所有者权益变动表中</w:t>
      </w:r>
      <w:r>
        <w:rPr>
          <w:rFonts w:ascii="Times New Roman" w:hAnsi="Times New Roman" w:cs="Times New Roman" w:eastAsia="Times New Roman" w:hint="default"/>
        </w:rPr>
        <w:t>“</w:t>
      </w:r>
      <w:r>
        <w:rPr/>
        <w:t>年</w:t>
      </w:r>
      <w:r>
        <w:rPr>
          <w:spacing w:val="-72"/>
        </w:rPr>
        <w:t> </w:t>
      </w:r>
      <w:r>
        <w:rPr/>
        <w:t>初未分配利润</w:t>
      </w:r>
      <w:r>
        <w:rPr>
          <w:rFonts w:ascii="Times New Roman" w:hAnsi="Times New Roman" w:cs="Times New Roman" w:eastAsia="Times New Roman" w:hint="default"/>
        </w:rPr>
        <w:t>”</w:t>
      </w:r>
      <w:r>
        <w:rPr/>
        <w:t>项目以上一年折算后的期末</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项目的金额列示；</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项目按折算后的所有者权益变动表</w:t>
      </w:r>
      <w:r>
        <w:rPr>
          <w:spacing w:val="-40"/>
        </w:rPr>
        <w:t> </w:t>
      </w:r>
      <w:r>
        <w:rPr/>
        <w:t>中的其他各项目的金额计算列示。</w:t>
      </w:r>
    </w:p>
    <w:p>
      <w:pPr>
        <w:spacing w:after="0" w:line="300" w:lineRule="auto"/>
        <w:jc w:val="both"/>
        <w:sectPr>
          <w:footerReference w:type="default" r:id="rId26"/>
          <w:pgSz w:w="11910" w:h="16840"/>
          <w:pgMar w:footer="980" w:header="747" w:top="1060" w:bottom="1160" w:left="1020" w:right="940"/>
        </w:sectPr>
      </w:pPr>
    </w:p>
    <w:p>
      <w:pPr>
        <w:spacing w:line="240" w:lineRule="auto" w:before="11"/>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8"/>
        <w:jc w:val="both"/>
      </w:pPr>
      <w:r>
        <w:rPr>
          <w:spacing w:val="-2"/>
        </w:rPr>
        <w:t>－按照投资目的和经济实质，公司将拥有的金融资产划分为四类：以公允价值计量且其变动计入当期损益的金融资产，包括</w:t>
      </w:r>
      <w:r>
        <w:rPr>
          <w:spacing w:val="-64"/>
        </w:rPr>
        <w:t> </w:t>
      </w:r>
      <w:r>
        <w:rPr>
          <w:spacing w:val="-64"/>
        </w:rPr>
      </w:r>
      <w:r>
        <w:rPr>
          <w:spacing w:val="-2"/>
        </w:rPr>
        <w:t>交易性金融资产和指定为以公允价值计量且其变动计入当期损益的金融资产；持有至到期投资；应收款项；可供出售金融资</w:t>
      </w:r>
      <w:r>
        <w:rPr>
          <w:spacing w:val="-65"/>
        </w:rPr>
        <w:t> </w:t>
      </w:r>
      <w:r>
        <w:rPr>
          <w:spacing w:val="-65"/>
        </w:rPr>
      </w:r>
      <w:r>
        <w:rPr/>
        <w:t>产等。</w:t>
      </w:r>
    </w:p>
    <w:p>
      <w:pPr>
        <w:pStyle w:val="BodyText"/>
        <w:spacing w:line="316" w:lineRule="auto" w:before="139"/>
        <w:ind w:right="189"/>
        <w:jc w:val="both"/>
      </w:pPr>
      <w:r>
        <w:rPr>
          <w:spacing w:val="-2"/>
        </w:rPr>
        <w:t>－按照经济实质，公司将承担的金融负债再划分为两类：以公允价值计量且其变动计入当期损益的金融负债，包括交易性金</w:t>
      </w:r>
      <w:r>
        <w:rPr>
          <w:spacing w:val="-65"/>
        </w:rPr>
        <w:t> </w:t>
      </w:r>
      <w:r>
        <w:rPr>
          <w:spacing w:val="-65"/>
        </w:rPr>
      </w:r>
      <w:r>
        <w:rPr/>
        <w:t>融负债和指定为以公允价值计量且其变动计入当期损益的金融负债；其他金融负债。</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－金融工具确认依据和计量方法</w:t>
      </w:r>
    </w:p>
    <w:p>
      <w:pPr>
        <w:spacing w:line="240" w:lineRule="auto" w:before="0"/>
        <w:rPr>
          <w:rFonts w:ascii="宋体" w:hAnsi="宋体" w:cs="宋体" w:eastAsia="宋体" w:hint="default"/>
          <w:sz w:val="15"/>
          <w:szCs w:val="15"/>
        </w:rPr>
      </w:pPr>
    </w:p>
    <w:p>
      <w:pPr>
        <w:pStyle w:val="BodyText"/>
        <w:spacing w:line="309" w:lineRule="auto"/>
        <w:ind w:right="224"/>
        <w:jc w:val="both"/>
      </w:pPr>
      <w:r>
        <w:rPr>
          <w:rFonts w:ascii="Times New Roman" w:hAnsi="Times New Roman" w:cs="Times New Roman" w:eastAsia="Times New Roman" w:hint="default"/>
        </w:rPr>
        <w:t>¯¯</w:t>
      </w:r>
      <w:r>
        <w:rPr/>
        <w:t>当公司成为金融工具合同的一方时，确认一项金融资产或金融负债。当收取该金融资产现金流量的合同权利终止、金融</w:t>
      </w:r>
      <w:r>
        <w:rPr>
          <w:spacing w:val="-38"/>
        </w:rPr>
        <w:t> </w:t>
      </w:r>
      <w:r>
        <w:rPr/>
        <w:t>资产已转移且符合规定的终止确认条件的金融资产应当终止确认。当金融负债的现时义务全部或部分已解除的，终止确认</w:t>
      </w:r>
      <w:r>
        <w:rPr>
          <w:spacing w:val="-38"/>
        </w:rPr>
        <w:t> </w:t>
      </w:r>
      <w:r>
        <w:rPr/>
        <w:t>该金融负债或其一部分。</w:t>
      </w:r>
    </w:p>
    <w:p>
      <w:pPr>
        <w:pStyle w:val="BodyText"/>
        <w:spacing w:line="300" w:lineRule="auto" w:before="144"/>
        <w:ind w:right="190"/>
        <w:jc w:val="both"/>
      </w:pPr>
      <w:r>
        <w:rPr>
          <w:rFonts w:ascii="Times New Roman" w:hAnsi="Times New Roman" w:cs="Times New Roman" w:eastAsia="Times New Roman" w:hint="default"/>
          <w:spacing w:val="-2"/>
        </w:rPr>
        <w:t>¯¯</w:t>
      </w:r>
      <w:r>
        <w:rPr>
          <w:spacing w:val="-2"/>
        </w:rPr>
        <w:t>公司初始确认的金融资产或金融负债，按照公允价值计量。对于以公允价值计量且其变动计入当期损益的金融资产或金融</w:t>
      </w:r>
      <w:r>
        <w:rPr>
          <w:spacing w:val="-62"/>
        </w:rPr>
        <w:t> </w:t>
      </w:r>
      <w:r>
        <w:rPr>
          <w:spacing w:val="-62"/>
        </w:rPr>
      </w:r>
      <w:r>
        <w:rPr/>
        <w:t>负债，相关交易费用直接计入当期损益；对于其他类别的金融资产或金融负债，相关交易费用计入初始确认金额。</w:t>
      </w:r>
    </w:p>
    <w:p>
      <w:pPr>
        <w:pStyle w:val="BodyText"/>
        <w:spacing w:line="240" w:lineRule="auto" w:before="151"/>
        <w:ind w:right="0"/>
        <w:jc w:val="both"/>
      </w:pPr>
      <w:r>
        <w:rPr>
          <w:rFonts w:ascii="Times New Roman" w:hAnsi="Times New Roman" w:cs="Times New Roman" w:eastAsia="Times New Roman" w:hint="default"/>
          <w:spacing w:val="-4"/>
        </w:rPr>
        <w:t>¯¯</w:t>
      </w:r>
      <w:r>
        <w:rPr>
          <w:spacing w:val="-4"/>
        </w:rPr>
        <w:t>公司按照公允价值对金融资产进行后续计量，且不扣除将来处置该金融资产时可能发生的交易费用。但是，下列情况除外：</w:t>
      </w:r>
    </w:p>
    <w:p>
      <w:pPr>
        <w:spacing w:line="240" w:lineRule="auto" w:before="13"/>
        <w:rPr>
          <w:rFonts w:ascii="宋体" w:hAnsi="宋体" w:cs="宋体" w:eastAsia="宋体" w:hint="default"/>
          <w:sz w:val="13"/>
          <w:szCs w:val="13"/>
        </w:rPr>
      </w:pPr>
    </w:p>
    <w:p>
      <w:pPr>
        <w:pStyle w:val="BodyText"/>
        <w:spacing w:line="240" w:lineRule="auto"/>
        <w:ind w:left="113" w:right="0"/>
        <w:jc w:val="both"/>
      </w:pPr>
      <w:r>
        <w:rPr>
          <w:rFonts w:ascii="Times New Roman" w:hAnsi="Times New Roman" w:cs="Times New Roman" w:eastAsia="Times New Roman" w:hint="default"/>
        </w:rPr>
        <w:t>¯¯¯</w:t>
      </w:r>
      <w:r>
        <w:rPr/>
        <w:t>持有至到期投资和应收款项，采用实际利率法，按摊余成本计量；</w:t>
      </w:r>
    </w:p>
    <w:p>
      <w:pPr>
        <w:spacing w:line="240" w:lineRule="auto" w:before="13"/>
        <w:rPr>
          <w:rFonts w:ascii="宋体" w:hAnsi="宋体" w:cs="宋体" w:eastAsia="宋体" w:hint="default"/>
          <w:sz w:val="13"/>
          <w:szCs w:val="13"/>
        </w:rPr>
      </w:pPr>
    </w:p>
    <w:p>
      <w:pPr>
        <w:pStyle w:val="BodyText"/>
        <w:spacing w:line="300" w:lineRule="auto"/>
        <w:ind w:left="113" w:right="198"/>
        <w:jc w:val="both"/>
      </w:pPr>
      <w:r>
        <w:rPr>
          <w:rFonts w:ascii="Times New Roman" w:hAnsi="Times New Roman" w:cs="Times New Roman" w:eastAsia="Times New Roman" w:hint="default"/>
        </w:rPr>
        <w:t>¯¯¯</w:t>
      </w:r>
      <w:r>
        <w:rPr/>
        <w:t>在活跃市场中没有报价且其公允价值不能可靠计量的权益工具投资，以及与该权益工具挂钩并须通过交付该权益工具结 算的衍生金融资产，按照成本计量；</w:t>
      </w:r>
    </w:p>
    <w:p>
      <w:pPr>
        <w:pStyle w:val="BodyText"/>
        <w:spacing w:line="300" w:lineRule="auto" w:before="151"/>
        <w:ind w:left="113" w:right="198"/>
        <w:jc w:val="both"/>
      </w:pPr>
      <w:r>
        <w:rPr>
          <w:rFonts w:ascii="Times New Roman" w:hAnsi="Times New Roman" w:cs="Times New Roman" w:eastAsia="Times New Roman" w:hint="default"/>
        </w:rPr>
        <w:t>¯¯¯</w:t>
      </w:r>
      <w:r>
        <w:rPr/>
        <w:t>对因持有意图或能力发生改变，或公允价值不再能够可靠计量等情况，使金融资产不再适合按照公允价值计量时，公司 改按成本计量，该成本为重分类日该金融资产的公允价值。</w:t>
      </w:r>
    </w:p>
    <w:p>
      <w:pPr>
        <w:pStyle w:val="BodyText"/>
        <w:spacing w:line="240" w:lineRule="auto" w:before="151"/>
        <w:ind w:left="113" w:right="0"/>
        <w:jc w:val="both"/>
      </w:pPr>
      <w:r>
        <w:rPr>
          <w:rFonts w:ascii="Times New Roman" w:hAnsi="Times New Roman" w:cs="Times New Roman" w:eastAsia="Times New Roman" w:hint="default"/>
        </w:rPr>
        <w:t>¯¯</w:t>
      </w:r>
      <w:r>
        <w:rPr/>
        <w:t>公司采用实际利率法，按摊余成本对金融负债进行后续计量。但是，下列情况除外：</w:t>
      </w:r>
    </w:p>
    <w:p>
      <w:pPr>
        <w:spacing w:line="240" w:lineRule="auto" w:before="13"/>
        <w:rPr>
          <w:rFonts w:ascii="宋体" w:hAnsi="宋体" w:cs="宋体" w:eastAsia="宋体" w:hint="default"/>
          <w:sz w:val="13"/>
          <w:szCs w:val="13"/>
        </w:rPr>
      </w:pPr>
    </w:p>
    <w:p>
      <w:pPr>
        <w:pStyle w:val="BodyText"/>
        <w:spacing w:line="300" w:lineRule="auto"/>
        <w:ind w:left="113" w:right="198"/>
        <w:jc w:val="both"/>
      </w:pPr>
      <w:r>
        <w:rPr>
          <w:rFonts w:ascii="Times New Roman" w:hAnsi="Times New Roman" w:cs="Times New Roman" w:eastAsia="Times New Roman" w:hint="default"/>
        </w:rPr>
        <w:t>¯¯¯</w:t>
      </w:r>
      <w:r>
        <w:rPr/>
        <w:t>以公允价值计量且变动计入当期损益的金融负债，按照公允价值计量，且不扣除将来结清金融负债时可能发生的交易费 用；</w:t>
      </w:r>
    </w:p>
    <w:p>
      <w:pPr>
        <w:pStyle w:val="BodyText"/>
        <w:spacing w:line="300" w:lineRule="auto" w:before="151"/>
        <w:ind w:left="113" w:right="198"/>
        <w:jc w:val="both"/>
      </w:pPr>
      <w:r>
        <w:rPr>
          <w:rFonts w:ascii="Times New Roman" w:hAnsi="Times New Roman" w:cs="Times New Roman" w:eastAsia="Times New Roman" w:hint="default"/>
        </w:rPr>
        <w:t>¯¯¯</w:t>
      </w:r>
      <w:r>
        <w:rPr/>
        <w:t>因持有意图或能力发生改变，或公允价值不再能够可靠计量等情况，使金融负债不再适合按照公允价值计量时，公司改 按成本计量，该成本为重分类日该金融负债的账面价值；</w:t>
      </w:r>
    </w:p>
    <w:p>
      <w:pPr>
        <w:pStyle w:val="BodyText"/>
        <w:spacing w:line="300" w:lineRule="auto" w:before="151"/>
        <w:ind w:left="113" w:right="198"/>
        <w:jc w:val="both"/>
      </w:pPr>
      <w:r>
        <w:rPr>
          <w:rFonts w:ascii="Times New Roman" w:hAnsi="Times New Roman" w:cs="Times New Roman" w:eastAsia="Times New Roman" w:hint="default"/>
        </w:rPr>
        <w:t>¯¯¯</w:t>
      </w:r>
      <w:r>
        <w:rPr/>
        <w:t>与在活跃的市场中没有报价、公允价值不能可靠计量的权益工具挂钩并须通过交付该权益工具结算的衍生金融负债，按 照成本计量；</w:t>
      </w:r>
    </w:p>
    <w:p>
      <w:pPr>
        <w:pStyle w:val="BodyText"/>
        <w:spacing w:line="309" w:lineRule="auto" w:before="151"/>
        <w:ind w:left="113" w:right="191"/>
        <w:jc w:val="both"/>
      </w:pPr>
      <w:r>
        <w:rPr>
          <w:rFonts w:ascii="Times New Roman" w:hAnsi="Times New Roman" w:cs="Times New Roman" w:eastAsia="Times New Roman" w:hint="default"/>
        </w:rPr>
        <w:t>¯¯¯</w:t>
      </w:r>
      <w:r>
        <w:rPr/>
        <w:t>不属于指定为以公允价值计量且其变动计入当期损益的金融负债的财务担保合同，或没有指定为以公允价值计量且其变 </w:t>
      </w:r>
      <w:r>
        <w:rPr>
          <w:spacing w:val="-2"/>
        </w:rPr>
        <w:t>动计入当期损益并将以低于市场利率贷款的贷款承诺，应当在初始确认后按照下列两项金额之中的较高者进行后续计量：按</w:t>
      </w:r>
      <w:r>
        <w:rPr>
          <w:spacing w:val="-64"/>
        </w:rPr>
        <w:t> </w:t>
      </w:r>
      <w:r>
        <w:rPr>
          <w:spacing w:val="-64"/>
        </w:rPr>
      </w:r>
      <w:r>
        <w:rPr/>
        <w:t>照或有事项准则确定的金额；初始确认金额扣除按照收入准则确定的累计摊销后的余额。</w:t>
      </w:r>
    </w:p>
    <w:p>
      <w:pPr>
        <w:pStyle w:val="BodyText"/>
        <w:spacing w:line="240" w:lineRule="auto" w:before="144"/>
        <w:ind w:right="0"/>
        <w:jc w:val="both"/>
      </w:pPr>
      <w:r>
        <w:rPr>
          <w:rFonts w:ascii="Times New Roman" w:hAnsi="Times New Roman" w:cs="Times New Roman" w:eastAsia="Times New Roman" w:hint="default"/>
        </w:rPr>
        <w:t>¯¯</w:t>
      </w:r>
      <w:r>
        <w:rPr/>
        <w:t>公司对金融资产或金融负债公允价值变动形成的利得或损失，除与套期保值有关外，按照下列规定处理：</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以公允价值计量且其变动计入当期损益的金融资产或金融负债，公允价值变动形成的利得或损失，计入当期损益；</w:t>
      </w:r>
    </w:p>
    <w:p>
      <w:pPr>
        <w:spacing w:line="240" w:lineRule="auto" w:before="13"/>
        <w:rPr>
          <w:rFonts w:ascii="宋体" w:hAnsi="宋体" w:cs="宋体" w:eastAsia="宋体" w:hint="default"/>
          <w:sz w:val="13"/>
          <w:szCs w:val="13"/>
        </w:rPr>
      </w:pPr>
    </w:p>
    <w:p>
      <w:pPr>
        <w:pStyle w:val="BodyText"/>
        <w:spacing w:line="300" w:lineRule="auto"/>
        <w:ind w:right="198"/>
        <w:jc w:val="both"/>
      </w:pPr>
      <w:r>
        <w:rPr>
          <w:rFonts w:ascii="Times New Roman" w:hAnsi="Times New Roman" w:cs="Times New Roman" w:eastAsia="Times New Roman" w:hint="default"/>
        </w:rPr>
        <w:t>¯¯¯</w:t>
      </w:r>
      <w:r>
        <w:rPr/>
        <w:t>可供出售金融资产公允价值变动形成的利得或损失，除减值损失和外币货币性金融资产形成的汇兑差额外，计入资本公 积，在该金融资产终止确认时转出，计入当期损益。</w:t>
      </w:r>
    </w:p>
    <w:p>
      <w:pPr>
        <w:spacing w:after="0" w:line="300" w:lineRule="auto"/>
        <w:jc w:val="both"/>
        <w:sectPr>
          <w:footerReference w:type="default" r:id="rId27"/>
          <w:pgSz w:w="11910" w:h="16840"/>
          <w:pgMar w:footer="980" w:header="747" w:top="1060" w:bottom="1160" w:left="1020" w:right="940"/>
          <w:pgNumType w:start="71"/>
        </w:sectPr>
      </w:pPr>
    </w:p>
    <w:p>
      <w:pPr>
        <w:spacing w:line="240" w:lineRule="auto" w:before="12"/>
        <w:rPr>
          <w:rFonts w:ascii="宋体" w:hAnsi="宋体" w:cs="宋体" w:eastAsia="宋体" w:hint="default"/>
          <w:sz w:val="25"/>
          <w:szCs w:val="25"/>
        </w:rPr>
      </w:pPr>
    </w:p>
    <w:p>
      <w:pPr>
        <w:pStyle w:val="BodyText"/>
        <w:spacing w:line="300" w:lineRule="auto" w:before="44"/>
        <w:ind w:left="113" w:right="98"/>
        <w:jc w:val="both"/>
      </w:pPr>
      <w:r>
        <w:rPr>
          <w:rFonts w:ascii="Times New Roman" w:hAnsi="Times New Roman" w:cs="Times New Roman" w:eastAsia="Times New Roman" w:hint="default"/>
          <w:spacing w:val="-4"/>
        </w:rPr>
        <w:t>¯¯</w:t>
      </w:r>
      <w:r>
        <w:rPr>
          <w:spacing w:val="-4"/>
        </w:rPr>
        <w:t>公司对以摊余成本计量的金融资产或金融负债，除与套期保值有关外，在终止确认、发生减值或摊销时产生的利得或损失，</w:t>
      </w:r>
      <w:r>
        <w:rPr>
          <w:spacing w:val="-38"/>
        </w:rPr>
        <w:t> </w:t>
      </w:r>
      <w:r>
        <w:rPr>
          <w:spacing w:val="-38"/>
        </w:rPr>
      </w:r>
      <w:r>
        <w:rPr/>
        <w:t>计入当期损益。</w:t>
      </w:r>
    </w:p>
    <w:p>
      <w:pPr>
        <w:pStyle w:val="BodyText"/>
        <w:spacing w:line="240" w:lineRule="auto" w:before="151"/>
        <w:ind w:left="113" w:right="0"/>
        <w:jc w:val="both"/>
      </w:pPr>
      <w:r>
        <w:rPr>
          <w:rFonts w:ascii="Times New Roman" w:hAnsi="Times New Roman" w:cs="Times New Roman" w:eastAsia="Times New Roman" w:hint="default"/>
        </w:rPr>
        <w:t>¯¯</w:t>
      </w:r>
      <w:r>
        <w:rPr/>
        <w:t>公司在相同会计期间将套期工具和被套期项目的公允价值变动的抵消结果计入当期损益。</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）金融资产和金融负债公允价值的确定方法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88"/>
        <w:jc w:val="both"/>
      </w:pPr>
      <w:r>
        <w:rPr>
          <w:spacing w:val="-2"/>
        </w:rPr>
        <w:t>－金融资产、金融负债的公允价值的确定：存在活跃市场的金融资产或金融负债，以活跃市场的报价确定其公允价值，活跃</w:t>
      </w:r>
      <w:r>
        <w:rPr>
          <w:spacing w:val="-65"/>
        </w:rPr>
        <w:t> </w:t>
      </w:r>
      <w:r>
        <w:rPr>
          <w:spacing w:val="-65"/>
        </w:rPr>
      </w:r>
      <w:r>
        <w:rPr>
          <w:spacing w:val="-2"/>
        </w:rPr>
        <w:t>市场的报价包括易于定期从交易所、经纪商、行业协会、定价服务机构等获得的价格，且代表了在公平交易中实际发生的市</w:t>
      </w:r>
      <w:r>
        <w:rPr>
          <w:spacing w:val="-66"/>
        </w:rPr>
        <w:t> </w:t>
      </w:r>
      <w:r>
        <w:rPr>
          <w:spacing w:val="-66"/>
        </w:rPr>
      </w:r>
      <w:r>
        <w:rPr>
          <w:spacing w:val="-2"/>
        </w:rPr>
        <w:t>场交易的价格；不存在活跃市场的金融资产或金融负债，采用估值技术确定其公允价值。估值技术包括参考熟悉情况并自愿</w:t>
      </w:r>
      <w:r>
        <w:rPr>
          <w:spacing w:val="-65"/>
        </w:rPr>
        <w:t> </w:t>
      </w:r>
      <w:r>
        <w:rPr>
          <w:spacing w:val="-65"/>
        </w:rPr>
      </w:r>
      <w:r>
        <w:rPr>
          <w:spacing w:val="-2"/>
        </w:rPr>
        <w:t>交易的各方最近进行的市场交易中使用的价格、参照实质上相同的其他金融资产或金融负债的当前公允价值、现金流量折现</w:t>
      </w:r>
      <w:r>
        <w:rPr>
          <w:spacing w:val="-64"/>
        </w:rPr>
        <w:t> </w:t>
      </w:r>
      <w:r>
        <w:rPr>
          <w:spacing w:val="-64"/>
        </w:rPr>
      </w:r>
      <w:r>
        <w:rPr/>
        <w:t>法和期权定价模型等。</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88"/>
        <w:jc w:val="both"/>
      </w:pPr>
      <w:r>
        <w:rPr>
          <w:spacing w:val="-2"/>
        </w:rPr>
        <w:t>公司期末对以公允价值计量且其变动计入当期损益的金融资产以外的金融资产的账面价值进行检查，有客观证据表明该金融</w:t>
      </w:r>
      <w:r>
        <w:rPr>
          <w:spacing w:val="-64"/>
        </w:rPr>
        <w:t> </w:t>
      </w:r>
      <w:r>
        <w:rPr>
          <w:spacing w:val="-64"/>
        </w:rPr>
      </w:r>
      <w:r>
        <w:rPr>
          <w:spacing w:val="-2"/>
        </w:rPr>
        <w:t>资产发生减值的，计提减值准备。计提减值准备时，对单项金额重大的进行单独减值测试；对单项金额不重大的，在具有类</w:t>
      </w:r>
      <w:r>
        <w:rPr>
          <w:spacing w:val="-64"/>
        </w:rPr>
        <w:t> </w:t>
      </w:r>
      <w:r>
        <w:rPr>
          <w:spacing w:val="-64"/>
        </w:rPr>
      </w:r>
      <w:r>
        <w:rPr/>
        <w:t>似信用风险特征的金融资产组中进行减值测试。主要金融资产计提减值准备的具体方法分别如下：</w:t>
      </w:r>
    </w:p>
    <w:p>
      <w:pPr>
        <w:pStyle w:val="BodyText"/>
        <w:spacing w:line="312" w:lineRule="auto" w:before="139"/>
        <w:ind w:left="113" w:right="189"/>
        <w:jc w:val="both"/>
      </w:pPr>
      <w:r>
        <w:rPr>
          <w:rFonts w:ascii="Times New Roman" w:hAnsi="Times New Roman" w:cs="Times New Roman" w:eastAsia="Times New Roman" w:hint="default"/>
          <w:spacing w:val="-2"/>
        </w:rPr>
        <w:t>¯¯</w:t>
      </w:r>
      <w:r>
        <w:rPr>
          <w:spacing w:val="-2"/>
        </w:rPr>
        <w:t>可供出售金融资产能以公允价值可靠计量的，以公允价值低于账面价值部分计提减值准备，计入当期损益；可供出售金融</w:t>
      </w:r>
      <w:r>
        <w:rPr>
          <w:spacing w:val="-63"/>
        </w:rPr>
        <w:t> </w:t>
      </w:r>
      <w:r>
        <w:rPr>
          <w:spacing w:val="-63"/>
        </w:rPr>
      </w:r>
      <w:r>
        <w:rPr>
          <w:spacing w:val="-2"/>
        </w:rPr>
        <w:t>资产以公允价值不能可靠计量的，以预计未来现金流量（不包括尚未发生的未来信用损失）现值低于账面价值部分计提减值</w:t>
      </w:r>
      <w:r>
        <w:rPr>
          <w:spacing w:val="-65"/>
        </w:rPr>
        <w:t> </w:t>
      </w:r>
      <w:r>
        <w:rPr>
          <w:spacing w:val="-65"/>
        </w:rPr>
      </w:r>
      <w:r>
        <w:rPr>
          <w:spacing w:val="-2"/>
        </w:rPr>
        <w:t>准备，计入当期损益。可供出售金融资产发生减值时，即使该金融资产没有终止确认，原直接计入所有者权益的因公允价值</w:t>
      </w:r>
      <w:r>
        <w:rPr>
          <w:spacing w:val="-66"/>
        </w:rPr>
        <w:t> </w:t>
      </w:r>
      <w:r>
        <w:rPr>
          <w:spacing w:val="-66"/>
        </w:rPr>
      </w:r>
      <w:r>
        <w:rPr/>
        <w:t>下降形成的累计损失，应当予以转出，计入当期损益。</w:t>
      </w:r>
    </w:p>
    <w:p>
      <w:pPr>
        <w:pStyle w:val="BodyText"/>
        <w:spacing w:line="300" w:lineRule="auto" w:before="142"/>
        <w:ind w:left="113" w:right="188"/>
        <w:jc w:val="both"/>
      </w:pPr>
      <w:r>
        <w:rPr>
          <w:rFonts w:ascii="Times New Roman" w:hAnsi="Times New Roman" w:cs="Times New Roman" w:eastAsia="Times New Roman" w:hint="default"/>
          <w:spacing w:val="-2"/>
        </w:rPr>
        <w:t>¯¯</w:t>
      </w:r>
      <w:r>
        <w:rPr>
          <w:spacing w:val="-2"/>
        </w:rPr>
        <w:t>持有至到期的投资以预计未来现金流量（不包括尚未发生的未来信用损失）现值低于账面价值部分计提减值准备，计入当</w:t>
      </w:r>
      <w:r>
        <w:rPr>
          <w:spacing w:val="-62"/>
        </w:rPr>
        <w:t> </w:t>
      </w:r>
      <w:r>
        <w:rPr>
          <w:spacing w:val="-62"/>
        </w:rPr>
      </w:r>
      <w:r>
        <w:rPr/>
        <w:t>期损益。</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5056"/>
        <w:gridCol w:w="4513"/>
      </w:tblGrid>
      <w:tr>
        <w:trPr>
          <w:trHeight w:val="402" w:hRule="exact"/>
        </w:trPr>
        <w:tc>
          <w:tcPr>
            <w:tcW w:w="5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万元）的应收款项</w:t>
            </w:r>
          </w:p>
        </w:tc>
      </w:tr>
      <w:tr>
        <w:trPr>
          <w:trHeight w:val="355" w:hRule="exact"/>
        </w:trPr>
        <w:tc>
          <w:tcPr>
            <w:tcW w:w="5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4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2"/>
                <w:sz w:val="18"/>
                <w:szCs w:val="18"/>
              </w:rPr>
              <w:t>期末对单项金额重大的应收款项单独进行减值测试，如有</w:t>
            </w:r>
          </w:p>
        </w:tc>
      </w:tr>
      <w:tr>
        <w:trPr>
          <w:trHeight w:val="312" w:hRule="exact"/>
        </w:trPr>
        <w:tc>
          <w:tcPr>
            <w:tcW w:w="5056"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客观证据表明其发生了减值的，当应收款项的预计未来现</w:t>
            </w:r>
          </w:p>
        </w:tc>
      </w:tr>
      <w:tr>
        <w:trPr>
          <w:trHeight w:val="312" w:hRule="exact"/>
        </w:trPr>
        <w:tc>
          <w:tcPr>
            <w:tcW w:w="5056"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金流量（不包括尚未发生的未来信用损失）按原实际利率</w:t>
            </w:r>
          </w:p>
        </w:tc>
      </w:tr>
      <w:tr>
        <w:trPr>
          <w:trHeight w:val="624" w:hRule="exact"/>
        </w:trPr>
        <w:tc>
          <w:tcPr>
            <w:tcW w:w="5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2"/>
                <w:sz w:val="18"/>
                <w:szCs w:val="18"/>
              </w:rPr>
              <w:t>折现的现值低于其账面价值时，将该应收款项的账面价值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减记至该现值，减记的金额确认为资产减值损失，计提坏</w:t>
            </w:r>
          </w:p>
        </w:tc>
      </w:tr>
      <w:tr>
        <w:trPr>
          <w:trHeight w:val="312" w:hRule="exact"/>
        </w:trPr>
        <w:tc>
          <w:tcPr>
            <w:tcW w:w="5056"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账准备。单独测试未发生减值的单项金额重大应收款项，</w:t>
            </w:r>
          </w:p>
        </w:tc>
      </w:tr>
      <w:tr>
        <w:trPr>
          <w:trHeight w:val="312" w:hRule="exact"/>
        </w:trPr>
        <w:tc>
          <w:tcPr>
            <w:tcW w:w="5056"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包括在具有类似信用风险特征的应收款项组合中，以账龄</w:t>
            </w:r>
          </w:p>
        </w:tc>
      </w:tr>
      <w:tr>
        <w:trPr>
          <w:trHeight w:val="359" w:hRule="exact"/>
        </w:trPr>
        <w:tc>
          <w:tcPr>
            <w:tcW w:w="5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45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为信用风险组合计提坏账准备</w:t>
            </w:r>
          </w:p>
        </w:tc>
      </w:tr>
    </w:tbl>
    <w:p>
      <w:pPr>
        <w:spacing w:line="240" w:lineRule="auto" w:before="1"/>
        <w:rPr>
          <w:rFonts w:ascii="宋体" w:hAnsi="宋体" w:cs="宋体" w:eastAsia="宋体" w:hint="default"/>
          <w:b/>
          <w:bCs/>
          <w:sz w:val="19"/>
          <w:szCs w:val="19"/>
        </w:rPr>
      </w:pPr>
    </w:p>
    <w:p>
      <w:pPr>
        <w:pStyle w:val="Heading3"/>
        <w:spacing w:line="240" w:lineRule="auto" w:before="35"/>
        <w:ind w:right="91"/>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599"/>
        <w:gridCol w:w="2186"/>
        <w:gridCol w:w="4783"/>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940"/>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599"/>
        <w:gridCol w:w="2186"/>
        <w:gridCol w:w="4783"/>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相同账龄的应收账款具有类似信用风险特征</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r>
    </w:tbl>
    <w:p>
      <w:pPr>
        <w:pStyle w:val="BodyText"/>
        <w:spacing w:line="240" w:lineRule="auto" w:before="50"/>
        <w:ind w:right="92"/>
        <w:jc w:val="left"/>
      </w:pPr>
      <w:r>
        <w:rPr/>
        <w:t>组合中，采用账龄分析法计提坏账准备的</w:t>
      </w:r>
    </w:p>
    <w:p>
      <w:pPr>
        <w:pStyle w:val="BodyText"/>
        <w:spacing w:line="240" w:lineRule="auto" w:before="116"/>
        <w:ind w:right="92"/>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99"/>
        <w:gridCol w:w="2975"/>
        <w:gridCol w:w="3995"/>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50%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92"/>
        <w:jc w:val="left"/>
      </w:pPr>
      <w:r>
        <w:rPr/>
        <w:t>组合中，采用余额百分比法计提坏账准备的</w:t>
      </w:r>
    </w:p>
    <w:p>
      <w:pPr>
        <w:pStyle w:val="BodyText"/>
        <w:spacing w:line="357" w:lineRule="auto" w:before="117"/>
        <w:ind w:right="6670"/>
        <w:jc w:val="left"/>
      </w:pPr>
      <w:r>
        <w:rPr/>
        <w:t>□ 适用 √ 不适用 组合中，采用其他方法计提坏账准备的</w:t>
      </w:r>
    </w:p>
    <w:p>
      <w:pPr>
        <w:pStyle w:val="BodyText"/>
        <w:spacing w:line="240" w:lineRule="auto" w:before="28"/>
        <w:ind w:right="92"/>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30"/>
        <w:gridCol w:w="5639"/>
      </w:tblGrid>
      <w:tr>
        <w:trPr>
          <w:trHeight w:val="402" w:hRule="exact"/>
        </w:trPr>
        <w:tc>
          <w:tcPr>
            <w:tcW w:w="3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2" w:hRule="exact"/>
        </w:trPr>
        <w:tc>
          <w:tcPr>
            <w:tcW w:w="3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54"/>
        <w:gridCol w:w="6215"/>
      </w:tblGrid>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期末有客观证据表明应收款项发生减值</w:t>
            </w:r>
          </w:p>
        </w:tc>
      </w:tr>
      <w:tr>
        <w:trPr>
          <w:trHeight w:val="1026"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60"/>
              <w:jc w:val="both"/>
              <w:rPr>
                <w:rFonts w:ascii="宋体" w:hAnsi="宋体" w:cs="宋体" w:eastAsia="宋体" w:hint="default"/>
                <w:sz w:val="18"/>
                <w:szCs w:val="18"/>
              </w:rPr>
            </w:pPr>
            <w:r>
              <w:rPr>
                <w:rFonts w:ascii="宋体" w:hAnsi="宋体" w:cs="宋体" w:eastAsia="宋体" w:hint="default"/>
                <w:sz w:val="18"/>
                <w:szCs w:val="18"/>
              </w:rPr>
              <w:t>当应收款项的预计未来现金流量（不包括尚未发生的未来信用损失）按原实际 利率折现的现值低于其账面价值时，将该应收款项的账面价值减记至该现值， 减记的金额确认为资产减值损失，计提坏账准备。</w:t>
            </w:r>
          </w:p>
        </w:tc>
      </w:tr>
    </w:tbl>
    <w:p>
      <w:pPr>
        <w:spacing w:line="240" w:lineRule="auto" w:before="1"/>
        <w:rPr>
          <w:rFonts w:ascii="宋体" w:hAnsi="宋体" w:cs="宋体" w:eastAsia="宋体" w:hint="default"/>
          <w:b/>
          <w:bCs/>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w:t>
      </w:r>
      <w:r>
        <w:rPr/>
        <w:t>存货分类：原材料、包装物、低值易耗品、在产品和产成品等等。</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计价方法：加权平均法</w:t>
      </w:r>
    </w:p>
    <w:p>
      <w:pPr>
        <w:pStyle w:val="BodyText"/>
        <w:spacing w:line="240" w:lineRule="auto" w:before="116"/>
        <w:ind w:right="92"/>
        <w:jc w:val="left"/>
      </w:pPr>
      <w:r>
        <w:rPr>
          <w:rFonts w:ascii="Times New Roman" w:hAnsi="Times New Roman" w:cs="Times New Roman" w:eastAsia="Times New Roman" w:hint="default"/>
        </w:rPr>
        <w:t>—</w:t>
      </w:r>
      <w:r>
        <w:rPr/>
        <w:t>存货的核算：购入原材料、包装物、低值易耗品等按实际成本入账，发出时的成本采用加权平均法核算。</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2"/>
        <w:jc w:val="left"/>
      </w:pPr>
      <w:r>
        <w:rPr>
          <w:rFonts w:ascii="Times New Roman" w:hAnsi="Times New Roman" w:cs="Times New Roman" w:eastAsia="Times New Roman" w:hint="default"/>
          <w:spacing w:val="-2"/>
        </w:rPr>
        <w:t>—</w:t>
      </w:r>
      <w:r>
        <w:rPr>
          <w:spacing w:val="-2"/>
        </w:rPr>
        <w:t>存货可变现净值的确定依据及存货跌价准备的计提方法：公司于每年中期期末及期末在对存货进行全面盘点的基础上，对</w:t>
      </w:r>
      <w:r>
        <w:rPr>
          <w:spacing w:val="-64"/>
        </w:rPr>
        <w:t> </w:t>
      </w:r>
      <w:r>
        <w:rPr>
          <w:spacing w:val="-64"/>
        </w:rPr>
      </w:r>
      <w:r>
        <w:rPr/>
        <w:t>遭受损失，全部或部分陈旧过时或销售价格低于成本的存货，根据存货成本与可变现净值孰低计量。</w:t>
      </w:r>
    </w:p>
    <w:p>
      <w:pPr>
        <w:spacing w:after="0" w:line="300" w:lineRule="auto"/>
        <w:jc w:val="left"/>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309" w:lineRule="auto" w:before="44"/>
        <w:ind w:left="113" w:right="188"/>
        <w:jc w:val="both"/>
      </w:pPr>
      <w:r>
        <w:rPr>
          <w:rFonts w:ascii="Times New Roman" w:hAnsi="Times New Roman" w:cs="Times New Roman" w:eastAsia="Times New Roman" w:hint="default"/>
          <w:spacing w:val="-2"/>
        </w:rPr>
        <w:t>——</w:t>
      </w:r>
      <w:r>
        <w:rPr>
          <w:spacing w:val="-2"/>
        </w:rPr>
        <w:t>存货跌价准备按单个存货项目的成本与可变现净值计量，但如果某些存货与在同一地区生产和销售的产品系列相关、具</w:t>
      </w:r>
      <w:r>
        <w:rPr>
          <w:spacing w:val="-64"/>
        </w:rPr>
        <w:t> </w:t>
      </w:r>
      <w:r>
        <w:rPr>
          <w:spacing w:val="-64"/>
        </w:rPr>
      </w:r>
      <w:r>
        <w:rPr>
          <w:spacing w:val="-2"/>
        </w:rPr>
        <w:t>有相同或类似最终用途或目的，且难以与其他项目分开计量，可以合并计量成本与可变现净值；对于数量繁多、单价较低的</w:t>
      </w:r>
      <w:r>
        <w:rPr>
          <w:spacing w:val="-65"/>
        </w:rPr>
        <w:t> </w:t>
      </w:r>
      <w:r>
        <w:rPr>
          <w:spacing w:val="-65"/>
        </w:rPr>
      </w:r>
      <w:r>
        <w:rPr/>
        <w:t>存货，可以按照存货类别计量成本与可变现净值。</w:t>
      </w:r>
    </w:p>
    <w:p>
      <w:pPr>
        <w:pStyle w:val="BodyText"/>
        <w:spacing w:line="314" w:lineRule="auto" w:before="144"/>
        <w:ind w:left="113" w:right="191"/>
        <w:jc w:val="both"/>
      </w:pPr>
      <w:r>
        <w:rPr>
          <w:rFonts w:ascii="Times New Roman" w:hAnsi="Times New Roman" w:cs="Times New Roman" w:eastAsia="Times New Roman" w:hint="default"/>
          <w:spacing w:val="-2"/>
        </w:rPr>
        <w:t>——</w:t>
      </w:r>
      <w:r>
        <w:rPr>
          <w:spacing w:val="-2"/>
        </w:rPr>
        <w:t>可直接用于出售的存货，其可变现净值按该等存货的估计售价减去估计的销售费用和相关税费后的金额确定；用于生产</w:t>
      </w:r>
      <w:r>
        <w:rPr>
          <w:spacing w:val="-64"/>
        </w:rPr>
        <w:t> </w:t>
      </w:r>
      <w:r>
        <w:rPr>
          <w:spacing w:val="-64"/>
        </w:rPr>
      </w:r>
      <w:r>
        <w:rPr>
          <w:spacing w:val="-2"/>
        </w:rPr>
        <w:t>而持有的存货，其可变现净值按所生产的产成品的估计售价减去至完工时估计将要发生的成本、估计的销售费用和相关税费</w:t>
      </w:r>
      <w:r>
        <w:rPr>
          <w:spacing w:val="-64"/>
        </w:rPr>
        <w:t> </w:t>
      </w:r>
      <w:r>
        <w:rPr>
          <w:spacing w:val="-64"/>
        </w:rPr>
      </w:r>
      <w:r>
        <w:rPr>
          <w:spacing w:val="-2"/>
        </w:rPr>
        <w:t>后的金额确定；为执行销售合同或者劳务合同而持有的存货，其可变现净值以合同价格为基础计算；企业持有存货的数量多</w:t>
      </w:r>
      <w:r>
        <w:rPr>
          <w:spacing w:val="-65"/>
        </w:rPr>
        <w:t> </w:t>
      </w:r>
      <w:r>
        <w:rPr>
          <w:spacing w:val="-65"/>
        </w:rPr>
      </w:r>
      <w:r>
        <w:rPr>
          <w:spacing w:val="-2"/>
        </w:rPr>
        <w:t>于销售合同订购数量的，超出部分的存货可变现净值以一般销售价格为基础计算。对于存货因遭受毁损、全部或部分陈旧过</w:t>
      </w:r>
      <w:r>
        <w:rPr>
          <w:spacing w:val="-66"/>
        </w:rPr>
        <w:t> </w:t>
      </w:r>
      <w:r>
        <w:rPr>
          <w:spacing w:val="-66"/>
        </w:rPr>
      </w:r>
      <w:r>
        <w:rPr/>
        <w:t>时或销售价格低于成本等原因，预计其成本不可收回的部分，提取存货跌价准备。</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盘存制度：永续盘存制</w:t>
      </w:r>
    </w:p>
    <w:p>
      <w:pPr>
        <w:pStyle w:val="BodyText"/>
        <w:spacing w:line="300" w:lineRule="auto" w:before="117"/>
        <w:ind w:right="91"/>
        <w:jc w:val="left"/>
      </w:pPr>
      <w:r>
        <w:rPr>
          <w:rFonts w:ascii="Times New Roman" w:hAnsi="Times New Roman" w:cs="Times New Roman" w:eastAsia="Times New Roman" w:hint="default"/>
          <w:spacing w:val="-2"/>
        </w:rPr>
        <w:t>—</w:t>
      </w:r>
      <w:r>
        <w:rPr>
          <w:spacing w:val="-2"/>
        </w:rPr>
        <w:t>存货的盘存制度：采用永续盘存制。存货定期盘点，盘点结果如果与账面记录不符，于期末前查明原因，并根据企业的管</w:t>
      </w:r>
      <w:r>
        <w:rPr>
          <w:spacing w:val="-65"/>
        </w:rPr>
        <w:t> </w:t>
      </w:r>
      <w:r>
        <w:rPr>
          <w:spacing w:val="-65"/>
        </w:rPr>
      </w:r>
      <w:r>
        <w:rPr/>
        <w:t>理权限，在期末结账前处理完毕。</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8010"/>
        <w:jc w:val="left"/>
      </w:pPr>
      <w:r>
        <w:rPr/>
        <w:t>低值易耗品 摊销方法：一次摊销法</w:t>
      </w:r>
    </w:p>
    <w:p>
      <w:pPr>
        <w:pStyle w:val="BodyText"/>
        <w:spacing w:line="240" w:lineRule="auto" w:before="106"/>
        <w:ind w:right="0"/>
        <w:jc w:val="both"/>
      </w:pPr>
      <w:r>
        <w:rPr>
          <w:rFonts w:ascii="Times New Roman" w:hAnsi="Times New Roman" w:cs="Times New Roman" w:eastAsia="Times New Roman" w:hint="default"/>
        </w:rPr>
        <w:t>—</w:t>
      </w:r>
      <w:r>
        <w:rPr/>
        <w:t>低值易耗品的摊销方法：低值易耗品采用一次摊销法摊销。</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57" w:lineRule="auto"/>
        <w:ind w:right="8010"/>
        <w:jc w:val="left"/>
      </w:pPr>
      <w:r>
        <w:rPr/>
        <w:t>包装物 摊销方法：一次摊销法</w:t>
      </w:r>
    </w:p>
    <w:p>
      <w:pPr>
        <w:pStyle w:val="BodyText"/>
        <w:spacing w:line="240" w:lineRule="auto" w:before="108"/>
        <w:ind w:right="0"/>
        <w:jc w:val="both"/>
      </w:pPr>
      <w:r>
        <w:rPr>
          <w:rFonts w:ascii="Times New Roman" w:hAnsi="Times New Roman" w:cs="Times New Roman" w:eastAsia="Times New Roman" w:hint="default"/>
        </w:rPr>
        <w:t>—</w:t>
      </w:r>
      <w:r>
        <w:rPr/>
        <w:t>包装物的摊销方法：包装物采用一次摊销法摊销。</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w:t>
      </w:r>
      <w:r>
        <w:rPr/>
        <w:t>长期股权投资在取得时按照投资成本入账：</w:t>
      </w:r>
    </w:p>
    <w:p>
      <w:pPr>
        <w:pStyle w:val="BodyText"/>
        <w:spacing w:line="240" w:lineRule="auto" w:before="102"/>
        <w:ind w:right="0"/>
        <w:jc w:val="both"/>
      </w:pPr>
      <w:r>
        <w:rPr>
          <w:rFonts w:ascii="Times New Roman" w:hAnsi="Times New Roman" w:cs="Times New Roman" w:eastAsia="Times New Roman" w:hint="default"/>
        </w:rPr>
        <w:t>——</w:t>
      </w:r>
      <w:r>
        <w:rPr/>
        <w:t>投资成本确认方法如下：</w:t>
      </w:r>
    </w:p>
    <w:p>
      <w:pPr>
        <w:pStyle w:val="BodyText"/>
        <w:spacing w:line="240" w:lineRule="auto" w:before="103"/>
        <w:ind w:right="0"/>
        <w:jc w:val="both"/>
      </w:pPr>
      <w:r>
        <w:rPr>
          <w:rFonts w:ascii="Times New Roman" w:hAnsi="Times New Roman" w:cs="Times New Roman" w:eastAsia="Times New Roman" w:hint="default"/>
        </w:rPr>
        <w:t>———</w:t>
      </w:r>
      <w:r>
        <w:rPr/>
        <w:t>企业合并形成长期股权投资</w:t>
      </w:r>
    </w:p>
    <w:p>
      <w:pPr>
        <w:pStyle w:val="BodyText"/>
        <w:spacing w:line="300" w:lineRule="auto" w:before="102"/>
        <w:ind w:right="270"/>
        <w:jc w:val="left"/>
      </w:pPr>
      <w:r>
        <w:rPr>
          <w:rFonts w:ascii="Times New Roman" w:hAnsi="Times New Roman" w:cs="Times New Roman" w:eastAsia="Times New Roman" w:hint="default"/>
        </w:rPr>
        <w:t>————</w:t>
      </w:r>
      <w:r>
        <w:rPr/>
        <w:t>同一控制下的企业合并取得的长期股权投资，在合并日按照取得被合并方所有者权益账面价值的份额作为投资成 本。</w:t>
      </w:r>
    </w:p>
    <w:p>
      <w:pPr>
        <w:pStyle w:val="BodyText"/>
        <w:spacing w:line="240" w:lineRule="auto" w:before="71"/>
        <w:ind w:right="0"/>
        <w:jc w:val="both"/>
      </w:pPr>
      <w:r>
        <w:rPr>
          <w:rFonts w:ascii="Times New Roman" w:hAnsi="Times New Roman" w:cs="Times New Roman" w:eastAsia="Times New Roman" w:hint="default"/>
        </w:rPr>
        <w:t>————</w:t>
      </w:r>
      <w:r>
        <w:rPr/>
        <w:t>通过非同一控制下的企业合并取得的长期股权投资，按照合并成本作为长期股权投资的投资成本。</w:t>
      </w:r>
    </w:p>
    <w:p>
      <w:pPr>
        <w:pStyle w:val="BodyText"/>
        <w:spacing w:line="240" w:lineRule="auto" w:before="103"/>
        <w:ind w:right="0"/>
        <w:jc w:val="both"/>
      </w:pPr>
      <w:r>
        <w:rPr>
          <w:rFonts w:ascii="Times New Roman" w:hAnsi="Times New Roman" w:cs="Times New Roman" w:eastAsia="Times New Roman" w:hint="default"/>
        </w:rPr>
        <w:t>———</w:t>
      </w:r>
      <w:r>
        <w:rPr/>
        <w:t>对除企业合并形成的长期股权投资以外，其他方式取得长期股权投资，按照下列规定确定其投资成本：</w:t>
      </w:r>
    </w:p>
    <w:p>
      <w:pPr>
        <w:pStyle w:val="BodyText"/>
        <w:spacing w:line="300" w:lineRule="auto" w:before="102"/>
        <w:ind w:right="91"/>
        <w:jc w:val="left"/>
      </w:pPr>
      <w:r>
        <w:rPr>
          <w:rFonts w:ascii="Times New Roman" w:hAnsi="Times New Roman" w:cs="Times New Roman" w:eastAsia="Times New Roman" w:hint="default"/>
          <w:spacing w:val="-2"/>
        </w:rPr>
        <w:t>————</w:t>
      </w:r>
      <w:r>
        <w:rPr>
          <w:spacing w:val="-2"/>
        </w:rPr>
        <w:t>以支付现金取得的长期股权投资，按照实际支付的购买价款作为投资成本。投资成本包括与取得长期股权投资直接</w:t>
      </w:r>
      <w:r>
        <w:rPr>
          <w:spacing w:val="-64"/>
        </w:rPr>
        <w:t> </w:t>
      </w:r>
      <w:r>
        <w:rPr>
          <w:spacing w:val="-64"/>
        </w:rPr>
      </w:r>
      <w:r>
        <w:rPr/>
        <w:t>相关的费用、税金及其他必要支出。</w:t>
      </w:r>
    </w:p>
    <w:p>
      <w:pPr>
        <w:pStyle w:val="BodyText"/>
        <w:spacing w:line="240" w:lineRule="auto" w:before="71"/>
        <w:ind w:right="0"/>
        <w:jc w:val="both"/>
      </w:pPr>
      <w:r>
        <w:rPr>
          <w:rFonts w:ascii="Times New Roman" w:hAnsi="Times New Roman" w:cs="Times New Roman" w:eastAsia="Times New Roman" w:hint="default"/>
        </w:rPr>
        <w:t>————</w:t>
      </w:r>
      <w:r>
        <w:rPr/>
        <w:t>发行权益性证券取得的长期股权投资，按照发行权益性证券的公允价值作为投资成本。</w:t>
      </w:r>
    </w:p>
    <w:p>
      <w:pPr>
        <w:pStyle w:val="BodyText"/>
        <w:spacing w:line="240" w:lineRule="auto" w:before="103"/>
        <w:ind w:right="0"/>
        <w:jc w:val="both"/>
      </w:pPr>
      <w:r>
        <w:rPr>
          <w:rFonts w:ascii="Times New Roman" w:hAnsi="Times New Roman" w:cs="Times New Roman" w:eastAsia="Times New Roman" w:hint="default"/>
        </w:rPr>
        <w:t>————</w:t>
      </w:r>
      <w:r>
        <w:rPr/>
        <w:t>投资者投入的长期股权投资</w:t>
      </w:r>
      <w:r>
        <w:rPr>
          <w:spacing w:val="-87"/>
        </w:rPr>
        <w:t>，</w:t>
      </w:r>
      <w:r>
        <w:rPr/>
        <w:t>按照投资合同或协议约定的价值作为投资成本</w:t>
      </w:r>
      <w:r>
        <w:rPr>
          <w:spacing w:val="-86"/>
        </w:rPr>
        <w:t>，</w:t>
      </w:r>
      <w:r>
        <w:rPr/>
        <w:t>但合同或协议约定价值不公允的除外。</w:t>
      </w:r>
    </w:p>
    <w:p>
      <w:pPr>
        <w:pStyle w:val="BodyText"/>
        <w:spacing w:line="300" w:lineRule="auto" w:before="61"/>
        <w:ind w:left="113" w:right="91"/>
        <w:jc w:val="left"/>
      </w:pPr>
      <w:r>
        <w:rPr>
          <w:rFonts w:ascii="Times New Roman" w:hAnsi="Times New Roman" w:cs="Times New Roman" w:eastAsia="Times New Roman" w:hint="default"/>
          <w:spacing w:val="-2"/>
        </w:rPr>
        <w:t>————</w:t>
      </w:r>
      <w:r>
        <w:rPr>
          <w:spacing w:val="-2"/>
        </w:rPr>
        <w:t>通过非货币性资产交换（该项交换具有商业实质）取得的长期股权投资，其投资成本以该项投资的公允价值和应支</w:t>
      </w:r>
      <w:r>
        <w:rPr>
          <w:spacing w:val="-66"/>
        </w:rPr>
        <w:t> </w:t>
      </w:r>
      <w:r>
        <w:rPr>
          <w:spacing w:val="-66"/>
        </w:rPr>
      </w:r>
      <w:r>
        <w:rPr/>
        <w:t>付的相关税费作为换入资产的成本。</w:t>
      </w:r>
    </w:p>
    <w:p>
      <w:pPr>
        <w:spacing w:after="0" w:line="300" w:lineRule="auto"/>
        <w:jc w:val="left"/>
        <w:sectPr>
          <w:footerReference w:type="default" r:id="rId28"/>
          <w:pgSz w:w="11910" w:h="16840"/>
          <w:pgMar w:footer="980" w:header="747" w:top="1060" w:bottom="1160" w:left="1020" w:right="940"/>
          <w:pgNumType w:start="74"/>
        </w:sectPr>
      </w:pPr>
    </w:p>
    <w:p>
      <w:pPr>
        <w:spacing w:line="240" w:lineRule="auto" w:before="12"/>
        <w:rPr>
          <w:rFonts w:ascii="宋体" w:hAnsi="宋体" w:cs="宋体" w:eastAsia="宋体" w:hint="default"/>
          <w:sz w:val="25"/>
          <w:szCs w:val="25"/>
        </w:rPr>
      </w:pPr>
    </w:p>
    <w:p>
      <w:pPr>
        <w:pStyle w:val="BodyText"/>
        <w:spacing w:line="240" w:lineRule="auto" w:before="44"/>
        <w:ind w:left="113" w:right="0"/>
        <w:jc w:val="both"/>
      </w:pPr>
      <w:r>
        <w:rPr>
          <w:rFonts w:ascii="Times New Roman" w:hAnsi="Times New Roman" w:cs="Times New Roman" w:eastAsia="Times New Roman" w:hint="default"/>
        </w:rPr>
        <w:t>————</w:t>
      </w:r>
      <w:r>
        <w:rPr/>
        <w:t>通过债务重组取得的长期股权投资，债权人将享有股份的公允价值确认为对债务人的投资。</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w:t>
      </w:r>
      <w:r>
        <w:rPr/>
        <w:t>长期股权投资的后续计量及收益确认方法：</w:t>
      </w:r>
    </w:p>
    <w:p>
      <w:pPr>
        <w:pStyle w:val="BodyText"/>
        <w:spacing w:line="309" w:lineRule="auto" w:before="103"/>
        <w:ind w:right="108"/>
        <w:jc w:val="both"/>
      </w:pPr>
      <w:r>
        <w:rPr>
          <w:rFonts w:ascii="Times New Roman" w:hAnsi="Times New Roman" w:cs="Times New Roman" w:eastAsia="Times New Roman" w:hint="default"/>
          <w:spacing w:val="-2"/>
        </w:rPr>
        <w:t>——</w:t>
      </w:r>
      <w:r>
        <w:rPr>
          <w:spacing w:val="-2"/>
        </w:rPr>
        <w:t>公司能够对被投资单位实施控制的长期股权投资，和对被投资单位不具有共同控制或重大影响，并且在活跃市场中没有</w:t>
      </w:r>
      <w:r>
        <w:rPr>
          <w:spacing w:val="-64"/>
        </w:rPr>
        <w:t> </w:t>
      </w:r>
      <w:r>
        <w:rPr>
          <w:spacing w:val="-64"/>
        </w:rPr>
      </w:r>
      <w:r>
        <w:rPr>
          <w:spacing w:val="-2"/>
        </w:rPr>
        <w:t>报价、公允价值不能可靠计量的长期股权投资采用成本法核算，其中：母公司对子公司长期股权投资在编制合并财务报表时</w:t>
      </w:r>
      <w:r>
        <w:rPr>
          <w:spacing w:val="-66"/>
        </w:rPr>
        <w:t> </w:t>
      </w:r>
      <w:r>
        <w:rPr>
          <w:spacing w:val="-66"/>
        </w:rPr>
      </w:r>
      <w:r>
        <w:rPr/>
        <w:t>按权益法进行调整。采用成本法核算的长期股权投资，公司以被投资单位宣告分派的现金股利或利润确认为当期投资收益。</w:t>
      </w:r>
    </w:p>
    <w:p>
      <w:pPr>
        <w:pStyle w:val="BodyText"/>
        <w:spacing w:line="314" w:lineRule="auto" w:before="24"/>
        <w:ind w:left="113" w:right="91"/>
        <w:jc w:val="left"/>
      </w:pPr>
      <w:r>
        <w:rPr>
          <w:rFonts w:ascii="Times New Roman" w:hAnsi="Times New Roman" w:cs="Times New Roman" w:eastAsia="Times New Roman" w:hint="default"/>
          <w:spacing w:val="-2"/>
        </w:rPr>
        <w:t>——</w:t>
      </w:r>
      <w:r>
        <w:rPr>
          <w:spacing w:val="-2"/>
        </w:rPr>
        <w:t>公司对被投资单位具有共同控制或重大影响的长期股权投资，采用权益法核算。长期股权投资的投资成本大于投资时应</w:t>
      </w:r>
      <w:r>
        <w:rPr>
          <w:spacing w:val="-64"/>
        </w:rPr>
        <w:t> </w:t>
      </w:r>
      <w:r>
        <w:rPr>
          <w:spacing w:val="-64"/>
        </w:rPr>
      </w:r>
      <w:r>
        <w:rPr>
          <w:spacing w:val="-2"/>
        </w:rPr>
        <w:t>享有被投资单位可辨认净资产公允价值份额的，不调整长期股权投资的投资成本；长期股权投资的投资成本小于投资时应享</w:t>
      </w:r>
      <w:r>
        <w:rPr>
          <w:spacing w:val="-64"/>
        </w:rPr>
        <w:t> </w:t>
      </w:r>
      <w:r>
        <w:rPr>
          <w:spacing w:val="-64"/>
        </w:rPr>
      </w:r>
      <w:r>
        <w:rPr>
          <w:spacing w:val="-2"/>
        </w:rPr>
        <w:t>有被投资单位可辨认净资产公允价值份额的，其差额计入当期损益，同时调整长期股权投资的成本。确认被投资单位发生的</w:t>
      </w:r>
      <w:r>
        <w:rPr>
          <w:spacing w:val="-65"/>
        </w:rPr>
        <w:t> </w:t>
      </w:r>
      <w:r>
        <w:rPr>
          <w:spacing w:val="-65"/>
        </w:rPr>
      </w:r>
      <w:r>
        <w:rPr>
          <w:spacing w:val="-2"/>
        </w:rPr>
        <w:t>净亏损，以长期股权投资的账面价值以及实质上构成对被投资单位净投资的长期权益减记至零为限。此外，如公司对被投资</w:t>
      </w:r>
      <w:r>
        <w:rPr>
          <w:spacing w:val="-65"/>
        </w:rPr>
        <w:t> </w:t>
      </w:r>
      <w:r>
        <w:rPr>
          <w:spacing w:val="-65"/>
        </w:rPr>
      </w:r>
      <w:r>
        <w:rPr>
          <w:spacing w:val="-4"/>
        </w:rPr>
        <w:t>单位负有承担额外损失的义务，则按预计承担的义务确认预计负债，计入当期投资损失。被投资单位以后期间实现净利润的，</w:t>
      </w:r>
      <w:r>
        <w:rPr>
          <w:spacing w:val="-43"/>
        </w:rPr>
        <w:t> </w:t>
      </w:r>
      <w:r>
        <w:rPr>
          <w:spacing w:val="-43"/>
        </w:rPr>
      </w:r>
      <w:r>
        <w:rPr/>
        <w:t>公司在收益分享额弥补未确认的亏损分担额后，恢复确认收益分享额。</w:t>
      </w:r>
    </w:p>
    <w:p>
      <w:pPr>
        <w:pStyle w:val="BodyText"/>
        <w:spacing w:line="300" w:lineRule="auto" w:before="60"/>
        <w:ind w:left="113" w:right="91"/>
        <w:jc w:val="left"/>
      </w:pPr>
      <w:r>
        <w:rPr>
          <w:rFonts w:ascii="Times New Roman" w:hAnsi="Times New Roman" w:cs="Times New Roman" w:eastAsia="Times New Roman" w:hint="default"/>
          <w:spacing w:val="-2"/>
        </w:rPr>
        <w:t>——</w:t>
      </w:r>
      <w:r>
        <w:rPr>
          <w:spacing w:val="-2"/>
        </w:rPr>
        <w:t>在编制合并财务报表时，因购买少数股权新增的长期股权投资与按照新增持股比例计算应享有子公司自购买日（或合并</w:t>
      </w:r>
      <w:r>
        <w:rPr>
          <w:spacing w:val="-64"/>
        </w:rPr>
        <w:t> </w:t>
      </w:r>
      <w:r>
        <w:rPr>
          <w:spacing w:val="-64"/>
        </w:rPr>
      </w:r>
      <w:r>
        <w:rPr/>
        <w:t>日）开始持续计算的净资产份额之间的差额，调整资本公积，资本公积不足冲减的，整留存收益。</w:t>
      </w:r>
    </w:p>
    <w:p>
      <w:pPr>
        <w:pStyle w:val="BodyText"/>
        <w:spacing w:line="300" w:lineRule="auto" w:before="71"/>
        <w:ind w:left="113" w:right="91"/>
        <w:jc w:val="left"/>
      </w:pPr>
      <w:r>
        <w:rPr>
          <w:rFonts w:ascii="Times New Roman" w:hAnsi="Times New Roman" w:cs="Times New Roman" w:eastAsia="Times New Roman" w:hint="default"/>
          <w:spacing w:val="-2"/>
        </w:rPr>
        <w:t>——</w:t>
      </w:r>
      <w:r>
        <w:rPr>
          <w:spacing w:val="-2"/>
        </w:rPr>
        <w:t>处置长期股权投资时，其账面价值与实际取得价款的差额，计入当期损益。采用权益法核算的长期股权投资，在处置时</w:t>
      </w:r>
      <w:r>
        <w:rPr>
          <w:spacing w:val="-66"/>
        </w:rPr>
        <w:t> </w:t>
      </w:r>
      <w:r>
        <w:rPr>
          <w:spacing w:val="-66"/>
        </w:rPr>
      </w:r>
      <w:r>
        <w:rPr/>
        <w:t>将原计入股东权益的部分按相应的比例转入当期损益。</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13" w:right="191"/>
        <w:jc w:val="both"/>
      </w:pPr>
      <w:r>
        <w:rPr>
          <w:rFonts w:ascii="Times New Roman" w:hAnsi="Times New Roman" w:cs="Times New Roman" w:eastAsia="Times New Roman" w:hint="default"/>
          <w:spacing w:val="-2"/>
        </w:rPr>
        <w:t>———</w:t>
      </w:r>
      <w:r>
        <w:rPr>
          <w:spacing w:val="-2"/>
        </w:rPr>
        <w:t>共同控制是指按照合同约定对某项经济活动共有的控制，即对合营企业投资。共同控制的实质是通过合同约定建立起</w:t>
      </w:r>
      <w:r>
        <w:rPr>
          <w:spacing w:val="-64"/>
        </w:rPr>
        <w:t> </w:t>
      </w:r>
      <w:r>
        <w:rPr>
          <w:spacing w:val="-64"/>
        </w:rPr>
      </w:r>
      <w:r>
        <w:rPr>
          <w:spacing w:val="-4"/>
        </w:rPr>
        <w:t>来的、合营各方对合营企业共有的控制。在确定是否构成共同控制时，一般可以考虑以下情况作为确定基础：（</w:t>
      </w:r>
      <w:r>
        <w:rPr>
          <w:rFonts w:ascii="Times New Roman" w:hAnsi="Times New Roman" w:cs="Times New Roman" w:eastAsia="Times New Roman" w:hint="default"/>
          <w:spacing w:val="-4"/>
        </w:rPr>
        <w:t>1</w:t>
      </w:r>
      <w:r>
        <w:rPr>
          <w:spacing w:val="-4"/>
        </w:rPr>
        <w:t>）任何一个</w:t>
      </w:r>
      <w:r>
        <w:rPr>
          <w:spacing w:val="-43"/>
        </w:rPr>
        <w:t> </w:t>
      </w:r>
      <w:r>
        <w:rPr>
          <w:spacing w:val="-43"/>
        </w:rPr>
      </w:r>
      <w:r>
        <w:rPr>
          <w:spacing w:val="-5"/>
        </w:rPr>
        <w:t>合营方均不能单独控制合营企业的生产经营活动。（</w:t>
      </w:r>
      <w:r>
        <w:rPr>
          <w:rFonts w:ascii="Times New Roman" w:hAnsi="Times New Roman" w:cs="Times New Roman" w:eastAsia="Times New Roman" w:hint="default"/>
          <w:spacing w:val="-5"/>
        </w:rPr>
        <w:t>2</w:t>
      </w:r>
      <w:r>
        <w:rPr>
          <w:spacing w:val="-5"/>
        </w:rPr>
        <w:t>）涉及合营企业基本经营活动的决策需要各合营方一致同意。（</w:t>
      </w:r>
      <w:r>
        <w:rPr>
          <w:rFonts w:ascii="Times New Roman" w:hAnsi="Times New Roman" w:cs="Times New Roman" w:eastAsia="Times New Roman" w:hint="default"/>
          <w:spacing w:val="-5"/>
        </w:rPr>
        <w:t>3</w:t>
      </w:r>
      <w:r>
        <w:rPr>
          <w:spacing w:val="-5"/>
        </w:rPr>
        <w:t>）各合</w:t>
      </w:r>
      <w:r>
        <w:rPr>
          <w:spacing w:val="-75"/>
        </w:rPr>
        <w:t> </w:t>
      </w:r>
      <w:r>
        <w:rPr>
          <w:spacing w:val="-75"/>
        </w:rPr>
      </w:r>
      <w:r>
        <w:rPr>
          <w:spacing w:val="-2"/>
        </w:rPr>
        <w:t>营方可能通过合同或协议的形式任命其中的一个合营方对合营企业的日常活动进行管理，但其必须在各合营方已经一致同意</w:t>
      </w:r>
      <w:r>
        <w:rPr>
          <w:spacing w:val="-64"/>
        </w:rPr>
        <w:t> </w:t>
      </w:r>
      <w:r>
        <w:rPr>
          <w:spacing w:val="-64"/>
        </w:rPr>
      </w:r>
      <w:r>
        <w:rPr/>
        <w:t>的财务和经营政策范围内行使管理权。</w:t>
      </w:r>
    </w:p>
    <w:p>
      <w:pPr>
        <w:pStyle w:val="BodyText"/>
        <w:spacing w:line="307" w:lineRule="auto" w:before="67"/>
        <w:ind w:left="113" w:right="91"/>
        <w:jc w:val="left"/>
      </w:pPr>
      <w:r>
        <w:rPr>
          <w:rFonts w:ascii="Times New Roman" w:hAnsi="Times New Roman" w:cs="Times New Roman" w:eastAsia="Times New Roman" w:hint="default"/>
          <w:spacing w:val="-2"/>
        </w:rPr>
        <w:t>———</w:t>
      </w:r>
      <w:r>
        <w:rPr>
          <w:spacing w:val="-2"/>
        </w:rPr>
        <w:t>重大影响是指对一个企业的财务和经营政策有参与决策的权力，但并不能够控制或者与其他方一起共同控制这些政策</w:t>
      </w:r>
      <w:r>
        <w:rPr>
          <w:spacing w:val="-64"/>
        </w:rPr>
        <w:t> </w:t>
      </w:r>
      <w:r>
        <w:rPr>
          <w:spacing w:val="-64"/>
        </w:rPr>
      </w:r>
      <w:r>
        <w:rPr>
          <w:spacing w:val="-2"/>
        </w:rPr>
        <w:t>的制定。主要体现为在被投资单位的董事会或类似权力机构中派有代表，通过在被投资单位生产经营决策制定过程中的发言</w:t>
      </w:r>
      <w:r>
        <w:rPr>
          <w:spacing w:val="-64"/>
        </w:rPr>
        <w:t> </w:t>
      </w:r>
      <w:r>
        <w:rPr>
          <w:spacing w:val="-64"/>
        </w:rPr>
      </w:r>
      <w:r>
        <w:rPr/>
        <w:t>权实施重大影响。投资企业直接或通过子公司间接拥有被投资单位</w:t>
      </w:r>
      <w:r>
        <w:rPr>
          <w:spacing w:val="-46"/>
        </w:rPr>
        <w:t> </w:t>
      </w:r>
      <w:r>
        <w:rPr>
          <w:rFonts w:ascii="Times New Roman" w:hAnsi="Times New Roman" w:cs="Times New Roman" w:eastAsia="Times New Roman" w:hint="default"/>
        </w:rPr>
        <w:t>20%</w:t>
      </w:r>
      <w:r>
        <w:rPr/>
        <w:t>以上但低于</w:t>
      </w:r>
      <w:r>
        <w:rPr>
          <w:spacing w:val="-47"/>
        </w:rPr>
        <w:t> </w:t>
      </w:r>
      <w:r>
        <w:rPr>
          <w:rFonts w:ascii="Times New Roman" w:hAnsi="Times New Roman" w:cs="Times New Roman" w:eastAsia="Times New Roman" w:hint="default"/>
        </w:rPr>
        <w:t>50%</w:t>
      </w:r>
      <w:r>
        <w:rPr/>
        <w:t>的表决权股份时，一般认为对被投 资单位具有重大影响，除非有明确的证据表明该种情况下不能参与被投资单位的生产经营决策，不形成重大影响。</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113" w:right="108"/>
        <w:jc w:val="both"/>
      </w:pPr>
      <w:r>
        <w:rPr>
          <w:spacing w:val="-2"/>
        </w:rPr>
        <w:t>公司期末对长期股权投资逐项进行检查，如果由于市价持续下跌或被投资单位经营状况恶化等原因导致其可收回金额低于账</w:t>
      </w:r>
      <w:r>
        <w:rPr>
          <w:spacing w:val="-64"/>
        </w:rPr>
        <w:t> </w:t>
      </w:r>
      <w:r>
        <w:rPr>
          <w:spacing w:val="-64"/>
        </w:rPr>
      </w:r>
      <w:r>
        <w:rPr>
          <w:spacing w:val="-2"/>
        </w:rPr>
        <w:t>面成本，并且这种降低的价值在可预计的未来期间内不可能恢复，则将可收回金额低于长期投资账面成本的差额作为长期投</w:t>
      </w:r>
      <w:r>
        <w:rPr>
          <w:spacing w:val="-64"/>
        </w:rPr>
        <w:t> </w:t>
      </w:r>
      <w:r>
        <w:rPr>
          <w:spacing w:val="-64"/>
        </w:rPr>
      </w:r>
      <w:r>
        <w:rPr/>
        <w:t>资减值准备。可收回金额根据资产的公允价值减去处置费用后的净额与资产预计未来现金流量的现值两者之间较高者确定。</w:t>
      </w:r>
    </w:p>
    <w:p>
      <w:pPr>
        <w:pStyle w:val="BodyText"/>
        <w:spacing w:line="240" w:lineRule="auto" w:before="139"/>
        <w:ind w:left="113" w:right="0"/>
        <w:jc w:val="both"/>
      </w:pPr>
      <w:r>
        <w:rPr/>
        <w:t>长期股权投资减值损失一经确认，在以后会计期间不得转回。</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91"/>
        <w:jc w:val="left"/>
      </w:pPr>
      <w:r>
        <w:rPr>
          <w:rFonts w:ascii="Times New Roman" w:hAnsi="Times New Roman" w:cs="Times New Roman" w:eastAsia="Times New Roman" w:hint="default"/>
          <w:spacing w:val="-2"/>
        </w:rPr>
        <w:t>—</w:t>
      </w:r>
      <w:r>
        <w:rPr>
          <w:spacing w:val="-2"/>
        </w:rPr>
        <w:t>投资性房地产是指为赚取租金或资本增值，或两者兼有而持有的房地产，包括已出租的土地使用权、持有并准备增值后转</w:t>
      </w:r>
      <w:r>
        <w:rPr>
          <w:spacing w:val="-65"/>
        </w:rPr>
        <w:t> </w:t>
      </w:r>
      <w:r>
        <w:rPr>
          <w:spacing w:val="-65"/>
        </w:rPr>
      </w:r>
      <w:r>
        <w:rPr/>
        <w:t>让的土地使用权、已出租的建筑物。</w:t>
      </w:r>
    </w:p>
    <w:p>
      <w:pPr>
        <w:pStyle w:val="BodyText"/>
        <w:spacing w:line="240" w:lineRule="auto" w:before="151"/>
        <w:ind w:right="0"/>
        <w:jc w:val="both"/>
      </w:pPr>
      <w:r>
        <w:rPr>
          <w:rFonts w:ascii="Times New Roman" w:hAnsi="Times New Roman" w:cs="Times New Roman" w:eastAsia="Times New Roman" w:hint="default"/>
        </w:rPr>
        <w:t>—</w:t>
      </w:r>
      <w:r>
        <w:rPr/>
        <w:t>公司对现有投资性房地产采用成本模式计量。对按照成本模式计量的投资性房地产（出租用建筑物）采用与本公司固定资</w:t>
      </w:r>
    </w:p>
    <w:p>
      <w:pPr>
        <w:spacing w:after="0" w:line="240" w:lineRule="auto"/>
        <w:jc w:val="both"/>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left="113" w:right="91"/>
        <w:jc w:val="left"/>
      </w:pPr>
      <w:r>
        <w:rPr>
          <w:spacing w:val="-2"/>
        </w:rPr>
        <w:t>产相同的折旧政策，出租用土地使用权按与无形资产相同的摊销政策；对存在减值迹象的，估计其可收回金额，可收回金额</w:t>
      </w:r>
      <w:r>
        <w:rPr>
          <w:spacing w:val="-65"/>
        </w:rPr>
        <w:t> </w:t>
      </w:r>
      <w:r>
        <w:rPr>
          <w:spacing w:val="-65"/>
        </w:rPr>
      </w:r>
      <w:r>
        <w:rPr/>
        <w:t>低于其账面价值的，确认相应的减值损失。</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1"/>
        <w:jc w:val="left"/>
      </w:pPr>
      <w:r>
        <w:rPr>
          <w:rFonts w:ascii="Times New Roman" w:hAnsi="Times New Roman" w:cs="Times New Roman" w:eastAsia="Times New Roman" w:hint="default"/>
          <w:spacing w:val="-4"/>
        </w:rPr>
        <w:t>—</w:t>
      </w:r>
      <w:r>
        <w:rPr>
          <w:spacing w:val="-4"/>
        </w:rPr>
        <w:t>固定资产的确认条件：使用年限超过一年以上的房屋建筑物、机械设备、运输设备以及其他与生产经营有关的设备、器具、</w:t>
      </w:r>
      <w:r>
        <w:rPr>
          <w:spacing w:val="-44"/>
        </w:rPr>
        <w:t> </w:t>
      </w:r>
      <w:r>
        <w:rPr>
          <w:spacing w:val="-44"/>
        </w:rPr>
      </w:r>
      <w:r>
        <w:rPr/>
        <w:t>工具等；单位价值在</w:t>
      </w:r>
      <w:r>
        <w:rPr>
          <w:spacing w:val="-4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元以上，并且使用期限超过两年的不属于生产经营主要设备的物品。</w:t>
      </w:r>
    </w:p>
    <w:p>
      <w:pPr>
        <w:pStyle w:val="BodyText"/>
        <w:spacing w:line="240" w:lineRule="auto" w:before="52"/>
        <w:ind w:left="113" w:right="0"/>
        <w:jc w:val="both"/>
      </w:pPr>
      <w:r>
        <w:rPr>
          <w:rFonts w:ascii="Times New Roman" w:hAnsi="Times New Roman" w:cs="Times New Roman" w:eastAsia="Times New Roman" w:hint="default"/>
        </w:rPr>
        <w:t>—</w:t>
      </w:r>
      <w:r>
        <w:rPr/>
        <w:t>固定资产的分类为：房屋建筑物、机械设备、运输设备、办公设备、其他设备。</w:t>
      </w:r>
    </w:p>
    <w:p>
      <w:pPr>
        <w:pStyle w:val="BodyText"/>
        <w:spacing w:line="240" w:lineRule="auto" w:before="103"/>
        <w:ind w:left="113" w:right="0"/>
        <w:jc w:val="both"/>
      </w:pPr>
      <w:r>
        <w:rPr>
          <w:rFonts w:ascii="Times New Roman" w:hAnsi="Times New Roman" w:cs="Times New Roman" w:eastAsia="Times New Roman" w:hint="default"/>
        </w:rPr>
        <w:t>—</w:t>
      </w:r>
      <w:r>
        <w:rPr/>
        <w:t>固定资产计价</w:t>
      </w:r>
    </w:p>
    <w:p>
      <w:pPr>
        <w:pStyle w:val="BodyText"/>
        <w:spacing w:line="309" w:lineRule="auto" w:before="102"/>
        <w:ind w:left="113" w:right="190"/>
        <w:jc w:val="both"/>
      </w:pPr>
      <w:r>
        <w:rPr>
          <w:rFonts w:ascii="Times New Roman" w:hAnsi="Times New Roman" w:cs="Times New Roman" w:eastAsia="Times New Roman" w:hint="default"/>
          <w:spacing w:val="-2"/>
        </w:rPr>
        <w:t>——</w:t>
      </w:r>
      <w:r>
        <w:rPr>
          <w:spacing w:val="-2"/>
        </w:rPr>
        <w:t>外购及自行建造的固定资产按实际成本计价，购建成本由该项资产达到预定可使用状态前所发生的必要支出构成。以一</w:t>
      </w:r>
      <w:r>
        <w:rPr>
          <w:spacing w:val="-64"/>
        </w:rPr>
        <w:t> </w:t>
      </w:r>
      <w:r>
        <w:rPr>
          <w:spacing w:val="-64"/>
        </w:rPr>
      </w:r>
      <w:r>
        <w:rPr>
          <w:spacing w:val="-2"/>
        </w:rPr>
        <w:t>笔款项购入多项没有单独标价的固定资产，按照各项固定资产公允价值比例对总成本进行分配，分别确定各项固定资产的成</w:t>
      </w:r>
      <w:r>
        <w:rPr>
          <w:spacing w:val="-64"/>
        </w:rPr>
        <w:t> </w:t>
      </w:r>
      <w:r>
        <w:rPr>
          <w:spacing w:val="-64"/>
        </w:rPr>
      </w:r>
      <w:r>
        <w:rPr/>
        <w:t>本；</w:t>
      </w:r>
    </w:p>
    <w:p>
      <w:pPr>
        <w:pStyle w:val="BodyText"/>
        <w:spacing w:line="240" w:lineRule="auto" w:before="64"/>
        <w:ind w:left="113" w:right="0"/>
        <w:jc w:val="both"/>
      </w:pPr>
      <w:r>
        <w:rPr>
          <w:rFonts w:ascii="Times New Roman" w:hAnsi="Times New Roman" w:cs="Times New Roman" w:eastAsia="Times New Roman" w:hint="default"/>
        </w:rPr>
        <w:t>——</w:t>
      </w:r>
      <w:r>
        <w:rPr/>
        <w:t>投资者投入固定资产的成本，按照投资合同或协议约定的价值确定，但合同或协议约定价值不公允的除外；</w:t>
      </w:r>
    </w:p>
    <w:p>
      <w:pPr>
        <w:pStyle w:val="BodyText"/>
        <w:spacing w:line="300" w:lineRule="auto" w:before="103"/>
        <w:ind w:left="113" w:right="91"/>
        <w:jc w:val="left"/>
      </w:pPr>
      <w:r>
        <w:rPr>
          <w:rFonts w:ascii="Times New Roman" w:hAnsi="Times New Roman" w:cs="Times New Roman" w:eastAsia="Times New Roman" w:hint="default"/>
          <w:spacing w:val="-2"/>
        </w:rPr>
        <w:t>——</w:t>
      </w:r>
      <w:r>
        <w:rPr>
          <w:spacing w:val="-2"/>
        </w:rPr>
        <w:t>通过非货币性资产交换（该项交换具有商业实质）取得的固定资产，其成本以该项固定资产的公允价值和应支付的相关</w:t>
      </w:r>
      <w:r>
        <w:rPr>
          <w:spacing w:val="-66"/>
        </w:rPr>
        <w:t> </w:t>
      </w:r>
      <w:r>
        <w:rPr>
          <w:spacing w:val="-66"/>
        </w:rPr>
      </w:r>
      <w:r>
        <w:rPr/>
        <w:t>税费作为入账价值；</w:t>
      </w:r>
    </w:p>
    <w:p>
      <w:pPr>
        <w:pStyle w:val="BodyText"/>
        <w:spacing w:line="240" w:lineRule="auto" w:before="71"/>
        <w:ind w:left="113" w:right="0"/>
        <w:jc w:val="both"/>
      </w:pPr>
      <w:r>
        <w:rPr>
          <w:rFonts w:ascii="Times New Roman" w:hAnsi="Times New Roman" w:cs="Times New Roman" w:eastAsia="Times New Roman" w:hint="default"/>
        </w:rPr>
        <w:t>——</w:t>
      </w:r>
      <w:r>
        <w:rPr/>
        <w:t>以债务重组取得的固定资产，对受让的固定资产按其公允价值入账。</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w:t>
      </w:r>
      <w:r>
        <w:rPr/>
        <w:t>融资租入固定资产的认定依据</w:t>
      </w:r>
      <w:r>
        <w:rPr>
          <w:rFonts w:ascii="Times New Roman" w:hAnsi="Times New Roman" w:cs="Times New Roman" w:eastAsia="Times New Roman" w:hint="default"/>
        </w:rPr>
        <w:t>—</w:t>
      </w:r>
      <w:r>
        <w:rPr/>
        <w:t>融资租赁是指实质上转移了与资产所有权有关的全部风险和报酬的租赁。</w:t>
      </w:r>
    </w:p>
    <w:p>
      <w:pPr>
        <w:pStyle w:val="BodyText"/>
        <w:spacing w:line="240" w:lineRule="auto" w:before="102"/>
        <w:ind w:left="113" w:right="0"/>
        <w:jc w:val="both"/>
      </w:pPr>
      <w:r>
        <w:rPr>
          <w:rFonts w:ascii="Times New Roman" w:hAnsi="Times New Roman" w:cs="Times New Roman" w:eastAsia="Times New Roman" w:hint="default"/>
        </w:rPr>
        <w:t>——</w:t>
      </w:r>
      <w:r>
        <w:rPr/>
        <w:t>满足以下一项或数项标准的租赁，应当认定为融资租赁：</w:t>
      </w:r>
    </w:p>
    <w:p>
      <w:pPr>
        <w:pStyle w:val="BodyText"/>
        <w:spacing w:line="240" w:lineRule="auto" w:before="102"/>
        <w:ind w:left="113" w:right="0"/>
        <w:jc w:val="both"/>
      </w:pPr>
      <w:r>
        <w:rPr>
          <w:rFonts w:ascii="Times New Roman" w:hAnsi="Times New Roman" w:cs="Times New Roman" w:eastAsia="Times New Roman" w:hint="default"/>
        </w:rPr>
        <w:t>———</w:t>
      </w:r>
      <w:r>
        <w:rPr/>
        <w:t>在租赁期届满时，租赁资产的所有权转移给承租人；</w:t>
      </w:r>
    </w:p>
    <w:p>
      <w:pPr>
        <w:pStyle w:val="BodyText"/>
        <w:spacing w:line="300" w:lineRule="auto" w:before="103"/>
        <w:ind w:left="113" w:right="91"/>
        <w:jc w:val="left"/>
      </w:pPr>
      <w:r>
        <w:rPr>
          <w:rFonts w:ascii="Times New Roman" w:hAnsi="Times New Roman" w:cs="Times New Roman" w:eastAsia="Times New Roman" w:hint="default"/>
          <w:spacing w:val="-2"/>
        </w:rPr>
        <w:t>———</w:t>
      </w:r>
      <w:r>
        <w:rPr>
          <w:spacing w:val="-2"/>
        </w:rPr>
        <w:t>承租人有购买租赁资产的选择权，所订立的购买价款预计将远低于行使选择权时租赁资产的公允价值，因而在租赁开</w:t>
      </w:r>
      <w:r>
        <w:rPr>
          <w:spacing w:val="-64"/>
        </w:rPr>
        <w:t> </w:t>
      </w:r>
      <w:r>
        <w:rPr>
          <w:spacing w:val="-64"/>
        </w:rPr>
      </w:r>
      <w:r>
        <w:rPr/>
        <w:t>始日就可以合理确定承租人将会行使这种选择权。</w:t>
      </w:r>
    </w:p>
    <w:p>
      <w:pPr>
        <w:pStyle w:val="BodyText"/>
        <w:spacing w:line="300" w:lineRule="auto" w:before="71"/>
        <w:ind w:right="85"/>
        <w:jc w:val="left"/>
      </w:pPr>
      <w:r>
        <w:rPr>
          <w:rFonts w:ascii="Times New Roman" w:hAnsi="Times New Roman" w:cs="Times New Roman" w:eastAsia="Times New Roman" w:hint="default"/>
          <w:spacing w:val="-1"/>
        </w:rPr>
        <w:t>———</w:t>
      </w:r>
      <w:r>
        <w:rPr>
          <w:spacing w:val="-1"/>
        </w:rPr>
        <w:t>即使资产的所有权不转移，但租赁期占租赁资产使用寿命的大部分，通常是租赁期大于、等于资产使用年限的</w:t>
      </w:r>
      <w:r>
        <w:rPr>
          <w:spacing w:val="-34"/>
        </w:rPr>
        <w:t> </w:t>
      </w:r>
      <w:r>
        <w:rPr>
          <w:rFonts w:ascii="Times New Roman" w:hAnsi="Times New Roman" w:cs="Times New Roman" w:eastAsia="Times New Roman" w:hint="default"/>
        </w:rPr>
        <w:t>75</w:t>
      </w:r>
      <w:r>
        <w:rPr/>
        <w:t>％， 但若标的物系在租赁开始日已使用期限达到可使用期限</w:t>
      </w:r>
      <w:r>
        <w:rPr>
          <w:spacing w:val="-47"/>
        </w:rPr>
        <w:t> </w:t>
      </w:r>
      <w:r>
        <w:rPr>
          <w:rFonts w:ascii="Times New Roman" w:hAnsi="Times New Roman" w:cs="Times New Roman" w:eastAsia="Times New Roman" w:hint="default"/>
        </w:rPr>
        <w:t>75%</w:t>
      </w:r>
      <w:r>
        <w:rPr/>
        <w:t>以上的旧资产则不适用此标准；</w:t>
      </w:r>
    </w:p>
    <w:p>
      <w:pPr>
        <w:pStyle w:val="BodyText"/>
        <w:spacing w:line="300" w:lineRule="auto" w:before="53"/>
        <w:ind w:right="91"/>
        <w:jc w:val="left"/>
        <w:rPr>
          <w:rFonts w:ascii="Times New Roman" w:hAnsi="Times New Roman" w:cs="Times New Roman" w:eastAsia="Times New Roman" w:hint="default"/>
        </w:rPr>
      </w:pPr>
      <w:r>
        <w:rPr>
          <w:rFonts w:ascii="Times New Roman" w:hAnsi="Times New Roman" w:cs="Times New Roman" w:eastAsia="Times New Roman" w:hint="default"/>
          <w:spacing w:val="-2"/>
        </w:rPr>
        <w:t>———</w:t>
      </w:r>
      <w:r>
        <w:rPr>
          <w:spacing w:val="-2"/>
        </w:rPr>
        <w:t>承租人在租赁开始日的最低租赁付款额现值，几乎相当于租赁开始日租赁资产公允价值；出租人在租赁开始日的最低</w:t>
      </w:r>
      <w:r>
        <w:rPr>
          <w:spacing w:val="-64"/>
        </w:rPr>
        <w:t> </w:t>
      </w:r>
      <w:r>
        <w:rPr>
          <w:spacing w:val="-64"/>
        </w:rPr>
      </w:r>
      <w:r>
        <w:rPr/>
        <w:t>租赁收款额现值，几乎相当于租赁开始日租赁资产公允价值。通常是租赁最低付款额的现值大于、等于资产公允价值的</w:t>
      </w:r>
      <w:r>
        <w:rPr>
          <w:spacing w:val="-45"/>
        </w:rPr>
        <w:t> </w:t>
      </w:r>
      <w:r>
        <w:rPr>
          <w:rFonts w:ascii="Times New Roman" w:hAnsi="Times New Roman" w:cs="Times New Roman" w:eastAsia="Times New Roman" w:hint="default"/>
        </w:rPr>
        <w:t>90</w:t>
      </w:r>
    </w:p>
    <w:p>
      <w:pPr>
        <w:pStyle w:val="BodyText"/>
        <w:spacing w:line="240" w:lineRule="auto" w:before="13"/>
        <w:ind w:right="0"/>
        <w:jc w:val="both"/>
      </w:pPr>
      <w:r>
        <w:rPr/>
        <w:t>％；</w:t>
      </w:r>
    </w:p>
    <w:p>
      <w:pPr>
        <w:pStyle w:val="BodyText"/>
        <w:spacing w:line="240" w:lineRule="auto" w:before="116"/>
        <w:ind w:right="0"/>
        <w:jc w:val="both"/>
      </w:pPr>
      <w:r>
        <w:rPr>
          <w:rFonts w:ascii="Times New Roman" w:hAnsi="Times New Roman" w:cs="Times New Roman" w:eastAsia="Times New Roman" w:hint="default"/>
        </w:rPr>
        <w:t>———</w:t>
      </w:r>
      <w:r>
        <w:rPr/>
        <w:t>租赁资产性质特殊，如果不作较大改造，只有承租人才能使用。</w:t>
      </w:r>
    </w:p>
    <w:p>
      <w:pPr>
        <w:pStyle w:val="BodyText"/>
        <w:spacing w:line="240" w:lineRule="auto" w:before="102"/>
        <w:ind w:right="0"/>
        <w:jc w:val="both"/>
      </w:pPr>
      <w:r>
        <w:rPr>
          <w:rFonts w:ascii="Times New Roman" w:hAnsi="Times New Roman" w:cs="Times New Roman" w:eastAsia="Times New Roman" w:hint="default"/>
        </w:rPr>
        <w:t>—</w:t>
      </w:r>
      <w:r>
        <w:rPr/>
        <w:t>融资租入固定资产的计价方法</w:t>
      </w:r>
    </w:p>
    <w:p>
      <w:pPr>
        <w:pStyle w:val="BodyText"/>
        <w:spacing w:line="312" w:lineRule="auto" w:before="103"/>
        <w:ind w:right="191"/>
        <w:jc w:val="both"/>
      </w:pPr>
      <w:r>
        <w:rPr>
          <w:rFonts w:ascii="Times New Roman" w:hAnsi="Times New Roman" w:cs="Times New Roman" w:eastAsia="Times New Roman" w:hint="default"/>
          <w:spacing w:val="-2"/>
        </w:rPr>
        <w:t>——</w:t>
      </w:r>
      <w:r>
        <w:rPr>
          <w:spacing w:val="-2"/>
        </w:rPr>
        <w:t>按照实质重于法律形式的要求，企业应将融资租入资产作为一项固定资产计价入账，同时确认相应的负债，并计提固定</w:t>
      </w:r>
      <w:r>
        <w:rPr>
          <w:spacing w:val="-65"/>
        </w:rPr>
        <w:t> </w:t>
      </w:r>
      <w:r>
        <w:rPr>
          <w:spacing w:val="-65"/>
        </w:rPr>
      </w:r>
      <w:r>
        <w:rPr>
          <w:spacing w:val="-2"/>
        </w:rPr>
        <w:t>资产的折旧。在租赁期开始日，承租人应当将租赁开始日租赁资产公允价值与最低租赁付款额现值两者中较低者作为租入资</w:t>
      </w:r>
      <w:r>
        <w:rPr>
          <w:spacing w:val="-64"/>
        </w:rPr>
        <w:t> </w:t>
      </w:r>
      <w:r>
        <w:rPr>
          <w:spacing w:val="-64"/>
        </w:rPr>
      </w:r>
      <w:r>
        <w:rPr>
          <w:spacing w:val="-2"/>
        </w:rPr>
        <w:t>产的入账价值；承租人在租赁谈判和签订租赁合同过程中发生的，可归属于租赁项目的手续费、律师费、差旅费、印花税等</w:t>
      </w:r>
      <w:r>
        <w:rPr>
          <w:spacing w:val="-67"/>
        </w:rPr>
        <w:t> </w:t>
      </w:r>
      <w:r>
        <w:rPr>
          <w:spacing w:val="-67"/>
        </w:rPr>
      </w:r>
      <w:r>
        <w:rPr/>
        <w:t>初始直接费用也计入资产的价值。</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w:t>
      </w:r>
      <w:r>
        <w:rPr/>
        <w:t>固定资产折旧：采用直线法平均计算，并按固定资产类别，估计经济使用年限及残值率确定，具体折旧率如下：</w:t>
      </w:r>
    </w:p>
    <w:p>
      <w:pPr>
        <w:spacing w:after="0" w:line="240" w:lineRule="auto"/>
        <w:jc w:val="both"/>
        <w:sectPr>
          <w:pgSz w:w="11910" w:h="16840"/>
          <w:pgMar w:header="747" w:footer="980"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518"/>
        <w:gridCol w:w="2105"/>
        <w:gridCol w:w="2220"/>
        <w:gridCol w:w="2726"/>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w:t>
      </w:r>
      <w:r>
        <w:rPr/>
        <w:t>固定资产减值准备</w:t>
      </w:r>
    </w:p>
    <w:p>
      <w:pPr>
        <w:spacing w:line="240" w:lineRule="auto" w:before="1"/>
        <w:rPr>
          <w:rFonts w:ascii="宋体" w:hAnsi="宋体" w:cs="宋体" w:eastAsia="宋体" w:hint="default"/>
          <w:sz w:val="14"/>
          <w:szCs w:val="14"/>
        </w:rPr>
      </w:pPr>
    </w:p>
    <w:p>
      <w:pPr>
        <w:pStyle w:val="BodyText"/>
        <w:spacing w:line="314" w:lineRule="auto"/>
        <w:ind w:right="188"/>
        <w:jc w:val="both"/>
      </w:pPr>
      <w:r>
        <w:rPr>
          <w:rFonts w:ascii="Times New Roman" w:hAnsi="Times New Roman" w:cs="Times New Roman" w:eastAsia="Times New Roman" w:hint="default"/>
          <w:spacing w:val="-2"/>
        </w:rPr>
        <w:t>——</w:t>
      </w:r>
      <w:r>
        <w:rPr>
          <w:spacing w:val="-2"/>
        </w:rPr>
        <w:t>公司期末对固定资产逐项进行检查，如果由于市价持续下跌，或技术陈旧、损坏、长期闲置等原因，导致固定资产可收</w:t>
      </w:r>
      <w:r>
        <w:rPr>
          <w:spacing w:val="-64"/>
        </w:rPr>
        <w:t> </w:t>
      </w:r>
      <w:r>
        <w:rPr>
          <w:spacing w:val="-64"/>
        </w:rPr>
      </w:r>
      <w:r>
        <w:rPr>
          <w:spacing w:val="-2"/>
        </w:rPr>
        <w:t>回金额低于其账面价值，则按照其差额计提固定资产减值准备，固定资产减值损失一经确认，在以后会计期间不得转回。可</w:t>
      </w:r>
      <w:r>
        <w:rPr>
          <w:spacing w:val="-64"/>
        </w:rPr>
        <w:t> </w:t>
      </w:r>
      <w:r>
        <w:rPr>
          <w:spacing w:val="-64"/>
        </w:rPr>
      </w:r>
      <w:r>
        <w:rPr>
          <w:spacing w:val="-2"/>
        </w:rPr>
        <w:t>收回金额根据资产的公允价值减去处置费用后的净额与资产预计未来现金流量的现值两者之间较高者确定。资产未来现金流</w:t>
      </w:r>
      <w:r>
        <w:rPr>
          <w:spacing w:val="-64"/>
        </w:rPr>
        <w:t> </w:t>
      </w:r>
      <w:r>
        <w:rPr>
          <w:spacing w:val="-64"/>
        </w:rPr>
      </w:r>
      <w:r>
        <w:rPr>
          <w:spacing w:val="-2"/>
        </w:rPr>
        <w:t>量的现值则按照资产在持续使用过程中和最终处置时所产生的预计未来现金流量，选择恰当的折现率对其进行折现后的金额</w:t>
      </w:r>
      <w:r>
        <w:rPr>
          <w:spacing w:val="-64"/>
        </w:rPr>
        <w:t> </w:t>
      </w:r>
      <w:r>
        <w:rPr>
          <w:spacing w:val="-64"/>
        </w:rPr>
      </w:r>
      <w:r>
        <w:rPr/>
        <w:t>加以确定。</w:t>
      </w:r>
    </w:p>
    <w:p>
      <w:pPr>
        <w:pStyle w:val="BodyText"/>
        <w:spacing w:line="240" w:lineRule="auto" w:before="140"/>
        <w:ind w:right="0"/>
        <w:jc w:val="both"/>
      </w:pPr>
      <w:r>
        <w:rPr>
          <w:rFonts w:ascii="Times New Roman" w:hAnsi="Times New Roman" w:cs="Times New Roman" w:eastAsia="Times New Roman" w:hint="default"/>
        </w:rPr>
        <w:t>——</w:t>
      </w:r>
      <w:r>
        <w:rPr/>
        <w:t>固定资产存在下列情况之一时，全额计提减值准备：</w:t>
      </w:r>
    </w:p>
    <w:p>
      <w:pPr>
        <w:spacing w:line="240" w:lineRule="auto" w:before="12"/>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长期闲置不用，在可预见的未来不会再使用，且无转让价值的固定资产；</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由于技术进步等原因，已不可使用的固定资产；</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虽然固定资产尚可使用，但使用后产生大量不合格产品的固定资产；</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已遭毁损，以致不再具有使用价值和转让价值的固定资产；</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其他实质上已经不能再给企业带来经济利益的固定资产。</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已全额计提减值准备的固定资产，不再计提折旧。</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spacing w:val="-4"/>
        </w:rPr>
        <w:t>—</w:t>
      </w:r>
      <w:r>
        <w:rPr>
          <w:spacing w:val="-4"/>
        </w:rPr>
        <w:t>在建工程类别：在建工程按工程项目进行明细核算，具体核算内容包括：建筑工程、安装工程、在安装设备、待摊支出等。</w:t>
      </w:r>
    </w:p>
    <w:p>
      <w:pPr>
        <w:pStyle w:val="BodyText"/>
        <w:spacing w:line="312" w:lineRule="auto" w:before="63"/>
        <w:ind w:left="113" w:right="191"/>
        <w:jc w:val="both"/>
      </w:pPr>
      <w:r>
        <w:rPr>
          <w:rFonts w:ascii="Times New Roman" w:hAnsi="Times New Roman" w:cs="Times New Roman" w:eastAsia="Times New Roman" w:hint="default"/>
          <w:spacing w:val="-2"/>
        </w:rPr>
        <w:t>—</w:t>
      </w:r>
      <w:r>
        <w:rPr>
          <w:spacing w:val="-2"/>
        </w:rPr>
        <w:t>在建工程的计量</w:t>
      </w:r>
      <w:r>
        <w:rPr>
          <w:rFonts w:ascii="Times New Roman" w:hAnsi="Times New Roman" w:cs="Times New Roman" w:eastAsia="Times New Roman" w:hint="default"/>
          <w:spacing w:val="-2"/>
        </w:rPr>
        <w:t>——</w:t>
      </w:r>
      <w:r>
        <w:rPr>
          <w:spacing w:val="-2"/>
        </w:rPr>
        <w:t>在建工程以实际成本计价，按照实际发生的支出确定其工程成本，工程达到预定可使用状态前因进行</w:t>
      </w:r>
      <w:r>
        <w:rPr>
          <w:spacing w:val="-64"/>
        </w:rPr>
        <w:t> </w:t>
      </w:r>
      <w:r>
        <w:rPr>
          <w:spacing w:val="-64"/>
        </w:rPr>
      </w:r>
      <w:r>
        <w:rPr>
          <w:spacing w:val="-2"/>
        </w:rPr>
        <w:t>试运转发生的净支出计入工程成本。工程达到预定可使用状态前所取得的试运转过程中形成的、能够对外销售的产品，其发</w:t>
      </w:r>
      <w:r>
        <w:rPr>
          <w:spacing w:val="-65"/>
        </w:rPr>
        <w:t> </w:t>
      </w:r>
      <w:r>
        <w:rPr>
          <w:spacing w:val="-65"/>
        </w:rPr>
      </w:r>
      <w:r>
        <w:rPr>
          <w:spacing w:val="-2"/>
        </w:rPr>
        <w:t>生的成本，计入在建工程成本，销售或结转为产成品时，按实际销售收入或者预计售价冲减在建工程成本。在建工程发生的</w:t>
      </w:r>
      <w:r>
        <w:rPr>
          <w:spacing w:val="-66"/>
        </w:rPr>
        <w:t> </w:t>
      </w:r>
      <w:r>
        <w:rPr>
          <w:spacing w:val="-66"/>
        </w:rPr>
      </w:r>
      <w:r>
        <w:rPr/>
        <w:t>借款费用，符合借款费用资本化条件的，在所购建的固定资产达到预定可使用状态前，计入在建工程成本。</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left="113" w:right="191"/>
        <w:jc w:val="both"/>
      </w:pPr>
      <w:r>
        <w:rPr>
          <w:rFonts w:ascii="Times New Roman" w:hAnsi="Times New Roman" w:cs="Times New Roman" w:eastAsia="Times New Roman" w:hint="default"/>
          <w:spacing w:val="-2"/>
        </w:rPr>
        <w:t>—</w:t>
      </w:r>
      <w:r>
        <w:rPr>
          <w:spacing w:val="-2"/>
        </w:rPr>
        <w:t>在建工程结转为固定资产的标准和时点在建工程项目在达到预定可使用状态时结转固定资产。在建工程项目按建造该项资</w:t>
      </w:r>
      <w:r>
        <w:rPr>
          <w:spacing w:val="-64"/>
        </w:rPr>
        <w:t> </w:t>
      </w:r>
      <w:r>
        <w:rPr>
          <w:spacing w:val="-64"/>
        </w:rPr>
      </w:r>
      <w:r>
        <w:rPr>
          <w:spacing w:val="-2"/>
        </w:rPr>
        <w:t>产在达到预定可使用状态前所发生的全部支出作为固定资产的入账价值。所建造的固定资产已达到预定可使用状态，但尚未</w:t>
      </w:r>
      <w:r>
        <w:rPr>
          <w:spacing w:val="-64"/>
        </w:rPr>
        <w:t> </w:t>
      </w:r>
      <w:r>
        <w:rPr>
          <w:spacing w:val="-64"/>
        </w:rPr>
      </w:r>
      <w:r>
        <w:rPr>
          <w:spacing w:val="-2"/>
        </w:rPr>
        <w:t>办理竣工决算手续的，自达到预定可使用状态之日起，根据工程预算、造价或者工程实际成本等，按估计的价值转入固定资</w:t>
      </w:r>
      <w:r>
        <w:rPr>
          <w:spacing w:val="-66"/>
        </w:rPr>
        <w:t> </w:t>
      </w:r>
      <w:r>
        <w:rPr>
          <w:spacing w:val="-66"/>
        </w:rPr>
      </w:r>
      <w:r>
        <w:rPr>
          <w:spacing w:val="-2"/>
        </w:rPr>
        <w:t>产，并按照固定资产折旧政策计提固定资产的折旧，待办理了竣工决算手续后再对原估计值进行调整，但不调整原已计提的</w:t>
      </w:r>
      <w:r>
        <w:rPr>
          <w:spacing w:val="-65"/>
        </w:rPr>
        <w:t> </w:t>
      </w:r>
      <w:r>
        <w:rPr>
          <w:spacing w:val="-65"/>
        </w:rPr>
      </w:r>
      <w:r>
        <w:rPr/>
        <w:t>折旧额。</w:t>
      </w:r>
    </w:p>
    <w:p>
      <w:pPr>
        <w:spacing w:after="0" w:line="314" w:lineRule="auto"/>
        <w:jc w:val="both"/>
        <w:sectPr>
          <w:pgSz w:w="11910" w:h="16840"/>
          <w:pgMar w:header="747" w:footer="980" w:top="1060" w:bottom="1160" w:left="1020" w:right="940"/>
        </w:sectPr>
      </w:pPr>
    </w:p>
    <w:p>
      <w:pPr>
        <w:spacing w:line="240" w:lineRule="auto" w:before="11"/>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91"/>
        <w:jc w:val="left"/>
      </w:pPr>
      <w:r>
        <w:rPr>
          <w:rFonts w:ascii="Times New Roman" w:hAnsi="Times New Roman" w:cs="Times New Roman" w:eastAsia="Times New Roman" w:hint="default"/>
          <w:spacing w:val="-2"/>
        </w:rPr>
        <w:t>—</w:t>
      </w:r>
      <w:r>
        <w:rPr>
          <w:spacing w:val="-2"/>
        </w:rPr>
        <w:t>公司在期末对在建工程进行全面检查，如果有证据表明在建工程已经发生了减值，则计提减值准备。在建工程减值损失一</w:t>
      </w:r>
      <w:r>
        <w:rPr>
          <w:spacing w:val="-65"/>
        </w:rPr>
        <w:t> </w:t>
      </w:r>
      <w:r>
        <w:rPr>
          <w:spacing w:val="-65"/>
        </w:rPr>
      </w:r>
      <w:r>
        <w:rPr/>
        <w:t>经确认，在以后会计期间不得转回。存在以下一项或若干项情况时，计提在建工程减值准备：</w:t>
      </w:r>
    </w:p>
    <w:p>
      <w:pPr>
        <w:pStyle w:val="BodyText"/>
        <w:spacing w:line="240" w:lineRule="auto" w:before="151"/>
        <w:ind w:right="0"/>
        <w:jc w:val="both"/>
      </w:pPr>
      <w:r>
        <w:rPr>
          <w:rFonts w:ascii="Times New Roman" w:hAnsi="Times New Roman" w:cs="Times New Roman" w:eastAsia="Times New Roman" w:hint="default"/>
        </w:rPr>
        <w:t>——</w:t>
      </w:r>
      <w:r>
        <w:rPr/>
        <w:t>长期停建并且预计在未来</w:t>
      </w:r>
      <w:r>
        <w:rPr>
          <w:rFonts w:ascii="Times New Roman" w:hAnsi="Times New Roman" w:cs="Times New Roman" w:eastAsia="Times New Roman" w:hint="default"/>
        </w:rPr>
        <w:t>3</w:t>
      </w:r>
      <w:r>
        <w:rPr/>
        <w:t>年内不会重新再开工的在建工程。</w:t>
      </w:r>
    </w:p>
    <w:p>
      <w:pPr>
        <w:spacing w:line="240" w:lineRule="auto" w:before="13"/>
        <w:rPr>
          <w:rFonts w:ascii="宋体" w:hAnsi="宋体" w:cs="宋体" w:eastAsia="宋体" w:hint="default"/>
          <w:sz w:val="13"/>
          <w:szCs w:val="13"/>
        </w:rPr>
      </w:pPr>
    </w:p>
    <w:p>
      <w:pPr>
        <w:pStyle w:val="BodyText"/>
        <w:spacing w:line="240" w:lineRule="auto"/>
        <w:ind w:left="113" w:right="0"/>
        <w:jc w:val="both"/>
      </w:pPr>
      <w:r>
        <w:rPr>
          <w:rFonts w:ascii="Times New Roman" w:hAnsi="Times New Roman" w:cs="Times New Roman" w:eastAsia="Times New Roman" w:hint="default"/>
        </w:rPr>
        <w:t>——</w:t>
      </w:r>
      <w:r>
        <w:rPr/>
        <w:t>所建项目无论在性能上，还是在技术上已经落后，并且给企业带来的经济利益具有很大的不确定性。</w:t>
      </w:r>
    </w:p>
    <w:p>
      <w:pPr>
        <w:spacing w:line="240" w:lineRule="auto" w:before="13"/>
        <w:rPr>
          <w:rFonts w:ascii="宋体" w:hAnsi="宋体" w:cs="宋体" w:eastAsia="宋体" w:hint="default"/>
          <w:sz w:val="13"/>
          <w:szCs w:val="13"/>
        </w:rPr>
      </w:pPr>
    </w:p>
    <w:p>
      <w:pPr>
        <w:pStyle w:val="BodyText"/>
        <w:spacing w:line="240" w:lineRule="auto"/>
        <w:ind w:left="113" w:right="0"/>
        <w:jc w:val="both"/>
      </w:pPr>
      <w:r>
        <w:rPr>
          <w:rFonts w:ascii="Times New Roman" w:hAnsi="Times New Roman" w:cs="Times New Roman" w:eastAsia="Times New Roman" w:hint="default"/>
        </w:rPr>
        <w:t>——</w:t>
      </w:r>
      <w:r>
        <w:rPr/>
        <w:t>其他足以证明在建工程已经发生减值的情形。</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－借款费用资本化的确认原则</w:t>
      </w:r>
    </w:p>
    <w:p>
      <w:pPr>
        <w:spacing w:line="240" w:lineRule="auto" w:before="0"/>
        <w:rPr>
          <w:rFonts w:ascii="宋体" w:hAnsi="宋体" w:cs="宋体" w:eastAsia="宋体" w:hint="default"/>
          <w:sz w:val="15"/>
          <w:szCs w:val="15"/>
        </w:rPr>
      </w:pPr>
    </w:p>
    <w:p>
      <w:pPr>
        <w:pStyle w:val="BodyText"/>
        <w:spacing w:line="309" w:lineRule="auto"/>
        <w:ind w:right="90"/>
        <w:jc w:val="left"/>
      </w:pPr>
      <w:r>
        <w:rPr>
          <w:rFonts w:ascii="Times New Roman" w:hAnsi="Times New Roman" w:cs="Times New Roman" w:eastAsia="Times New Roman" w:hint="default"/>
        </w:rPr>
        <w:t>¯¯</w:t>
      </w:r>
      <w:r>
        <w:rPr/>
        <w:t>购建或者生产符合资本化条件的资产而借入的专门借款或占用了一般借款发生的借款利息以及专门借款发生的辅助费用， 在所购建或者生产的符合资本化条件的资产达到预定可使用或者可销售状态之前，根据其资本化率计算的发生额予以资本</w:t>
      </w:r>
      <w:r>
        <w:rPr>
          <w:spacing w:val="-37"/>
        </w:rPr>
        <w:t> </w:t>
      </w:r>
      <w:r>
        <w:rPr>
          <w:spacing w:val="-37"/>
        </w:rPr>
      </w:r>
      <w:r>
        <w:rPr/>
        <w:t>化。除此以外的其它借款费用在发生时计入当期损益。</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－借款费用资本化期间</w:t>
      </w:r>
    </w:p>
    <w:p>
      <w:pPr>
        <w:spacing w:line="240" w:lineRule="auto" w:before="0"/>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rPr>
        <w:t>——</w:t>
      </w:r>
      <w:r>
        <w:rPr/>
        <w:t>开始资本化：当以下三个条件同时具备时，因借款而发生的利息、折价或溢价的摊销和汇兑差额开始资本化：</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资产支出已经发生；</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借款费用已经发生；</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为使资产达到预定可使用状态所必要的购建活动已经开始。</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113" w:right="181"/>
        <w:jc w:val="left"/>
      </w:pPr>
      <w:r>
        <w:rPr>
          <w:rFonts w:ascii="Times New Roman" w:hAnsi="Times New Roman" w:cs="Times New Roman" w:eastAsia="Times New Roman" w:hint="default"/>
        </w:rPr>
        <w:t>——</w:t>
      </w:r>
      <w:r>
        <w:rPr/>
        <w:t>暂停资本化：若资产的购建活动发生非正常中断，并且中断时间连续超过</w:t>
      </w:r>
      <w:r>
        <w:rPr>
          <w:rFonts w:ascii="Times New Roman" w:hAnsi="Times New Roman" w:cs="Times New Roman" w:eastAsia="Times New Roman" w:hint="default"/>
        </w:rPr>
        <w:t>3</w:t>
      </w:r>
      <w:r>
        <w:rPr/>
        <w:t>个月，暂停借款费用的资本化，将其确认为</w:t>
      </w:r>
      <w:r>
        <w:rPr>
          <w:spacing w:val="-86"/>
        </w:rPr>
        <w:t> </w:t>
      </w:r>
      <w:r>
        <w:rPr/>
        <w:t>当期费用，直至资产的购建活动重新开始。</w:t>
      </w:r>
    </w:p>
    <w:p>
      <w:pPr>
        <w:pStyle w:val="BodyText"/>
        <w:spacing w:line="240" w:lineRule="auto" w:before="151"/>
        <w:ind w:left="113" w:right="0"/>
        <w:jc w:val="both"/>
      </w:pPr>
      <w:r>
        <w:rPr>
          <w:rFonts w:ascii="Times New Roman" w:hAnsi="Times New Roman" w:cs="Times New Roman" w:eastAsia="Times New Roman" w:hint="default"/>
        </w:rPr>
        <w:t>——</w:t>
      </w:r>
      <w:r>
        <w:rPr/>
        <w:t>停止资本化：当所购建或生产的资产达到预定可使用或者可销售状态时，停止其借款费用的资本化。</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w:t>
      </w:r>
      <w:r>
        <w:rPr/>
        <w:t>借款费用资本化金额的计算方法</w:t>
      </w:r>
    </w:p>
    <w:p>
      <w:pPr>
        <w:spacing w:line="240" w:lineRule="auto" w:before="13"/>
        <w:rPr>
          <w:rFonts w:ascii="宋体" w:hAnsi="宋体" w:cs="宋体" w:eastAsia="宋体" w:hint="default"/>
          <w:sz w:val="13"/>
          <w:szCs w:val="13"/>
        </w:rPr>
      </w:pPr>
    </w:p>
    <w:p>
      <w:pPr>
        <w:pStyle w:val="BodyText"/>
        <w:spacing w:line="309" w:lineRule="auto"/>
        <w:ind w:left="113" w:right="191"/>
        <w:jc w:val="both"/>
      </w:pPr>
      <w:r>
        <w:rPr>
          <w:rFonts w:ascii="Times New Roman" w:hAnsi="Times New Roman" w:cs="Times New Roman" w:eastAsia="Times New Roman" w:hint="default"/>
          <w:spacing w:val="-2"/>
        </w:rPr>
        <w:t>——</w:t>
      </w:r>
      <w:r>
        <w:rPr>
          <w:spacing w:val="-2"/>
        </w:rPr>
        <w:t>为购建或者生产符合资本化条件的资产而借入的专门借款，当期资本化金额以借入专门借款当期发生的利息、折价或溢</w:t>
      </w:r>
      <w:r>
        <w:rPr>
          <w:spacing w:val="-64"/>
        </w:rPr>
        <w:t> </w:t>
      </w:r>
      <w:r>
        <w:rPr>
          <w:spacing w:val="-64"/>
        </w:rPr>
      </w:r>
      <w:r>
        <w:rPr>
          <w:spacing w:val="-2"/>
        </w:rPr>
        <w:t>价的摊销和汇兑差额及其他辅助费用，减去将尚未动用的借款资金存入银行取得的利息收入或进行暂时性投资取得的投资收</w:t>
      </w:r>
      <w:r>
        <w:rPr>
          <w:spacing w:val="-64"/>
        </w:rPr>
        <w:t> </w:t>
      </w:r>
      <w:r>
        <w:rPr>
          <w:spacing w:val="-64"/>
        </w:rPr>
      </w:r>
      <w:r>
        <w:rPr/>
        <w:t>益后的金额确定；</w:t>
      </w:r>
    </w:p>
    <w:p>
      <w:pPr>
        <w:pStyle w:val="BodyText"/>
        <w:spacing w:line="309" w:lineRule="auto" w:before="144"/>
        <w:ind w:left="113" w:right="191"/>
        <w:jc w:val="both"/>
      </w:pPr>
      <w:r>
        <w:rPr>
          <w:rFonts w:ascii="Times New Roman" w:hAnsi="Times New Roman" w:cs="Times New Roman" w:eastAsia="Times New Roman" w:hint="default"/>
          <w:spacing w:val="-2"/>
        </w:rPr>
        <w:t>——</w:t>
      </w:r>
      <w:r>
        <w:rPr>
          <w:spacing w:val="-2"/>
        </w:rPr>
        <w:t>为购建或者生产符合资本化条件的资产而占用了一般借款，当期资本化金额根据累计资产支出超过专门借款部分的资产</w:t>
      </w:r>
      <w:r>
        <w:rPr>
          <w:spacing w:val="-64"/>
        </w:rPr>
        <w:t> </w:t>
      </w:r>
      <w:r>
        <w:rPr>
          <w:spacing w:val="-64"/>
        </w:rPr>
      </w:r>
      <w:r>
        <w:rPr>
          <w:spacing w:val="-2"/>
        </w:rPr>
        <w:t>支出加权平均数乘以所占用一般借款的资本化率，计算确定一般借款应予资本化的利息金额。资本化率根据一般借款加权平</w:t>
      </w:r>
      <w:r>
        <w:rPr>
          <w:spacing w:val="-64"/>
        </w:rPr>
        <w:t> </w:t>
      </w:r>
      <w:r>
        <w:rPr>
          <w:spacing w:val="-64"/>
        </w:rPr>
      </w:r>
      <w:r>
        <w:rPr/>
        <w:t>均利率计算确定。</w:t>
      </w:r>
    </w:p>
    <w:p>
      <w:pPr>
        <w:spacing w:after="0" w:line="309" w:lineRule="auto"/>
        <w:jc w:val="both"/>
        <w:sectPr>
          <w:pgSz w:w="11910" w:h="16840"/>
          <w:pgMar w:header="747" w:footer="980" w:top="1060" w:bottom="1160" w:left="1020" w:right="94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w:t>
      </w:r>
      <w:r>
        <w:rPr/>
        <w:t>无形资产计价：无形资产取得时按成本计价；期末按照账面价值与可收回金额孰低计价。</w:t>
      </w:r>
    </w:p>
    <w:p>
      <w:pPr>
        <w:spacing w:line="240" w:lineRule="auto" w:before="13"/>
        <w:rPr>
          <w:rFonts w:ascii="宋体" w:hAnsi="宋体" w:cs="宋体" w:eastAsia="宋体" w:hint="default"/>
          <w:sz w:val="13"/>
          <w:szCs w:val="13"/>
        </w:rPr>
      </w:pPr>
    </w:p>
    <w:p>
      <w:pPr>
        <w:pStyle w:val="BodyText"/>
        <w:spacing w:line="240" w:lineRule="auto"/>
        <w:ind w:right="92"/>
        <w:jc w:val="left"/>
      </w:pPr>
      <w:r>
        <w:rPr>
          <w:rFonts w:ascii="Times New Roman" w:hAnsi="Times New Roman" w:cs="Times New Roman" w:eastAsia="Times New Roman" w:hint="default"/>
        </w:rPr>
        <w:t>——</w:t>
      </w:r>
      <w:r>
        <w:rPr/>
        <w:t>外购无形资产的成本，按使该项资产达到预定用途所发生的实际支出计价。</w:t>
      </w:r>
    </w:p>
    <w:p>
      <w:pPr>
        <w:spacing w:line="240" w:lineRule="auto" w:before="13"/>
        <w:rPr>
          <w:rFonts w:ascii="宋体" w:hAnsi="宋体" w:cs="宋体" w:eastAsia="宋体" w:hint="default"/>
          <w:sz w:val="13"/>
          <w:szCs w:val="13"/>
        </w:rPr>
      </w:pPr>
    </w:p>
    <w:p>
      <w:pPr>
        <w:pStyle w:val="BodyText"/>
        <w:spacing w:line="300" w:lineRule="auto"/>
        <w:ind w:right="92"/>
        <w:jc w:val="left"/>
      </w:pPr>
      <w:r>
        <w:rPr>
          <w:rFonts w:ascii="Times New Roman" w:hAnsi="Times New Roman" w:cs="Times New Roman" w:eastAsia="Times New Roman" w:hint="default"/>
          <w:spacing w:val="-2"/>
        </w:rPr>
        <w:t>——</w:t>
      </w:r>
      <w:r>
        <w:rPr>
          <w:spacing w:val="-2"/>
        </w:rPr>
        <w:t>内部研究开发项目研究阶段的支出，于发生时计入当期损益，开发阶段的支出，能够符合资本化条件的，确认为无形资</w:t>
      </w:r>
      <w:r>
        <w:rPr>
          <w:spacing w:val="-66"/>
        </w:rPr>
        <w:t> </w:t>
      </w:r>
      <w:r>
        <w:rPr>
          <w:spacing w:val="-66"/>
        </w:rPr>
      </w:r>
      <w:r>
        <w:rPr/>
        <w:t>产成本。</w:t>
      </w:r>
    </w:p>
    <w:p>
      <w:pPr>
        <w:pStyle w:val="BodyText"/>
        <w:spacing w:line="240" w:lineRule="auto" w:before="151"/>
        <w:ind w:right="92"/>
        <w:jc w:val="left"/>
      </w:pPr>
      <w:r>
        <w:rPr>
          <w:rFonts w:ascii="Times New Roman" w:hAnsi="Times New Roman" w:cs="Times New Roman" w:eastAsia="Times New Roman" w:hint="default"/>
        </w:rPr>
        <w:t>——</w:t>
      </w:r>
      <w:r>
        <w:rPr/>
        <w:t>投资者投入的无形资产，按照投资合同或协议约定的价值作为成本，但合同或协议约定价值不公允的除外。</w:t>
      </w:r>
    </w:p>
    <w:p>
      <w:pPr>
        <w:spacing w:line="240" w:lineRule="auto" w:before="13"/>
        <w:rPr>
          <w:rFonts w:ascii="宋体" w:hAnsi="宋体" w:cs="宋体" w:eastAsia="宋体" w:hint="default"/>
          <w:sz w:val="13"/>
          <w:szCs w:val="13"/>
        </w:rPr>
      </w:pPr>
    </w:p>
    <w:p>
      <w:pPr>
        <w:pStyle w:val="BodyText"/>
        <w:spacing w:line="300" w:lineRule="auto"/>
        <w:ind w:right="92"/>
        <w:jc w:val="left"/>
      </w:pPr>
      <w:r>
        <w:rPr>
          <w:rFonts w:ascii="Times New Roman" w:hAnsi="Times New Roman" w:cs="Times New Roman" w:eastAsia="Times New Roman" w:hint="default"/>
          <w:spacing w:val="-2"/>
        </w:rPr>
        <w:t>——</w:t>
      </w:r>
      <w:r>
        <w:rPr>
          <w:spacing w:val="-2"/>
        </w:rPr>
        <w:t>接受债务人以非现金资产抵偿债务方式取得的无形资产，或以应收债权换入无形资产的，按换入无形资产的公允价值入</w:t>
      </w:r>
      <w:r>
        <w:rPr>
          <w:spacing w:val="-64"/>
        </w:rPr>
        <w:t> </w:t>
      </w:r>
      <w:r>
        <w:rPr>
          <w:spacing w:val="-64"/>
        </w:rPr>
      </w:r>
      <w:r>
        <w:rPr/>
        <w:t>账。</w:t>
      </w:r>
    </w:p>
    <w:p>
      <w:pPr>
        <w:pStyle w:val="BodyText"/>
        <w:spacing w:line="240" w:lineRule="auto" w:before="151"/>
        <w:ind w:right="92"/>
        <w:jc w:val="left"/>
      </w:pPr>
      <w:r>
        <w:rPr>
          <w:rFonts w:ascii="Times New Roman" w:hAnsi="Times New Roman" w:cs="Times New Roman" w:eastAsia="Times New Roman" w:hint="default"/>
        </w:rPr>
        <w:t>——</w:t>
      </w:r>
      <w:r>
        <w:rPr/>
        <w:t>非货币性交易换入的无形资产，以该项无形资产的公允价值和应支付的相关税费作为入账成本。</w:t>
      </w:r>
    </w:p>
    <w:p>
      <w:pPr>
        <w:spacing w:line="240" w:lineRule="auto" w:before="13"/>
        <w:rPr>
          <w:rFonts w:ascii="宋体" w:hAnsi="宋体" w:cs="宋体" w:eastAsia="宋体" w:hint="default"/>
          <w:sz w:val="13"/>
          <w:szCs w:val="13"/>
        </w:rPr>
      </w:pPr>
    </w:p>
    <w:p>
      <w:pPr>
        <w:pStyle w:val="BodyText"/>
        <w:spacing w:line="312" w:lineRule="auto"/>
        <w:ind w:right="108"/>
        <w:jc w:val="both"/>
      </w:pPr>
      <w:r>
        <w:rPr>
          <w:rFonts w:ascii="Times New Roman" w:hAnsi="Times New Roman" w:cs="Times New Roman" w:eastAsia="Times New Roman" w:hint="default"/>
          <w:spacing w:val="-2"/>
        </w:rPr>
        <w:t>——</w:t>
      </w:r>
      <w:r>
        <w:rPr>
          <w:spacing w:val="-2"/>
        </w:rPr>
        <w:t>接受捐赠的无形资产，捐赠方提供了有关凭据的，按凭据上标明的金额加上应支付的相关税费计价；捐赠方没有提供有</w:t>
      </w:r>
      <w:r>
        <w:rPr>
          <w:spacing w:val="-65"/>
        </w:rPr>
        <w:t> </w:t>
      </w:r>
      <w:r>
        <w:rPr>
          <w:spacing w:val="-65"/>
        </w:rPr>
      </w:r>
      <w:r>
        <w:rPr>
          <w:spacing w:val="-2"/>
        </w:rPr>
        <w:t>关凭据的，如果同类或类似无形资产存在活跃市场的，按同类或类似无形资产的市场价格估计的金额，加上应支付的相关税</w:t>
      </w:r>
      <w:r>
        <w:rPr>
          <w:spacing w:val="-65"/>
        </w:rPr>
        <w:t> </w:t>
      </w:r>
      <w:r>
        <w:rPr>
          <w:spacing w:val="-65"/>
        </w:rPr>
      </w:r>
      <w:r>
        <w:rPr>
          <w:spacing w:val="-2"/>
        </w:rPr>
        <w:t>费，作为实际成本；如果同类或类似无形资产不存在活跃市场的，按接受捐赠的无形资产的预计未来现金流量现值，作为实</w:t>
      </w:r>
      <w:r>
        <w:rPr>
          <w:spacing w:val="-65"/>
        </w:rPr>
        <w:t> </w:t>
      </w:r>
      <w:r>
        <w:rPr>
          <w:spacing w:val="-65"/>
        </w:rPr>
      </w:r>
      <w:r>
        <w:rPr/>
        <w:t>际成本。</w:t>
      </w:r>
    </w:p>
    <w:p>
      <w:pPr>
        <w:spacing w:line="240" w:lineRule="auto" w:before="10"/>
        <w:rPr>
          <w:rFonts w:ascii="宋体" w:hAnsi="宋体" w:cs="宋体" w:eastAsia="宋体" w:hint="default"/>
          <w:sz w:val="22"/>
          <w:szCs w:val="22"/>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w:t>
      </w:r>
      <w:r>
        <w:rPr/>
        <w:t>无形资产摊销：使用寿命有限的无形资产，在估计该使用寿命的年限内按直线法摊销；</w:t>
      </w:r>
    </w:p>
    <w:p>
      <w:pPr>
        <w:pStyle w:val="BodyText"/>
        <w:spacing w:line="309" w:lineRule="auto" w:before="63"/>
        <w:ind w:right="92"/>
        <w:jc w:val="left"/>
      </w:pPr>
      <w:r>
        <w:rPr>
          <w:rFonts w:ascii="Times New Roman" w:hAnsi="Times New Roman" w:cs="Times New Roman" w:eastAsia="Times New Roman" w:hint="default"/>
        </w:rPr>
        <w:t>——</w:t>
      </w:r>
      <w:r>
        <w:rPr/>
        <w:t>使用寿命有限的无形资产来源于合同性权利或其他法定权利的，其使用寿命不应超过合同性权利或其他法定权利的期 </w:t>
      </w:r>
      <w:r>
        <w:rPr>
          <w:spacing w:val="-2"/>
        </w:rPr>
        <w:t>限；合同或法律没有规定使用寿命的，公司通常综合各方面因素判断（如与同行业比较、参考历史经验，或聘用相关专家进</w:t>
      </w:r>
      <w:r>
        <w:rPr>
          <w:spacing w:val="-66"/>
        </w:rPr>
        <w:t> </w:t>
      </w:r>
      <w:r>
        <w:rPr>
          <w:spacing w:val="-66"/>
        </w:rPr>
      </w:r>
      <w:r>
        <w:rPr/>
        <w:t>行论证等），确定无形资产为公司带来经济利益的期限。</w:t>
      </w:r>
    </w:p>
    <w:p>
      <w:pPr>
        <w:spacing w:line="240" w:lineRule="auto" w:before="12"/>
        <w:rPr>
          <w:rFonts w:ascii="宋体" w:hAnsi="宋体" w:cs="宋体" w:eastAsia="宋体" w:hint="default"/>
          <w:sz w:val="22"/>
          <w:szCs w:val="22"/>
        </w:rPr>
      </w:pPr>
    </w:p>
    <w:p>
      <w:pPr>
        <w:pStyle w:val="Heading3"/>
        <w:spacing w:line="240" w:lineRule="auto"/>
        <w:ind w:right="92"/>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92"/>
        <w:jc w:val="left"/>
      </w:pPr>
      <w:r>
        <w:rPr>
          <w:spacing w:val="-2"/>
        </w:rPr>
        <w:t>无法预见无形资产为公司带来未来经济利益的期限的，视为使用寿命不确定的无形资产，使用寿命不确定的无形资产不进行</w:t>
      </w:r>
      <w:r>
        <w:rPr>
          <w:spacing w:val="-64"/>
        </w:rPr>
        <w:t> </w:t>
      </w:r>
      <w:r>
        <w:rPr>
          <w:spacing w:val="-64"/>
        </w:rPr>
      </w:r>
      <w:r>
        <w:rPr/>
        <w:t>摊销。</w:t>
      </w:r>
    </w:p>
    <w:p>
      <w:pPr>
        <w:pStyle w:val="BodyText"/>
        <w:spacing w:line="316" w:lineRule="auto" w:before="139"/>
        <w:ind w:right="92"/>
        <w:jc w:val="left"/>
      </w:pPr>
      <w:r>
        <w:rPr>
          <w:spacing w:val="-2"/>
        </w:rPr>
        <w:t>按照上述方法仍无法合理确定无形资产为公司带来经济利益期限的，该项无形资产作为寿命不确定的无形资产。公司确定无</w:t>
      </w:r>
      <w:r>
        <w:rPr>
          <w:spacing w:val="-64"/>
        </w:rPr>
        <w:t> </w:t>
      </w:r>
      <w:r>
        <w:rPr>
          <w:spacing w:val="-64"/>
        </w:rPr>
      </w:r>
      <w:r>
        <w:rPr/>
        <w:t>形资产使用寿命通常考虑如下因素：</w:t>
      </w:r>
    </w:p>
    <w:p>
      <w:pPr>
        <w:pStyle w:val="BodyText"/>
        <w:spacing w:line="240" w:lineRule="auto" w:before="139"/>
        <w:ind w:right="92"/>
        <w:jc w:val="left"/>
      </w:pPr>
      <w:r>
        <w:rPr>
          <w:rFonts w:ascii="Times New Roman" w:hAnsi="Times New Roman" w:cs="Times New Roman" w:eastAsia="Times New Roman" w:hint="default"/>
        </w:rPr>
        <w:t>———</w:t>
      </w:r>
      <w:r>
        <w:rPr/>
        <w:t>运用该资产生产的产品通常的寿命周期、可获得的类似资产使用寿命的信息；</w:t>
      </w:r>
    </w:p>
    <w:p>
      <w:pPr>
        <w:spacing w:line="240" w:lineRule="auto" w:before="13"/>
        <w:rPr>
          <w:rFonts w:ascii="宋体" w:hAnsi="宋体" w:cs="宋体" w:eastAsia="宋体" w:hint="default"/>
          <w:sz w:val="13"/>
          <w:szCs w:val="13"/>
        </w:rPr>
      </w:pPr>
    </w:p>
    <w:p>
      <w:pPr>
        <w:pStyle w:val="BodyText"/>
        <w:spacing w:line="240" w:lineRule="auto"/>
        <w:ind w:right="92"/>
        <w:jc w:val="left"/>
      </w:pPr>
      <w:r>
        <w:rPr>
          <w:rFonts w:ascii="Times New Roman" w:hAnsi="Times New Roman" w:cs="Times New Roman" w:eastAsia="Times New Roman" w:hint="default"/>
        </w:rPr>
        <w:t>———</w:t>
      </w:r>
      <w:r>
        <w:rPr/>
        <w:t>技术、工艺等方面的现阶段情况及对未来发展趋势的估计；</w:t>
      </w:r>
    </w:p>
    <w:p>
      <w:pPr>
        <w:spacing w:line="240" w:lineRule="auto" w:before="13"/>
        <w:rPr>
          <w:rFonts w:ascii="宋体" w:hAnsi="宋体" w:cs="宋体" w:eastAsia="宋体" w:hint="default"/>
          <w:sz w:val="13"/>
          <w:szCs w:val="13"/>
        </w:rPr>
      </w:pPr>
    </w:p>
    <w:p>
      <w:pPr>
        <w:pStyle w:val="BodyText"/>
        <w:spacing w:line="240" w:lineRule="auto"/>
        <w:ind w:right="92"/>
        <w:jc w:val="left"/>
      </w:pPr>
      <w:r>
        <w:rPr>
          <w:rFonts w:ascii="Times New Roman" w:hAnsi="Times New Roman" w:cs="Times New Roman" w:eastAsia="Times New Roman" w:hint="default"/>
        </w:rPr>
        <w:t>———</w:t>
      </w:r>
      <w:r>
        <w:rPr/>
        <w:t>以该资产生产的产品或提供的服务的市场需求情况；</w:t>
      </w:r>
    </w:p>
    <w:p>
      <w:pPr>
        <w:spacing w:line="240" w:lineRule="auto" w:before="13"/>
        <w:rPr>
          <w:rFonts w:ascii="宋体" w:hAnsi="宋体" w:cs="宋体" w:eastAsia="宋体" w:hint="default"/>
          <w:sz w:val="13"/>
          <w:szCs w:val="13"/>
        </w:rPr>
      </w:pPr>
    </w:p>
    <w:p>
      <w:pPr>
        <w:pStyle w:val="BodyText"/>
        <w:spacing w:line="240" w:lineRule="auto"/>
        <w:ind w:right="92"/>
        <w:jc w:val="left"/>
      </w:pPr>
      <w:r>
        <w:rPr>
          <w:rFonts w:ascii="Times New Roman" w:hAnsi="Times New Roman" w:cs="Times New Roman" w:eastAsia="Times New Roman" w:hint="default"/>
        </w:rPr>
        <w:t>———</w:t>
      </w:r>
      <w:r>
        <w:rPr/>
        <w:t>现在或潜在的竞争者预期采取的行动；</w:t>
      </w:r>
    </w:p>
    <w:p>
      <w:pPr>
        <w:spacing w:line="240" w:lineRule="auto" w:before="13"/>
        <w:rPr>
          <w:rFonts w:ascii="宋体" w:hAnsi="宋体" w:cs="宋体" w:eastAsia="宋体" w:hint="default"/>
          <w:sz w:val="13"/>
          <w:szCs w:val="13"/>
        </w:rPr>
      </w:pPr>
    </w:p>
    <w:p>
      <w:pPr>
        <w:pStyle w:val="BodyText"/>
        <w:spacing w:line="240" w:lineRule="auto"/>
        <w:ind w:right="92"/>
        <w:jc w:val="left"/>
      </w:pPr>
      <w:r>
        <w:rPr>
          <w:rFonts w:ascii="Times New Roman" w:hAnsi="Times New Roman" w:cs="Times New Roman" w:eastAsia="Times New Roman" w:hint="default"/>
        </w:rPr>
        <w:t>———</w:t>
      </w:r>
      <w:r>
        <w:rPr/>
        <w:t>为维护该资产带来经济利益能力的预期维护支出、以及公司预计支付有关支出的能力；</w:t>
      </w:r>
    </w:p>
    <w:p>
      <w:pPr>
        <w:spacing w:line="240" w:lineRule="auto" w:before="13"/>
        <w:rPr>
          <w:rFonts w:ascii="宋体" w:hAnsi="宋体" w:cs="宋体" w:eastAsia="宋体" w:hint="default"/>
          <w:sz w:val="13"/>
          <w:szCs w:val="13"/>
        </w:rPr>
      </w:pPr>
    </w:p>
    <w:p>
      <w:pPr>
        <w:pStyle w:val="BodyText"/>
        <w:spacing w:line="240" w:lineRule="auto"/>
        <w:ind w:right="92"/>
        <w:jc w:val="left"/>
      </w:pPr>
      <w:r>
        <w:rPr>
          <w:rFonts w:ascii="Times New Roman" w:hAnsi="Times New Roman" w:cs="Times New Roman" w:eastAsia="Times New Roman" w:hint="default"/>
        </w:rPr>
        <w:t>———</w:t>
      </w:r>
      <w:r>
        <w:rPr/>
        <w:t>对该资产控制期限的相关法律规定或类似限制；</w:t>
      </w:r>
    </w:p>
    <w:p>
      <w:pPr>
        <w:spacing w:line="240" w:lineRule="auto" w:before="13"/>
        <w:rPr>
          <w:rFonts w:ascii="宋体" w:hAnsi="宋体" w:cs="宋体" w:eastAsia="宋体" w:hint="default"/>
          <w:sz w:val="13"/>
          <w:szCs w:val="13"/>
        </w:rPr>
      </w:pPr>
    </w:p>
    <w:p>
      <w:pPr>
        <w:pStyle w:val="BodyText"/>
        <w:spacing w:line="240" w:lineRule="auto"/>
        <w:ind w:right="92"/>
        <w:jc w:val="left"/>
      </w:pPr>
      <w:r>
        <w:rPr>
          <w:rFonts w:ascii="Times New Roman" w:hAnsi="Times New Roman" w:cs="Times New Roman" w:eastAsia="Times New Roman" w:hint="default"/>
        </w:rPr>
        <w:t>———</w:t>
      </w:r>
      <w:r>
        <w:rPr/>
        <w:t>与公司持有的其他资产使用寿命的关联性等。</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91"/>
        <w:jc w:val="left"/>
      </w:pPr>
      <w:r>
        <w:rPr>
          <w:rFonts w:ascii="Times New Roman" w:hAnsi="Times New Roman" w:cs="Times New Roman" w:eastAsia="Times New Roman" w:hint="default"/>
          <w:spacing w:val="-2"/>
        </w:rPr>
        <w:t>—</w:t>
      </w:r>
      <w:r>
        <w:rPr>
          <w:spacing w:val="-2"/>
        </w:rPr>
        <w:t>无形资产减值准备：公司期末检查各项无形资产预计给企业带来未来经济利益的能力，对预计可收回金额低于其账面价值</w:t>
      </w:r>
      <w:r>
        <w:rPr>
          <w:spacing w:val="-64"/>
        </w:rPr>
        <w:t> </w:t>
      </w:r>
      <w:r>
        <w:rPr>
          <w:spacing w:val="-64"/>
        </w:rPr>
      </w:r>
      <w:r>
        <w:rPr/>
        <w:t>的，按单项预计可收回金额与账面价值差额计提减值准备。无形资产减值损失一经确认，在以后会计期间不得转回。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both"/>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w:t>
      </w:r>
      <w:r>
        <w:rPr/>
        <w:t>划分研究开发项目研究阶段支出和开发阶段的支出的具体标准</w:t>
      </w:r>
    </w:p>
    <w:p>
      <w:pPr>
        <w:spacing w:line="240" w:lineRule="auto" w:before="13"/>
        <w:rPr>
          <w:rFonts w:ascii="宋体" w:hAnsi="宋体" w:cs="宋体" w:eastAsia="宋体" w:hint="default"/>
          <w:sz w:val="13"/>
          <w:szCs w:val="13"/>
        </w:rPr>
      </w:pPr>
    </w:p>
    <w:p>
      <w:pPr>
        <w:pStyle w:val="BodyText"/>
        <w:spacing w:line="309" w:lineRule="auto"/>
        <w:ind w:left="113" w:right="191"/>
        <w:jc w:val="both"/>
      </w:pPr>
      <w:r>
        <w:rPr>
          <w:rFonts w:ascii="Times New Roman" w:hAnsi="Times New Roman" w:cs="Times New Roman" w:eastAsia="Times New Roman" w:hint="default"/>
          <w:spacing w:val="-2"/>
        </w:rPr>
        <w:t>——</w:t>
      </w:r>
      <w:r>
        <w:rPr>
          <w:spacing w:val="-2"/>
        </w:rPr>
        <w:t>公司将内部研究开发项目区分为研究阶段和开发阶段：研究阶段是指为获取并理解新的科学或技术知识而进行的独创性</w:t>
      </w:r>
      <w:r>
        <w:rPr>
          <w:spacing w:val="-64"/>
        </w:rPr>
        <w:t> </w:t>
      </w:r>
      <w:r>
        <w:rPr>
          <w:spacing w:val="-64"/>
        </w:rPr>
      </w:r>
      <w:r>
        <w:rPr>
          <w:spacing w:val="-2"/>
        </w:rPr>
        <w:t>的有计划调查阶段；开发阶段是指已完成研究阶段，在进行商业性生产或使用前，将研究成果或其他知识应用于某项计划或</w:t>
      </w:r>
      <w:r>
        <w:rPr>
          <w:spacing w:val="-65"/>
        </w:rPr>
        <w:t> </w:t>
      </w:r>
      <w:r>
        <w:rPr>
          <w:spacing w:val="-65"/>
        </w:rPr>
      </w:r>
      <w:r>
        <w:rPr/>
        <w:t>设计，以生产出新的或具有实质性改进的材料、装置、产品等阶段。</w:t>
      </w:r>
    </w:p>
    <w:p>
      <w:pPr>
        <w:pStyle w:val="BodyText"/>
        <w:spacing w:line="300" w:lineRule="auto" w:before="144"/>
        <w:ind w:right="91"/>
        <w:jc w:val="left"/>
      </w:pPr>
      <w:r>
        <w:rPr>
          <w:rFonts w:ascii="Times New Roman" w:hAnsi="Times New Roman" w:cs="Times New Roman" w:eastAsia="Times New Roman" w:hint="default"/>
          <w:spacing w:val="-4"/>
        </w:rPr>
        <w:t>——</w:t>
      </w:r>
      <w:r>
        <w:rPr>
          <w:spacing w:val="-4"/>
        </w:rPr>
        <w:t>公司根据上述划分研究阶段、开发阶段的标准，归集相应阶段的支出。研究阶段发生的支出应当于发生时计入当期损益；</w:t>
      </w:r>
      <w:r>
        <w:rPr>
          <w:spacing w:val="-42"/>
        </w:rPr>
        <w:t> </w:t>
      </w:r>
      <w:r>
        <w:rPr>
          <w:spacing w:val="-42"/>
        </w:rPr>
      </w:r>
      <w:r>
        <w:rPr/>
        <w:t>开发阶段的支出，在同时满足下列条件时，确认为无形资产：</w:t>
      </w:r>
    </w:p>
    <w:p>
      <w:pPr>
        <w:pStyle w:val="BodyText"/>
        <w:spacing w:line="240" w:lineRule="auto" w:before="151"/>
        <w:ind w:right="0"/>
        <w:jc w:val="both"/>
      </w:pPr>
      <w:r>
        <w:rPr>
          <w:rFonts w:ascii="Times New Roman" w:hAnsi="Times New Roman" w:cs="Times New Roman" w:eastAsia="Times New Roman" w:hint="default"/>
        </w:rPr>
        <w:t>———</w:t>
      </w:r>
      <w:r>
        <w:rPr/>
        <w:t>完成该无形资产以使其能够使用或出售在技术上具有可行性；</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具有完成该无形资产并使用或出售的意图；</w:t>
      </w:r>
    </w:p>
    <w:p>
      <w:pPr>
        <w:spacing w:line="240" w:lineRule="auto" w:before="13"/>
        <w:rPr>
          <w:rFonts w:ascii="宋体" w:hAnsi="宋体" w:cs="宋体" w:eastAsia="宋体" w:hint="default"/>
          <w:sz w:val="13"/>
          <w:szCs w:val="13"/>
        </w:rPr>
      </w:pPr>
    </w:p>
    <w:p>
      <w:pPr>
        <w:pStyle w:val="BodyText"/>
        <w:spacing w:line="300" w:lineRule="auto"/>
        <w:ind w:right="91"/>
        <w:jc w:val="left"/>
      </w:pPr>
      <w:r>
        <w:rPr>
          <w:rFonts w:ascii="Times New Roman" w:hAnsi="Times New Roman" w:cs="Times New Roman" w:eastAsia="Times New Roman" w:hint="default"/>
          <w:spacing w:val="-2"/>
        </w:rPr>
        <w:t>———</w:t>
      </w:r>
      <w:r>
        <w:rPr>
          <w:spacing w:val="-2"/>
        </w:rPr>
        <w:t>无形资产产生未来经济利益的方式，包括能够证明运用该无形资产生产的产品存在市场或无形资产自身存在市场；无</w:t>
      </w:r>
      <w:r>
        <w:rPr>
          <w:spacing w:val="-64"/>
        </w:rPr>
        <w:t> </w:t>
      </w:r>
      <w:r>
        <w:rPr>
          <w:spacing w:val="-64"/>
        </w:rPr>
      </w:r>
      <w:r>
        <w:rPr/>
        <w:t>形资产将在内部使用时，证明其有用性；</w:t>
      </w:r>
    </w:p>
    <w:p>
      <w:pPr>
        <w:pStyle w:val="BodyText"/>
        <w:spacing w:line="240" w:lineRule="auto" w:before="151"/>
        <w:ind w:right="0"/>
        <w:jc w:val="both"/>
      </w:pPr>
      <w:r>
        <w:rPr>
          <w:rFonts w:ascii="Times New Roman" w:hAnsi="Times New Roman" w:cs="Times New Roman" w:eastAsia="Times New Roman" w:hint="default"/>
        </w:rPr>
        <w:t>———</w:t>
      </w:r>
      <w:r>
        <w:rPr/>
        <w:t>有足够的技术、财务资源和其他资源支持，以完成该无形资产的开发，并有能力使用或出售该无形资产；</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归属于该无形资产开发阶段的支出能够可靠计量。</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91"/>
        <w:jc w:val="both"/>
      </w:pPr>
      <w:r>
        <w:rPr>
          <w:spacing w:val="-2"/>
        </w:rPr>
        <w:t>长期待摊费用是公司已经发生但应由本期和以后各期分担的分摊期限在一年以上的各项费用，以实际发生的支出入账并在其</w:t>
      </w:r>
      <w:r>
        <w:rPr>
          <w:spacing w:val="-64"/>
        </w:rPr>
        <w:t> </w:t>
      </w:r>
      <w:r>
        <w:rPr>
          <w:spacing w:val="-64"/>
        </w:rPr>
      </w:r>
      <w:r>
        <w:rPr>
          <w:spacing w:val="-2"/>
        </w:rPr>
        <w:t>预计受益期内按直线法平均进行摊销。如果长期待摊费用项目不能使以后会计期间受益的，则将尚未摊销的该项目的摊余价</w:t>
      </w:r>
      <w:r>
        <w:rPr>
          <w:spacing w:val="-64"/>
        </w:rPr>
        <w:t> </w:t>
      </w:r>
      <w:r>
        <w:rPr>
          <w:spacing w:val="-64"/>
        </w:rPr>
      </w:r>
      <w:r>
        <w:rPr/>
        <w:t>值全部转入当期损益。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91"/>
        <w:jc w:val="left"/>
      </w:pPr>
      <w:r>
        <w:rPr>
          <w:spacing w:val="-2"/>
        </w:rPr>
        <w:t>因产品质量保证、对外提供担保、未决诉讼等事项形成的现时义务，其履行很可能导致经济利益的流出，在该义务的金额能</w:t>
      </w:r>
      <w:r>
        <w:rPr>
          <w:spacing w:val="-66"/>
        </w:rPr>
        <w:t> </w:t>
      </w:r>
      <w:r>
        <w:rPr>
          <w:spacing w:val="-66"/>
        </w:rPr>
      </w:r>
      <w:r>
        <w:rPr/>
        <w:t>够可靠计量时，确认为预计负债。对于未来经营亏损，不确认预计负债。</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w:t>
      </w:r>
      <w:r>
        <w:rPr/>
        <w:t>预计负债的确认标准</w:t>
      </w:r>
    </w:p>
    <w:p>
      <w:pPr>
        <w:spacing w:line="240" w:lineRule="auto" w:before="13"/>
        <w:rPr>
          <w:rFonts w:ascii="宋体" w:hAnsi="宋体" w:cs="宋体" w:eastAsia="宋体" w:hint="default"/>
          <w:sz w:val="13"/>
          <w:szCs w:val="13"/>
        </w:rPr>
      </w:pPr>
    </w:p>
    <w:p>
      <w:pPr>
        <w:pStyle w:val="BodyText"/>
        <w:spacing w:line="300" w:lineRule="auto"/>
        <w:ind w:right="91"/>
        <w:jc w:val="left"/>
      </w:pPr>
      <w:r>
        <w:rPr>
          <w:rFonts w:ascii="Times New Roman" w:hAnsi="Times New Roman" w:cs="Times New Roman" w:eastAsia="Times New Roman" w:hint="default"/>
          <w:spacing w:val="-2"/>
        </w:rPr>
        <w:t>——</w:t>
      </w:r>
      <w:r>
        <w:rPr>
          <w:spacing w:val="-2"/>
        </w:rPr>
        <w:t>当与对外担保、未决诉讼或仲裁、产品质量保证、裁员计划、亏损合同、重组义务、固定资产弃置义务等或有事项相关</w:t>
      </w:r>
      <w:r>
        <w:rPr>
          <w:spacing w:val="-68"/>
        </w:rPr>
        <w:t> </w:t>
      </w:r>
      <w:r>
        <w:rPr>
          <w:spacing w:val="-68"/>
        </w:rPr>
      </w:r>
      <w:r>
        <w:rPr/>
        <w:t>的业务同时符合以下条件时，确认为负债：</w:t>
      </w:r>
    </w:p>
    <w:p>
      <w:pPr>
        <w:pStyle w:val="BodyText"/>
        <w:spacing w:line="240" w:lineRule="auto" w:before="151"/>
        <w:ind w:right="0"/>
        <w:jc w:val="both"/>
      </w:pPr>
      <w:r>
        <w:rPr>
          <w:rFonts w:ascii="Times New Roman" w:hAnsi="Times New Roman" w:cs="Times New Roman" w:eastAsia="Times New Roman" w:hint="default"/>
        </w:rPr>
        <w:t>———</w:t>
      </w:r>
      <w:r>
        <w:rPr/>
        <w:t>该义务是本公司承担的现时义务；</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该义务的履行很可能导致经济利益流出企业；</w:t>
      </w:r>
    </w:p>
    <w:p>
      <w:pPr>
        <w:spacing w:line="240" w:lineRule="auto" w:before="13"/>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w:t>
      </w:r>
      <w:r>
        <w:rPr/>
        <w:t>该义务的金额能够可靠地计量。</w:t>
      </w:r>
    </w:p>
    <w:p>
      <w:pPr>
        <w:spacing w:after="0" w:line="240" w:lineRule="auto"/>
        <w:jc w:val="both"/>
        <w:sectPr>
          <w:footerReference w:type="default" r:id="rId29"/>
          <w:pgSz w:w="11910" w:h="16840"/>
          <w:pgMar w:footer="980" w:header="747" w:top="1060" w:bottom="1160" w:left="1020" w:right="94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w:t>
      </w:r>
      <w:r>
        <w:rPr/>
        <w:t>预计负债的计量方法</w:t>
      </w:r>
    </w:p>
    <w:p>
      <w:pPr>
        <w:spacing w:line="240" w:lineRule="auto" w:before="13"/>
        <w:rPr>
          <w:rFonts w:ascii="宋体" w:hAnsi="宋体" w:cs="宋体" w:eastAsia="宋体" w:hint="default"/>
          <w:sz w:val="13"/>
          <w:szCs w:val="13"/>
        </w:rPr>
      </w:pPr>
    </w:p>
    <w:p>
      <w:pPr>
        <w:pStyle w:val="BodyText"/>
        <w:spacing w:line="300" w:lineRule="auto"/>
        <w:ind w:right="92"/>
        <w:jc w:val="left"/>
      </w:pPr>
      <w:r>
        <w:rPr>
          <w:rFonts w:ascii="Times New Roman" w:hAnsi="Times New Roman" w:cs="Times New Roman" w:eastAsia="Times New Roman" w:hint="default"/>
          <w:spacing w:val="-2"/>
        </w:rPr>
        <w:t>——</w:t>
      </w:r>
      <w:r>
        <w:rPr>
          <w:spacing w:val="-2"/>
        </w:rPr>
        <w:t>预计负债按照履行相关现时义务所需支出的最佳估计数进行初始计量。所需支出存在一个连续范围，且该范围内各种结</w:t>
      </w:r>
      <w:r>
        <w:rPr>
          <w:spacing w:val="-64"/>
        </w:rPr>
        <w:t> </w:t>
      </w:r>
      <w:r>
        <w:rPr>
          <w:spacing w:val="-64"/>
        </w:rPr>
      </w:r>
      <w:r>
        <w:rPr/>
        <w:t>果发生的可能性相同的最佳估计数按该范围的中间值确定；在其他情况下，最佳估计数按如下方法确定：</w:t>
      </w:r>
    </w:p>
    <w:p>
      <w:pPr>
        <w:pStyle w:val="BodyText"/>
        <w:spacing w:line="240" w:lineRule="auto" w:before="151"/>
        <w:ind w:right="92"/>
        <w:jc w:val="left"/>
      </w:pPr>
      <w:r>
        <w:rPr>
          <w:rFonts w:ascii="Times New Roman" w:hAnsi="Times New Roman" w:cs="Times New Roman" w:eastAsia="Times New Roman" w:hint="default"/>
        </w:rPr>
        <w:t>———</w:t>
      </w:r>
      <w:r>
        <w:rPr/>
        <w:t>或有事项涉及单个项目时，最佳估计数按最可能发生金额确定；</w:t>
      </w:r>
    </w:p>
    <w:p>
      <w:pPr>
        <w:spacing w:line="240" w:lineRule="auto" w:before="13"/>
        <w:rPr>
          <w:rFonts w:ascii="宋体" w:hAnsi="宋体" w:cs="宋体" w:eastAsia="宋体" w:hint="default"/>
          <w:sz w:val="13"/>
          <w:szCs w:val="13"/>
        </w:rPr>
      </w:pPr>
    </w:p>
    <w:p>
      <w:pPr>
        <w:pStyle w:val="BodyText"/>
        <w:spacing w:line="240" w:lineRule="auto"/>
        <w:ind w:right="92"/>
        <w:jc w:val="left"/>
      </w:pPr>
      <w:r>
        <w:rPr>
          <w:rFonts w:ascii="Times New Roman" w:hAnsi="Times New Roman" w:cs="Times New Roman" w:eastAsia="Times New Roman" w:hint="default"/>
        </w:rPr>
        <w:t>———</w:t>
      </w:r>
      <w:r>
        <w:rPr/>
        <w:t>或有事项涉及多个项目时，最佳估计数按各种可能发生额及其发生概率计算确定。</w:t>
      </w:r>
    </w:p>
    <w:p>
      <w:pPr>
        <w:spacing w:line="240" w:lineRule="auto" w:before="13"/>
        <w:rPr>
          <w:rFonts w:ascii="宋体" w:hAnsi="宋体" w:cs="宋体" w:eastAsia="宋体" w:hint="default"/>
          <w:sz w:val="13"/>
          <w:szCs w:val="13"/>
        </w:rPr>
      </w:pPr>
    </w:p>
    <w:p>
      <w:pPr>
        <w:pStyle w:val="BodyText"/>
        <w:spacing w:line="300" w:lineRule="auto"/>
        <w:ind w:right="92"/>
        <w:jc w:val="left"/>
      </w:pPr>
      <w:r>
        <w:rPr>
          <w:rFonts w:ascii="Times New Roman" w:hAnsi="Times New Roman" w:cs="Times New Roman" w:eastAsia="Times New Roman" w:hint="default"/>
          <w:spacing w:val="-2"/>
        </w:rPr>
        <w:t>——</w:t>
      </w:r>
      <w:r>
        <w:rPr>
          <w:spacing w:val="-2"/>
        </w:rPr>
        <w:t>公司清偿预计负债所需支出全部或部分预期由第三方或其他方补偿的，则补偿金额在基本确定能收到时，作为资产单独</w:t>
      </w:r>
      <w:r>
        <w:rPr>
          <w:spacing w:val="-64"/>
        </w:rPr>
        <w:t> </w:t>
      </w:r>
      <w:r>
        <w:rPr>
          <w:spacing w:val="-64"/>
        </w:rPr>
      </w:r>
      <w:r>
        <w:rPr/>
        <w:t>确认。确认的补偿金额不超过所确认预计负债的账面价值。</w:t>
      </w:r>
    </w:p>
    <w:p>
      <w:pPr>
        <w:spacing w:line="240" w:lineRule="auto" w:before="6"/>
        <w:rPr>
          <w:rFonts w:ascii="宋体" w:hAnsi="宋体" w:cs="宋体" w:eastAsia="宋体" w:hint="default"/>
          <w:sz w:val="23"/>
          <w:szCs w:val="23"/>
        </w:rPr>
      </w:pPr>
    </w:p>
    <w:p>
      <w:pPr>
        <w:pStyle w:val="Heading3"/>
        <w:spacing w:line="240" w:lineRule="auto"/>
        <w:ind w:right="92"/>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w:t>
      </w:r>
      <w:r>
        <w:rPr/>
        <w:t>销售商品收入，在下列条件均能满足时予以确认：</w:t>
      </w:r>
    </w:p>
    <w:p>
      <w:pPr>
        <w:pStyle w:val="BodyText"/>
        <w:spacing w:line="240" w:lineRule="auto" w:before="102"/>
        <w:ind w:right="92"/>
        <w:jc w:val="left"/>
      </w:pPr>
      <w:r>
        <w:rPr>
          <w:rFonts w:ascii="Times New Roman" w:hAnsi="Times New Roman" w:cs="Times New Roman" w:eastAsia="Times New Roman" w:hint="default"/>
        </w:rPr>
        <w:t>——</w:t>
      </w:r>
      <w:r>
        <w:rPr/>
        <w:t>公司已将商品所有权上的主要风险和报酬转移给购货方；</w:t>
      </w:r>
    </w:p>
    <w:p>
      <w:pPr>
        <w:pStyle w:val="BodyText"/>
        <w:spacing w:line="240" w:lineRule="auto" w:before="103"/>
        <w:ind w:right="92"/>
        <w:jc w:val="left"/>
      </w:pPr>
      <w:r>
        <w:rPr>
          <w:rFonts w:ascii="Times New Roman" w:hAnsi="Times New Roman" w:cs="Times New Roman" w:eastAsia="Times New Roman" w:hint="default"/>
        </w:rPr>
        <w:t>——</w:t>
      </w:r>
      <w:r>
        <w:rPr/>
        <w:t>公司既没有保留通常与所有权相联系的继续管理权，也没有对已售出的商品实施有效控制；</w:t>
      </w:r>
    </w:p>
    <w:p>
      <w:pPr>
        <w:pStyle w:val="BodyText"/>
        <w:spacing w:line="240" w:lineRule="auto" w:before="102"/>
        <w:ind w:right="92"/>
        <w:jc w:val="left"/>
      </w:pPr>
      <w:r>
        <w:rPr>
          <w:rFonts w:ascii="Times New Roman" w:hAnsi="Times New Roman" w:cs="Times New Roman" w:eastAsia="Times New Roman" w:hint="default"/>
        </w:rPr>
        <w:t>——</w:t>
      </w:r>
      <w:r>
        <w:rPr/>
        <w:t>收入的金额能够可靠计量；</w:t>
      </w:r>
    </w:p>
    <w:p>
      <w:pPr>
        <w:pStyle w:val="BodyText"/>
        <w:spacing w:line="240" w:lineRule="auto" w:before="102"/>
        <w:ind w:right="92"/>
        <w:jc w:val="left"/>
      </w:pPr>
      <w:r>
        <w:rPr>
          <w:rFonts w:ascii="Times New Roman" w:hAnsi="Times New Roman" w:cs="Times New Roman" w:eastAsia="Times New Roman" w:hint="default"/>
        </w:rPr>
        <w:t>——</w:t>
      </w:r>
      <w:r>
        <w:rPr/>
        <w:t>相关经济利益很可能流入公司；</w:t>
      </w:r>
    </w:p>
    <w:p>
      <w:pPr>
        <w:pStyle w:val="BodyText"/>
        <w:spacing w:line="312" w:lineRule="auto" w:before="102"/>
        <w:ind w:right="111"/>
        <w:jc w:val="both"/>
      </w:pPr>
      <w:r>
        <w:rPr>
          <w:rFonts w:ascii="Times New Roman" w:hAnsi="Times New Roman" w:cs="Times New Roman" w:eastAsia="Times New Roman" w:hint="default"/>
        </w:rPr>
        <w:t>——</w:t>
      </w:r>
      <w:r>
        <w:rPr/>
        <w:t>相关的、已发生的或将发生的成本能够可靠计量。销售产品 对于国内销售，公司将产品按照协议合同运至约定交货地 </w:t>
      </w:r>
      <w:r>
        <w:rPr>
          <w:spacing w:val="-2"/>
        </w:rPr>
        <w:t>点，由买方确认接收并验收合格后，确认收入。对于出口销售，公司根据销售合同规定的贸易条款，将出口产品按照合同规</w:t>
      </w:r>
      <w:r>
        <w:rPr>
          <w:spacing w:val="-65"/>
        </w:rPr>
        <w:t> </w:t>
      </w:r>
      <w:r>
        <w:rPr>
          <w:spacing w:val="-65"/>
        </w:rPr>
      </w:r>
      <w:r>
        <w:rPr>
          <w:spacing w:val="-2"/>
        </w:rPr>
        <w:t>定办理出口报关手续并装船后，或运至指定的交货地点后确认收入。对于上述销售，买方在确认接收后具有自行销售产品的</w:t>
      </w:r>
      <w:r>
        <w:rPr>
          <w:spacing w:val="-65"/>
        </w:rPr>
        <w:t> </w:t>
      </w:r>
      <w:r>
        <w:rPr>
          <w:spacing w:val="-65"/>
        </w:rPr>
      </w:r>
      <w:r>
        <w:rPr/>
        <w:t>权利并承担该产品可能发生价格波动或毁损的风险。</w:t>
      </w:r>
    </w:p>
    <w:p>
      <w:pPr>
        <w:spacing w:line="240" w:lineRule="auto" w:before="12"/>
        <w:rPr>
          <w:rFonts w:ascii="宋体" w:hAnsi="宋体" w:cs="宋体" w:eastAsia="宋体" w:hint="default"/>
          <w:sz w:val="22"/>
          <w:szCs w:val="22"/>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－让渡资产使用权收入在下列条件均能满足时予以确认：</w:t>
      </w:r>
    </w:p>
    <w:p>
      <w:pPr>
        <w:spacing w:line="240" w:lineRule="auto" w:before="0"/>
        <w:rPr>
          <w:rFonts w:ascii="宋体" w:hAnsi="宋体" w:cs="宋体" w:eastAsia="宋体" w:hint="default"/>
          <w:sz w:val="15"/>
          <w:szCs w:val="15"/>
        </w:rPr>
      </w:pPr>
    </w:p>
    <w:p>
      <w:pPr>
        <w:pStyle w:val="BodyText"/>
        <w:spacing w:line="240" w:lineRule="auto"/>
        <w:ind w:right="92"/>
        <w:jc w:val="left"/>
      </w:pPr>
      <w:r>
        <w:rPr>
          <w:rFonts w:ascii="Times New Roman" w:hAnsi="Times New Roman" w:cs="Times New Roman" w:eastAsia="Times New Roman" w:hint="default"/>
        </w:rPr>
        <w:t>——</w:t>
      </w:r>
      <w:r>
        <w:rPr/>
        <w:t>相关的经济利益很可能流入公司；</w:t>
      </w:r>
    </w:p>
    <w:p>
      <w:pPr>
        <w:spacing w:line="240" w:lineRule="auto" w:before="13"/>
        <w:rPr>
          <w:rFonts w:ascii="宋体" w:hAnsi="宋体" w:cs="宋体" w:eastAsia="宋体" w:hint="default"/>
          <w:sz w:val="13"/>
          <w:szCs w:val="13"/>
        </w:rPr>
      </w:pPr>
    </w:p>
    <w:p>
      <w:pPr>
        <w:pStyle w:val="BodyText"/>
        <w:spacing w:line="240" w:lineRule="auto"/>
        <w:ind w:right="92"/>
        <w:jc w:val="left"/>
      </w:pPr>
      <w:r>
        <w:rPr>
          <w:rFonts w:ascii="Times New Roman" w:hAnsi="Times New Roman" w:cs="Times New Roman" w:eastAsia="Times New Roman" w:hint="default"/>
        </w:rPr>
        <w:t>——</w:t>
      </w:r>
      <w:r>
        <w:rPr/>
        <w:t>收入的金额能够可靠地计量。</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rFonts w:ascii="Times New Roman" w:hAnsi="Times New Roman" w:cs="Times New Roman" w:eastAsia="Times New Roman" w:hint="default"/>
        </w:rPr>
        <w:t>—</w:t>
      </w:r>
      <w:r>
        <w:rPr/>
        <w:t>提供劳务收入的确认方法：</w:t>
      </w:r>
    </w:p>
    <w:p>
      <w:pPr>
        <w:pStyle w:val="BodyText"/>
        <w:spacing w:line="240" w:lineRule="auto" w:before="63"/>
        <w:ind w:right="92"/>
        <w:jc w:val="left"/>
      </w:pPr>
      <w:r>
        <w:rPr>
          <w:rFonts w:ascii="Times New Roman" w:hAnsi="Times New Roman" w:cs="Times New Roman" w:eastAsia="Times New Roman" w:hint="default"/>
        </w:rPr>
        <w:t>——</w:t>
      </w:r>
      <w:r>
        <w:rPr/>
        <w:t>劳务在同一年度内开始并完成的，在完成劳务时确认收入；</w:t>
      </w:r>
    </w:p>
    <w:p>
      <w:pPr>
        <w:pStyle w:val="BodyText"/>
        <w:spacing w:line="309" w:lineRule="auto" w:before="63"/>
        <w:ind w:right="92"/>
        <w:jc w:val="left"/>
      </w:pPr>
      <w:r>
        <w:rPr>
          <w:rFonts w:ascii="Times New Roman" w:hAnsi="Times New Roman" w:cs="Times New Roman" w:eastAsia="Times New Roman" w:hint="default"/>
          <w:spacing w:val="-2"/>
        </w:rPr>
        <w:t>——</w:t>
      </w:r>
      <w:r>
        <w:rPr>
          <w:spacing w:val="-2"/>
        </w:rPr>
        <w:t>劳务的开始和完成分属不同的会计年度的，在劳务合同的总收入、总成本能够可靠地计量，与交易相关的经济利益能够</w:t>
      </w:r>
      <w:r>
        <w:rPr>
          <w:spacing w:val="-65"/>
        </w:rPr>
        <w:t> </w:t>
      </w:r>
      <w:r>
        <w:rPr>
          <w:spacing w:val="-65"/>
        </w:rPr>
      </w:r>
      <w:r>
        <w:rPr/>
        <w:t>流入公司，已经发生的成本和为完成劳务将要发生的成本能够可靠地计量时，按完工百分比法确认劳务收入。 提供劳务的收入，在下列条件均能满足时予以确认：</w:t>
      </w:r>
    </w:p>
    <w:p>
      <w:pPr>
        <w:pStyle w:val="BodyText"/>
        <w:spacing w:line="240" w:lineRule="auto" w:before="24"/>
        <w:ind w:right="92"/>
        <w:jc w:val="left"/>
      </w:pPr>
      <w:r>
        <w:rPr>
          <w:rFonts w:ascii="Times New Roman" w:hAnsi="Times New Roman" w:cs="Times New Roman" w:eastAsia="Times New Roman" w:hint="default"/>
        </w:rPr>
        <w:t>———</w:t>
      </w:r>
      <w:r>
        <w:rPr/>
        <w:t>收入的金额能够可靠计量；</w:t>
      </w:r>
    </w:p>
    <w:p>
      <w:pPr>
        <w:pStyle w:val="BodyText"/>
        <w:spacing w:line="240" w:lineRule="auto" w:before="63"/>
        <w:ind w:right="92"/>
        <w:jc w:val="left"/>
      </w:pPr>
      <w:r>
        <w:rPr>
          <w:rFonts w:ascii="Times New Roman" w:hAnsi="Times New Roman" w:cs="Times New Roman" w:eastAsia="Times New Roman" w:hint="default"/>
        </w:rPr>
        <w:t>———</w:t>
      </w:r>
      <w:r>
        <w:rPr/>
        <w:t>相关的经济利益很可能流入公司；</w:t>
      </w:r>
    </w:p>
    <w:p>
      <w:pPr>
        <w:pStyle w:val="BodyText"/>
        <w:spacing w:line="240" w:lineRule="auto" w:before="63"/>
        <w:ind w:right="92"/>
        <w:jc w:val="left"/>
      </w:pPr>
      <w:r>
        <w:rPr>
          <w:rFonts w:ascii="Times New Roman" w:hAnsi="Times New Roman" w:cs="Times New Roman" w:eastAsia="Times New Roman" w:hint="default"/>
        </w:rPr>
        <w:t>———</w:t>
      </w:r>
      <w:r>
        <w:rPr/>
        <w:t>交易的完工进度能够可靠确定；</w:t>
      </w:r>
    </w:p>
    <w:p>
      <w:pPr>
        <w:pStyle w:val="BodyText"/>
        <w:spacing w:line="240" w:lineRule="auto" w:before="63"/>
        <w:ind w:right="92"/>
        <w:jc w:val="left"/>
      </w:pPr>
      <w:r>
        <w:rPr>
          <w:rFonts w:ascii="Times New Roman" w:hAnsi="Times New Roman" w:cs="Times New Roman" w:eastAsia="Times New Roman" w:hint="default"/>
        </w:rPr>
        <w:t>———</w:t>
      </w:r>
      <w:r>
        <w:rPr/>
        <w:t>交易中已发生的和将发生的成本能够可靠计量。</w:t>
      </w:r>
    </w:p>
    <w:p>
      <w:pPr>
        <w:pStyle w:val="BodyText"/>
        <w:spacing w:line="240" w:lineRule="auto" w:before="63"/>
        <w:ind w:right="92"/>
        <w:jc w:val="left"/>
      </w:pPr>
      <w:r>
        <w:rPr>
          <w:rFonts w:ascii="Times New Roman" w:hAnsi="Times New Roman" w:cs="Times New Roman" w:eastAsia="Times New Roman" w:hint="default"/>
        </w:rPr>
        <w:t>——</w:t>
      </w:r>
      <w:r>
        <w:rPr/>
        <w:t>在资产负债表日提供劳务交易的结果不能够可靠估计的情况下，分别下列情况处理：</w:t>
      </w:r>
    </w:p>
    <w:p>
      <w:pPr>
        <w:spacing w:after="0" w:line="240" w:lineRule="auto"/>
        <w:jc w:val="left"/>
        <w:sectPr>
          <w:footerReference w:type="default" r:id="rId30"/>
          <w:pgSz w:w="11910" w:h="16840"/>
          <w:pgMar w:footer="980" w:header="747" w:top="1060" w:bottom="1160" w:left="1020" w:right="1020"/>
          <w:pgNumType w:start="81"/>
        </w:sectPr>
      </w:pPr>
    </w:p>
    <w:p>
      <w:pPr>
        <w:spacing w:line="240" w:lineRule="auto" w:before="12"/>
        <w:rPr>
          <w:rFonts w:ascii="宋体" w:hAnsi="宋体" w:cs="宋体" w:eastAsia="宋体" w:hint="default"/>
          <w:sz w:val="25"/>
          <w:szCs w:val="25"/>
        </w:rPr>
      </w:pPr>
    </w:p>
    <w:p>
      <w:pPr>
        <w:pStyle w:val="BodyText"/>
        <w:spacing w:line="300" w:lineRule="auto" w:before="44"/>
        <w:ind w:left="113" w:right="110"/>
        <w:jc w:val="both"/>
      </w:pPr>
      <w:r>
        <w:rPr>
          <w:rFonts w:ascii="Times New Roman" w:hAnsi="Times New Roman" w:cs="Times New Roman" w:eastAsia="Times New Roman" w:hint="default"/>
          <w:spacing w:val="-2"/>
        </w:rPr>
        <w:t>———</w:t>
      </w:r>
      <w:r>
        <w:rPr>
          <w:spacing w:val="-2"/>
        </w:rPr>
        <w:t>已经发生的劳务成本预计能够得到补偿的，按照已经发生的劳务成本金额确认提供劳务收入，并按相同金额结转劳务</w:t>
      </w:r>
      <w:r>
        <w:rPr>
          <w:spacing w:val="-64"/>
        </w:rPr>
        <w:t> </w:t>
      </w:r>
      <w:r>
        <w:rPr>
          <w:spacing w:val="-64"/>
        </w:rPr>
      </w:r>
      <w:r>
        <w:rPr/>
        <w:t>成本；</w:t>
      </w:r>
    </w:p>
    <w:p>
      <w:pPr>
        <w:pStyle w:val="BodyText"/>
        <w:spacing w:line="300" w:lineRule="auto" w:before="31"/>
        <w:ind w:left="113" w:right="110"/>
        <w:jc w:val="both"/>
      </w:pPr>
      <w:r>
        <w:rPr>
          <w:rFonts w:ascii="Times New Roman" w:hAnsi="Times New Roman" w:cs="Times New Roman" w:eastAsia="Times New Roman" w:hint="default"/>
          <w:spacing w:val="-2"/>
        </w:rPr>
        <w:t>———</w:t>
      </w:r>
      <w:r>
        <w:rPr>
          <w:spacing w:val="-2"/>
        </w:rPr>
        <w:t>已经发生的劳务成本预计不能够全部得到补偿的，按照能够得到补偿的劳务成本金额确认收入，将已发生的劳务成本</w:t>
      </w:r>
      <w:r>
        <w:rPr>
          <w:spacing w:val="-64"/>
        </w:rPr>
        <w:t> </w:t>
      </w:r>
      <w:r>
        <w:rPr>
          <w:spacing w:val="-64"/>
        </w:rPr>
      </w:r>
      <w:r>
        <w:rPr/>
        <w:t>计入当期损益；</w:t>
      </w:r>
    </w:p>
    <w:p>
      <w:pPr>
        <w:pStyle w:val="BodyText"/>
        <w:spacing w:line="240" w:lineRule="auto" w:before="31"/>
        <w:ind w:left="113" w:right="0"/>
        <w:jc w:val="both"/>
      </w:pPr>
      <w:r>
        <w:rPr>
          <w:rFonts w:ascii="Times New Roman" w:hAnsi="Times New Roman" w:cs="Times New Roman" w:eastAsia="Times New Roman" w:hint="default"/>
        </w:rPr>
        <w:t>———</w:t>
      </w:r>
      <w:r>
        <w:rPr/>
        <w:t>已经发生的劳务成本预计全部不能够得到补偿的，不确认收入，将已发生的劳务成本计入当期损益。</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政府补助分为货币性资产与资产相关的政府补助。</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公司在能够满足政府补助所附条件且能够收到政府补助时确认政府补助。其中：</w:t>
      </w:r>
    </w:p>
    <w:p>
      <w:pPr>
        <w:pStyle w:val="BodyText"/>
        <w:spacing w:line="300" w:lineRule="auto" w:before="116"/>
        <w:ind w:right="111"/>
        <w:jc w:val="both"/>
      </w:pPr>
      <w:r>
        <w:rPr>
          <w:rFonts w:ascii="Times New Roman" w:hAnsi="Times New Roman" w:cs="Times New Roman" w:eastAsia="Times New Roman" w:hint="default"/>
          <w:spacing w:val="-2"/>
        </w:rPr>
        <w:t>¯¯</w:t>
      </w:r>
      <w:r>
        <w:rPr>
          <w:spacing w:val="-2"/>
        </w:rPr>
        <w:t>政府补助为货币性资产的，按收到或应收的金额计量，政府补助为非货币性资产的，按公允价值计量，如公允价值不能可</w:t>
      </w:r>
      <w:r>
        <w:rPr>
          <w:spacing w:val="-64"/>
        </w:rPr>
        <w:t> </w:t>
      </w:r>
      <w:r>
        <w:rPr>
          <w:spacing w:val="-64"/>
        </w:rPr>
      </w:r>
      <w:r>
        <w:rPr/>
        <w:t>靠取得，则按名义金额计量。</w:t>
      </w:r>
    </w:p>
    <w:p>
      <w:pPr>
        <w:pStyle w:val="BodyText"/>
        <w:spacing w:line="309" w:lineRule="auto" w:before="72"/>
        <w:ind w:right="111"/>
        <w:jc w:val="both"/>
      </w:pPr>
      <w:r>
        <w:rPr>
          <w:rFonts w:ascii="Times New Roman" w:hAnsi="Times New Roman" w:cs="Times New Roman" w:eastAsia="Times New Roman" w:hint="default"/>
          <w:spacing w:val="-2"/>
        </w:rPr>
        <w:t>¯¯</w:t>
      </w:r>
      <w:r>
        <w:rPr>
          <w:spacing w:val="-2"/>
        </w:rPr>
        <w:t>与资产相关的政府补助，应确认为递延收益，并在相关资产使用寿命内平均分配，计入当期损益，其中，按名义金额计量</w:t>
      </w:r>
      <w:r>
        <w:rPr>
          <w:spacing w:val="-63"/>
        </w:rPr>
        <w:t> </w:t>
      </w:r>
      <w:r>
        <w:rPr>
          <w:spacing w:val="-63"/>
        </w:rPr>
      </w:r>
      <w:r>
        <w:rPr>
          <w:spacing w:val="-2"/>
        </w:rPr>
        <w:t>的政府补助直接计入当期损益。与收益相关的政府补助，用于补偿以后期间的相关费用或损失的，应确认为递延收益，并在</w:t>
      </w:r>
      <w:r>
        <w:rPr>
          <w:spacing w:val="-66"/>
        </w:rPr>
        <w:t> </w:t>
      </w:r>
      <w:r>
        <w:rPr>
          <w:spacing w:val="-66"/>
        </w:rPr>
      </w:r>
      <w:r>
        <w:rPr/>
        <w:t>确认相关费用的期间计入当期损益，用于补偿已发生的相关费用或损失的，直接计入当期损益。</w:t>
      </w:r>
    </w:p>
    <w:p>
      <w:pPr>
        <w:spacing w:line="240" w:lineRule="auto" w:before="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22</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13" w:right="111"/>
        <w:jc w:val="both"/>
      </w:pPr>
      <w:r>
        <w:rPr>
          <w:spacing w:val="-2"/>
        </w:rPr>
        <w:t>－所得税费用的会计处理采用资产负债表债务法核算。资产负债表日，公司按照可抵扣暂时性差异与适用所得税税率计算的</w:t>
      </w:r>
      <w:r>
        <w:rPr>
          <w:spacing w:val="-64"/>
        </w:rPr>
        <w:t> </w:t>
      </w:r>
      <w:r>
        <w:rPr>
          <w:spacing w:val="-64"/>
        </w:rPr>
      </w:r>
      <w:r>
        <w:rPr>
          <w:spacing w:val="-2"/>
        </w:rPr>
        <w:t>结果，确认递延所得税资产及相应的递延所得税收益；按照应纳税暂时性差异与适用企业所得税税率计算的结果，确认递延</w:t>
      </w:r>
      <w:r>
        <w:rPr>
          <w:spacing w:val="-65"/>
        </w:rPr>
        <w:t> </w:t>
      </w:r>
      <w:r>
        <w:rPr>
          <w:spacing w:val="-65"/>
        </w:rPr>
      </w:r>
      <w:r>
        <w:rPr>
          <w:spacing w:val="-2"/>
        </w:rPr>
        <w:t>所得税负债及相应的递延所得税费用。</w:t>
      </w:r>
      <w:r>
        <w:rPr>
          <w:rFonts w:ascii="Times New Roman" w:hAnsi="Times New Roman" w:cs="Times New Roman" w:eastAsia="Times New Roman" w:hint="default"/>
          <w:spacing w:val="-2"/>
        </w:rPr>
        <w:t>――</w:t>
      </w:r>
      <w:r>
        <w:rPr>
          <w:spacing w:val="-2"/>
        </w:rPr>
        <w:t>递延所得税资产的确认</w:t>
      </w:r>
      <w:r>
        <w:rPr>
          <w:rFonts w:ascii="Times New Roman" w:hAnsi="Times New Roman" w:cs="Times New Roman" w:eastAsia="Times New Roman" w:hint="default"/>
          <w:spacing w:val="-2"/>
        </w:rPr>
        <w:t>―――</w:t>
      </w:r>
      <w:r>
        <w:rPr>
          <w:spacing w:val="-2"/>
        </w:rPr>
        <w:t>公司以很可能取得用来抵扣可抵扣暂时性差异的应</w:t>
      </w:r>
      <w:r>
        <w:rPr>
          <w:spacing w:val="-64"/>
        </w:rPr>
        <w:t> </w:t>
      </w:r>
      <w:r>
        <w:rPr>
          <w:spacing w:val="-2"/>
        </w:rPr>
        <w:t>纳税所得额为限，确认由可抵扣暂时性差异产生的递延所得税资产。但是同时具有下列特征的交易中因资产或负债的初始确</w:t>
      </w:r>
      <w:r>
        <w:rPr>
          <w:spacing w:val="-64"/>
        </w:rPr>
        <w:t> </w:t>
      </w:r>
      <w:r>
        <w:rPr>
          <w:spacing w:val="-64"/>
        </w:rPr>
      </w:r>
      <w:r>
        <w:rPr>
          <w:spacing w:val="-2"/>
        </w:rPr>
        <w:t>认所产生的递延所得税资产不予确认：</w:t>
      </w:r>
      <w:r>
        <w:rPr>
          <w:rFonts w:ascii="Times New Roman" w:hAnsi="Times New Roman" w:cs="Times New Roman" w:eastAsia="Times New Roman" w:hint="default"/>
          <w:spacing w:val="-2"/>
        </w:rPr>
        <w:t>――――</w:t>
      </w:r>
      <w:r>
        <w:rPr>
          <w:spacing w:val="-2"/>
        </w:rPr>
        <w:t>该项交易不是企业合并；</w:t>
      </w:r>
      <w:r>
        <w:rPr>
          <w:rFonts w:ascii="Times New Roman" w:hAnsi="Times New Roman" w:cs="Times New Roman" w:eastAsia="Times New Roman" w:hint="default"/>
          <w:spacing w:val="-2"/>
        </w:rPr>
        <w:t>――――</w:t>
      </w:r>
      <w:r>
        <w:rPr>
          <w:spacing w:val="-2"/>
        </w:rPr>
        <w:t>交易发生时既不影响会计利润也不影响应</w:t>
      </w:r>
      <w:r>
        <w:rPr>
          <w:spacing w:val="-64"/>
        </w:rPr>
        <w:t> </w:t>
      </w:r>
      <w:r>
        <w:rPr>
          <w:spacing w:val="-2"/>
        </w:rPr>
        <w:t>纳税所得额（或可抵扣亏损）。</w:t>
      </w:r>
      <w:r>
        <w:rPr>
          <w:rFonts w:ascii="Times New Roman" w:hAnsi="Times New Roman" w:cs="Times New Roman" w:eastAsia="Times New Roman" w:hint="default"/>
          <w:spacing w:val="-2"/>
        </w:rPr>
        <w:t>―――</w:t>
      </w:r>
      <w:r>
        <w:rPr>
          <w:spacing w:val="-2"/>
        </w:rPr>
        <w:t>公司对与子公司、联营公司及合营企业投资相关的可抵扣暂时性差异，同时满足下列</w:t>
      </w:r>
      <w:r>
        <w:rPr>
          <w:spacing w:val="-72"/>
        </w:rPr>
        <w:t> </w:t>
      </w:r>
      <w:r>
        <w:rPr>
          <w:spacing w:val="-2"/>
        </w:rPr>
        <w:t>条件的，确认相应的递延所得税资产：暂时性差异在可预见的未来很可能转回；未来很可能获得用来抵扣暂时性差异的应纳</w:t>
      </w:r>
      <w:r>
        <w:rPr>
          <w:spacing w:val="-66"/>
        </w:rPr>
        <w:t> </w:t>
      </w:r>
      <w:r>
        <w:rPr>
          <w:spacing w:val="-66"/>
        </w:rPr>
      </w:r>
      <w:r>
        <w:rPr>
          <w:spacing w:val="-2"/>
        </w:rPr>
        <w:t>税所得额。</w:t>
      </w:r>
      <w:r>
        <w:rPr>
          <w:rFonts w:ascii="Times New Roman" w:hAnsi="Times New Roman" w:cs="Times New Roman" w:eastAsia="Times New Roman" w:hint="default"/>
          <w:spacing w:val="-2"/>
        </w:rPr>
        <w:t>―――</w:t>
      </w:r>
      <w:r>
        <w:rPr>
          <w:spacing w:val="-2"/>
        </w:rPr>
        <w:t>公司对于能够结转以后年度的可抵扣亏损和税款抵减，以很可能获得用来抵扣可抵扣亏损和税款抵减的未</w:t>
      </w:r>
      <w:r>
        <w:rPr>
          <w:spacing w:val="-64"/>
        </w:rPr>
        <w:t> </w:t>
      </w:r>
      <w:r>
        <w:rPr>
          <w:spacing w:val="-64"/>
        </w:rPr>
      </w:r>
      <w:r>
        <w:rPr/>
        <w:t>来应纳税所得额为限，确认相应的递延所得税资产。</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 w:right="111"/>
        <w:jc w:val="both"/>
      </w:pPr>
      <w:r>
        <w:rPr>
          <w:rFonts w:ascii="Times New Roman" w:hAnsi="Times New Roman" w:cs="Times New Roman" w:eastAsia="Times New Roman" w:hint="default"/>
          <w:spacing w:val="-2"/>
        </w:rPr>
        <w:t>――</w:t>
      </w:r>
      <w:r>
        <w:rPr>
          <w:spacing w:val="-2"/>
        </w:rPr>
        <w:t>递延所得税负债的确认</w:t>
      </w:r>
      <w:r>
        <w:rPr>
          <w:rFonts w:ascii="Times New Roman" w:hAnsi="Times New Roman" w:cs="Times New Roman" w:eastAsia="Times New Roman" w:hint="default"/>
          <w:spacing w:val="-2"/>
        </w:rPr>
        <w:t>―――</w:t>
      </w:r>
      <w:r>
        <w:rPr>
          <w:spacing w:val="-2"/>
        </w:rPr>
        <w:t>除下列情况产生的递延所得税负债以外，本公司确认所有应纳税暂时性差异产生的递延所</w:t>
      </w:r>
      <w:r>
        <w:rPr>
          <w:spacing w:val="-64"/>
        </w:rPr>
        <w:t> </w:t>
      </w:r>
      <w:r>
        <w:rPr>
          <w:spacing w:val="-64"/>
        </w:rPr>
      </w:r>
      <w:r>
        <w:rPr>
          <w:spacing w:val="-2"/>
        </w:rPr>
        <w:t>得税负债：</w:t>
      </w:r>
      <w:r>
        <w:rPr>
          <w:rFonts w:ascii="Times New Roman" w:hAnsi="Times New Roman" w:cs="Times New Roman" w:eastAsia="Times New Roman" w:hint="default"/>
          <w:spacing w:val="-2"/>
        </w:rPr>
        <w:t>――――</w:t>
      </w:r>
      <w:r>
        <w:rPr>
          <w:spacing w:val="-2"/>
        </w:rPr>
        <w:t>商誉的初始确认；</w:t>
      </w:r>
      <w:r>
        <w:rPr>
          <w:rFonts w:ascii="Times New Roman" w:hAnsi="Times New Roman" w:cs="Times New Roman" w:eastAsia="Times New Roman" w:hint="default"/>
          <w:spacing w:val="-2"/>
        </w:rPr>
        <w:t>――――</w:t>
      </w:r>
      <w:r>
        <w:rPr>
          <w:spacing w:val="-2"/>
        </w:rPr>
        <w:t>同时满足具有下列特征的交易中产生的资产或负债的初始确认：</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0"/>
        </w:rPr>
        <w:t> </w:t>
      </w:r>
      <w:r>
        <w:rPr>
          <w:spacing w:val="-2"/>
        </w:rPr>
        <w:t>该项交易不是企业合并；</w:t>
      </w:r>
      <w:r>
        <w:rPr>
          <w:rFonts w:ascii="Times New Roman" w:hAnsi="Times New Roman" w:cs="Times New Roman" w:eastAsia="Times New Roman" w:hint="default"/>
          <w:spacing w:val="-2"/>
        </w:rPr>
        <w:t>―――――</w:t>
      </w:r>
      <w:r>
        <w:rPr>
          <w:spacing w:val="-2"/>
        </w:rPr>
        <w:t>交易发生时既不影响会计利润也不影响应纳税所得额（或可抵扣亏损）。</w:t>
      </w:r>
      <w:r>
        <w:rPr>
          <w:rFonts w:ascii="Times New Roman" w:hAnsi="Times New Roman" w:cs="Times New Roman" w:eastAsia="Times New Roman" w:hint="default"/>
          <w:spacing w:val="-2"/>
        </w:rPr>
        <w:t>――――</w:t>
      </w:r>
      <w:r>
        <w:rPr>
          <w:spacing w:val="-2"/>
        </w:rPr>
        <w:t>公司</w:t>
      </w:r>
      <w:r>
        <w:rPr>
          <w:spacing w:val="-72"/>
        </w:rPr>
        <w:t> </w:t>
      </w:r>
      <w:r>
        <w:rPr>
          <w:spacing w:val="-2"/>
        </w:rPr>
        <w:t>对与子公司、联营公司及合营企业投资产生相关的应纳税暂时性差异，同时满足下列条件的：</w:t>
      </w:r>
      <w:r>
        <w:rPr>
          <w:rFonts w:ascii="Times New Roman" w:hAnsi="Times New Roman" w:cs="Times New Roman" w:eastAsia="Times New Roman" w:hint="default"/>
          <w:spacing w:val="-2"/>
        </w:rPr>
        <w:t>―――――</w:t>
      </w:r>
      <w:r>
        <w:rPr>
          <w:spacing w:val="-2"/>
        </w:rPr>
        <w:t>投资企业能够控制</w:t>
      </w:r>
      <w:r>
        <w:rPr>
          <w:spacing w:val="-65"/>
        </w:rPr>
        <w:t> </w:t>
      </w:r>
      <w:r>
        <w:rPr/>
        <w:t>暂时性差异的转回的时间；</w:t>
      </w:r>
      <w:r>
        <w:rPr>
          <w:rFonts w:ascii="Times New Roman" w:hAnsi="Times New Roman" w:cs="Times New Roman" w:eastAsia="Times New Roman" w:hint="default"/>
        </w:rPr>
        <w:t>―――――</w:t>
      </w:r>
      <w:r>
        <w:rPr/>
        <w:t>该暂时性差异在可预见的未来很可能不会转回。</w:t>
      </w:r>
    </w:p>
    <w:p>
      <w:pPr>
        <w:spacing w:after="0" w:line="300" w:lineRule="auto"/>
        <w:jc w:val="both"/>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91"/>
        <w:jc w:val="left"/>
        <w:rPr>
          <w:b w:val="0"/>
          <w:bCs w:val="0"/>
        </w:rPr>
      </w:pPr>
      <w:r>
        <w:rPr>
          <w:rFonts w:ascii="Times New Roman" w:hAnsi="Times New Roman" w:cs="Times New Roman" w:eastAsia="Times New Roman" w:hint="default"/>
        </w:rPr>
        <w:t>23</w:t>
      </w:r>
      <w:r>
        <w:rPr/>
        <w:t>、经营租赁、融资租赁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w:t>
      </w:r>
      <w:r>
        <w:rPr/>
        <w:t>经营租赁的主要会计处理</w:t>
      </w:r>
    </w:p>
    <w:p>
      <w:pPr>
        <w:pStyle w:val="BodyText"/>
        <w:spacing w:line="300" w:lineRule="auto" w:before="102"/>
        <w:ind w:right="91"/>
        <w:jc w:val="left"/>
      </w:pPr>
      <w:r>
        <w:rPr>
          <w:rFonts w:ascii="Times New Roman" w:hAnsi="Times New Roman" w:cs="Times New Roman" w:eastAsia="Times New Roman" w:hint="default"/>
          <w:spacing w:val="-2"/>
        </w:rPr>
        <w:t>¯¯</w:t>
      </w:r>
      <w:r>
        <w:rPr>
          <w:spacing w:val="-2"/>
        </w:rPr>
        <w:t>对于经营租赁的租金，出租人、承租人在租赁期内各个期间按照直线法确认为当期损益。出租人、承租人发生的初始直接</w:t>
      </w:r>
      <w:r>
        <w:rPr>
          <w:spacing w:val="-64"/>
        </w:rPr>
        <w:t> </w:t>
      </w:r>
      <w:r>
        <w:rPr>
          <w:spacing w:val="-64"/>
        </w:rPr>
      </w:r>
      <w:r>
        <w:rPr/>
        <w:t>费用，计入当期损益。或有租金在实际发生时计入当期损益。</w:t>
      </w:r>
    </w:p>
    <w:p>
      <w:pPr>
        <w:spacing w:line="240" w:lineRule="auto" w:before="6"/>
        <w:rPr>
          <w:rFonts w:ascii="宋体" w:hAnsi="宋体" w:cs="宋体" w:eastAsia="宋体" w:hint="default"/>
          <w:sz w:val="23"/>
          <w:szCs w:val="23"/>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w:t>
      </w:r>
      <w:r>
        <w:rPr/>
        <w:t>融资租赁的主要会计处理</w:t>
      </w:r>
    </w:p>
    <w:p>
      <w:pPr>
        <w:pStyle w:val="BodyText"/>
        <w:spacing w:line="314" w:lineRule="auto" w:before="103"/>
        <w:ind w:left="113" w:right="91"/>
        <w:jc w:val="left"/>
      </w:pPr>
      <w:r>
        <w:rPr>
          <w:rFonts w:ascii="Times New Roman" w:hAnsi="Times New Roman" w:cs="Times New Roman" w:eastAsia="Times New Roman" w:hint="default"/>
          <w:spacing w:val="-2"/>
        </w:rPr>
        <w:t>¯¯</w:t>
      </w:r>
      <w:r>
        <w:rPr>
          <w:spacing w:val="-2"/>
        </w:rPr>
        <w:t>承租人的会计处理：在租赁期开始日，将租赁开始日租赁资产公允价值与最低租赁付款额现值两者中较低者作为租入资产</w:t>
      </w:r>
      <w:r>
        <w:rPr>
          <w:spacing w:val="-62"/>
        </w:rPr>
        <w:t> </w:t>
      </w:r>
      <w:r>
        <w:rPr>
          <w:spacing w:val="-62"/>
        </w:rPr>
      </w:r>
      <w:r>
        <w:rPr>
          <w:spacing w:val="-2"/>
        </w:rPr>
        <w:t>的入账价值，将最低租赁付款额作为长期应付款的入账价值，其差额作为未确认融资费用。在租赁谈判和签订租赁合同过程</w:t>
      </w:r>
      <w:r>
        <w:rPr>
          <w:spacing w:val="-65"/>
        </w:rPr>
        <w:t> </w:t>
      </w:r>
      <w:r>
        <w:rPr>
          <w:spacing w:val="-65"/>
        </w:rPr>
      </w:r>
      <w:r>
        <w:rPr>
          <w:spacing w:val="-2"/>
        </w:rPr>
        <w:t>中发生的，可归属于租赁项目的手续费、律师费、差旅费、印花税等初始直接费用（下同），计入租入资产价值。在计算最</w:t>
      </w:r>
      <w:r>
        <w:rPr>
          <w:spacing w:val="-72"/>
        </w:rPr>
        <w:t> </w:t>
      </w:r>
      <w:r>
        <w:rPr>
          <w:spacing w:val="-72"/>
        </w:rPr>
      </w:r>
      <w:r>
        <w:rPr>
          <w:spacing w:val="-2"/>
        </w:rPr>
        <w:t>低租赁付款额的现值时，能够取得出租人租赁内含利率的，采用租赁内含利率作为折现率；否则，采用租赁合同规定的利率</w:t>
      </w:r>
      <w:r>
        <w:rPr>
          <w:spacing w:val="-66"/>
        </w:rPr>
        <w:t> </w:t>
      </w:r>
      <w:r>
        <w:rPr>
          <w:spacing w:val="-66"/>
        </w:rPr>
      </w:r>
      <w:r>
        <w:rPr>
          <w:spacing w:val="-2"/>
        </w:rPr>
        <w:t>作为折现率。无法取得出租人的租赁内含利率且租赁合同没有规定利率的，采用同期银行贷款利率作为折现率。未确认融资</w:t>
      </w:r>
      <w:r>
        <w:rPr>
          <w:spacing w:val="-65"/>
        </w:rPr>
        <w:t> </w:t>
      </w:r>
      <w:r>
        <w:rPr>
          <w:spacing w:val="-65"/>
        </w:rPr>
      </w:r>
      <w:r>
        <w:rPr/>
        <w:t>费用在租赁期内按照实际利率法计算确认当期的融资费用。本公司采用与自有固定资产相一致的折旧政策计提租赁资产折 </w:t>
      </w:r>
      <w:r>
        <w:rPr>
          <w:spacing w:val="-2"/>
        </w:rPr>
        <w:t>旧。能够合理确定租赁期届满时取得租赁资产所有权的，在租赁资产使用寿命内计提折旧。无法合理确定租赁期届满时能够</w:t>
      </w:r>
      <w:r>
        <w:rPr>
          <w:spacing w:val="-65"/>
        </w:rPr>
        <w:t> </w:t>
      </w:r>
      <w:r>
        <w:rPr>
          <w:spacing w:val="-65"/>
        </w:rPr>
      </w:r>
      <w:r>
        <w:rPr>
          <w:spacing w:val="-4"/>
        </w:rPr>
        <w:t>取得租赁资产所有权的，在租赁期与租赁资产使用寿命两者中较短的期间内计提折旧。或有租金在实际发生时计入当期损益。</w:t>
      </w:r>
    </w:p>
    <w:p>
      <w:pPr>
        <w:pStyle w:val="BodyText"/>
        <w:spacing w:line="309" w:lineRule="auto" w:before="60"/>
        <w:ind w:left="113" w:right="190"/>
        <w:jc w:val="both"/>
      </w:pPr>
      <w:r>
        <w:rPr>
          <w:rFonts w:ascii="Times New Roman" w:hAnsi="Times New Roman" w:cs="Times New Roman" w:eastAsia="Times New Roman" w:hint="default"/>
          <w:spacing w:val="-2"/>
        </w:rPr>
        <w:t>¯¯</w:t>
      </w:r>
      <w:r>
        <w:rPr>
          <w:spacing w:val="-2"/>
        </w:rPr>
        <w:t>出租人的会计处理：在租赁期开始日，出租人将租赁开始日最低租赁收款额与初始直接费用之和作为应收融资租赁款的入</w:t>
      </w:r>
      <w:r>
        <w:rPr>
          <w:spacing w:val="-62"/>
        </w:rPr>
        <w:t> </w:t>
      </w:r>
      <w:r>
        <w:rPr>
          <w:spacing w:val="-62"/>
        </w:rPr>
      </w:r>
      <w:r>
        <w:rPr>
          <w:spacing w:val="-2"/>
        </w:rPr>
        <w:t>账价值，同时记录未担保余值；将最低租赁收款额、初始直接费用及未担保余值之和与其现值之和的差额确认为未实现融资</w:t>
      </w:r>
      <w:r>
        <w:rPr>
          <w:spacing w:val="-66"/>
        </w:rPr>
        <w:t> </w:t>
      </w:r>
      <w:r>
        <w:rPr>
          <w:spacing w:val="-66"/>
        </w:rPr>
      </w:r>
      <w:r>
        <w:rPr/>
        <w:t>收益。未实现融资收益在租赁期内按照实际利率法计算确认当期的融资收入。或有租金在实际发生时计入当期损益。</w:t>
      </w:r>
    </w:p>
    <w:p>
      <w:pPr>
        <w:spacing w:line="240" w:lineRule="auto" w:before="12"/>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24</w:t>
      </w:r>
      <w:r>
        <w:rPr/>
        <w:t>、主要会计政策、会计估计的变更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本报告期主要会计政策、会计估计是否变更</w:t>
      </w:r>
    </w:p>
    <w:p>
      <w:pPr>
        <w:pStyle w:val="BodyText"/>
        <w:spacing w:line="415" w:lineRule="auto" w:before="117"/>
        <w:ind w:right="54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公司报告期内不存在主要的会计政策及会计估计变更。</w:t>
      </w:r>
    </w:p>
    <w:p>
      <w:pPr>
        <w:spacing w:line="240" w:lineRule="auto" w:before="11"/>
        <w:rPr>
          <w:rFonts w:ascii="宋体" w:hAnsi="宋体" w:cs="宋体" w:eastAsia="宋体" w:hint="default"/>
          <w:sz w:val="16"/>
          <w:szCs w:val="16"/>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本报告期主要会计政策是否变更</w:t>
      </w:r>
    </w:p>
    <w:p>
      <w:pPr>
        <w:pStyle w:val="BodyText"/>
        <w:spacing w:line="240" w:lineRule="auto" w:before="116"/>
        <w:ind w:right="91"/>
        <w:jc w:val="left"/>
      </w:pPr>
      <w:r>
        <w:rPr/>
        <w:t>□ 是 √ 否 </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本报告期主要会计估计是否变更</w:t>
      </w:r>
    </w:p>
    <w:p>
      <w:pPr>
        <w:pStyle w:val="BodyText"/>
        <w:spacing w:line="240" w:lineRule="auto" w:before="116"/>
        <w:ind w:right="91"/>
        <w:jc w:val="left"/>
      </w:pPr>
      <w:r>
        <w:rPr/>
        <w:t>□ 是 √ 否 </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rFonts w:ascii="Times New Roman" w:hAnsi="Times New Roman" w:cs="Times New Roman" w:eastAsia="Times New Roman" w:hint="default"/>
        </w:rPr>
        <w:t>25</w:t>
      </w:r>
      <w:r>
        <w:rPr/>
        <w:t>、前期会计差错更正</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1"/>
        <w:jc w:val="left"/>
      </w:pPr>
      <w:r>
        <w:rPr/>
        <w:t>本报告期是否发现前期会计差错</w:t>
      </w:r>
    </w:p>
    <w:p>
      <w:pPr>
        <w:pStyle w:val="BodyText"/>
        <w:spacing w:line="240" w:lineRule="auto" w:before="116"/>
        <w:ind w:right="91"/>
        <w:jc w:val="left"/>
      </w:pPr>
      <w:r>
        <w:rPr/>
        <w:t>□ 是 √ 否 </w:t>
      </w:r>
    </w:p>
    <w:p>
      <w:pPr>
        <w:spacing w:after="0" w:line="240" w:lineRule="auto"/>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left="113" w:right="92"/>
        <w:jc w:val="left"/>
      </w:pPr>
      <w:r>
        <w:rPr/>
        <w:t>公司报告期内不存在前期会计差错更正。</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本报告期是否发现采用追溯重述法的前期会计差错</w:t>
      </w:r>
    </w:p>
    <w:p>
      <w:pPr>
        <w:pStyle w:val="BodyText"/>
        <w:spacing w:line="240" w:lineRule="auto" w:before="117"/>
        <w:ind w:right="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2"/>
        <w:jc w:val="left"/>
      </w:pPr>
      <w:r>
        <w:rPr/>
        <w:t>本报告期是否发现采用未来适用法的前期会计差错</w:t>
      </w:r>
    </w:p>
    <w:p>
      <w:pPr>
        <w:pStyle w:val="BodyText"/>
        <w:spacing w:line="240" w:lineRule="auto" w:before="117"/>
        <w:ind w:right="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Heading3"/>
        <w:spacing w:line="590" w:lineRule="atLeast" w:before="39"/>
        <w:ind w:right="4510"/>
        <w:jc w:val="left"/>
        <w:rPr>
          <w:b w:val="0"/>
          <w:bCs w:val="0"/>
        </w:rPr>
      </w:pPr>
      <w:r>
        <w:rPr>
          <w:rFonts w:ascii="Times New Roman" w:hAnsi="Times New Roman" w:cs="Times New Roman" w:eastAsia="Times New Roman" w:hint="default"/>
          <w:w w:val="95"/>
        </w:rPr>
        <w:t>26</w:t>
      </w:r>
      <w:r>
        <w:rPr>
          <w:w w:val="95"/>
        </w:rPr>
        <w:t>、其他主要会计政策、会计估计和财务报表编制方法</w:t>
      </w:r>
      <w:r>
        <w:rPr>
          <w:spacing w:val="33"/>
          <w:w w:val="95"/>
        </w:rPr>
        <w:t> </w:t>
      </w:r>
      <w:r>
        <w:rPr>
          <w:spacing w:val="33"/>
          <w:w w:val="95"/>
        </w:rPr>
      </w:r>
      <w:r>
        <w:rPr>
          <w:u w:val="single" w:color="000000"/>
        </w:rPr>
        <w:t>利润分配政策</w:t>
      </w:r>
      <w:r>
        <w:rPr/>
      </w:r>
      <w:r>
        <w:rPr>
          <w:b w:val="0"/>
          <w:bCs w:val="0"/>
        </w:rPr>
      </w:r>
    </w:p>
    <w:p>
      <w:pPr>
        <w:pStyle w:val="BodyText"/>
        <w:spacing w:line="240" w:lineRule="auto" w:before="102"/>
        <w:ind w:right="92"/>
        <w:jc w:val="left"/>
      </w:pPr>
      <w:r>
        <w:rPr/>
        <w:t>公司税后利润按以下顺序进行分配：</w:t>
      </w:r>
    </w:p>
    <w:p>
      <w:pPr>
        <w:pStyle w:val="BodyText"/>
        <w:spacing w:line="240" w:lineRule="auto" w:before="116"/>
        <w:ind w:right="92"/>
        <w:jc w:val="left"/>
      </w:pPr>
      <w:r>
        <w:rPr/>
        <w:t>（</w:t>
      </w:r>
      <w:r>
        <w:rPr>
          <w:rFonts w:ascii="Times New Roman" w:hAnsi="Times New Roman" w:cs="Times New Roman" w:eastAsia="Times New Roman" w:hint="default"/>
        </w:rPr>
        <w:t>1</w:t>
      </w:r>
      <w:r>
        <w:rPr/>
        <w:t>）弥补以前年度亏损。</w:t>
      </w:r>
    </w:p>
    <w:p>
      <w:pPr>
        <w:pStyle w:val="BodyText"/>
        <w:spacing w:line="240" w:lineRule="auto" w:before="103"/>
        <w:ind w:right="92"/>
        <w:jc w:val="left"/>
      </w:pPr>
      <w:r>
        <w:rPr/>
        <w:t>（</w:t>
      </w:r>
      <w:r>
        <w:rPr>
          <w:rFonts w:ascii="Times New Roman" w:hAnsi="Times New Roman" w:cs="Times New Roman" w:eastAsia="Times New Roman" w:hint="default"/>
        </w:rPr>
        <w:t>2</w:t>
      </w:r>
      <w:r>
        <w:rPr/>
        <w:t>）按净利润的</w:t>
      </w:r>
      <w:r>
        <w:rPr>
          <w:spacing w:val="-47"/>
        </w:rPr>
        <w:t> </w:t>
      </w:r>
      <w:r>
        <w:rPr>
          <w:rFonts w:ascii="Times New Roman" w:hAnsi="Times New Roman" w:cs="Times New Roman" w:eastAsia="Times New Roman" w:hint="default"/>
        </w:rPr>
        <w:t>10%</w:t>
      </w:r>
      <w:r>
        <w:rPr/>
        <w:t>提取法定公积金。</w:t>
      </w:r>
    </w:p>
    <w:p>
      <w:pPr>
        <w:pStyle w:val="BodyText"/>
        <w:spacing w:line="240" w:lineRule="auto" w:before="102"/>
        <w:ind w:right="92"/>
        <w:jc w:val="left"/>
      </w:pPr>
      <w:r>
        <w:rPr/>
        <w:t>（</w:t>
      </w:r>
      <w:r>
        <w:rPr>
          <w:rFonts w:ascii="Times New Roman" w:hAnsi="Times New Roman" w:cs="Times New Roman" w:eastAsia="Times New Roman" w:hint="default"/>
        </w:rPr>
        <w:t>3</w:t>
      </w:r>
      <w:r>
        <w:rPr/>
        <w:t>）经股东大会决议，可提取任意公积金。</w:t>
      </w:r>
    </w:p>
    <w:p>
      <w:pPr>
        <w:pStyle w:val="BodyText"/>
        <w:spacing w:line="240" w:lineRule="auto" w:before="102"/>
        <w:ind w:right="92"/>
        <w:jc w:val="left"/>
      </w:pPr>
      <w:r>
        <w:rPr/>
        <w:t>（</w:t>
      </w:r>
      <w:r>
        <w:rPr>
          <w:rFonts w:ascii="Times New Roman" w:hAnsi="Times New Roman" w:cs="Times New Roman" w:eastAsia="Times New Roman" w:hint="default"/>
        </w:rPr>
        <w:t>4</w:t>
      </w:r>
      <w:r>
        <w:rPr/>
        <w:t>）剩余利润根据股东大会决议进行分配。</w:t>
      </w:r>
    </w:p>
    <w:p>
      <w:pPr>
        <w:spacing w:line="240" w:lineRule="auto" w:before="0"/>
        <w:rPr>
          <w:rFonts w:ascii="宋体" w:hAnsi="宋体" w:cs="宋体" w:eastAsia="宋体" w:hint="default"/>
          <w:sz w:val="24"/>
          <w:szCs w:val="24"/>
        </w:rPr>
      </w:pPr>
    </w:p>
    <w:p>
      <w:pPr>
        <w:pStyle w:val="Heading2"/>
        <w:spacing w:line="240" w:lineRule="auto" w:before="0"/>
        <w:ind w:right="92"/>
        <w:jc w:val="left"/>
        <w:rPr>
          <w:b w:val="0"/>
          <w:bCs w:val="0"/>
        </w:rPr>
      </w:pPr>
      <w:r>
        <w:rPr/>
        <w:t>五、税项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16"/>
        <w:gridCol w:w="3025"/>
        <w:gridCol w:w="3026"/>
      </w:tblGrid>
      <w:tr>
        <w:trPr>
          <w:trHeight w:val="402"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服务业收入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应缴纳流转税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参见本附注</w:t>
            </w:r>
          </w:p>
        </w:tc>
        <w:tc>
          <w:tcPr>
            <w:tcW w:w="3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应缴纳流转税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应缴纳流转税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2"/>
        <w:jc w:val="left"/>
      </w:pPr>
      <w:r>
        <w:rPr/>
        <w:t>各分公司、分厂执行的所得税税率</w:t>
      </w:r>
    </w:p>
    <w:p>
      <w:pPr>
        <w:pStyle w:val="BodyText"/>
        <w:spacing w:line="240" w:lineRule="auto" w:before="117"/>
        <w:ind w:right="92"/>
        <w:jc w:val="left"/>
      </w:pPr>
      <w:r>
        <w:rPr>
          <w:rFonts w:ascii="Times New Roman" w:hAnsi="Times New Roman" w:cs="Times New Roman" w:eastAsia="Times New Roman" w:hint="default"/>
        </w:rPr>
        <w:t>—</w:t>
      </w:r>
      <w:r>
        <w:rPr/>
        <w:t>企业所得税：</w:t>
      </w:r>
    </w:p>
    <w:p>
      <w:pPr>
        <w:pStyle w:val="BodyText"/>
        <w:spacing w:line="300" w:lineRule="auto" w:before="102"/>
        <w:ind w:left="113" w:right="93"/>
        <w:jc w:val="left"/>
        <w:rPr>
          <w:rFonts w:ascii="Times New Roman" w:hAnsi="Times New Roman" w:cs="Times New Roman" w:eastAsia="Times New Roman" w:hint="default"/>
        </w:rPr>
      </w:pPr>
      <w:r>
        <w:rPr>
          <w:rFonts w:ascii="Times New Roman" w:hAnsi="Times New Roman" w:cs="Times New Roman" w:eastAsia="Times New Roman" w:hint="default"/>
        </w:rPr>
        <w:t>——</w:t>
      </w:r>
      <w:r>
        <w:rPr/>
        <w:t>长城集团被认定为广东省</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年第一批高新技术企业，</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年通过广东省第一批高新技术企业复审，高新技术企业证 书编号为</w:t>
      </w:r>
      <w:r>
        <w:rPr>
          <w:spacing w:val="-48"/>
        </w:rPr>
        <w:t> </w:t>
      </w:r>
      <w:r>
        <w:rPr>
          <w:rFonts w:ascii="Times New Roman" w:hAnsi="Times New Roman" w:cs="Times New Roman" w:eastAsia="Times New Roman" w:hint="default"/>
        </w:rPr>
        <w:t>GF201244000183</w:t>
      </w:r>
      <w:r>
        <w:rPr/>
        <w:t>，发证日期是</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日，有效期</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年，享受高新技术企业所得税优惠政策期限为</w:t>
      </w:r>
      <w:r>
        <w:rPr>
          <w:spacing w:val="-47"/>
        </w:rPr>
        <w:t> </w:t>
      </w:r>
      <w:r>
        <w:rPr>
          <w:rFonts w:ascii="Times New Roman" w:hAnsi="Times New Roman" w:cs="Times New Roman" w:eastAsia="Times New Roman" w:hint="default"/>
        </w:rPr>
        <w:t>2012</w:t>
      </w:r>
    </w:p>
    <w:p>
      <w:pPr>
        <w:pStyle w:val="BodyText"/>
        <w:spacing w:line="300" w:lineRule="auto" w:before="13"/>
        <w:ind w:left="113" w:right="153"/>
        <w:jc w:val="left"/>
      </w:pP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日；根据企业所得税法的有关规定，公司</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年度均按</w:t>
      </w:r>
      <w:r>
        <w:rPr>
          <w:spacing w:val="-47"/>
        </w:rPr>
        <w:t> </w:t>
      </w:r>
      <w:r>
        <w:rPr>
          <w:rFonts w:ascii="Times New Roman" w:hAnsi="Times New Roman" w:cs="Times New Roman" w:eastAsia="Times New Roman" w:hint="default"/>
        </w:rPr>
        <w:t>15%</w:t>
      </w:r>
      <w:r>
        <w:rPr/>
        <w:t>的税率计缴企业所 得税。</w:t>
      </w:r>
    </w:p>
    <w:p>
      <w:pPr>
        <w:pStyle w:val="BodyText"/>
        <w:spacing w:line="240" w:lineRule="auto" w:before="71"/>
        <w:ind w:left="113" w:right="92"/>
        <w:jc w:val="left"/>
      </w:pPr>
      <w:r>
        <w:rPr>
          <w:rFonts w:ascii="Times New Roman" w:hAnsi="Times New Roman" w:cs="Times New Roman" w:eastAsia="Times New Roman" w:hint="default"/>
        </w:rPr>
        <w:t>——</w:t>
      </w:r>
      <w:r>
        <w:rPr/>
        <w:t>自</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日起公司的子公司按</w:t>
      </w:r>
      <w:r>
        <w:rPr>
          <w:spacing w:val="-46"/>
        </w:rPr>
        <w:t> </w:t>
      </w:r>
      <w:r>
        <w:rPr>
          <w:rFonts w:ascii="Times New Roman" w:hAnsi="Times New Roman" w:cs="Times New Roman" w:eastAsia="Times New Roman" w:hint="default"/>
        </w:rPr>
        <w:t>25%</w:t>
      </w:r>
      <w:r>
        <w:rPr/>
        <w:t>的税率计缴企业所得税。</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91"/>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113" w:right="173"/>
        <w:jc w:val="left"/>
        <w:rPr>
          <w:rFonts w:ascii="Times New Roman" w:hAnsi="Times New Roman" w:cs="Times New Roman" w:eastAsia="Times New Roman" w:hint="default"/>
        </w:rPr>
      </w:pPr>
      <w:r>
        <w:rPr/>
        <w:t>长城集团被认定为广东省</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年第一批高新技术企业，</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年通过广东省第一批高新技术企业复审，高新技术企业证书编 号为</w:t>
      </w:r>
      <w:r>
        <w:rPr>
          <w:spacing w:val="-47"/>
        </w:rPr>
        <w:t> </w:t>
      </w:r>
      <w:r>
        <w:rPr>
          <w:rFonts w:ascii="Times New Roman" w:hAnsi="Times New Roman" w:cs="Times New Roman" w:eastAsia="Times New Roman" w:hint="default"/>
        </w:rPr>
        <w:t>GF201244000183</w:t>
      </w:r>
      <w:r>
        <w:rPr/>
        <w:t>，发证日期是</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日，有效期</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年，享受高新技术企业所得税优惠政策期限为</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p>
    <w:p>
      <w:pPr>
        <w:pStyle w:val="BodyText"/>
        <w:spacing w:line="240" w:lineRule="auto" w:before="13"/>
        <w:ind w:left="113" w:right="0"/>
        <w:jc w:val="left"/>
      </w:pP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日；根据企业所得税法的有关规定，公司</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spacing w:val="-3"/>
        </w:rPr>
        <w:t>年度、</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4"/>
        </w:rPr>
        <w:t> </w:t>
      </w:r>
      <w:r>
        <w:rPr/>
        <w:t>年度均按</w:t>
      </w:r>
      <w:r>
        <w:rPr>
          <w:spacing w:val="-48"/>
        </w:rPr>
        <w:t> </w:t>
      </w:r>
      <w:r>
        <w:rPr>
          <w:rFonts w:ascii="Times New Roman" w:hAnsi="Times New Roman" w:cs="Times New Roman" w:eastAsia="Times New Roman" w:hint="default"/>
        </w:rPr>
        <w:t>15%</w:t>
      </w:r>
      <w:r>
        <w:rPr/>
        <w:t>的税率计缴企业所得税。</w:t>
      </w:r>
    </w:p>
    <w:p>
      <w:pPr>
        <w:spacing w:line="240" w:lineRule="auto" w:before="11"/>
        <w:rPr>
          <w:rFonts w:ascii="宋体" w:hAnsi="宋体" w:cs="宋体" w:eastAsia="宋体" w:hint="default"/>
          <w:sz w:val="25"/>
          <w:szCs w:val="25"/>
        </w:rPr>
      </w:pPr>
    </w:p>
    <w:p>
      <w:pPr>
        <w:pStyle w:val="Heading3"/>
        <w:spacing w:line="240" w:lineRule="auto"/>
        <w:ind w:right="91"/>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w:t>
      </w:r>
      <w:r>
        <w:rPr/>
        <w:t>增值税：</w:t>
      </w:r>
    </w:p>
    <w:p>
      <w:pPr>
        <w:pStyle w:val="BodyText"/>
        <w:spacing w:line="240" w:lineRule="auto" w:before="102"/>
        <w:ind w:right="91"/>
        <w:jc w:val="left"/>
        <w:rPr>
          <w:rFonts w:ascii="Times New Roman" w:hAnsi="Times New Roman" w:cs="Times New Roman" w:eastAsia="Times New Roman" w:hint="default"/>
        </w:rPr>
      </w:pPr>
      <w:r>
        <w:rPr>
          <w:rFonts w:ascii="Times New Roman" w:hAnsi="Times New Roman" w:cs="Times New Roman" w:eastAsia="Times New Roman" w:hint="default"/>
        </w:rPr>
        <w:t>——</w:t>
      </w:r>
      <w:r>
        <w:rPr/>
        <w:t>公司产品销售收入按</w:t>
      </w:r>
      <w:r>
        <w:rPr>
          <w:spacing w:val="-46"/>
        </w:rPr>
        <w:t> </w:t>
      </w:r>
      <w:r>
        <w:rPr>
          <w:rFonts w:ascii="Times New Roman" w:hAnsi="Times New Roman" w:cs="Times New Roman" w:eastAsia="Times New Roman" w:hint="default"/>
        </w:rPr>
        <w:t>17%</w:t>
      </w:r>
      <w:r>
        <w:rPr/>
        <w:t>的税率计算销项税，并按扣除当期允许抵扣的进项税额后的差额缴纳增值税。</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3"/>
        </w:rPr>
        <w:t>11 </w:t>
      </w:r>
      <w:r>
        <w:rPr/>
        <w:t>月</w:t>
      </w:r>
      <w:r>
        <w:rPr>
          <w:spacing w:val="-46"/>
        </w:rPr>
        <w:t> </w:t>
      </w:r>
      <w:r>
        <w:rPr>
          <w:rFonts w:ascii="Times New Roman" w:hAnsi="Times New Roman" w:cs="Times New Roman" w:eastAsia="Times New Roman" w:hint="default"/>
        </w:rPr>
        <w:t>1</w:t>
      </w:r>
    </w:p>
    <w:p>
      <w:pPr>
        <w:pStyle w:val="BodyText"/>
        <w:spacing w:line="240" w:lineRule="auto" w:before="63"/>
        <w:ind w:left="113" w:right="91"/>
        <w:jc w:val="left"/>
      </w:pPr>
      <w:r>
        <w:rPr/>
        <w:t>日起，公司提供有形动产租赁服务按照</w:t>
      </w:r>
      <w:r>
        <w:rPr>
          <w:spacing w:val="-46"/>
        </w:rPr>
        <w:t> </w:t>
      </w:r>
      <w:r>
        <w:rPr>
          <w:rFonts w:ascii="Times New Roman" w:hAnsi="Times New Roman" w:cs="Times New Roman" w:eastAsia="Times New Roman" w:hint="default"/>
        </w:rPr>
        <w:t>17%</w:t>
      </w:r>
      <w:r>
        <w:rPr/>
        <w:t>的税率计算缴纳增值税。</w:t>
      </w:r>
    </w:p>
    <w:p>
      <w:pPr>
        <w:pStyle w:val="BodyText"/>
        <w:spacing w:line="240" w:lineRule="auto" w:before="103"/>
        <w:ind w:left="113" w:right="91"/>
        <w:jc w:val="left"/>
      </w:pPr>
      <w:r>
        <w:rPr>
          <w:rFonts w:ascii="Times New Roman" w:hAnsi="Times New Roman" w:cs="Times New Roman" w:eastAsia="Times New Roman" w:hint="default"/>
        </w:rPr>
        <w:t>——</w:t>
      </w:r>
      <w:r>
        <w:rPr/>
        <w:t>出口产品享受增值税</w:t>
      </w:r>
      <w:r>
        <w:rPr>
          <w:rFonts w:ascii="Times New Roman" w:hAnsi="Times New Roman" w:cs="Times New Roman" w:eastAsia="Times New Roman" w:hint="default"/>
        </w:rPr>
        <w:t>“</w:t>
      </w:r>
      <w:r>
        <w:rPr/>
        <w:t>免、抵、退</w:t>
      </w:r>
      <w:r>
        <w:rPr>
          <w:rFonts w:ascii="Times New Roman" w:hAnsi="Times New Roman" w:cs="Times New Roman" w:eastAsia="Times New Roman" w:hint="default"/>
        </w:rPr>
        <w:t>”</w:t>
      </w:r>
      <w:r>
        <w:rPr/>
        <w:t>优惠政策，从</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日起开始，将日用陶瓷出口退税率上调至</w:t>
      </w:r>
      <w:r>
        <w:rPr>
          <w:spacing w:val="-47"/>
        </w:rPr>
        <w:t> </w:t>
      </w:r>
      <w:r>
        <w:rPr>
          <w:rFonts w:ascii="Times New Roman" w:hAnsi="Times New Roman" w:cs="Times New Roman" w:eastAsia="Times New Roman" w:hint="default"/>
        </w:rPr>
        <w:t>13%</w:t>
      </w:r>
      <w:r>
        <w:rPr/>
        <w:t>。</w:t>
      </w:r>
    </w:p>
    <w:p>
      <w:pPr>
        <w:pStyle w:val="BodyText"/>
        <w:spacing w:line="240" w:lineRule="auto" w:before="102"/>
        <w:ind w:left="113" w:right="91"/>
        <w:jc w:val="left"/>
      </w:pPr>
      <w:r>
        <w:rPr>
          <w:rFonts w:ascii="Times New Roman" w:hAnsi="Times New Roman" w:cs="Times New Roman" w:eastAsia="Times New Roman" w:hint="default"/>
        </w:rPr>
        <w:t>——</w:t>
      </w:r>
      <w:r>
        <w:rPr/>
        <w:t>公司之子公司潮州市万泉陶瓷花纸有限公司为增值税一般纳税人应税收入的</w:t>
      </w:r>
      <w:r>
        <w:rPr>
          <w:spacing w:val="-46"/>
        </w:rPr>
        <w:t> </w:t>
      </w:r>
      <w:r>
        <w:rPr>
          <w:rFonts w:ascii="Times New Roman" w:hAnsi="Times New Roman" w:cs="Times New Roman" w:eastAsia="Times New Roman" w:hint="default"/>
        </w:rPr>
        <w:t>17%</w:t>
      </w:r>
      <w:r>
        <w:rPr/>
        <w:t>计缴增值税。</w:t>
      </w:r>
    </w:p>
    <w:p>
      <w:pPr>
        <w:pStyle w:val="BodyText"/>
        <w:spacing w:line="240" w:lineRule="auto" w:before="102"/>
        <w:ind w:left="113" w:right="91"/>
        <w:jc w:val="left"/>
      </w:pPr>
      <w:r>
        <w:rPr>
          <w:rFonts w:ascii="Times New Roman" w:hAnsi="Times New Roman" w:cs="Times New Roman" w:eastAsia="Times New Roman" w:hint="default"/>
        </w:rPr>
        <w:t>——</w:t>
      </w:r>
      <w:r>
        <w:rPr/>
        <w:t>公司之子公司潮州市三江陶瓷原料有限公司为增值税一般纳税人应税收入的</w:t>
      </w:r>
      <w:r>
        <w:rPr>
          <w:spacing w:val="-46"/>
        </w:rPr>
        <w:t> </w:t>
      </w:r>
      <w:r>
        <w:rPr>
          <w:rFonts w:ascii="Times New Roman" w:hAnsi="Times New Roman" w:cs="Times New Roman" w:eastAsia="Times New Roman" w:hint="default"/>
        </w:rPr>
        <w:t>17%</w:t>
      </w:r>
      <w:r>
        <w:rPr/>
        <w:t>计缴增值税。</w:t>
      </w:r>
    </w:p>
    <w:p>
      <w:pPr>
        <w:pStyle w:val="BodyText"/>
        <w:spacing w:line="240" w:lineRule="auto" w:before="103"/>
        <w:ind w:left="113" w:right="0"/>
        <w:jc w:val="left"/>
      </w:pPr>
      <w:r>
        <w:rPr>
          <w:rFonts w:ascii="Times New Roman" w:hAnsi="Times New Roman" w:cs="Times New Roman" w:eastAsia="Times New Roman" w:hint="default"/>
        </w:rPr>
        <w:t>——</w:t>
      </w:r>
      <w:r>
        <w:rPr/>
        <w:t>公司之子公司广州长城世家投资有限公司</w:t>
      </w:r>
      <w:r>
        <w:rPr>
          <w:spacing w:val="-90"/>
        </w:rPr>
        <w:t>，</w:t>
      </w:r>
      <w:r>
        <w:rPr/>
        <w:t>自</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日作为增值税一般纳税人起按应税收入的</w:t>
      </w:r>
      <w:r>
        <w:rPr>
          <w:spacing w:val="-45"/>
        </w:rPr>
        <w:t> </w:t>
      </w:r>
      <w:r>
        <w:rPr>
          <w:rFonts w:ascii="Times New Roman" w:hAnsi="Times New Roman" w:cs="Times New Roman" w:eastAsia="Times New Roman" w:hint="default"/>
        </w:rPr>
        <w:t>17%</w:t>
      </w:r>
      <w:r>
        <w:rPr/>
        <w:t>计缴增值税。</w:t>
      </w:r>
    </w:p>
    <w:p>
      <w:pPr>
        <w:pStyle w:val="BodyText"/>
        <w:spacing w:line="300" w:lineRule="auto" w:before="102"/>
        <w:ind w:left="113" w:right="259"/>
        <w:jc w:val="left"/>
      </w:pPr>
      <w:r>
        <w:rPr>
          <w:rFonts w:ascii="Times New Roman" w:hAnsi="Times New Roman" w:cs="Times New Roman" w:eastAsia="Times New Roman" w:hint="default"/>
        </w:rPr>
        <w:t>——</w:t>
      </w:r>
      <w:r>
        <w:rPr/>
        <w:t>公司之子公司深圳长城世家商贸有限公司，</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1-11</w:t>
      </w:r>
      <w:r>
        <w:rPr>
          <w:rFonts w:ascii="Times New Roman" w:hAnsi="Times New Roman" w:cs="Times New Roman" w:eastAsia="Times New Roman" w:hint="default"/>
          <w:spacing w:val="-5"/>
        </w:rPr>
        <w:t> </w:t>
      </w:r>
      <w:r>
        <w:rPr/>
        <w:t>月作为增值税小规模纳税人按应税收入的</w:t>
      </w:r>
      <w:r>
        <w:rPr>
          <w:spacing w:val="-49"/>
        </w:rPr>
        <w:t> </w:t>
      </w:r>
      <w:r>
        <w:rPr>
          <w:rFonts w:ascii="Times New Roman" w:hAnsi="Times New Roman" w:cs="Times New Roman" w:eastAsia="Times New Roman" w:hint="default"/>
        </w:rPr>
        <w:t>3%</w:t>
      </w:r>
      <w:r>
        <w:rPr/>
        <w:t>计缴增值税，自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日作为增值税一般纳税人起按应税收入的</w:t>
      </w:r>
      <w:r>
        <w:rPr>
          <w:spacing w:val="-47"/>
        </w:rPr>
        <w:t> </w:t>
      </w:r>
      <w:r>
        <w:rPr>
          <w:rFonts w:ascii="Times New Roman" w:hAnsi="Times New Roman" w:cs="Times New Roman" w:eastAsia="Times New Roman" w:hint="default"/>
        </w:rPr>
        <w:t>17%</w:t>
      </w:r>
      <w:r>
        <w:rPr/>
        <w:t>计缴增值税。</w:t>
      </w:r>
    </w:p>
    <w:p>
      <w:pPr>
        <w:pStyle w:val="BodyText"/>
        <w:spacing w:line="240" w:lineRule="auto" w:before="52"/>
        <w:ind w:left="113" w:right="91"/>
        <w:jc w:val="left"/>
      </w:pPr>
      <w:r>
        <w:rPr>
          <w:rFonts w:ascii="Times New Roman" w:hAnsi="Times New Roman" w:cs="Times New Roman" w:eastAsia="Times New Roman" w:hint="default"/>
        </w:rPr>
        <w:t>——</w:t>
      </w:r>
      <w:r>
        <w:rPr/>
        <w:t>公司之子公司北京昶城世家商贸有限公司，</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年度为增值税小规模纳税人按应税收入的</w:t>
      </w:r>
      <w:r>
        <w:rPr>
          <w:spacing w:val="-48"/>
        </w:rPr>
        <w:t> </w:t>
      </w:r>
      <w:r>
        <w:rPr>
          <w:rFonts w:ascii="Times New Roman" w:hAnsi="Times New Roman" w:cs="Times New Roman" w:eastAsia="Times New Roman" w:hint="default"/>
        </w:rPr>
        <w:t>3%</w:t>
      </w:r>
      <w:r>
        <w:rPr/>
        <w:t>计缴增值税，自</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p>
    <w:p>
      <w:pPr>
        <w:pStyle w:val="BodyText"/>
        <w:spacing w:line="240" w:lineRule="auto" w:before="63"/>
        <w:ind w:left="113" w:right="9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日作为增值税一般纳税人起按应税收入的</w:t>
      </w:r>
      <w:r>
        <w:rPr>
          <w:spacing w:val="-47"/>
        </w:rPr>
        <w:t> </w:t>
      </w:r>
      <w:r>
        <w:rPr>
          <w:rFonts w:ascii="Times New Roman" w:hAnsi="Times New Roman" w:cs="Times New Roman" w:eastAsia="Times New Roman" w:hint="default"/>
        </w:rPr>
        <w:t>17%</w:t>
      </w:r>
      <w:r>
        <w:rPr/>
        <w:t>计缴增值税。</w:t>
      </w:r>
    </w:p>
    <w:p>
      <w:pPr>
        <w:pStyle w:val="BodyText"/>
        <w:spacing w:line="240" w:lineRule="auto" w:before="103"/>
        <w:ind w:left="113" w:right="91"/>
        <w:jc w:val="left"/>
      </w:pPr>
      <w:r>
        <w:rPr>
          <w:rFonts w:ascii="Times New Roman" w:hAnsi="Times New Roman" w:cs="Times New Roman" w:eastAsia="Times New Roman" w:hint="default"/>
        </w:rPr>
        <w:t>——</w:t>
      </w:r>
      <w:r>
        <w:rPr/>
        <w:t>公司之子公司深圳市世家会艺术品投资有限公司，为增值税一般纳税人应税收入的</w:t>
      </w:r>
      <w:r>
        <w:rPr>
          <w:spacing w:val="-46"/>
        </w:rPr>
        <w:t> </w:t>
      </w:r>
      <w:r>
        <w:rPr>
          <w:rFonts w:ascii="Times New Roman" w:hAnsi="Times New Roman" w:cs="Times New Roman" w:eastAsia="Times New Roman" w:hint="default"/>
        </w:rPr>
        <w:t>17%</w:t>
      </w:r>
      <w:r>
        <w:rPr/>
        <w:t>计缴增值税。</w:t>
      </w:r>
    </w:p>
    <w:p>
      <w:pPr>
        <w:pStyle w:val="BodyText"/>
        <w:spacing w:line="240" w:lineRule="auto" w:before="102"/>
        <w:ind w:left="113" w:right="91"/>
        <w:jc w:val="left"/>
      </w:pPr>
      <w:r>
        <w:rPr>
          <w:rFonts w:ascii="Times New Roman" w:hAnsi="Times New Roman" w:cs="Times New Roman" w:eastAsia="Times New Roman" w:hint="default"/>
        </w:rPr>
        <w:t>—</w:t>
      </w:r>
      <w:r>
        <w:rPr/>
        <w:t>营业税：根据国家有关税法规定，公司按照属营业税征税范围的服务业收入的</w:t>
      </w:r>
      <w:r>
        <w:rPr>
          <w:spacing w:val="-46"/>
        </w:rPr>
        <w:t> </w:t>
      </w:r>
      <w:r>
        <w:rPr>
          <w:rFonts w:ascii="Times New Roman" w:hAnsi="Times New Roman" w:cs="Times New Roman" w:eastAsia="Times New Roman" w:hint="default"/>
        </w:rPr>
        <w:t>5%</w:t>
      </w:r>
      <w:r>
        <w:rPr/>
        <w:t>计缴营业税。</w:t>
      </w:r>
    </w:p>
    <w:p>
      <w:pPr>
        <w:pStyle w:val="BodyText"/>
        <w:spacing w:line="300" w:lineRule="auto" w:before="102"/>
        <w:ind w:left="113" w:right="91"/>
        <w:jc w:val="left"/>
      </w:pPr>
      <w:r>
        <w:rPr>
          <w:rFonts w:ascii="Times New Roman" w:hAnsi="Times New Roman" w:cs="Times New Roman" w:eastAsia="Times New Roman" w:hint="default"/>
          <w:spacing w:val="-2"/>
        </w:rPr>
        <w:t>—</w:t>
      </w:r>
      <w:r>
        <w:rPr>
          <w:spacing w:val="-2"/>
        </w:rPr>
        <w:t>城市维护建设税：按当期应交增值税额（当期免抵的增值税税额应纳入城市维护建设税的计征范围）、应交营业税额的合</w:t>
      </w:r>
      <w:r>
        <w:rPr>
          <w:spacing w:val="-72"/>
        </w:rPr>
        <w:t> </w:t>
      </w:r>
      <w:r>
        <w:rPr>
          <w:spacing w:val="-72"/>
        </w:rPr>
      </w:r>
      <w:r>
        <w:rPr/>
        <w:t>计数的</w:t>
      </w:r>
      <w:r>
        <w:rPr>
          <w:spacing w:val="-47"/>
        </w:rPr>
        <w:t> </w:t>
      </w:r>
      <w:r>
        <w:rPr>
          <w:rFonts w:ascii="Times New Roman" w:hAnsi="Times New Roman" w:cs="Times New Roman" w:eastAsia="Times New Roman" w:hint="default"/>
        </w:rPr>
        <w:t>7%</w:t>
      </w:r>
      <w:r>
        <w:rPr/>
        <w:t>计缴。</w:t>
      </w:r>
    </w:p>
    <w:p>
      <w:pPr>
        <w:pStyle w:val="BodyText"/>
        <w:spacing w:line="240" w:lineRule="auto" w:before="53"/>
        <w:ind w:left="113" w:right="91"/>
        <w:jc w:val="left"/>
        <w:rPr>
          <w:rFonts w:ascii="Times New Roman" w:hAnsi="Times New Roman" w:cs="Times New Roman" w:eastAsia="Times New Roman" w:hint="default"/>
        </w:rPr>
      </w:pPr>
      <w:r>
        <w:rPr>
          <w:rFonts w:ascii="Times New Roman" w:hAnsi="Times New Roman" w:cs="Times New Roman" w:eastAsia="Times New Roman" w:hint="default"/>
        </w:rPr>
        <w:t>—</w:t>
      </w:r>
      <w:r>
        <w:rPr/>
        <w:t>教育费附加</w:t>
      </w:r>
      <w:r>
        <w:rPr>
          <w:spacing w:val="-34"/>
        </w:rPr>
        <w:t>：</w:t>
      </w:r>
      <w:r>
        <w:rPr/>
        <w:t>按当期应交增值税</w:t>
      </w:r>
      <w:r>
        <w:rPr>
          <w:spacing w:val="-32"/>
        </w:rPr>
        <w:t>额</w:t>
      </w:r>
      <w:r>
        <w:rPr/>
        <w:t>（当期免抵的增值税税额应纳入教育费附加的计征范围</w:t>
      </w:r>
      <w:r>
        <w:rPr>
          <w:spacing w:val="-90"/>
        </w:rPr>
        <w:t>）</w:t>
      </w:r>
      <w:r>
        <w:rPr>
          <w:spacing w:val="-33"/>
        </w:rPr>
        <w:t>、</w:t>
      </w:r>
      <w:r>
        <w:rPr/>
        <w:t>应交营业税额的合计数的</w:t>
      </w:r>
      <w:r>
        <w:rPr>
          <w:spacing w:val="-45"/>
        </w:rPr>
        <w:t> </w:t>
      </w:r>
      <w:r>
        <w:rPr>
          <w:rFonts w:ascii="Times New Roman" w:hAnsi="Times New Roman" w:cs="Times New Roman" w:eastAsia="Times New Roman" w:hint="default"/>
        </w:rPr>
        <w:t>3%</w:t>
      </w:r>
    </w:p>
    <w:p>
      <w:pPr>
        <w:pStyle w:val="BodyText"/>
        <w:spacing w:line="240" w:lineRule="auto" w:before="63"/>
        <w:ind w:left="113" w:right="91"/>
        <w:jc w:val="left"/>
      </w:pPr>
      <w:r>
        <w:rPr/>
        <w:t>计缴。</w:t>
      </w:r>
    </w:p>
    <w:p>
      <w:pPr>
        <w:pStyle w:val="BodyText"/>
        <w:spacing w:line="300" w:lineRule="auto" w:before="116"/>
        <w:ind w:left="113" w:right="91"/>
        <w:jc w:val="left"/>
      </w:pPr>
      <w:r>
        <w:rPr>
          <w:rFonts w:ascii="Times New Roman" w:hAnsi="Times New Roman" w:cs="Times New Roman" w:eastAsia="Times New Roman" w:hint="default"/>
          <w:spacing w:val="-2"/>
        </w:rPr>
        <w:t>—</w:t>
      </w:r>
      <w:r>
        <w:rPr>
          <w:spacing w:val="-2"/>
        </w:rPr>
        <w:t>地方教育费附加：按当期应交增值税额（当期免抵的增值税税额应纳入地方教育费附加的计征范围）、应交营业税额的合</w:t>
      </w:r>
      <w:r>
        <w:rPr>
          <w:spacing w:val="-72"/>
        </w:rPr>
        <w:t> </w:t>
      </w:r>
      <w:r>
        <w:rPr>
          <w:spacing w:val="-72"/>
        </w:rPr>
      </w:r>
      <w:r>
        <w:rPr/>
        <w:t>计数的</w:t>
      </w:r>
      <w:r>
        <w:rPr>
          <w:spacing w:val="-47"/>
        </w:rPr>
        <w:t> </w:t>
      </w:r>
      <w:r>
        <w:rPr>
          <w:rFonts w:ascii="Times New Roman" w:hAnsi="Times New Roman" w:cs="Times New Roman" w:eastAsia="Times New Roman" w:hint="default"/>
        </w:rPr>
        <w:t>2%</w:t>
      </w:r>
      <w:r>
        <w:rPr/>
        <w:t>计缴。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6"/>
        <w:ind w:right="91"/>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1"/>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1"/>
        <w:jc w:val="left"/>
      </w:pPr>
      <w:r>
        <w:rPr>
          <w:rFonts w:ascii="Times New Roman" w:hAnsi="Times New Roman" w:cs="Times New Roman" w:eastAsia="Times New Roman" w:hint="default"/>
        </w:rPr>
        <w:t>—</w:t>
      </w:r>
      <w:r>
        <w:rPr/>
        <w:t>广州长城世家投资有限公司于</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日由公司、蔡廷祥及吴淡珠三方出资成立，注册资本为</w:t>
      </w:r>
      <w:r>
        <w:rPr>
          <w:spacing w:val="-5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t>万元，其中公</w:t>
      </w:r>
    </w:p>
    <w:p>
      <w:pPr>
        <w:pStyle w:val="BodyText"/>
        <w:spacing w:line="240" w:lineRule="auto" w:before="63"/>
        <w:ind w:left="113" w:right="91"/>
        <w:jc w:val="left"/>
      </w:pPr>
      <w:r>
        <w:rPr/>
        <w:t>司认缴</w:t>
      </w:r>
      <w:r>
        <w:rPr>
          <w:spacing w:val="-45"/>
        </w:rPr>
        <w:t> </w:t>
      </w:r>
      <w:r>
        <w:rPr>
          <w:rFonts w:ascii="Times New Roman" w:hAnsi="Times New Roman" w:cs="Times New Roman" w:eastAsia="Times New Roman" w:hint="default"/>
        </w:rPr>
        <w:t>625</w:t>
      </w:r>
      <w:r>
        <w:rPr>
          <w:rFonts w:ascii="Times New Roman" w:hAnsi="Times New Roman" w:cs="Times New Roman" w:eastAsia="Times New Roman" w:hint="default"/>
          <w:spacing w:val="-1"/>
        </w:rPr>
        <w:t> </w:t>
      </w:r>
      <w:r>
        <w:rPr/>
        <w:t>万元，蔡廷祥认缴</w:t>
      </w:r>
      <w:r>
        <w:rPr>
          <w:spacing w:val="-45"/>
        </w:rPr>
        <w:t> </w:t>
      </w:r>
      <w:r>
        <w:rPr>
          <w:rFonts w:ascii="Times New Roman" w:hAnsi="Times New Roman" w:cs="Times New Roman" w:eastAsia="Times New Roman" w:hint="default"/>
        </w:rPr>
        <w:t>250</w:t>
      </w:r>
      <w:r>
        <w:rPr>
          <w:rFonts w:ascii="Times New Roman" w:hAnsi="Times New Roman" w:cs="Times New Roman" w:eastAsia="Times New Roman" w:hint="default"/>
          <w:spacing w:val="-1"/>
        </w:rPr>
        <w:t> </w:t>
      </w:r>
      <w:r>
        <w:rPr/>
        <w:t>万元，吴淡珠认缴</w:t>
      </w:r>
      <w:r>
        <w:rPr>
          <w:spacing w:val="-45"/>
        </w:rPr>
        <w:t> </w:t>
      </w:r>
      <w:r>
        <w:rPr>
          <w:rFonts w:ascii="Times New Roman" w:hAnsi="Times New Roman" w:cs="Times New Roman" w:eastAsia="Times New Roman" w:hint="default"/>
        </w:rPr>
        <w:t>125</w:t>
      </w:r>
      <w:r>
        <w:rPr>
          <w:rFonts w:ascii="Times New Roman" w:hAnsi="Times New Roman" w:cs="Times New Roman" w:eastAsia="Times New Roman" w:hint="default"/>
          <w:spacing w:val="-1"/>
        </w:rPr>
        <w:t> </w:t>
      </w:r>
      <w:r>
        <w:rPr/>
        <w:t>万元，分两次缴足。截至</w:t>
      </w:r>
      <w:r>
        <w:rPr>
          <w:spacing w:val="-46"/>
        </w:rPr>
        <w:t> </w:t>
      </w:r>
      <w:r>
        <w:rPr>
          <w:rFonts w:ascii="Times New Roman" w:hAnsi="Times New Roman" w:cs="Times New Roman" w:eastAsia="Times New Roman" w:hint="default"/>
        </w:rPr>
        <w:t>2007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日，三方共缴纳第一期</w:t>
      </w:r>
    </w:p>
    <w:p>
      <w:pPr>
        <w:pStyle w:val="BodyText"/>
        <w:spacing w:line="240" w:lineRule="auto" w:before="63"/>
        <w:ind w:left="113" w:right="91"/>
        <w:jc w:val="left"/>
      </w:pPr>
      <w:r>
        <w:rPr/>
        <w:t>出资额</w:t>
      </w:r>
      <w:r>
        <w:rPr>
          <w:spacing w:val="-45"/>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万元，其中公司缴纳</w:t>
      </w:r>
      <w:r>
        <w:rPr>
          <w:spacing w:val="-46"/>
        </w:rPr>
        <w:t> </w:t>
      </w:r>
      <w:r>
        <w:rPr>
          <w:rFonts w:ascii="Times New Roman" w:hAnsi="Times New Roman" w:cs="Times New Roman" w:eastAsia="Times New Roman" w:hint="default"/>
        </w:rPr>
        <w:t>125 </w:t>
      </w:r>
      <w:r>
        <w:rPr/>
        <w:t>万元，蔡廷祥缴纳</w:t>
      </w:r>
      <w:r>
        <w:rPr>
          <w:spacing w:val="-45"/>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万元，吴淡珠缴纳</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日广州长城世家投资</w:t>
      </w:r>
    </w:p>
    <w:p>
      <w:pPr>
        <w:pStyle w:val="BodyText"/>
        <w:spacing w:line="240" w:lineRule="auto" w:before="63"/>
        <w:ind w:right="0"/>
        <w:jc w:val="left"/>
      </w:pPr>
      <w:r>
        <w:rPr/>
        <w:t>有限公司召开股东大会</w:t>
      </w:r>
      <w:r>
        <w:rPr>
          <w:spacing w:val="-87"/>
        </w:rPr>
        <w:t>，</w:t>
      </w:r>
      <w:r>
        <w:rPr/>
        <w:t>同意蔡廷祥及吴淡珠将其出资额等价转让给本公司</w:t>
      </w:r>
      <w:r>
        <w:rPr>
          <w:spacing w:val="-86"/>
        </w:rPr>
        <w:t>，</w:t>
      </w:r>
      <w:r>
        <w:rPr/>
        <w:t>并决议由公司一人缴足第二期出资额</w:t>
      </w:r>
      <w:r>
        <w:rPr>
          <w:spacing w:val="-46"/>
        </w:rPr>
        <w:t> </w:t>
      </w:r>
      <w:r>
        <w:rPr>
          <w:rFonts w:ascii="Times New Roman" w:hAnsi="Times New Roman" w:cs="Times New Roman" w:eastAsia="Times New Roman" w:hint="default"/>
        </w:rPr>
        <w:t>800 </w:t>
      </w:r>
      <w:r>
        <w:rPr/>
        <w:t>万元。</w:t>
      </w:r>
    </w:p>
    <w:p>
      <w:pPr>
        <w:pStyle w:val="BodyText"/>
        <w:spacing w:line="300" w:lineRule="auto" w:before="63"/>
        <w:ind w:right="185"/>
        <w:jc w:val="left"/>
      </w:pPr>
      <w:r>
        <w:rPr>
          <w:rFonts w:ascii="Times New Roman" w:hAnsi="Times New Roman" w:cs="Times New Roman" w:eastAsia="Times New Roman" w:hint="default"/>
        </w:rPr>
        <w:t>2008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日，公司缴足第二期出资额</w:t>
      </w:r>
      <w:r>
        <w:rPr>
          <w:spacing w:val="-45"/>
        </w:rPr>
        <w:t> </w:t>
      </w: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t>万元。经上述变更后，广州长城世家投资有限公司实收资本为</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 占注册资本的</w:t>
      </w:r>
      <w:r>
        <w:rPr>
          <w:spacing w:val="-46"/>
        </w:rPr>
        <w:t> </w:t>
      </w:r>
      <w:r>
        <w:rPr>
          <w:rFonts w:ascii="Times New Roman" w:hAnsi="Times New Roman" w:cs="Times New Roman" w:eastAsia="Times New Roman" w:hint="default"/>
        </w:rPr>
        <w:t>100%</w:t>
      </w:r>
      <w:r>
        <w:rPr/>
        <w:t>，其中公司出资</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万元，占实收资本及注册资本的</w:t>
      </w:r>
      <w:r>
        <w:rPr>
          <w:spacing w:val="-45"/>
        </w:rPr>
        <w:t> </w:t>
      </w:r>
      <w:r>
        <w:rPr>
          <w:rFonts w:ascii="Times New Roman" w:hAnsi="Times New Roman" w:cs="Times New Roman" w:eastAsia="Times New Roman" w:hint="default"/>
        </w:rPr>
        <w:t>100%</w:t>
      </w:r>
      <w:r>
        <w:rPr/>
        <w:t>。</w:t>
      </w:r>
    </w:p>
    <w:p>
      <w:pPr>
        <w:pStyle w:val="BodyText"/>
        <w:spacing w:line="240" w:lineRule="auto" w:before="52"/>
        <w:ind w:right="91"/>
        <w:jc w:val="left"/>
      </w:pPr>
      <w:r>
        <w:rPr>
          <w:rFonts w:ascii="Times New Roman" w:hAnsi="Times New Roman" w:cs="Times New Roman" w:eastAsia="Times New Roman" w:hint="default"/>
        </w:rPr>
        <w:t>—</w:t>
      </w:r>
      <w:r>
        <w:rPr/>
        <w:t>潮州市万泉陶瓷花纸有限公司于</w:t>
      </w:r>
      <w:r>
        <w:rPr>
          <w:spacing w:val="-46"/>
        </w:rPr>
        <w:t> </w:t>
      </w:r>
      <w:r>
        <w:rPr>
          <w:rFonts w:ascii="Times New Roman" w:hAnsi="Times New Roman" w:cs="Times New Roman" w:eastAsia="Times New Roman" w:hint="default"/>
        </w:rPr>
        <w:t>2008 </w:t>
      </w:r>
      <w:r>
        <w:rPr/>
        <w:t>年</w:t>
      </w:r>
      <w:r>
        <w:rPr>
          <w:spacing w:val="-46"/>
        </w:rPr>
        <w:t> </w:t>
      </w:r>
      <w:r>
        <w:rPr>
          <w:rFonts w:ascii="Times New Roman" w:hAnsi="Times New Roman" w:cs="Times New Roman" w:eastAsia="Times New Roman" w:hint="default"/>
        </w:rPr>
        <w:t>10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日由公司独资设立，注册资本为</w:t>
      </w:r>
      <w:r>
        <w:rPr>
          <w:spacing w:val="-46"/>
        </w:rPr>
        <w:t> </w:t>
      </w:r>
      <w:r>
        <w:rPr>
          <w:rFonts w:ascii="Times New Roman" w:hAnsi="Times New Roman" w:cs="Times New Roman" w:eastAsia="Times New Roman" w:hint="default"/>
        </w:rPr>
        <w:t>200 </w:t>
      </w:r>
      <w:r>
        <w:rPr/>
        <w:t>万元。</w:t>
      </w:r>
    </w:p>
    <w:p>
      <w:pPr>
        <w:pStyle w:val="BodyText"/>
        <w:spacing w:line="240" w:lineRule="auto" w:before="103"/>
        <w:ind w:right="91"/>
        <w:jc w:val="left"/>
      </w:pPr>
      <w:r>
        <w:rPr>
          <w:rFonts w:ascii="Times New Roman" w:hAnsi="Times New Roman" w:cs="Times New Roman" w:eastAsia="Times New Roman" w:hint="default"/>
        </w:rPr>
        <w:t>—</w:t>
      </w:r>
      <w:r>
        <w:rPr/>
        <w:t>潮州市三江陶瓷原料有限公司于</w:t>
      </w:r>
      <w:r>
        <w:rPr>
          <w:spacing w:val="-46"/>
        </w:rPr>
        <w:t> </w:t>
      </w:r>
      <w:r>
        <w:rPr>
          <w:rFonts w:ascii="Times New Roman" w:hAnsi="Times New Roman" w:cs="Times New Roman" w:eastAsia="Times New Roman" w:hint="default"/>
        </w:rPr>
        <w:t>2008 </w:t>
      </w:r>
      <w:r>
        <w:rPr/>
        <w:t>年</w:t>
      </w:r>
      <w:r>
        <w:rPr>
          <w:spacing w:val="-46"/>
        </w:rPr>
        <w:t> </w:t>
      </w:r>
      <w:r>
        <w:rPr>
          <w:rFonts w:ascii="Times New Roman" w:hAnsi="Times New Roman" w:cs="Times New Roman" w:eastAsia="Times New Roman" w:hint="default"/>
        </w:rPr>
        <w:t>10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日由公司独资设立，注册资本为</w:t>
      </w:r>
      <w:r>
        <w:rPr>
          <w:spacing w:val="-46"/>
        </w:rPr>
        <w:t> </w:t>
      </w:r>
      <w:r>
        <w:rPr>
          <w:rFonts w:ascii="Times New Roman" w:hAnsi="Times New Roman" w:cs="Times New Roman" w:eastAsia="Times New Roman" w:hint="default"/>
        </w:rPr>
        <w:t>177 </w:t>
      </w:r>
      <w:r>
        <w:rPr/>
        <w:t>万元。</w:t>
      </w:r>
    </w:p>
    <w:p>
      <w:pPr>
        <w:pStyle w:val="BodyText"/>
        <w:spacing w:line="240" w:lineRule="auto" w:before="102"/>
        <w:ind w:right="91"/>
        <w:jc w:val="left"/>
      </w:pPr>
      <w:r>
        <w:rPr>
          <w:rFonts w:ascii="Times New Roman" w:hAnsi="Times New Roman" w:cs="Times New Roman" w:eastAsia="Times New Roman" w:hint="default"/>
        </w:rPr>
        <w:t>—</w:t>
      </w:r>
      <w:r>
        <w:rPr/>
        <w:t>深圳长城世家商贸有限公司于</w:t>
      </w:r>
      <w:r>
        <w:rPr>
          <w:spacing w:val="-46"/>
        </w:rPr>
        <w:t> </w:t>
      </w:r>
      <w:r>
        <w:rPr>
          <w:rFonts w:ascii="Times New Roman" w:hAnsi="Times New Roman" w:cs="Times New Roman" w:eastAsia="Times New Roman" w:hint="default"/>
        </w:rPr>
        <w:t>2009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12 </w:t>
      </w:r>
      <w:r>
        <w:rPr/>
        <w:t>日由公司独资设立，注册资本为</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left="113" w:right="92"/>
        <w:jc w:val="left"/>
      </w:pPr>
      <w:r>
        <w:rPr>
          <w:rFonts w:ascii="Times New Roman" w:hAnsi="Times New Roman" w:cs="Times New Roman" w:eastAsia="Times New Roman" w:hint="default"/>
        </w:rPr>
        <w:t>—</w:t>
      </w:r>
      <w:r>
        <w:rPr/>
        <w:t>北京昶城世家商贸有限公司于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日由公司独资设立，注册资本为</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万元，实收资本</w:t>
      </w:r>
      <w:r>
        <w:rPr>
          <w:spacing w:val="-47"/>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万元。</w:t>
      </w:r>
    </w:p>
    <w:p>
      <w:pPr>
        <w:pStyle w:val="BodyText"/>
        <w:spacing w:line="240" w:lineRule="auto" w:before="103"/>
        <w:ind w:left="113" w:right="0"/>
        <w:jc w:val="left"/>
      </w:pPr>
      <w:r>
        <w:rPr>
          <w:rFonts w:ascii="Times New Roman" w:hAnsi="Times New Roman" w:cs="Times New Roman" w:eastAsia="Times New Roman" w:hint="default"/>
        </w:rPr>
        <w:t>—</w:t>
      </w:r>
      <w:r>
        <w:rPr/>
        <w:t>深圳市世家会艺术品投资有限公司于</w:t>
      </w:r>
      <w:r>
        <w:rPr>
          <w:spacing w:val="-46"/>
        </w:rPr>
        <w:t> </w:t>
      </w:r>
      <w:r>
        <w:rPr>
          <w:rFonts w:ascii="Times New Roman" w:hAnsi="Times New Roman" w:cs="Times New Roman" w:eastAsia="Times New Roman" w:hint="default"/>
        </w:rPr>
        <w:t>2012 </w:t>
      </w:r>
      <w:r>
        <w:rPr/>
        <w:t>年</w:t>
      </w:r>
      <w:r>
        <w:rPr>
          <w:spacing w:val="-46"/>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日由长城集团及深圳长城世家商贸有限公司双方出资成立，注册资本</w:t>
      </w:r>
    </w:p>
    <w:p>
      <w:pPr>
        <w:pStyle w:val="BodyText"/>
        <w:spacing w:line="240" w:lineRule="auto" w:before="63"/>
        <w:ind w:left="113" w:right="0"/>
        <w:jc w:val="left"/>
        <w:rPr>
          <w:rFonts w:ascii="Times New Roman" w:hAnsi="Times New Roman" w:cs="Times New Roman" w:eastAsia="Times New Roman" w:hint="default"/>
        </w:rPr>
      </w:pPr>
      <w:r>
        <w:rPr/>
        <w:t>为</w:t>
      </w:r>
      <w:r>
        <w:rPr>
          <w:spacing w:val="-4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spacing w:val="-6"/>
        </w:rPr>
        <w:t>万元，实收资本</w:t>
      </w:r>
      <w:r>
        <w:rPr>
          <w:spacing w:val="-4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spacing w:val="-4"/>
        </w:rPr>
        <w:t>万元，其中长城集团出资</w:t>
      </w:r>
      <w:r>
        <w:rPr>
          <w:spacing w:val="-50"/>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spacing w:val="-4"/>
        </w:rPr>
        <w:t>万元，占注册资本的</w:t>
      </w:r>
      <w:r>
        <w:rPr>
          <w:spacing w:val="-50"/>
        </w:rPr>
        <w:t> </w:t>
      </w:r>
      <w:r>
        <w:rPr>
          <w:rFonts w:ascii="Times New Roman" w:hAnsi="Times New Roman" w:cs="Times New Roman" w:eastAsia="Times New Roman" w:hint="default"/>
        </w:rPr>
        <w:t>20%</w:t>
      </w:r>
      <w:r>
        <w:rPr/>
        <w:t>，深圳长城世家商贸有限公司出资</w:t>
      </w:r>
      <w:r>
        <w:rPr>
          <w:spacing w:val="-49"/>
        </w:rPr>
        <w:t> </w:t>
      </w:r>
      <w:r>
        <w:rPr>
          <w:rFonts w:ascii="Times New Roman" w:hAnsi="Times New Roman" w:cs="Times New Roman" w:eastAsia="Times New Roman" w:hint="default"/>
        </w:rPr>
        <w:t>800</w:t>
      </w:r>
    </w:p>
    <w:p>
      <w:pPr>
        <w:pStyle w:val="BodyText"/>
        <w:spacing w:line="240" w:lineRule="auto" w:before="63"/>
        <w:ind w:left="113" w:right="92"/>
        <w:jc w:val="left"/>
      </w:pPr>
      <w:r>
        <w:rPr/>
        <w:t>万元，占注册资本的</w:t>
      </w:r>
      <w:r>
        <w:rPr>
          <w:spacing w:val="-47"/>
        </w:rPr>
        <w:t> </w:t>
      </w:r>
      <w:r>
        <w:rPr>
          <w:rFonts w:ascii="Times New Roman" w:hAnsi="Times New Roman" w:cs="Times New Roman" w:eastAsia="Times New Roman" w:hint="default"/>
        </w:rPr>
        <w:t>80%</w:t>
      </w:r>
      <w:r>
        <w:rPr/>
        <w:t>。</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55"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5"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6"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2" w:right="66"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4" w:right="6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4" w:right="66"/>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9"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金投</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资、批</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发和零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广州长</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海珠区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售贸易</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城世家 投资有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新港东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（国家 专营专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24"/>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904</w:t>
            </w:r>
            <w:r>
              <w:rPr>
                <w:rFonts w:ascii="宋体" w:hAnsi="宋体" w:cs="宋体" w:eastAsia="宋体" w:hint="default"/>
                <w:sz w:val="18"/>
                <w:szCs w:val="18"/>
              </w:rPr>
              <w:t>、</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控商品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905 </w:t>
            </w:r>
            <w:r>
              <w:rPr>
                <w:rFonts w:ascii="宋体" w:hAnsi="宋体" w:cs="宋体" w:eastAsia="宋体" w:hint="default"/>
                <w:sz w:val="18"/>
                <w:szCs w:val="18"/>
              </w:rPr>
              <w:t>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代办运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输服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0"/>
              <w:jc w:val="both"/>
              <w:rPr>
                <w:rFonts w:ascii="宋体" w:hAnsi="宋体" w:cs="宋体" w:eastAsia="宋体" w:hint="default"/>
                <w:sz w:val="18"/>
                <w:szCs w:val="18"/>
              </w:rPr>
            </w:pPr>
            <w:r>
              <w:rPr>
                <w:rFonts w:ascii="宋体" w:hAnsi="宋体" w:cs="宋体" w:eastAsia="宋体" w:hint="default"/>
                <w:sz w:val="18"/>
                <w:szCs w:val="18"/>
              </w:rPr>
              <w:t>潮州市 万泉陶 瓷花纸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22" w:right="109"/>
              <w:jc w:val="both"/>
              <w:rPr>
                <w:rFonts w:ascii="宋体" w:hAnsi="宋体" w:cs="宋体" w:eastAsia="宋体" w:hint="default"/>
                <w:sz w:val="18"/>
                <w:szCs w:val="18"/>
              </w:rPr>
            </w:pPr>
            <w:r>
              <w:rPr>
                <w:rFonts w:ascii="宋体" w:hAnsi="宋体" w:cs="宋体" w:eastAsia="宋体" w:hint="default"/>
                <w:sz w:val="18"/>
                <w:szCs w:val="18"/>
              </w:rPr>
              <w:t>广东省 潮州市 枫溪区 蔡陇大 道广东</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生产制 造业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加工、 销售各 式陶瓷 花纸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336"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长城集</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团股份</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7"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33"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枫溪区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三江陶 瓷原料 有限公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9"/>
              <w:jc w:val="both"/>
              <w:rPr>
                <w:rFonts w:ascii="宋体" w:hAnsi="宋体" w:cs="宋体" w:eastAsia="宋体" w:hint="default"/>
                <w:sz w:val="18"/>
                <w:szCs w:val="18"/>
              </w:rPr>
            </w:pPr>
            <w:r>
              <w:rPr>
                <w:rFonts w:ascii="宋体" w:hAnsi="宋体" w:cs="宋体" w:eastAsia="宋体" w:hint="default"/>
                <w:sz w:val="18"/>
                <w:szCs w:val="18"/>
              </w:rPr>
              <w:t>蔡陇大 道广东 长城集</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生产制 造业</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177.00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陶瓷原 料、釉 料以及</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177.00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团股份</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F </w:t>
            </w:r>
            <w:r>
              <w:rPr>
                <w:rFonts w:ascii="宋体" w:hAnsi="宋体" w:cs="宋体" w:eastAsia="宋体" w:hint="default"/>
                <w:sz w:val="18"/>
                <w:szCs w:val="18"/>
              </w:rPr>
              <w:t>幢</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工艺陶</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瓷、日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瓷、家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福田区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居饰</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福强路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深圳长 城世家 商贸有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4001 </w:t>
            </w:r>
            <w:r>
              <w:rPr>
                <w:rFonts w:ascii="宋体" w:hAnsi="宋体" w:cs="宋体" w:eastAsia="宋体" w:hint="default"/>
                <w:sz w:val="18"/>
                <w:szCs w:val="18"/>
              </w:rPr>
              <w:t>号</w:t>
            </w:r>
          </w:p>
          <w:p>
            <w:pPr>
              <w:pStyle w:val="TableParagraph"/>
              <w:spacing w:line="316" w:lineRule="auto" w:before="63"/>
              <w:ind w:left="22" w:right="109"/>
              <w:jc w:val="both"/>
              <w:rPr>
                <w:rFonts w:ascii="宋体" w:hAnsi="宋体" w:cs="宋体" w:eastAsia="宋体" w:hint="default"/>
                <w:sz w:val="18"/>
                <w:szCs w:val="18"/>
              </w:rPr>
            </w:pPr>
            <w:r>
              <w:rPr>
                <w:rFonts w:ascii="宋体" w:hAnsi="宋体" w:cs="宋体" w:eastAsia="宋体" w:hint="default"/>
                <w:sz w:val="18"/>
                <w:szCs w:val="18"/>
              </w:rPr>
              <w:t>深圳市 世纪工 艺品文 化市场</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艺礼 品、艺 术品、 包装制 品的购</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6"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306 </w:t>
            </w:r>
            <w:r>
              <w:rPr>
                <w:rFonts w:ascii="宋体" w:hAnsi="宋体" w:cs="宋体" w:eastAsia="宋体" w:hint="default"/>
                <w:sz w:val="18"/>
                <w:szCs w:val="18"/>
              </w:rPr>
              <w:t>栋</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销及其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一楼整</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他国内</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层</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经营进</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出口业</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销售日</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品、文</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北京昶</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朝阳区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具用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城世家 商贸有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北苑路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品；家 具装</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饰；货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22" w:right="0"/>
              <w:jc w:val="left"/>
              <w:rPr>
                <w:rFonts w:ascii="Times New Roman" w:hAnsi="Times New Roman" w:cs="Times New Roman" w:eastAsia="Times New Roman" w:hint="default"/>
                <w:sz w:val="18"/>
                <w:szCs w:val="18"/>
              </w:rPr>
            </w:pPr>
            <w:r>
              <w:rPr>
                <w:rFonts w:ascii="Times New Roman"/>
                <w:sz w:val="18"/>
              </w:rPr>
              <w:t>1805</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物进出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术进出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口、代</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4"/>
        <w:gridCol w:w="683"/>
        <w:gridCol w:w="683"/>
        <w:gridCol w:w="683"/>
        <w:gridCol w:w="683"/>
        <w:gridCol w:w="683"/>
        <w:gridCol w:w="684"/>
        <w:gridCol w:w="683"/>
        <w:gridCol w:w="683"/>
        <w:gridCol w:w="683"/>
        <w:gridCol w:w="683"/>
        <w:gridCol w:w="683"/>
      </w:tblGrid>
      <w:tr>
        <w:trPr>
          <w:trHeight w:val="674" w:hRule="exact"/>
        </w:trPr>
        <w:tc>
          <w:tcPr>
            <w:tcW w:w="685"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理进出 口。</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艺术品</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项目投</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资（具</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体项目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另行申</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w:t>
            </w:r>
            <w:r>
              <w:rPr>
                <w:rFonts w:ascii="宋体" w:hAnsi="宋体" w:cs="宋体" w:eastAsia="宋体" w:hint="default"/>
                <w:spacing w:val="-90"/>
                <w:sz w:val="18"/>
                <w:szCs w:val="18"/>
              </w:rPr>
              <w:t>）</w:t>
            </w:r>
            <w:r>
              <w:rPr>
                <w:rFonts w:ascii="宋体" w:hAnsi="宋体" w:cs="宋体" w:eastAsia="宋体" w:hint="default"/>
                <w:spacing w:val="-4"/>
                <w:sz w:val="18"/>
                <w:szCs w:val="18"/>
              </w:rPr>
              <w:t>；工</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艺品销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福田区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术品展</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87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深圳市 世家会 艺术品 投资有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福强路</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4001 </w:t>
            </w:r>
            <w:r>
              <w:rPr>
                <w:rFonts w:ascii="宋体" w:hAnsi="宋体" w:cs="宋体" w:eastAsia="宋体" w:hint="default"/>
                <w:sz w:val="18"/>
                <w:szCs w:val="18"/>
              </w:rPr>
              <w:t>号</w:t>
            </w:r>
          </w:p>
          <w:p>
            <w:pPr>
              <w:pStyle w:val="TableParagraph"/>
              <w:spacing w:line="316" w:lineRule="auto" w:before="63"/>
              <w:ind w:left="22" w:right="109"/>
              <w:jc w:val="both"/>
              <w:rPr>
                <w:rFonts w:ascii="宋体" w:hAnsi="宋体" w:cs="宋体" w:eastAsia="宋体" w:hint="default"/>
                <w:sz w:val="18"/>
                <w:szCs w:val="18"/>
              </w:rPr>
            </w:pPr>
            <w:r>
              <w:rPr>
                <w:rFonts w:ascii="宋体" w:hAnsi="宋体" w:cs="宋体" w:eastAsia="宋体" w:hint="default"/>
                <w:sz w:val="18"/>
                <w:szCs w:val="18"/>
              </w:rPr>
              <w:t>深圳市 世纪工 艺品文 化市场</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览策划</w:t>
            </w:r>
          </w:p>
          <w:p>
            <w:pPr>
              <w:pStyle w:val="TableParagraph"/>
              <w:spacing w:line="316" w:lineRule="auto" w:before="76"/>
              <w:ind w:left="22" w:right="108"/>
              <w:jc w:val="left"/>
              <w:rPr>
                <w:rFonts w:ascii="宋体" w:hAnsi="宋体" w:cs="宋体" w:eastAsia="宋体" w:hint="default"/>
                <w:sz w:val="18"/>
                <w:szCs w:val="18"/>
              </w:rPr>
            </w:pPr>
            <w:r>
              <w:rPr>
                <w:rFonts w:ascii="宋体" w:hAnsi="宋体" w:cs="宋体" w:eastAsia="宋体" w:hint="default"/>
                <w:sz w:val="18"/>
                <w:szCs w:val="18"/>
              </w:rPr>
              <w:t>（法 律、行 政法 规、国 务院决</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6"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306 </w:t>
            </w:r>
            <w:r>
              <w:rPr>
                <w:rFonts w:ascii="宋体" w:hAnsi="宋体" w:cs="宋体" w:eastAsia="宋体" w:hint="default"/>
                <w:sz w:val="18"/>
                <w:szCs w:val="18"/>
              </w:rPr>
              <w:t>栋</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定禁止</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H2-01</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的项目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限制的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项目须</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可后方</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可经</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240" w:lineRule="auto" w:before="50"/>
        <w:ind w:right="92"/>
        <w:jc w:val="left"/>
      </w:pPr>
      <w:r>
        <w:rPr/>
        <w:t>通过设立或投资等方式取得的子公司的其他说明</w:t>
      </w:r>
    </w:p>
    <w:p>
      <w:pPr>
        <w:pStyle w:val="BodyText"/>
        <w:spacing w:line="240" w:lineRule="auto" w:before="116"/>
        <w:ind w:right="92"/>
        <w:jc w:val="left"/>
      </w:pPr>
      <w:r>
        <w:rPr>
          <w:rFonts w:ascii="Times New Roman" w:hAnsi="Times New Roman" w:cs="Times New Roman" w:eastAsia="Times New Roman" w:hint="default"/>
        </w:rPr>
        <w:t>—2012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t>日公司无不纳入合并范围的子公司</w:t>
      </w:r>
    </w:p>
    <w:p>
      <w:pPr>
        <w:pStyle w:val="BodyText"/>
        <w:spacing w:line="240" w:lineRule="auto" w:before="102"/>
        <w:ind w:right="92"/>
        <w:jc w:val="left"/>
      </w:pPr>
      <w:r>
        <w:rPr>
          <w:rFonts w:ascii="Times New Roman" w:hAnsi="Times New Roman" w:cs="Times New Roman" w:eastAsia="Times New Roman" w:hint="default"/>
        </w:rPr>
        <w:t>—</w:t>
      </w:r>
      <w:r>
        <w:rPr/>
        <w:t>截至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日，长城集团没有合营企业。</w:t>
      </w:r>
    </w:p>
    <w:p>
      <w:pPr>
        <w:pStyle w:val="BodyText"/>
        <w:spacing w:line="240" w:lineRule="auto" w:before="103"/>
        <w:ind w:right="92"/>
        <w:jc w:val="left"/>
      </w:pPr>
      <w:r>
        <w:rPr>
          <w:rFonts w:ascii="Times New Roman" w:hAnsi="Times New Roman" w:cs="Times New Roman" w:eastAsia="Times New Roman" w:hint="default"/>
        </w:rPr>
        <w:t>—</w:t>
      </w:r>
      <w:r>
        <w:rPr/>
        <w:t>报告期长城集团子公司均按照企业会计准则的要求纳入合并报表范围。</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2"/>
        <w:jc w:val="left"/>
      </w:pPr>
      <w:r>
        <w:rPr/>
        <w:t>合并报表范围发生变更说明</w:t>
      </w:r>
    </w:p>
    <w:p>
      <w:pPr>
        <w:spacing w:line="240" w:lineRule="auto" w:before="1"/>
        <w:rPr>
          <w:rFonts w:ascii="宋体" w:hAnsi="宋体" w:cs="宋体" w:eastAsia="宋体" w:hint="default"/>
          <w:sz w:val="13"/>
          <w:szCs w:val="13"/>
        </w:rPr>
      </w:pPr>
    </w:p>
    <w:p>
      <w:pPr>
        <w:pStyle w:val="Heading4"/>
        <w:spacing w:line="240" w:lineRule="auto"/>
        <w:ind w:left="114" w:right="92"/>
        <w:jc w:val="left"/>
      </w:pPr>
      <w:r>
        <w:rPr>
          <w:rFonts w:ascii="Times New Roman" w:hAnsi="Times New Roman" w:cs="Times New Roman" w:eastAsia="Times New Roman" w:hint="default"/>
        </w:rPr>
        <w:t>¯¯</w:t>
      </w:r>
      <w:r>
        <w:rPr/>
        <w:t>本期新纳入合并范围的子公司</w:t>
      </w:r>
    </w:p>
    <w:p>
      <w:pPr>
        <w:spacing w:line="240" w:lineRule="auto" w:before="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403"/>
        <w:gridCol w:w="2758"/>
        <w:gridCol w:w="2363"/>
      </w:tblGrid>
      <w:tr>
        <w:trPr>
          <w:trHeight w:val="426"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tabs>
                <w:tab w:pos="1712" w:val="left" w:leader="none"/>
              </w:tabs>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名</w:t>
              <w:tab/>
              <w:t>称</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27" w:hRule="exact"/>
        </w:trPr>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c>
          <w:tcPr>
            <w:tcW w:w="2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8,048,104.13</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-1,951,895.87</w:t>
            </w:r>
          </w:p>
        </w:tc>
      </w:tr>
    </w:tbl>
    <w:p>
      <w:pPr>
        <w:spacing w:line="240" w:lineRule="auto" w:before="4"/>
        <w:rPr>
          <w:rFonts w:ascii="宋体" w:hAnsi="宋体" w:cs="宋体" w:eastAsia="宋体" w:hint="default"/>
          <w:sz w:val="24"/>
          <w:szCs w:val="24"/>
        </w:rPr>
      </w:pPr>
    </w:p>
    <w:p>
      <w:pPr>
        <w:pStyle w:val="BodyText"/>
        <w:spacing w:line="338" w:lineRule="auto" w:before="44"/>
        <w:ind w:left="113" w:right="5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与上年相比本年（期）新增合并单位</w:t>
      </w:r>
      <w:r>
        <w:rPr>
          <w:spacing w:val="-46"/>
        </w:rPr>
        <w:t> </w:t>
      </w:r>
      <w:r>
        <w:rPr>
          <w:rFonts w:ascii="Times New Roman" w:hAnsi="Times New Roman" w:cs="Times New Roman" w:eastAsia="Times New Roman" w:hint="default"/>
        </w:rPr>
        <w:t>1 </w:t>
      </w:r>
      <w:r>
        <w:rPr/>
        <w:t>家，原因为 新设立一家全资子公司</w:t>
      </w:r>
    </w:p>
    <w:p>
      <w:pPr>
        <w:spacing w:after="0" w:line="338"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right="92"/>
        <w:jc w:val="left"/>
      </w:pPr>
      <w:r>
        <w:rPr/>
        <w:t>本期新纳入合并范围的子公司、特殊目的主体、通过受托经营或承租等方式形成控制权的经营实体</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074"/>
        <w:gridCol w:w="2850"/>
        <w:gridCol w:w="2646"/>
      </w:tblGrid>
      <w:tr>
        <w:trPr>
          <w:trHeight w:val="402" w:hRule="exact"/>
        </w:trPr>
        <w:tc>
          <w:tcPr>
            <w:tcW w:w="4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0" w:right="0"/>
              <w:jc w:val="left"/>
              <w:rPr>
                <w:rFonts w:ascii="Times New Roman" w:hAnsi="Times New Roman" w:cs="Times New Roman" w:eastAsia="Times New Roman" w:hint="default"/>
                <w:sz w:val="18"/>
                <w:szCs w:val="18"/>
              </w:rPr>
            </w:pPr>
            <w:r>
              <w:rPr>
                <w:rFonts w:ascii="Times New Roman"/>
                <w:sz w:val="18"/>
              </w:rPr>
              <w:t>8,048,104.13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8" w:right="0"/>
              <w:jc w:val="left"/>
              <w:rPr>
                <w:rFonts w:ascii="Times New Roman" w:hAnsi="Times New Roman" w:cs="Times New Roman" w:eastAsia="Times New Roman" w:hint="default"/>
                <w:sz w:val="18"/>
                <w:szCs w:val="18"/>
              </w:rPr>
            </w:pPr>
            <w:r>
              <w:rPr>
                <w:rFonts w:ascii="Times New Roman"/>
                <w:sz w:val="18"/>
              </w:rPr>
              <w:t>-1,951,895.87</w:t>
            </w:r>
          </w:p>
        </w:tc>
      </w:tr>
    </w:tbl>
    <w:p>
      <w:pPr>
        <w:spacing w:line="240" w:lineRule="auto" w:before="12"/>
        <w:rPr>
          <w:rFonts w:ascii="宋体" w:hAnsi="宋体" w:cs="宋体" w:eastAsia="宋体" w:hint="default"/>
          <w:sz w:val="17"/>
          <w:szCs w:val="17"/>
        </w:rPr>
      </w:pPr>
    </w:p>
    <w:p>
      <w:pPr>
        <w:pStyle w:val="Heading2"/>
        <w:spacing w:line="240" w:lineRule="auto"/>
        <w:ind w:right="92"/>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1327"/>
        <w:gridCol w:w="930"/>
        <w:gridCol w:w="1463"/>
        <w:gridCol w:w="1327"/>
        <w:gridCol w:w="929"/>
        <w:gridCol w:w="1595"/>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799,977.90</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373,169.01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799,977.90</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373,169.01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609,120,697.73</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544,557,925.68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607,643,669.06</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542,032,452.20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234,986.55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1,477,007.97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400,808.36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2,525,453.42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17.12</w:t>
            </w:r>
            <w:r>
              <w:rPr>
                <w:rFonts w:ascii="Times New Roman"/>
                <w:w w:val="95"/>
                <w:sz w:val="18"/>
              </w:rPr>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2.94</w:t>
            </w:r>
            <w:r>
              <w:rPr>
                <w:rFonts w:ascii="Times New Roman"/>
                <w:w w:val="95"/>
                <w:sz w:val="18"/>
              </w:rPr>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609,920,675.63</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544,931,094.69</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89"/>
        <w:gridCol w:w="2657"/>
        <w:gridCol w:w="2922"/>
      </w:tblGrid>
      <w:tr>
        <w:trPr>
          <w:trHeight w:val="402"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3,450,000.00</w:t>
            </w:r>
          </w:p>
        </w:tc>
      </w:tr>
      <w:tr>
        <w:trPr>
          <w:trHeight w:val="402"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3,450,000.00</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3</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4"/>
        <w:gridCol w:w="1860"/>
        <w:gridCol w:w="1861"/>
        <w:gridCol w:w="1860"/>
        <w:gridCol w:w="2125"/>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864"/>
        <w:gridCol w:w="1860"/>
        <w:gridCol w:w="1861"/>
        <w:gridCol w:w="1860"/>
        <w:gridCol w:w="2125"/>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银行定期存款利息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6,977,619.74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9,962,287.69</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12,413,699.93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4,526,207.50</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6,977,619.74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9,962,287.69</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12,413,699.93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4,526,207.50</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）应收利息的说明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4" w:right="92"/>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日，应收利息均为银行定期存款利息，不存在逾期未收回的利息。</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929"/>
        <w:gridCol w:w="929"/>
        <w:gridCol w:w="930"/>
        <w:gridCol w:w="930"/>
        <w:gridCol w:w="797"/>
        <w:gridCol w:w="929"/>
        <w:gridCol w:w="1063"/>
        <w:gridCol w:w="1063"/>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Times New Roman" w:hAnsi="Times New Roman" w:cs="Times New Roman" w:eastAsia="Times New Roman" w:hint="default"/>
                <w:sz w:val="18"/>
                <w:szCs w:val="18"/>
              </w:rPr>
            </w:pPr>
            <w:r>
              <w:rPr>
                <w:rFonts w:ascii="Times New Roman"/>
                <w:sz w:val="18"/>
              </w:rPr>
              <w:t>139,723,56</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2.82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7,074,248.1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78,412,49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3,954,503.57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Times New Roman" w:hAnsi="Times New Roman" w:cs="Times New Roman" w:eastAsia="Times New Roman" w:hint="default"/>
                <w:sz w:val="18"/>
                <w:szCs w:val="18"/>
              </w:rPr>
            </w:pPr>
            <w:r>
              <w:rPr>
                <w:rFonts w:ascii="Times New Roman"/>
                <w:sz w:val="18"/>
              </w:rPr>
              <w:t>139,723,56</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2.82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7,074,248.1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78,412,49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3,954,503.57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Times New Roman" w:hAnsi="Times New Roman" w:cs="Times New Roman" w:eastAsia="Times New Roman" w:hint="default"/>
                <w:sz w:val="18"/>
                <w:szCs w:val="18"/>
              </w:rPr>
            </w:pPr>
            <w:r>
              <w:rPr>
                <w:rFonts w:ascii="Times New Roman"/>
                <w:sz w:val="18"/>
              </w:rPr>
              <w:t>139,723,56</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2.82</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7,074,248.1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78,412,49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0.24</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3,954,503.57</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31"/>
          <w:pgSz w:w="11910" w:h="16840"/>
          <w:pgMar w:footer="980" w:header="747" w:top="1060" w:bottom="1160" w:left="1020" w:right="1020"/>
        </w:sectPr>
      </w:pPr>
    </w:p>
    <w:p>
      <w:pPr>
        <w:pStyle w:val="BodyText"/>
        <w:spacing w:line="348" w:lineRule="auto" w:before="49"/>
        <w:ind w:right="0"/>
        <w:jc w:val="left"/>
      </w:pPr>
      <w:r>
        <w:rPr/>
        <w:t>应收账款种类的说明 </w:t>
      </w:r>
      <w:r>
        <w:rPr>
          <w:spacing w:val="-1"/>
        </w:rPr>
        <w:t>账龄组合</w:t>
      </w:r>
      <w:r>
        <w:rPr>
          <w:rFonts w:ascii="Times New Roman" w:hAnsi="Times New Roman" w:cs="Times New Roman" w:eastAsia="Times New Roman" w:hint="default"/>
          <w:spacing w:val="-1"/>
        </w:rPr>
        <w:t>,</w:t>
      </w:r>
      <w:r>
        <w:rPr>
          <w:spacing w:val="-1"/>
        </w:rPr>
        <w:t>相同账龄的应收账款具有类似信用风险特征</w:t>
      </w:r>
      <w:r>
        <w:rPr>
          <w:spacing w:val="-67"/>
        </w:rPr>
        <w:t> </w:t>
      </w:r>
      <w:r>
        <w:rPr/>
        <w:t>期末单项金额重大并单项计提坏账准备的应收账款</w:t>
      </w:r>
    </w:p>
    <w:p>
      <w:pPr>
        <w:pStyle w:val="BodyText"/>
        <w:spacing w:line="340" w:lineRule="auto" w:before="35"/>
        <w:ind w:right="3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060" w:bottom="1160" w:left="1020" w:right="1020"/>
          <w:cols w:num="2" w:equalWidth="0">
            <w:col w:w="4299" w:space="4529"/>
            <w:col w:w="104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66"/>
        <w:gridCol w:w="1594"/>
        <w:gridCol w:w="930"/>
        <w:gridCol w:w="1727"/>
        <w:gridCol w:w="1460"/>
        <w:gridCol w:w="929"/>
        <w:gridCol w:w="1462"/>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137,962,162.02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98.74%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6,898,108.10</w:t>
            </w:r>
            <w:r>
              <w:rPr>
                <w:rFonts w:ascii="Times New Roman"/>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77,734,908.94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99.14%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3,886,745.44</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1,761,400.80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176,140.08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677,581.30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67,758.13</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6"/>
        <w:gridCol w:w="1594"/>
        <w:gridCol w:w="930"/>
        <w:gridCol w:w="1727"/>
        <w:gridCol w:w="1460"/>
        <w:gridCol w:w="929"/>
        <w:gridCol w:w="1462"/>
      </w:tblGrid>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139,723,562.82</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7,074,248.18</w:t>
            </w:r>
            <w:r>
              <w:rPr>
                <w:rFonts w:ascii="Times New Roman"/>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78,412,490.24</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3,954,503.57</w:t>
            </w:r>
          </w:p>
        </w:tc>
      </w:tr>
    </w:tbl>
    <w:p>
      <w:pPr>
        <w:pStyle w:val="BodyText"/>
        <w:spacing w:line="240" w:lineRule="auto" w:before="50"/>
        <w:ind w:right="92"/>
        <w:jc w:val="left"/>
      </w:pPr>
      <w:r>
        <w:rPr/>
        <w:t>组合中，采用余额百分比法计提坏账准备的应收账款</w:t>
      </w:r>
    </w:p>
    <w:p>
      <w:pPr>
        <w:pStyle w:val="BodyText"/>
        <w:spacing w:line="340" w:lineRule="auto" w:before="116"/>
        <w:ind w:right="59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pStyle w:val="BodyText"/>
        <w:spacing w:line="338" w:lineRule="auto" w:before="40"/>
        <w:ind w:right="5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期末单项金额虽不重大但单项计提坏账准备的应收账款</w:t>
      </w:r>
    </w:p>
    <w:p>
      <w:pPr>
        <w:pStyle w:val="BodyText"/>
        <w:spacing w:line="240" w:lineRule="auto" w:before="43"/>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8"/>
              <w:jc w:val="left"/>
              <w:rPr>
                <w:rFonts w:ascii="Times New Roman" w:hAnsi="Times New Roman" w:cs="Times New Roman" w:eastAsia="Times New Roman" w:hint="default"/>
                <w:sz w:val="18"/>
                <w:szCs w:val="18"/>
              </w:rPr>
            </w:pPr>
            <w:r>
              <w:rPr>
                <w:rFonts w:ascii="Times New Roman"/>
                <w:sz w:val="18"/>
              </w:rPr>
              <w:t>LG SOURCING</w:t>
            </w:r>
            <w:r>
              <w:rPr>
                <w:rFonts w:ascii="Times New Roman"/>
                <w:spacing w:val="-6"/>
                <w:sz w:val="18"/>
              </w:rPr>
              <w:t> </w:t>
            </w:r>
            <w:r>
              <w:rPr>
                <w:rFonts w:ascii="Times New Roman"/>
                <w:sz w:val="18"/>
              </w:rPr>
              <w:t>(A</w:t>
            </w:r>
            <w:r>
              <w:rPr>
                <w:rFonts w:ascii="Times New Roman"/>
                <w:sz w:val="18"/>
              </w:rPr>
              <w:t> </w:t>
            </w:r>
            <w:r>
              <w:rPr>
                <w:rFonts w:ascii="Times New Roman"/>
                <w:spacing w:val="-4"/>
                <w:sz w:val="18"/>
              </w:rPr>
              <w:t>WHOLLY</w:t>
            </w:r>
            <w:r>
              <w:rPr>
                <w:rFonts w:ascii="Times New Roman"/>
                <w:spacing w:val="-7"/>
                <w:sz w:val="18"/>
              </w:rPr>
              <w:t> </w:t>
            </w:r>
            <w:r>
              <w:rPr>
                <w:rFonts w:ascii="Times New Roman"/>
                <w:sz w:val="18"/>
              </w:rPr>
              <w:t>OWNED</w:t>
            </w:r>
            <w:r>
              <w:rPr>
                <w:rFonts w:ascii="Times New Roman"/>
                <w:sz w:val="18"/>
              </w:rPr>
              <w:t> SUBSIDIARY</w:t>
            </w:r>
            <w:r>
              <w:rPr>
                <w:rFonts w:ascii="Times New Roman"/>
                <w:spacing w:val="-13"/>
                <w:sz w:val="18"/>
              </w:rPr>
              <w:t> </w:t>
            </w:r>
            <w:r>
              <w:rPr>
                <w:rFonts w:ascii="Times New Roman"/>
                <w:sz w:val="18"/>
              </w:rPr>
              <w:t>OF</w:t>
            </w:r>
            <w:r>
              <w:rPr>
                <w:rFonts w:ascii="Times New Roman"/>
                <w:spacing w:val="-1"/>
                <w:sz w:val="18"/>
              </w:rPr>
              <w:t> </w:t>
            </w:r>
            <w:r>
              <w:rPr>
                <w:rFonts w:ascii="Times New Roman"/>
                <w:sz w:val="18"/>
              </w:rPr>
              <w:t>LOWES</w:t>
            </w:r>
            <w:r>
              <w:rPr>
                <w:rFonts w:ascii="Times New Roman"/>
                <w:spacing w:val="-1"/>
                <w:sz w:val="18"/>
              </w:rPr>
              <w:t> </w:t>
            </w:r>
            <w:r>
              <w:rPr>
                <w:rFonts w:ascii="Times New Roman"/>
                <w:sz w:val="18"/>
              </w:rPr>
              <w:t>INC.)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11,443,785.52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8,499,651.63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北京平大境界酒业有限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6,824,077.00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广东雄集进出口集团有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6,093,663.96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72"/>
              <w:jc w:val="left"/>
              <w:rPr>
                <w:rFonts w:ascii="Times New Roman" w:hAnsi="Times New Roman" w:cs="Times New Roman" w:eastAsia="Times New Roman" w:hint="default"/>
                <w:sz w:val="18"/>
                <w:szCs w:val="18"/>
              </w:rPr>
            </w:pPr>
            <w:r>
              <w:rPr>
                <w:rFonts w:ascii="Times New Roman"/>
                <w:sz w:val="18"/>
              </w:rPr>
              <w:t>TOP</w:t>
            </w:r>
            <w:r>
              <w:rPr>
                <w:rFonts w:ascii="Times New Roman"/>
                <w:spacing w:val="-9"/>
                <w:sz w:val="18"/>
              </w:rPr>
              <w:t> </w:t>
            </w:r>
            <w:r>
              <w:rPr>
                <w:rFonts w:ascii="Times New Roman"/>
                <w:sz w:val="18"/>
              </w:rPr>
              <w:t>SHOP</w:t>
            </w:r>
            <w:r>
              <w:rPr>
                <w:rFonts w:ascii="Times New Roman"/>
                <w:spacing w:val="-1"/>
                <w:sz w:val="18"/>
              </w:rPr>
              <w:t> </w:t>
            </w:r>
            <w:r>
              <w:rPr>
                <w:rFonts w:ascii="Times New Roman"/>
                <w:spacing w:val="-3"/>
                <w:sz w:val="18"/>
              </w:rPr>
              <w:t>INTERNATIONAL</w:t>
            </w:r>
            <w:r>
              <w:rPr>
                <w:rFonts w:ascii="Times New Roman"/>
                <w:sz w:val="18"/>
              </w:rPr>
              <w:t> SA</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4,902,808.17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37,763,986.28</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27.02%</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2"/>
        <w:gridCol w:w="1058"/>
        <w:gridCol w:w="792"/>
        <w:gridCol w:w="1058"/>
        <w:gridCol w:w="793"/>
        <w:gridCol w:w="1058"/>
        <w:gridCol w:w="926"/>
        <w:gridCol w:w="1189"/>
        <w:gridCol w:w="792"/>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1,707,651.80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left"/>
              <w:rPr>
                <w:rFonts w:ascii="Times New Roman" w:hAnsi="Times New Roman" w:cs="Times New Roman" w:eastAsia="Times New Roman" w:hint="default"/>
                <w:sz w:val="18"/>
                <w:szCs w:val="18"/>
              </w:rPr>
            </w:pPr>
            <w:r>
              <w:rPr>
                <w:rFonts w:ascii="Times New Roman"/>
                <w:sz w:val="18"/>
              </w:rPr>
              <w:t>108,711.44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885,441.85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17.95%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46,004.15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980" w:header="747" w:top="1060" w:bottom="1160" w:left="1020" w:right="1020"/>
          <w:pgNumType w:start="91"/>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02"/>
        <w:gridCol w:w="1058"/>
        <w:gridCol w:w="792"/>
        <w:gridCol w:w="1058"/>
        <w:gridCol w:w="793"/>
        <w:gridCol w:w="1058"/>
        <w:gridCol w:w="926"/>
        <w:gridCol w:w="1189"/>
        <w:gridCol w:w="792"/>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3,836,427.80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69.2%</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4,046,136.85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82.05%</w:t>
            </w:r>
          </w:p>
        </w:tc>
        <w:tc>
          <w:tcPr>
            <w:tcW w:w="118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5,544,079.60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9" w:right="0"/>
              <w:jc w:val="lef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108,711.44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1.96%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4,931,578.70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46,004.15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4" w:right="0"/>
              <w:jc w:val="lef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5,544,079.60</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108,711.44</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32"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4,931,578.70</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46,004.15</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240" w:lineRule="auto" w:before="50"/>
        <w:ind w:right="0"/>
        <w:jc w:val="left"/>
      </w:pPr>
      <w:r>
        <w:rPr/>
        <w:t>其他应收款种类的说明</w:t>
      </w:r>
    </w:p>
    <w:p>
      <w:pPr>
        <w:pStyle w:val="BodyText"/>
        <w:spacing w:line="300" w:lineRule="auto" w:before="116"/>
        <w:ind w:right="0"/>
        <w:jc w:val="left"/>
      </w:pPr>
      <w:r>
        <w:rPr>
          <w:spacing w:val="-1"/>
        </w:rPr>
        <w:t>账龄组合</w:t>
      </w:r>
      <w:r>
        <w:rPr>
          <w:rFonts w:ascii="Times New Roman" w:hAnsi="Times New Roman" w:cs="Times New Roman" w:eastAsia="Times New Roman" w:hint="default"/>
          <w:spacing w:val="-1"/>
        </w:rPr>
        <w:t>,</w:t>
      </w:r>
      <w:r>
        <w:rPr>
          <w:spacing w:val="-1"/>
        </w:rPr>
        <w:t>相同账龄的应收账款具有类似信用风险特征；</w:t>
      </w:r>
      <w:r>
        <w:rPr>
          <w:spacing w:val="-66"/>
        </w:rPr>
        <w:t> </w:t>
      </w:r>
      <w:r>
        <w:rPr/>
        <w:t>应收出口退税款组合不计提坏账准备。</w:t>
      </w:r>
    </w:p>
    <w:p>
      <w:pPr>
        <w:pStyle w:val="BodyText"/>
        <w:spacing w:line="240" w:lineRule="auto" w:before="72"/>
        <w:ind w:right="0"/>
        <w:jc w:val="left"/>
      </w:pPr>
      <w:r>
        <w:rPr/>
        <w:t>期末单项金额重大并单项计提坏账准备的其他应收款</w:t>
      </w:r>
    </w:p>
    <w:p>
      <w:pPr>
        <w:pStyle w:val="BodyText"/>
        <w:spacing w:line="357" w:lineRule="auto" w:before="116"/>
        <w:ind w:right="204"/>
        <w:jc w:val="left"/>
      </w:pPr>
      <w:r>
        <w:rPr/>
        <w:t>□ 适用 √ 不适用 组合中，采用账龄分析法计提坏账准备的其他应收款</w:t>
      </w:r>
    </w:p>
    <w:p>
      <w:pPr>
        <w:pStyle w:val="BodyText"/>
        <w:spacing w:line="240" w:lineRule="auto" w:before="29"/>
        <w:ind w:right="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113" w:right="0"/>
        <w:jc w:val="left"/>
      </w:pPr>
      <w:r>
        <w:rPr/>
        <w:t>单位： 元</w:t>
      </w:r>
    </w:p>
    <w:p>
      <w:pPr>
        <w:spacing w:after="0" w:line="240" w:lineRule="auto"/>
        <w:jc w:val="left"/>
        <w:sectPr>
          <w:type w:val="continuous"/>
          <w:pgSz w:w="11910" w:h="16840"/>
          <w:pgMar w:top="1060" w:bottom="1160" w:left="1020" w:right="1020"/>
          <w:cols w:num="2" w:equalWidth="0">
            <w:col w:w="4479" w:space="4349"/>
            <w:col w:w="104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8"/>
        <w:gridCol w:w="1841"/>
        <w:gridCol w:w="658"/>
        <w:gridCol w:w="1448"/>
        <w:gridCol w:w="1448"/>
        <w:gridCol w:w="658"/>
        <w:gridCol w:w="1668"/>
      </w:tblGrid>
      <w:tr>
        <w:trPr>
          <w:trHeight w:val="402" w:hRule="exact"/>
        </w:trPr>
        <w:tc>
          <w:tcPr>
            <w:tcW w:w="18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00000"/>
              <w:right w:val="single" w:sz="4" w:space="0" w:color="000000"/>
            </w:tcBorders>
            <w:shd w:val="clear" w:color="auto" w:fill="D3D3D3"/>
          </w:tcPr>
          <w:p>
            <w:pPr/>
          </w:p>
        </w:tc>
        <w:tc>
          <w:tcPr>
            <w:tcW w:w="24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3D3D3"/>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1,290,275.17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64,513.77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876,673.57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43,833.67</w:t>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410,076.63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41,007.67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230.00</w:t>
            </w:r>
            <w:r>
              <w:rPr>
                <w:rFonts w:ascii="Times New Roman"/>
                <w:sz w:val="18"/>
              </w:rPr>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690.00</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6,468.28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1,940.48</w:t>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1,707,651.80</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108,711.44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885,441.85</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46,004.15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pStyle w:val="BodyText"/>
        <w:spacing w:line="240" w:lineRule="auto" w:before="50"/>
        <w:ind w:right="-20"/>
        <w:jc w:val="left"/>
      </w:pPr>
      <w:r>
        <w:rPr/>
        <w:t>组合中，采用余额百分比法计提坏账准备的其他应收款</w:t>
      </w:r>
    </w:p>
    <w:p>
      <w:pPr>
        <w:pStyle w:val="BodyText"/>
        <w:spacing w:line="360" w:lineRule="auto" w:before="116"/>
        <w:ind w:right="340"/>
        <w:jc w:val="left"/>
      </w:pPr>
      <w:r>
        <w:rPr/>
        <w:t>□ 适用 √ 不适用 组合中，采用其他方法计提坏账准备的其他应收款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060" w:bottom="1160" w:left="1020" w:right="1020"/>
          <w:cols w:num="2" w:equalWidth="0">
            <w:col w:w="4435" w:space="439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60"/>
        <w:gridCol w:w="2856"/>
        <w:gridCol w:w="2753"/>
      </w:tblGrid>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3,836,427.80</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3,836,427.80</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pStyle w:val="BodyText"/>
        <w:spacing w:line="240" w:lineRule="auto" w:before="49"/>
        <w:ind w:right="92"/>
        <w:jc w:val="left"/>
      </w:pPr>
      <w:r>
        <w:rPr/>
        <w:t>期末单项金额虽不重大但单项计提坏账准备的其他应收款</w:t>
      </w:r>
    </w:p>
    <w:p>
      <w:pPr>
        <w:pStyle w:val="BodyText"/>
        <w:spacing w:line="240" w:lineRule="auto" w:before="117"/>
        <w:ind w:right="92"/>
        <w:jc w:val="left"/>
      </w:pPr>
      <w:r>
        <w:rPr/>
        <w:t>□ 适用 √ 不适用</w:t>
      </w:r>
    </w:p>
    <w:p>
      <w:pPr>
        <w:spacing w:after="0" w:line="240" w:lineRule="auto"/>
        <w:jc w:val="left"/>
        <w:sectPr>
          <w:type w:val="continuous"/>
          <w:pgSz w:w="11910" w:h="16840"/>
          <w:pgMar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3,836,427.80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69.2%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成都美尚会展服务有限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140"/>
              <w:jc w:val="left"/>
              <w:rPr>
                <w:rFonts w:ascii="宋体" w:hAnsi="宋体" w:cs="宋体" w:eastAsia="宋体" w:hint="default"/>
                <w:sz w:val="18"/>
                <w:szCs w:val="18"/>
              </w:rPr>
            </w:pPr>
            <w:r>
              <w:rPr>
                <w:rFonts w:ascii="宋体" w:hAnsi="宋体" w:cs="宋体" w:eastAsia="宋体" w:hint="default"/>
                <w:sz w:val="18"/>
                <w:szCs w:val="18"/>
              </w:rPr>
              <w:t>万菱实业</w:t>
            </w:r>
            <w:r>
              <w:rPr>
                <w:rFonts w:ascii="Times New Roman" w:hAnsi="Times New Roman" w:cs="Times New Roman" w:eastAsia="Times New Roman" w:hint="default"/>
                <w:sz w:val="18"/>
                <w:szCs w:val="18"/>
              </w:rPr>
              <w:t>(</w:t>
            </w:r>
            <w:r>
              <w:rPr>
                <w:rFonts w:ascii="宋体" w:hAnsi="宋体" w:cs="宋体" w:eastAsia="宋体" w:hint="default"/>
                <w:sz w:val="18"/>
                <w:szCs w:val="18"/>
              </w:rPr>
              <w:t>广东</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邱春利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50,423.69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杜凤丽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4,229,851.49</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76.3%</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2"/>
        <w:gridCol w:w="3188"/>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12,964,002.05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30,990,074.50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99.56%</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393,575.98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136,603.38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13,357,578.03</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31,126,677.88</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8110"/>
        <w:jc w:val="left"/>
      </w:pPr>
      <w:r>
        <w:rPr/>
        <w:t>预付款项账龄的说明 无</w:t>
      </w:r>
    </w:p>
    <w:p>
      <w:pPr>
        <w:spacing w:line="240" w:lineRule="auto" w:before="2"/>
        <w:rPr>
          <w:rFonts w:ascii="宋体" w:hAnsi="宋体" w:cs="宋体" w:eastAsia="宋体" w:hint="default"/>
          <w:sz w:val="20"/>
          <w:szCs w:val="20"/>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6"/>
              <w:jc w:val="center"/>
              <w:rPr>
                <w:rFonts w:ascii="宋体" w:hAnsi="宋体" w:cs="宋体" w:eastAsia="宋体" w:hint="default"/>
                <w:sz w:val="18"/>
                <w:szCs w:val="18"/>
              </w:rPr>
            </w:pPr>
            <w:r>
              <w:rPr>
                <w:rFonts w:ascii="宋体" w:hAnsi="宋体" w:cs="宋体" w:eastAsia="宋体" w:hint="default"/>
                <w:sz w:val="18"/>
                <w:szCs w:val="18"/>
              </w:rPr>
              <w:t>潮州威龙燃气有限公司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广东热金宝特种耐火材 料实业有限公司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2,191,502.12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深圳市欧客发商贸有限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1,670,668.77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深圳市锦成星映投资发 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1,303,800.00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预付购车款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湖南银和瓷业有限公司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1,091,970.00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8,450,440.89</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7750"/>
        <w:jc w:val="left"/>
      </w:pPr>
      <w:r>
        <w:rPr/>
        <w:t>预付款项主要单位的说明 无</w:t>
      </w:r>
    </w:p>
    <w:p>
      <w:pPr>
        <w:spacing w:line="240" w:lineRule="auto" w:before="2"/>
        <w:rPr>
          <w:rFonts w:ascii="宋体" w:hAnsi="宋体" w:cs="宋体" w:eastAsia="宋体" w:hint="default"/>
          <w:sz w:val="20"/>
          <w:szCs w:val="20"/>
        </w:rPr>
      </w:pPr>
    </w:p>
    <w:p>
      <w:pPr>
        <w:pStyle w:val="Heading3"/>
        <w:spacing w:line="240" w:lineRule="auto"/>
        <w:ind w:right="92"/>
        <w:jc w:val="left"/>
        <w:rPr>
          <w:b w:val="0"/>
          <w:bCs w:val="0"/>
        </w:rPr>
      </w:pPr>
      <w:r>
        <w:rPr/>
        <w:t>（</w:t>
      </w:r>
      <w:r>
        <w:rPr>
          <w:rFonts w:ascii="Times New Roman" w:hAnsi="Times New Roman" w:cs="Times New Roman" w:eastAsia="Times New Roman" w:hint="default"/>
        </w:rPr>
        <w:t>3</w:t>
      </w:r>
      <w:r>
        <w:rPr/>
        <w:t>）预付款项的说明</w:t>
      </w:r>
      <w:r>
        <w:rPr>
          <w:b w:val="0"/>
          <w:bCs w:val="0"/>
        </w:rPr>
      </w:r>
    </w:p>
    <w:p>
      <w:pPr>
        <w:spacing w:line="240" w:lineRule="auto" w:before="7"/>
        <w:rPr>
          <w:rFonts w:ascii="宋体" w:hAnsi="宋体" w:cs="宋体" w:eastAsia="宋体" w:hint="default"/>
          <w:b/>
          <w:bCs/>
          <w:sz w:val="24"/>
          <w:szCs w:val="24"/>
        </w:rPr>
      </w:pPr>
    </w:p>
    <w:p>
      <w:pPr>
        <w:pStyle w:val="Heading4"/>
        <w:spacing w:line="259" w:lineRule="auto"/>
        <w:ind w:right="141"/>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日，预付款项中不存在预付持有公司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）以上表决权股份的股东的单位或关联 方款项。</w:t>
      </w:r>
    </w:p>
    <w:p>
      <w:pPr>
        <w:spacing w:line="240" w:lineRule="auto" w:before="6"/>
        <w:rPr>
          <w:rFonts w:ascii="宋体" w:hAnsi="宋体" w:cs="宋体" w:eastAsia="宋体" w:hint="default"/>
          <w:sz w:val="24"/>
          <w:szCs w:val="24"/>
        </w:rPr>
      </w:pPr>
    </w:p>
    <w:p>
      <w:pPr>
        <w:pStyle w:val="Heading3"/>
        <w:spacing w:line="240" w:lineRule="auto"/>
        <w:ind w:left="113" w:right="92"/>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9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8"/>
        <w:gridCol w:w="1462"/>
        <w:gridCol w:w="1194"/>
        <w:gridCol w:w="1328"/>
        <w:gridCol w:w="1328"/>
        <w:gridCol w:w="1328"/>
        <w:gridCol w:w="1328"/>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645,934.43</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645,934.43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7,589,498.83</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7,589,498.83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17,684,734.57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17,684,734.57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18,486,565.34</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18,486,565.34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72,348,883.36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1,167,031.77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71,181,851.59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45,300,067.18</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941,764.84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44,358,302.34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757,408.15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757,408.15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528,913.19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528,913.19</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4,645,100.24</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4,645,100.24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91,436,960.51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1,167,031.77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90,269,928.74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76,550,144.78</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941,764.84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75,608,379.94</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39"/>
        <w:gridCol w:w="1615"/>
        <w:gridCol w:w="1614"/>
        <w:gridCol w:w="1414"/>
        <w:gridCol w:w="1430"/>
        <w:gridCol w:w="1757"/>
      </w:tblGrid>
      <w:tr>
        <w:trPr>
          <w:trHeight w:val="402" w:hRule="exact"/>
        </w:trPr>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9"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4"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941,764.84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225,266.93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1,167,031.77</w:t>
            </w:r>
          </w:p>
        </w:tc>
      </w:tr>
      <w:tr>
        <w:trPr>
          <w:trHeight w:val="402" w:hRule="exact"/>
        </w:trPr>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941,764.84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225,266.93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1,167,031.77</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96" w:right="109" w:hanging="285"/>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7"/>
              <w:jc w:val="right"/>
              <w:rPr>
                <w:rFonts w:ascii="宋体" w:hAnsi="宋体" w:cs="宋体" w:eastAsia="宋体" w:hint="default"/>
                <w:sz w:val="18"/>
                <w:szCs w:val="18"/>
              </w:rPr>
            </w:pPr>
            <w:r>
              <w:rPr>
                <w:rFonts w:ascii="宋体" w:hAnsi="宋体" w:cs="宋体" w:eastAsia="宋体" w:hint="default"/>
                <w:sz w:val="18"/>
                <w:szCs w:val="18"/>
              </w:rPr>
              <w:t>可变现净值根椐估计售价减</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986"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2" w:right="22"/>
              <w:jc w:val="left"/>
              <w:rPr>
                <w:rFonts w:ascii="宋体" w:hAnsi="宋体" w:cs="宋体" w:eastAsia="宋体" w:hint="default"/>
                <w:sz w:val="18"/>
                <w:szCs w:val="18"/>
              </w:rPr>
            </w:pPr>
            <w:r>
              <w:rPr>
                <w:rFonts w:ascii="宋体" w:hAnsi="宋体" w:cs="宋体" w:eastAsia="宋体" w:hint="default"/>
                <w:sz w:val="18"/>
                <w:szCs w:val="18"/>
              </w:rPr>
              <w:t>去至完工估计将要发生的成 本、估计的销售费用以及相关 税金后的金额确定。</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0"/>
        <w:ind w:left="113" w:right="92"/>
        <w:jc w:val="left"/>
      </w:pPr>
      <w:r>
        <w:rPr/>
        <w:t>存货的说明 </w:t>
      </w:r>
      <w:r>
        <w:rPr>
          <w:spacing w:val="-2"/>
        </w:rPr>
        <w:t>公司存货可变现净值根椐估计售价减去至完工估计将要发生的成本、估计的销售费用以及相关税金后的金额确定。如为执行</w:t>
      </w:r>
      <w:r>
        <w:rPr>
          <w:spacing w:val="-64"/>
        </w:rPr>
        <w:t> </w:t>
      </w:r>
      <w:r>
        <w:rPr>
          <w:spacing w:val="-64"/>
        </w:rPr>
      </w:r>
      <w:r>
        <w:rPr>
          <w:spacing w:val="-2"/>
        </w:rPr>
        <w:t>销售合同或者劳务合同而持有的存货以产成品或商品的合同价格作为其可变现净值的计量基础；企业持有存货的数量超出销</w:t>
      </w:r>
    </w:p>
    <w:p>
      <w:pPr>
        <w:pStyle w:val="BodyText"/>
        <w:spacing w:line="316" w:lineRule="auto" w:before="2"/>
        <w:ind w:left="113" w:right="92"/>
        <w:jc w:val="left"/>
      </w:pPr>
      <w:r>
        <w:rPr>
          <w:spacing w:val="-2"/>
        </w:rPr>
        <w:t>售合同订购数量的部分的可变现净值以产成品或商品的一般销售价格作为计量基础；没有销售合同或劳务合同约定的存货的</w:t>
      </w:r>
      <w:r>
        <w:rPr>
          <w:spacing w:val="-64"/>
        </w:rPr>
        <w:t> </w:t>
      </w:r>
      <w:r>
        <w:rPr>
          <w:spacing w:val="-64"/>
        </w:rPr>
      </w:r>
      <w:r>
        <w:rPr/>
        <w:t>可变现净值以产成品或商品一般销售价格作为计量基础；用于出售的材料等以市场价格作为其可变现净值的计量基础。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92"/>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57"/>
        <w:gridCol w:w="2922"/>
        <w:gridCol w:w="3190"/>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2,739,350.43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2,739,350.43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0"/>
        <w:ind w:right="8290"/>
        <w:jc w:val="left"/>
      </w:pPr>
      <w:r>
        <w:rPr/>
        <w:t>其他流动资产说明 无</w:t>
      </w:r>
    </w:p>
    <w:p>
      <w:pPr>
        <w:spacing w:line="240" w:lineRule="auto" w:before="2"/>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1328"/>
        <w:gridCol w:w="1594"/>
        <w:gridCol w:w="1594"/>
        <w:gridCol w:w="1462"/>
      </w:tblGrid>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168,003,875.19</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4" w:right="0"/>
              <w:jc w:val="left"/>
              <w:rPr>
                <w:rFonts w:ascii="Times New Roman" w:hAnsi="Times New Roman" w:cs="Times New Roman" w:eastAsia="Times New Roman" w:hint="default"/>
                <w:sz w:val="18"/>
                <w:szCs w:val="18"/>
              </w:rPr>
            </w:pPr>
            <w:r>
              <w:rPr>
                <w:rFonts w:ascii="Times New Roman"/>
                <w:sz w:val="18"/>
              </w:rPr>
              <w:t>12,908,447.96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4,550.42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180,907,772.73</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129,431,654.33</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5,007,049.00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134,438,703.33</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23,705,719.20</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4,374,545.47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28,080,264.67</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4,410,911.62</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1,750,683.64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6,161,595.26</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10,455,590.04</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1,776,169.85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4,550.42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12,227,209.47</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35,033,982.31</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9,340,428.31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44,373,967.68</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19,611,885.81</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4,829,153.66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24,441,039.47</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8,137,934.92</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2,220,690.59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10,358,625.51</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2,433,964.49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592,684.15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3,026,648.64</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4,850,197.09</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1,697,899.91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6,547,654.06</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132,969,892.88</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136,533,805.05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4516"/>
        <w:gridCol w:w="1462"/>
      </w:tblGrid>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109,819,768.52</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109,997,663.86</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15,567,784.28</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17,721,639.16</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1,976,947.13</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3,134,946.62</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5,605,392.95</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5,679,555.41</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132,969,892.88</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136,533,805.05</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109,819,768.52</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109,997,663.86</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15,567,784.28</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17,721,639.16</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1,976,947.13</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3,134,946.62</w:t>
            </w:r>
          </w:p>
        </w:tc>
      </w:tr>
      <w:tr>
        <w:trPr>
          <w:trHeight w:val="40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5,605,392.95</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5,679,555.41</w:t>
            </w:r>
          </w:p>
        </w:tc>
      </w:tr>
    </w:tbl>
    <w:p>
      <w:pPr>
        <w:pStyle w:val="BodyText"/>
        <w:spacing w:line="240" w:lineRule="auto" w:before="50"/>
        <w:ind w:right="92"/>
        <w:jc w:val="left"/>
      </w:pPr>
      <w:r>
        <w:rPr/>
        <w:t>本期折旧额</w:t>
      </w:r>
      <w:r>
        <w:rPr>
          <w:spacing w:val="-46"/>
        </w:rPr>
        <w:t> </w:t>
      </w:r>
      <w:r>
        <w:rPr>
          <w:rFonts w:ascii="Times New Roman" w:hAnsi="Times New Roman" w:cs="Times New Roman" w:eastAsia="Times New Roman" w:hint="default"/>
        </w:rPr>
        <w:t>9,340,428.31 </w:t>
      </w:r>
      <w:r>
        <w:rPr/>
        <w:t>元；本期由在建工程转入固定资产原价为</w:t>
      </w:r>
      <w:r>
        <w:rPr>
          <w:spacing w:val="-46"/>
        </w:rPr>
        <w:t> </w:t>
      </w:r>
      <w:r>
        <w:rPr>
          <w:rFonts w:ascii="Times New Roman" w:hAnsi="Times New Roman" w:cs="Times New Roman" w:eastAsia="Times New Roman" w:hint="default"/>
        </w:rPr>
        <w:t>5,299,730.80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深圳福田保税区桂花路南福保桂花苑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E506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房、福保桂花苑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深圳人才房，暂无法办理房产证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无法预计</w:t>
            </w:r>
          </w:p>
        </w:tc>
      </w:tr>
    </w:tbl>
    <w:p>
      <w:pPr>
        <w:pStyle w:val="BodyText"/>
        <w:spacing w:line="240" w:lineRule="auto" w:before="49"/>
        <w:ind w:right="92"/>
        <w:jc w:val="left"/>
      </w:pPr>
      <w:r>
        <w:rPr/>
        <w:t>固定资产说明</w:t>
      </w:r>
    </w:p>
    <w:p>
      <w:pPr>
        <w:spacing w:line="240" w:lineRule="auto" w:before="2"/>
        <w:rPr>
          <w:rFonts w:ascii="宋体" w:hAnsi="宋体" w:cs="宋体" w:eastAsia="宋体" w:hint="default"/>
          <w:sz w:val="13"/>
          <w:szCs w:val="13"/>
        </w:rPr>
      </w:pPr>
    </w:p>
    <w:p>
      <w:pPr>
        <w:pStyle w:val="Heading4"/>
        <w:spacing w:line="240" w:lineRule="auto"/>
        <w:ind w:left="114" w:right="9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年度折旧额为</w:t>
      </w:r>
      <w:r>
        <w:rPr>
          <w:rFonts w:ascii="Times New Roman" w:hAnsi="Times New Roman" w:cs="Times New Roman" w:eastAsia="Times New Roman" w:hint="default"/>
        </w:rPr>
        <w:t>9,340,428.31</w:t>
      </w:r>
      <w:r>
        <w:rPr/>
        <w:t>元。</w:t>
      </w:r>
    </w:p>
    <w:p>
      <w:pPr>
        <w:pStyle w:val="Heading4"/>
        <w:spacing w:line="256" w:lineRule="auto" w:before="71"/>
        <w:ind w:right="92"/>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日，公司对固定资产进行全面清查，无闲置固定资产，未发现存在需计提减值准</w:t>
      </w:r>
      <w:r>
        <w:rPr>
          <w:spacing w:val="-59"/>
        </w:rPr>
        <w:t> </w:t>
      </w:r>
      <w:r>
        <w:rPr>
          <w:spacing w:val="-59"/>
        </w:rPr>
      </w:r>
      <w:r>
        <w:rPr/>
        <w:t>备的情形，故未计提固定资产减值准备。</w:t>
      </w:r>
    </w:p>
    <w:p>
      <w:pPr>
        <w:pStyle w:val="Heading4"/>
        <w:spacing w:line="240" w:lineRule="auto" w:before="71"/>
        <w:ind w:right="92"/>
        <w:jc w:val="left"/>
      </w:pPr>
      <w:r>
        <w:rPr/>
        <w:t>（</w:t>
      </w:r>
      <w:r>
        <w:rPr>
          <w:rFonts w:ascii="Times New Roman" w:hAnsi="Times New Roman" w:cs="Times New Roman" w:eastAsia="Times New Roman" w:hint="default"/>
        </w:rPr>
        <w:t>3</w:t>
      </w:r>
      <w:r>
        <w:rPr/>
        <w:t>）本期由在建工程转入固定资产原价为</w:t>
      </w:r>
      <w:r>
        <w:rPr>
          <w:rFonts w:ascii="Times New Roman" w:hAnsi="Times New Roman" w:cs="Times New Roman" w:eastAsia="Times New Roman" w:hint="default"/>
        </w:rPr>
        <w:t>5,299,730.80</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left="113" w:right="92"/>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9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6"/>
        <w:gridCol w:w="1196"/>
        <w:gridCol w:w="1194"/>
        <w:gridCol w:w="1194"/>
        <w:gridCol w:w="1195"/>
        <w:gridCol w:w="1195"/>
        <w:gridCol w:w="1328"/>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骨质瓷生产线工程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1,502,500.00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1,502,500.00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展厅装修工程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7,400,000.00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66"/>
        <w:gridCol w:w="1196"/>
        <w:gridCol w:w="1194"/>
        <w:gridCol w:w="1194"/>
        <w:gridCol w:w="1195"/>
        <w:gridCol w:w="1195"/>
        <w:gridCol w:w="1328"/>
      </w:tblGrid>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广州长城金碟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EPR</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项目工程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233,100.00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9,135,600.00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4"/>
        <w:gridCol w:w="736"/>
        <w:gridCol w:w="734"/>
        <w:gridCol w:w="736"/>
        <w:gridCol w:w="734"/>
        <w:gridCol w:w="738"/>
        <w:gridCol w:w="736"/>
        <w:gridCol w:w="736"/>
        <w:gridCol w:w="737"/>
        <w:gridCol w:w="736"/>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91"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9"/>
              <w:ind w:left="93"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3"/>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1"/>
              <w:jc w:val="both"/>
              <w:rPr>
                <w:rFonts w:ascii="宋体" w:hAnsi="宋体" w:cs="宋体" w:eastAsia="宋体" w:hint="default"/>
                <w:sz w:val="18"/>
                <w:szCs w:val="18"/>
              </w:rPr>
            </w:pPr>
            <w:r>
              <w:rPr>
                <w:rFonts w:ascii="宋体" w:hAnsi="宋体" w:cs="宋体" w:eastAsia="宋体" w:hint="default"/>
                <w:sz w:val="18"/>
                <w:szCs w:val="18"/>
              </w:rPr>
              <w:t>骨质瓷 生产线 工程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63,585,4</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1,502,50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4,869,23</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5,299,73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1,072,00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展厅装 修工程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14,880,0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3,128,50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10,528,5</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00.00</w:t>
            </w:r>
          </w:p>
        </w:tc>
        <w:tc>
          <w:tcPr>
            <w:tcW w:w="73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1"/>
              <w:jc w:val="both"/>
              <w:rPr>
                <w:rFonts w:ascii="宋体" w:hAnsi="宋体" w:cs="宋体" w:eastAsia="宋体" w:hint="default"/>
                <w:sz w:val="18"/>
                <w:szCs w:val="18"/>
              </w:rPr>
            </w:pPr>
            <w:r>
              <w:rPr>
                <w:rFonts w:ascii="宋体" w:hAnsi="宋体" w:cs="宋体" w:eastAsia="宋体" w:hint="default"/>
                <w:sz w:val="18"/>
                <w:szCs w:val="18"/>
              </w:rPr>
              <w:t>募集资 金及自 筹</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5"/>
              <w:jc w:val="both"/>
              <w:rPr>
                <w:rFonts w:ascii="宋体" w:hAnsi="宋体" w:cs="宋体" w:eastAsia="宋体" w:hint="default"/>
                <w:sz w:val="18"/>
                <w:szCs w:val="18"/>
              </w:rPr>
            </w:pPr>
            <w:r>
              <w:rPr>
                <w:rFonts w:ascii="宋体" w:hAnsi="宋体" w:cs="宋体" w:eastAsia="宋体" w:hint="default"/>
                <w:sz w:val="18"/>
                <w:szCs w:val="18"/>
              </w:rPr>
              <w:t>广州长 城金碟 </w:t>
            </w:r>
            <w:r>
              <w:rPr>
                <w:rFonts w:ascii="Times New Roman" w:hAnsi="Times New Roman" w:cs="Times New Roman" w:eastAsia="Times New Roman" w:hint="default"/>
                <w:sz w:val="18"/>
                <w:szCs w:val="18"/>
              </w:rPr>
              <w:t>EPR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p>
            <w:pPr>
              <w:pStyle w:val="TableParagraph"/>
              <w:spacing w:line="235" w:lineRule="exact"/>
              <w:ind w:left="22" w:right="0"/>
              <w:jc w:val="both"/>
              <w:rPr>
                <w:rFonts w:ascii="宋体" w:hAnsi="宋体" w:cs="宋体" w:eastAsia="宋体" w:hint="default"/>
                <w:sz w:val="18"/>
                <w:szCs w:val="18"/>
              </w:rPr>
            </w:pPr>
            <w:r>
              <w:rPr>
                <w:rFonts w:ascii="宋体" w:hAnsi="宋体" w:cs="宋体" w:eastAsia="宋体" w:hint="default"/>
                <w:sz w:val="18"/>
                <w:szCs w:val="18"/>
              </w:rPr>
              <w:t>目工程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595,743.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73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9,135,60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8,360,37</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4.39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5,299,73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11,124,2</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43.59</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1,072,00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在建工程项目变动情况的说明</w:t>
      </w:r>
    </w:p>
    <w:p>
      <w:pPr>
        <w:spacing w:line="240" w:lineRule="auto" w:before="3"/>
        <w:rPr>
          <w:rFonts w:ascii="宋体" w:hAnsi="宋体" w:cs="宋体" w:eastAsia="宋体" w:hint="default"/>
          <w:sz w:val="13"/>
          <w:szCs w:val="13"/>
        </w:rPr>
      </w:pPr>
    </w:p>
    <w:p>
      <w:pPr>
        <w:pStyle w:val="Heading4"/>
        <w:spacing w:line="240" w:lineRule="auto"/>
        <w:ind w:left="114" w:right="0"/>
        <w:jc w:val="left"/>
      </w:pPr>
      <w:r>
        <w:rPr/>
        <w:t>（</w:t>
      </w:r>
      <w:r>
        <w:rPr>
          <w:rFonts w:ascii="Times New Roman" w:hAnsi="Times New Roman" w:cs="Times New Roman" w:eastAsia="Times New Roman" w:hint="default"/>
        </w:rPr>
        <w:t>1</w:t>
      </w:r>
      <w:r>
        <w:rPr/>
        <w:t>）展厅装修工程其他减少额</w:t>
      </w:r>
      <w:r>
        <w:rPr>
          <w:rFonts w:ascii="Times New Roman" w:hAnsi="Times New Roman" w:cs="Times New Roman" w:eastAsia="Times New Roman" w:hint="default"/>
        </w:rPr>
        <w:t>10,528,500.00</w:t>
      </w:r>
      <w:r>
        <w:rPr>
          <w:sz w:val="18"/>
          <w:szCs w:val="18"/>
        </w:rPr>
        <w:t>元</w:t>
      </w:r>
      <w:r>
        <w:rPr/>
        <w:t>为装修项目完工转入长期待摊费并按照会计政策进行摊销。</w:t>
      </w:r>
    </w:p>
    <w:p>
      <w:pPr>
        <w:pStyle w:val="Heading4"/>
        <w:spacing w:line="240" w:lineRule="auto" w:before="140"/>
        <w:ind w:right="0"/>
        <w:jc w:val="left"/>
      </w:pPr>
      <w:r>
        <w:rPr/>
        <w:t>（</w:t>
      </w:r>
      <w:r>
        <w:rPr>
          <w:rFonts w:ascii="Times New Roman" w:hAnsi="Times New Roman" w:cs="Times New Roman" w:eastAsia="Times New Roman" w:hint="default"/>
        </w:rPr>
        <w:t>2</w:t>
      </w:r>
      <w:r>
        <w:rPr/>
        <w:t>）广州长城金蝶</w:t>
      </w:r>
      <w:r>
        <w:rPr>
          <w:rFonts w:ascii="Times New Roman" w:hAnsi="Times New Roman" w:cs="Times New Roman" w:eastAsia="Times New Roman" w:hint="default"/>
        </w:rPr>
        <w:t>ERP</w:t>
      </w:r>
      <w:r>
        <w:rPr/>
        <w:t>项目工程减少额</w:t>
      </w:r>
      <w:r>
        <w:rPr>
          <w:rFonts w:ascii="Times New Roman" w:hAnsi="Times New Roman" w:cs="Times New Roman" w:eastAsia="Times New Roman" w:hint="default"/>
        </w:rPr>
        <w:t>595,743.59</w:t>
      </w:r>
      <w:r>
        <w:rPr/>
        <w:t>元为金蝶</w:t>
      </w:r>
      <w:r>
        <w:rPr>
          <w:rFonts w:ascii="Times New Roman" w:hAnsi="Times New Roman" w:cs="Times New Roman" w:eastAsia="Times New Roman" w:hint="default"/>
        </w:rPr>
        <w:t>ERP</w:t>
      </w:r>
      <w:r>
        <w:rPr/>
        <w:t>达到预定可使用状态转入无形资产。</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8,110,440.46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595,743.59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8,706,184.05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5,819,602.00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5,819,602.00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79,300.00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79,300.00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81"/>
              <w:jc w:val="left"/>
              <w:rPr>
                <w:rFonts w:ascii="宋体" w:hAnsi="宋体" w:cs="宋体" w:eastAsia="宋体" w:hint="default"/>
                <w:sz w:val="18"/>
                <w:szCs w:val="18"/>
              </w:rPr>
            </w:pPr>
            <w:r>
              <w:rPr>
                <w:rFonts w:ascii="宋体" w:hAnsi="宋体" w:cs="宋体" w:eastAsia="宋体" w:hint="default"/>
                <w:sz w:val="18"/>
                <w:szCs w:val="18"/>
              </w:rPr>
              <w:t>日用细瓷低温快烧工艺专 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长城集团金蝶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1,280,000.00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1,280,000.00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深圳长城金蝶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201,538.46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201,538.46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广州长城金蝶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595,743.59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595,743.59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1,849,362.52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552,685.23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2,402,047.75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1,551,389.08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122,089.55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1,673,478.63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233,333.21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69,999.96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303,333.17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21,146.56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7,929.96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29,076.52</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1"/>
              <w:jc w:val="left"/>
              <w:rPr>
                <w:rFonts w:ascii="宋体" w:hAnsi="宋体" w:cs="宋体" w:eastAsia="宋体" w:hint="default"/>
                <w:sz w:val="18"/>
                <w:szCs w:val="18"/>
              </w:rPr>
            </w:pPr>
            <w:r>
              <w:rPr>
                <w:rFonts w:ascii="宋体" w:hAnsi="宋体" w:cs="宋体" w:eastAsia="宋体" w:hint="default"/>
                <w:sz w:val="18"/>
                <w:szCs w:val="18"/>
              </w:rPr>
              <w:t>日用细瓷低温快烧工艺专 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12,083.42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17,083.46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长城集团金蝶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21,333.33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255,999.96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277,333.29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深圳长城金蝶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10,076.92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40,307.64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50,384.56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广州长城金蝶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51,358.12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51,358.12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6,261,077.94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43,058.36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6,304,136.30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4,268,212.92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4,146,123.37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466,666.79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396,666.83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58,153.44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50,223.48</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1"/>
              <w:jc w:val="left"/>
              <w:rPr>
                <w:rFonts w:ascii="宋体" w:hAnsi="宋体" w:cs="宋体" w:eastAsia="宋体" w:hint="default"/>
                <w:sz w:val="18"/>
                <w:szCs w:val="18"/>
              </w:rPr>
            </w:pPr>
            <w:r>
              <w:rPr>
                <w:rFonts w:ascii="宋体" w:hAnsi="宋体" w:cs="宋体" w:eastAsia="宋体" w:hint="default"/>
                <w:sz w:val="18"/>
                <w:szCs w:val="18"/>
              </w:rPr>
              <w:t>日用细瓷低温快烧工艺专 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17,916.58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12,916.54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长城集团金蝶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1,258,666.67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1,002,666.71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深圳长城金蝶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191,461.54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151,153.90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广州长城金蝶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544,385.47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1"/>
              <w:jc w:val="left"/>
              <w:rPr>
                <w:rFonts w:ascii="宋体" w:hAnsi="宋体" w:cs="宋体" w:eastAsia="宋体" w:hint="default"/>
                <w:sz w:val="18"/>
                <w:szCs w:val="18"/>
              </w:rPr>
            </w:pPr>
            <w:r>
              <w:rPr>
                <w:rFonts w:ascii="宋体" w:hAnsi="宋体" w:cs="宋体" w:eastAsia="宋体" w:hint="default"/>
                <w:sz w:val="18"/>
                <w:szCs w:val="18"/>
              </w:rPr>
              <w:t>日用细瓷低温快烧工艺专 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长城集团金蝶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深圳长城金蝶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广州长城金蝶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6,261,077.94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43,058.36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6,304,136.30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4,268,212.92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4,146,123.37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466,666.79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396,666.83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58,153.44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50,223.48</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1"/>
              <w:jc w:val="left"/>
              <w:rPr>
                <w:rFonts w:ascii="宋体" w:hAnsi="宋体" w:cs="宋体" w:eastAsia="宋体" w:hint="default"/>
                <w:sz w:val="18"/>
                <w:szCs w:val="18"/>
              </w:rPr>
            </w:pPr>
            <w:r>
              <w:rPr>
                <w:rFonts w:ascii="宋体" w:hAnsi="宋体" w:cs="宋体" w:eastAsia="宋体" w:hint="default"/>
                <w:sz w:val="18"/>
                <w:szCs w:val="18"/>
              </w:rPr>
              <w:t>日用细瓷低温快烧工艺专 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17,916.58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12,916.54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长城集团金蝶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1,258,666.67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1,002,666.71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深圳长城金蝶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191,461.54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151,153.90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广州长城金蝶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544,385.47</w:t>
            </w:r>
          </w:p>
        </w:tc>
      </w:tr>
    </w:tbl>
    <w:p>
      <w:pPr>
        <w:pStyle w:val="BodyText"/>
        <w:spacing w:line="240" w:lineRule="auto" w:before="50"/>
        <w:ind w:right="92"/>
        <w:jc w:val="left"/>
      </w:pPr>
      <w:r>
        <w:rPr/>
        <w:t>本期摊销额</w:t>
      </w:r>
      <w:r>
        <w:rPr>
          <w:spacing w:val="-46"/>
        </w:rPr>
        <w:t> </w:t>
      </w:r>
      <w:r>
        <w:rPr>
          <w:rFonts w:ascii="Times New Roman" w:hAnsi="Times New Roman" w:cs="Times New Roman" w:eastAsia="Times New Roman" w:hint="default"/>
        </w:rPr>
        <w:t>552,685.23 </w:t>
      </w:r>
      <w:r>
        <w:rPr/>
        <w:t>元。</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12</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长城集团研发中 心装修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97,899.92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35,600.04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62,299.88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长城集团实验中 心装修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长城集团展厅装 修费用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3,274,269.87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718,924.80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2,555,345.07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长城集团展厅装 修费用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11,144,276.00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458,482.77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10,685,793.23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七丛松排沟重建 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657,730.00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148,920.00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508,810.00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广州长城直营、 联营店装修费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205,087.56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3,812,409.40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1,848,545.23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2,168,951.73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深圳长城展厅装 修费用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11,051,223.41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801,193.00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3,415,169.64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8,437,246.77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北京昶城办公室 装修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116,947.34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24,195.96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92,751.38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both"/>
              <w:rPr>
                <w:rFonts w:ascii="宋体" w:hAnsi="宋体" w:cs="宋体" w:eastAsia="宋体" w:hint="default"/>
                <w:sz w:val="18"/>
                <w:szCs w:val="18"/>
              </w:rPr>
            </w:pPr>
            <w:r>
              <w:rPr>
                <w:rFonts w:ascii="宋体" w:hAnsi="宋体" w:cs="宋体" w:eastAsia="宋体" w:hint="default"/>
                <w:sz w:val="18"/>
                <w:szCs w:val="18"/>
              </w:rPr>
              <w:t>贵州仁怀直营店 装修及广告牌租 用费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599,628.00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15,493.81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584,134.19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15,502,158.10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16,357,506.40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6,701,332.25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25,158,332.25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8110"/>
        <w:jc w:val="left"/>
      </w:pPr>
      <w:r>
        <w:rPr/>
        <w:t>长期待摊费用的说明 无</w:t>
      </w:r>
    </w:p>
    <w:p>
      <w:pPr>
        <w:spacing w:line="240" w:lineRule="auto" w:before="2"/>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13</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2"/>
        <w:jc w:val="left"/>
      </w:pPr>
      <w:r>
        <w:rPr/>
        <w:t>已确认的递延所得税资产和递延所得税负债</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坏账准备的影响</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988,581.31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579,800.53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存货跌价准备的影响</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175,054.77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141,264.73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内部未实现利润的影响</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160,295.76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140,621.29</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1,323,931.84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861,686.55</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0"/>
        <w:ind w:right="92"/>
        <w:jc w:val="left"/>
      </w:pPr>
      <w:r>
        <w:rPr/>
        <w:t>未确认递延所得税资产明细</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8,398,709.09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5,504,757.71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8,398,709.09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5,504,757.71</w:t>
            </w:r>
          </w:p>
        </w:tc>
      </w:tr>
    </w:tbl>
    <w:p>
      <w:pPr>
        <w:pStyle w:val="BodyText"/>
        <w:spacing w:line="240" w:lineRule="auto" w:before="49"/>
        <w:ind w:right="92"/>
        <w:jc w:val="left"/>
      </w:pPr>
      <w:r>
        <w:rPr/>
        <w:t>未确认递延所得税资产的可抵扣亏损将于以下年度到期</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2257"/>
        <w:gridCol w:w="1994"/>
        <w:gridCol w:w="3320"/>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0"/>
        <w:ind w:right="92"/>
        <w:jc w:val="left"/>
      </w:pPr>
      <w:r>
        <w:rPr/>
        <w:t>应纳税差异和可抵扣差异项目明细</w:t>
      </w:r>
    </w:p>
    <w:p>
      <w:pPr>
        <w:pStyle w:val="BodyText"/>
        <w:spacing w:line="240" w:lineRule="auto" w:before="116"/>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924"/>
        <w:gridCol w:w="2788"/>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6,590,494.28</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4,000,507.72</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1,167,031.77</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941,764.84</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内部未实现利润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641,183.04</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562,485.15</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8,398,709.09</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5,504,757.71</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2"/>
        <w:jc w:val="left"/>
      </w:pPr>
      <w:r>
        <w:rPr/>
        <w:t>互抵后的递延所得税资产及负债的组成项目</w:t>
      </w:r>
    </w:p>
    <w:p>
      <w:pPr>
        <w:pStyle w:val="BodyText"/>
        <w:spacing w:line="240" w:lineRule="auto" w:before="116"/>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1"/>
        <w:gridCol w:w="1627"/>
        <w:gridCol w:w="1627"/>
        <w:gridCol w:w="1627"/>
        <w:gridCol w:w="1627"/>
      </w:tblGrid>
      <w:tr>
        <w:trPr>
          <w:trHeight w:val="1026"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1,323,931.84</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861,686.55</w:t>
            </w:r>
          </w:p>
        </w:tc>
        <w:tc>
          <w:tcPr>
            <w:tcW w:w="162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92"/>
        <w:jc w:val="left"/>
      </w:pPr>
      <w:r>
        <w:rPr/>
        <w:t>递延所得税资产和递延所得税负债互抵明细</w:t>
      </w:r>
    </w:p>
    <w:p>
      <w:pPr>
        <w:pStyle w:val="BodyText"/>
        <w:spacing w:line="240" w:lineRule="auto" w:before="116"/>
        <w:ind w:left="0" w:right="111"/>
        <w:jc w:val="right"/>
      </w:pPr>
      <w:r>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3;width:3848;height:394" coordorigin="14,13" coordsize="3848,394">
              <v:shape style="position:absolute;left:14;top:13;width:3848;height:394" coordorigin="14,13" coordsize="3848,394" path="m14,407l3862,407,3862,13,14,13,14,407xe" filled="true" fillcolor="#d3d3d3" stroked="false">
                <v:path arrowok="t"/>
                <v:fill type="solid"/>
              </v:shape>
            </v:group>
            <v:group style="position:absolute;left:3870;top:13;width:5704;height:394" coordorigin="3870,13" coordsize="5704,394">
              <v:shape style="position:absolute;left:3870;top:13;width:5704;height:394" coordorigin="3870,13" coordsize="5704,394" path="m3870,407l9574,407,9574,13,3870,13,3870,407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412;width:9579;height:2" coordorigin="5,412" coordsize="9579,2">
              <v:shape style="position:absolute;left:5;top:412;width:9579;height:2" coordorigin="5,412" coordsize="9579,0" path="m5,412l9583,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3866;top:5;width:2;height:402" coordorigin="3866,5" coordsize="2,402">
              <v:shape style="position:absolute;left:3866;top:5;width:2;height:402" coordorigin="3866,5" coordsize="0,402" path="m3866,5l3866,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75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6;top:10;width:5712;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footerReference w:type="default" r:id="rId33"/>
          <w:pgSz w:w="11910" w:h="16840"/>
          <w:pgMar w:footer="980" w:header="747" w:top="1060" w:bottom="1160" w:left="1020" w:right="1020"/>
        </w:sectPr>
      </w:pPr>
    </w:p>
    <w:p>
      <w:pPr>
        <w:spacing w:line="240" w:lineRule="auto" w:before="12"/>
        <w:rPr>
          <w:rFonts w:ascii="宋体" w:hAnsi="宋体" w:cs="宋体" w:eastAsia="宋体" w:hint="default"/>
          <w:sz w:val="25"/>
          <w:szCs w:val="25"/>
        </w:rPr>
      </w:pPr>
    </w:p>
    <w:p>
      <w:pPr>
        <w:pStyle w:val="BodyText"/>
        <w:spacing w:line="360" w:lineRule="auto" w:before="44"/>
        <w:ind w:left="113" w:right="6491"/>
        <w:jc w:val="left"/>
      </w:pPr>
      <w:r>
        <w:rPr/>
        <w:t>递延所得税资产和递延所得税负债的说明 无</w:t>
      </w:r>
    </w:p>
    <w:p>
      <w:pPr>
        <w:spacing w:line="240" w:lineRule="auto" w:before="1"/>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14</w:t>
      </w:r>
      <w:r>
        <w:rPr/>
        <w:t>、资产减值准备明细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6"/>
        <w:gridCol w:w="1528"/>
        <w:gridCol w:w="1529"/>
        <w:gridCol w:w="1398"/>
        <w:gridCol w:w="1398"/>
        <w:gridCol w:w="1452"/>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9"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4,000,507.72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3,182,451.90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7,182,959.62</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941,764.84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225,266.93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1,167,031.77</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4,942,272.56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3,407,718.83</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8,349,991.39</w:t>
            </w:r>
          </w:p>
        </w:tc>
      </w:tr>
    </w:tbl>
    <w:p>
      <w:pPr>
        <w:pStyle w:val="BodyText"/>
        <w:spacing w:line="357" w:lineRule="auto" w:before="50"/>
        <w:ind w:right="7750"/>
        <w:jc w:val="left"/>
      </w:pPr>
      <w:r>
        <w:rPr/>
        <w:t>资产减值明细情况的说明 无</w:t>
      </w:r>
    </w:p>
    <w:p>
      <w:pPr>
        <w:spacing w:line="240" w:lineRule="auto" w:before="2"/>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15</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0"/>
        <w:ind w:right="92"/>
        <w:jc w:val="left"/>
      </w:pPr>
      <w:r>
        <w:rPr/>
        <w:t>其他非流动资产的说明</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rFonts w:ascii="Times New Roman" w:hAnsi="Times New Roman" w:cs="Times New Roman" w:eastAsia="Times New Roman" w:hint="default"/>
        </w:rPr>
        <w:t>16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50,000,000.00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120,000,000.00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170,000,000.00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220,000,000.00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120,000,000.00</w:t>
            </w:r>
          </w:p>
        </w:tc>
      </w:tr>
    </w:tbl>
    <w:p>
      <w:pPr>
        <w:pStyle w:val="BodyText"/>
        <w:spacing w:line="240" w:lineRule="auto" w:before="49"/>
        <w:ind w:right="92"/>
        <w:jc w:val="left"/>
      </w:pPr>
      <w:r>
        <w:rPr/>
        <w:t>短期借款分类的说明</w:t>
      </w:r>
    </w:p>
    <w:p>
      <w:pPr>
        <w:pStyle w:val="Heading4"/>
        <w:spacing w:line="256" w:lineRule="auto" w:before="92"/>
        <w:ind w:left="114" w:right="92"/>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日公司短期借款较上年增加</w:t>
      </w:r>
      <w:r>
        <w:rPr>
          <w:rFonts w:ascii="Times New Roman" w:hAnsi="Times New Roman" w:cs="Times New Roman" w:eastAsia="Times New Roman" w:hint="default"/>
          <w:spacing w:val="-2"/>
        </w:rPr>
        <w:t>100,000,000.00</w:t>
      </w:r>
      <w:r>
        <w:rPr>
          <w:spacing w:val="-2"/>
        </w:rPr>
        <w:t>元，增幅为</w:t>
      </w:r>
      <w:r>
        <w:rPr>
          <w:rFonts w:ascii="Times New Roman" w:hAnsi="Times New Roman" w:cs="Times New Roman" w:eastAsia="Times New Roman" w:hint="default"/>
          <w:spacing w:val="-2"/>
        </w:rPr>
        <w:t>83.33%</w:t>
      </w:r>
      <w:r>
        <w:rPr>
          <w:spacing w:val="-2"/>
        </w:rPr>
        <w:t>，主要是公司经营活动增加</w:t>
      </w:r>
      <w:r>
        <w:rPr>
          <w:spacing w:val="-90"/>
        </w:rPr>
        <w:t> </w:t>
      </w:r>
      <w:r>
        <w:rPr>
          <w:spacing w:val="-90"/>
        </w:rPr>
      </w:r>
      <w:r>
        <w:rPr/>
        <w:t>短期借款筹资所致。</w:t>
      </w:r>
    </w:p>
    <w:p>
      <w:pPr>
        <w:spacing w:after="0" w:line="256" w:lineRule="auto"/>
        <w:jc w:val="left"/>
        <w:sectPr>
          <w:footerReference w:type="default" r:id="rId34"/>
          <w:pgSz w:w="11910" w:h="16840"/>
          <w:pgMar w:footer="980" w:header="747" w:top="1060" w:bottom="1160" w:left="1020" w:right="1020"/>
          <w:pgNumType w:start="101"/>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17</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17,410,398.00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9,233,013.61</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17,410,398.00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9,233,013.61</w:t>
            </w:r>
          </w:p>
        </w:tc>
      </w:tr>
    </w:tbl>
    <w:p>
      <w:pPr>
        <w:spacing w:line="240" w:lineRule="auto" w:before="2"/>
        <w:rPr>
          <w:rFonts w:ascii="宋体" w:hAnsi="宋体" w:cs="宋体" w:eastAsia="宋体" w:hint="default"/>
          <w:sz w:val="19"/>
          <w:szCs w:val="19"/>
        </w:rPr>
      </w:pPr>
    </w:p>
    <w:p>
      <w:pPr>
        <w:spacing w:line="506" w:lineRule="auto" w:before="35"/>
        <w:ind w:left="113" w:right="37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）账龄超过一年的大额应付账款情况的说明</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日，公司不存在账龄超过</w:t>
      </w:r>
      <w:r>
        <w:rPr>
          <w:rFonts w:ascii="Times New Roman" w:hAnsi="Times New Roman" w:cs="Times New Roman" w:eastAsia="Times New Roman" w:hint="default"/>
          <w:sz w:val="21"/>
          <w:szCs w:val="21"/>
        </w:rPr>
        <w:t>1</w:t>
      </w:r>
      <w:r>
        <w:rPr>
          <w:rFonts w:ascii="宋体" w:hAnsi="宋体" w:cs="宋体" w:eastAsia="宋体" w:hint="default"/>
          <w:sz w:val="21"/>
          <w:szCs w:val="21"/>
        </w:rPr>
        <w:t>年的大额应付账款。 </w:t>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、预收账款</w:t>
      </w:r>
      <w:r>
        <w:rPr>
          <w:rFonts w:ascii="宋体" w:hAnsi="宋体" w:cs="宋体" w:eastAsia="宋体" w:hint="default"/>
          <w:sz w:val="21"/>
          <w:szCs w:val="21"/>
        </w:rPr>
      </w:r>
    </w:p>
    <w:p>
      <w:pPr>
        <w:pStyle w:val="Heading3"/>
        <w:spacing w:line="240" w:lineRule="auto" w:before="64"/>
        <w:ind w:left="113" w:right="92"/>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4,785,032.34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3,608,552.84</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4,785,032.34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3,608,552.84</w:t>
            </w:r>
          </w:p>
        </w:tc>
      </w:tr>
    </w:tbl>
    <w:p>
      <w:pPr>
        <w:spacing w:line="240" w:lineRule="auto" w:before="2"/>
        <w:rPr>
          <w:rFonts w:ascii="宋体" w:hAnsi="宋体" w:cs="宋体" w:eastAsia="宋体" w:hint="default"/>
          <w:sz w:val="19"/>
          <w:szCs w:val="19"/>
        </w:rPr>
      </w:pPr>
    </w:p>
    <w:p>
      <w:pPr>
        <w:spacing w:line="506" w:lineRule="auto" w:before="35"/>
        <w:ind w:left="113" w:right="37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）账龄超过一年的大额预收账款情况的说明</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日，公司不存在账龄超过</w:t>
      </w:r>
      <w:r>
        <w:rPr>
          <w:rFonts w:ascii="Times New Roman" w:hAnsi="Times New Roman" w:cs="Times New Roman" w:eastAsia="Times New Roman" w:hint="default"/>
          <w:sz w:val="21"/>
          <w:szCs w:val="21"/>
        </w:rPr>
        <w:t>1</w:t>
      </w:r>
      <w:r>
        <w:rPr>
          <w:rFonts w:ascii="宋体" w:hAnsi="宋体" w:cs="宋体" w:eastAsia="宋体" w:hint="default"/>
          <w:sz w:val="21"/>
          <w:szCs w:val="21"/>
        </w:rPr>
        <w:t>年的大额预收账款。 </w:t>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BodyText"/>
        <w:spacing w:line="240" w:lineRule="auto" w:before="88"/>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7"/>
        <w:gridCol w:w="1861"/>
        <w:gridCol w:w="1993"/>
        <w:gridCol w:w="2258"/>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贴和补贴</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3,510,932.21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44,317,602.05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43,384,721.11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4,443,813.15</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3,375,178.22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3,375,178.22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26,420.51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4,008,372.77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4,009,981.42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24,811.86</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其中：基本养老保险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2,896.30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2,627,134.63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2,615,342.93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14,688.00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129.77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275,144.58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274,539.95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734.40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w w:val="95"/>
                <w:sz w:val="18"/>
              </w:rPr>
              <w:t>887.11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136,939.86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137,455.75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371.22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1,989.10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120,396.51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121,791.67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593.94</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20,518.23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848,757.19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860,851.12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8,424.30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7"/>
        <w:gridCol w:w="1861"/>
        <w:gridCol w:w="1993"/>
        <w:gridCol w:w="2258"/>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8,806.36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542,367.54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550,741.90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170,495.93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170,495.93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20,100.00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20,100.00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150,248.93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150,248.93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3,546,159.08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52,414,016.51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51,491,118.58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4,469,057.01</w:t>
            </w:r>
          </w:p>
        </w:tc>
      </w:tr>
    </w:tbl>
    <w:p>
      <w:pPr>
        <w:pStyle w:val="BodyText"/>
        <w:spacing w:line="240" w:lineRule="auto" w:before="50"/>
        <w:ind w:right="92"/>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2"/>
        <w:ind w:right="779"/>
        <w:jc w:val="left"/>
      </w:pPr>
      <w:r>
        <w:rPr/>
        <w:t>工会经费和职工教育经费金额</w:t>
      </w:r>
      <w:r>
        <w:rPr>
          <w:spacing w:val="-45"/>
        </w:rPr>
        <w:t> </w:t>
      </w:r>
      <w:r>
        <w:rPr>
          <w:rFonts w:ascii="Times New Roman" w:hAnsi="Times New Roman" w:cs="Times New Roman" w:eastAsia="Times New Roman" w:hint="default"/>
        </w:rPr>
        <w:t>20,247.00</w:t>
      </w:r>
      <w:r>
        <w:rPr>
          <w:rFonts w:ascii="Times New Roman" w:hAnsi="Times New Roman" w:cs="Times New Roman" w:eastAsia="Times New Roman" w:hint="default"/>
          <w:spacing w:val="-1"/>
        </w:rPr>
        <w:t> </w:t>
      </w:r>
      <w:r>
        <w:rPr/>
        <w:t>元，非货币性福利金额</w:t>
      </w:r>
      <w:r>
        <w:rPr>
          <w:spacing w:val="-45"/>
        </w:rPr>
        <w:t> </w:t>
      </w:r>
      <w:r>
        <w:rPr>
          <w:rFonts w:ascii="Times New Roman" w:hAnsi="Times New Roman" w:cs="Times New Roman" w:eastAsia="Times New Roman" w:hint="default"/>
        </w:rPr>
        <w:t>150,248.93</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应付职工薪酬预计发放时间、金额等安排</w:t>
      </w:r>
    </w:p>
    <w:p>
      <w:pPr>
        <w:pStyle w:val="BodyText"/>
        <w:spacing w:line="240" w:lineRule="auto" w:before="40"/>
        <w:ind w:right="92"/>
        <w:jc w:val="left"/>
      </w:pPr>
      <w:r>
        <w:rPr/>
        <w:t>应付职工薪酬</w:t>
      </w:r>
      <w:r>
        <w:rPr>
          <w:rFonts w:ascii="Times New Roman" w:hAnsi="Times New Roman" w:cs="Times New Roman" w:eastAsia="Times New Roman" w:hint="default"/>
        </w:rPr>
        <w:t>4,443,813.15</w:t>
      </w:r>
      <w:r>
        <w:rPr/>
        <w:t>元于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月已经发放。</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25,288.37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-4,343,885.46</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3,010,403.01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2,059,285.68</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91,689.22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51,669.97</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323,162.94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370,227.83</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3,845.94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1,799.61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184,135.62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204,306.28</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59,564.77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73,011.93</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388.30</w:t>
            </w:r>
            <w:r>
              <w:rPr>
                <w:rFonts w:ascii="Times New Roman"/>
                <w:sz w:val="18"/>
              </w:rPr>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1,706.83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808.91</w:t>
            </w:r>
            <w:r>
              <w:rPr>
                <w:rFonts w:ascii="Times New Roman"/>
                <w:sz w:val="18"/>
              </w:rPr>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3,700,091.50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-1,582,386.95</w:t>
            </w:r>
          </w:p>
        </w:tc>
      </w:tr>
    </w:tbl>
    <w:p>
      <w:pPr>
        <w:pStyle w:val="BodyText"/>
        <w:spacing w:line="357" w:lineRule="auto" w:before="50"/>
        <w:ind w:right="1450"/>
        <w:jc w:val="left"/>
      </w:pPr>
      <w:r>
        <w:rPr/>
        <w:t>应交税费说明，所在地税务机关同意各分公司、分厂之间应纳税所得额相互调剂的，应说明税款计算过程 无</w:t>
      </w:r>
    </w:p>
    <w:p>
      <w:pPr>
        <w:spacing w:line="240" w:lineRule="auto" w:before="2"/>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21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417,205.56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251,365.28</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417,205.56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251,365.28</w:t>
            </w:r>
          </w:p>
        </w:tc>
      </w:tr>
    </w:tbl>
    <w:p>
      <w:pPr>
        <w:pStyle w:val="BodyText"/>
        <w:spacing w:line="357" w:lineRule="auto" w:before="50"/>
        <w:ind w:right="8650"/>
        <w:jc w:val="left"/>
      </w:pPr>
      <w:r>
        <w:rPr/>
        <w:t>应付利息说明 无</w:t>
      </w:r>
    </w:p>
    <w:p>
      <w:pPr>
        <w:spacing w:after="0" w:line="357"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2,021,988.07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1,710,241.04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19,204.77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6,889.41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2,041,192.84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1,717,130.45</w:t>
            </w:r>
          </w:p>
        </w:tc>
      </w:tr>
    </w:tbl>
    <w:p>
      <w:pPr>
        <w:spacing w:line="240" w:lineRule="auto" w:before="2"/>
        <w:rPr>
          <w:rFonts w:ascii="宋体" w:hAnsi="宋体" w:cs="宋体" w:eastAsia="宋体" w:hint="default"/>
          <w:sz w:val="19"/>
          <w:szCs w:val="19"/>
        </w:rPr>
      </w:pPr>
    </w:p>
    <w:p>
      <w:pPr>
        <w:spacing w:line="506" w:lineRule="auto" w:before="35"/>
        <w:ind w:left="113" w:right="437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）账龄超过一年的大额其他应付款情况的说明</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日，无账龄超过</w:t>
      </w:r>
      <w:r>
        <w:rPr>
          <w:rFonts w:ascii="Times New Roman" w:hAnsi="Times New Roman" w:cs="Times New Roman" w:eastAsia="Times New Roman" w:hint="default"/>
          <w:sz w:val="21"/>
          <w:szCs w:val="21"/>
        </w:rPr>
        <w:t>1</w:t>
      </w:r>
      <w:r>
        <w:rPr>
          <w:rFonts w:ascii="宋体" w:hAnsi="宋体" w:cs="宋体" w:eastAsia="宋体" w:hint="default"/>
          <w:sz w:val="21"/>
          <w:szCs w:val="21"/>
        </w:rPr>
        <w:t>年的大额其他应付款。 </w:t>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、股本</w:t>
      </w:r>
      <w:r>
        <w:rPr>
          <w:rFonts w:ascii="宋体" w:hAnsi="宋体" w:cs="宋体" w:eastAsia="宋体" w:hint="default"/>
          <w:sz w:val="21"/>
          <w:szCs w:val="21"/>
        </w:rPr>
      </w:r>
    </w:p>
    <w:p>
      <w:pPr>
        <w:pStyle w:val="BodyText"/>
        <w:spacing w:line="240" w:lineRule="auto" w:before="88"/>
        <w:ind w:left="0" w:right="110"/>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5"/>
        <w:gridCol w:w="1196"/>
        <w:gridCol w:w="1196"/>
        <w:gridCol w:w="1195"/>
        <w:gridCol w:w="1196"/>
        <w:gridCol w:w="1196"/>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 w:right="0"/>
              <w:jc w:val="left"/>
              <w:rPr>
                <w:rFonts w:ascii="Times New Roman" w:hAnsi="Times New Roman" w:cs="Times New Roman" w:eastAsia="Times New Roman" w:hint="default"/>
                <w:sz w:val="18"/>
                <w:szCs w:val="18"/>
              </w:rPr>
            </w:pPr>
            <w:r>
              <w:rPr>
                <w:rFonts w:ascii="Times New Roman"/>
                <w:sz w:val="18"/>
              </w:rPr>
              <w:t>100,000,000.00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18"/>
                <w:szCs w:val="18"/>
              </w:rPr>
            </w:pPr>
            <w:r>
              <w:rPr>
                <w:rFonts w:ascii="Times New Roman"/>
                <w:sz w:val="18"/>
              </w:rPr>
              <w:t>50,000,000.00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18"/>
                <w:szCs w:val="18"/>
              </w:rPr>
            </w:pPr>
            <w:r>
              <w:rPr>
                <w:rFonts w:ascii="Times New Roman"/>
                <w:sz w:val="18"/>
              </w:rPr>
              <w:t>50,000,000.00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7" w:right="0"/>
              <w:jc w:val="left"/>
              <w:rPr>
                <w:rFonts w:ascii="Times New Roman" w:hAnsi="Times New Roman" w:cs="Times New Roman" w:eastAsia="Times New Roman" w:hint="default"/>
                <w:sz w:val="18"/>
                <w:szCs w:val="18"/>
              </w:rPr>
            </w:pPr>
            <w:r>
              <w:rPr>
                <w:rFonts w:ascii="Times New Roman"/>
                <w:sz w:val="18"/>
              </w:rPr>
              <w:t>150,000,000.00</w:t>
            </w:r>
          </w:p>
        </w:tc>
      </w:tr>
    </w:tbl>
    <w:p>
      <w:pPr>
        <w:pStyle w:val="BodyText"/>
        <w:spacing w:line="240" w:lineRule="auto" w:before="49"/>
        <w:ind w:right="92"/>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5"/>
        </w:rPr>
        <w:t> </w:t>
      </w:r>
      <w:r>
        <w:rPr>
          <w:rFonts w:ascii="Times New Roman" w:hAnsi="Times New Roman" w:cs="Times New Roman" w:eastAsia="Times New Roman" w:hint="default"/>
        </w:rPr>
        <w:t>3</w:t>
      </w:r>
    </w:p>
    <w:p>
      <w:pPr>
        <w:pStyle w:val="BodyText"/>
        <w:spacing w:line="240" w:lineRule="auto" w:before="63"/>
        <w:ind w:right="92"/>
        <w:jc w:val="left"/>
      </w:pPr>
      <w:r>
        <w:rPr/>
        <w:t>年的股份有限公司，设立前的年份只需说明净资产情况；有限责任公司整体变更为股份公司应说明公司设立时的验资情况</w:t>
      </w:r>
    </w:p>
    <w:p>
      <w:pPr>
        <w:spacing w:line="240" w:lineRule="auto" w:before="1"/>
        <w:rPr>
          <w:rFonts w:ascii="宋体" w:hAnsi="宋体" w:cs="宋体" w:eastAsia="宋体" w:hint="default"/>
          <w:sz w:val="13"/>
          <w:szCs w:val="13"/>
        </w:rPr>
      </w:pPr>
    </w:p>
    <w:p>
      <w:pPr>
        <w:pStyle w:val="Heading4"/>
        <w:spacing w:line="259" w:lineRule="auto"/>
        <w:ind w:right="106" w:firstLine="315"/>
        <w:jc w:val="both"/>
      </w:pPr>
      <w:r>
        <w:rPr>
          <w:spacing w:val="-1"/>
        </w:rPr>
        <w:t>根据公司于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日召开的</w:t>
      </w:r>
      <w:r>
        <w:rPr>
          <w:rFonts w:ascii="Times New Roman" w:hAnsi="Times New Roman" w:cs="Times New Roman" w:eastAsia="Times New Roman" w:hint="default"/>
          <w:spacing w:val="-1"/>
        </w:rPr>
        <w:t>2011</w:t>
      </w:r>
      <w:r>
        <w:rPr>
          <w:spacing w:val="-1"/>
        </w:rPr>
        <w:t>年年度股东大会决议，公司按</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100,000,000</w:t>
      </w:r>
      <w:r>
        <w:rPr>
          <w:rFonts w:ascii="Times New Roman" w:hAnsi="Times New Roman" w:cs="Times New Roman" w:eastAsia="Times New Roman" w:hint="default"/>
        </w:rPr>
        <w:t> </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股，变更后公司注册资本及股本为</w:t>
      </w:r>
      <w:r>
        <w:rPr>
          <w:rFonts w:ascii="Times New Roman" w:hAnsi="Times New Roman" w:cs="Times New Roman" w:eastAsia="Times New Roman" w:hint="default"/>
        </w:rPr>
        <w:t>150,000,000</w:t>
      </w:r>
      <w:r>
        <w:rPr/>
        <w:t>元，业经广</w:t>
      </w:r>
      <w:r>
        <w:rPr>
          <w:spacing w:val="-41"/>
        </w:rPr>
        <w:t> </w:t>
      </w:r>
      <w:r>
        <w:rPr/>
        <w:t>东正中珠江会计师事务所有限公司出具广会所验字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12000100062</w:t>
      </w:r>
      <w:r>
        <w:rPr/>
        <w:t>号验资报告验证。</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24</w:t>
      </w:r>
      <w:r>
        <w:rPr/>
        <w:t>、资本公积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535,894,284.84</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485,894,284.84</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535,894,284.84</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485,894,284.84</w:t>
            </w:r>
          </w:p>
        </w:tc>
      </w:tr>
    </w:tbl>
    <w:p>
      <w:pPr>
        <w:pStyle w:val="BodyText"/>
        <w:spacing w:line="357" w:lineRule="auto" w:before="50"/>
        <w:ind w:right="8650"/>
        <w:jc w:val="left"/>
      </w:pPr>
      <w:r>
        <w:rPr/>
        <w:t>资本公积说明 无</w:t>
      </w:r>
    </w:p>
    <w:p>
      <w:pPr>
        <w:spacing w:line="240" w:lineRule="auto" w:before="4"/>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25</w:t>
      </w:r>
      <w:r>
        <w:rPr/>
        <w:t>、盈余公积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16,547,540.41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4,968,613.99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21,516,154.40</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16,547,540.41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4,968,613.99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21,516,154.40</w:t>
            </w:r>
          </w:p>
        </w:tc>
      </w:tr>
    </w:tbl>
    <w:p>
      <w:pPr>
        <w:pStyle w:val="BodyText"/>
        <w:spacing w:line="240" w:lineRule="auto" w:before="50"/>
        <w:ind w:right="92"/>
        <w:jc w:val="left"/>
      </w:pPr>
      <w:r>
        <w:rPr/>
        <w:t>盈余公积说明，用盈余公积转增股本、弥补亏损、分派股利的，应说明有关决议</w:t>
      </w:r>
    </w:p>
    <w:p>
      <w:pPr>
        <w:spacing w:line="240" w:lineRule="auto" w:before="1"/>
        <w:rPr>
          <w:rFonts w:ascii="宋体" w:hAnsi="宋体" w:cs="宋体" w:eastAsia="宋体" w:hint="default"/>
          <w:sz w:val="13"/>
          <w:szCs w:val="13"/>
        </w:rPr>
      </w:pPr>
    </w:p>
    <w:p>
      <w:pPr>
        <w:pStyle w:val="Heading4"/>
        <w:spacing w:line="240" w:lineRule="auto"/>
        <w:ind w:left="114" w:right="92"/>
        <w:jc w:val="left"/>
      </w:pPr>
      <w:r>
        <w:rPr/>
        <w:t>公司报告期内按母公司当期净利润的</w:t>
      </w:r>
      <w:r>
        <w:rPr>
          <w:rFonts w:ascii="Times New Roman" w:hAnsi="Times New Roman" w:cs="Times New Roman" w:eastAsia="Times New Roman" w:hint="default"/>
        </w:rPr>
        <w:t>10%</w:t>
      </w:r>
      <w:r>
        <w:rPr/>
        <w:t>计提法定盈余公积。</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left="113" w:right="92"/>
        <w:jc w:val="left"/>
        <w:rPr>
          <w:b w:val="0"/>
          <w:bCs w:val="0"/>
        </w:rPr>
      </w:pPr>
      <w:r>
        <w:rPr>
          <w:rFonts w:ascii="Times New Roman" w:hAnsi="Times New Roman" w:cs="Times New Roman" w:eastAsia="Times New Roman" w:hint="default"/>
        </w:rPr>
        <w:t>26</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18"/>
        <w:gridCol w:w="3728"/>
        <w:gridCol w:w="2123"/>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116,952,089.38</w:t>
            </w:r>
            <w:r>
              <w:rPr>
                <w:rFonts w:ascii="Times New Roman"/>
                <w:sz w:val="18"/>
              </w:rPr>
            </w:r>
          </w:p>
        </w:tc>
        <w:tc>
          <w:tcPr>
            <w:tcW w:w="2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116,952,089.38</w:t>
            </w:r>
            <w:r>
              <w:rPr>
                <w:rFonts w:ascii="Times New Roman"/>
                <w:sz w:val="18"/>
              </w:rPr>
            </w:r>
          </w:p>
        </w:tc>
        <w:tc>
          <w:tcPr>
            <w:tcW w:w="2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20,473,736.69</w:t>
            </w:r>
          </w:p>
        </w:tc>
        <w:tc>
          <w:tcPr>
            <w:tcW w:w="2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4,968,613.99</w:t>
            </w:r>
          </w:p>
        </w:tc>
        <w:tc>
          <w:tcPr>
            <w:tcW w:w="21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12,000,000.00</w:t>
            </w:r>
          </w:p>
        </w:tc>
        <w:tc>
          <w:tcPr>
            <w:tcW w:w="21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120,457,212.08</w:t>
            </w:r>
          </w:p>
        </w:tc>
        <w:tc>
          <w:tcPr>
            <w:tcW w:w="2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2"/>
        <w:jc w:val="left"/>
      </w:pPr>
      <w:r>
        <w:rPr/>
        <w:t>调整年初未分配利润明细：</w:t>
      </w:r>
    </w:p>
    <w:p>
      <w:pPr>
        <w:pStyle w:val="BodyText"/>
        <w:spacing w:line="240" w:lineRule="auto" w:before="116"/>
        <w:ind w:right="92"/>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92"/>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92"/>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92"/>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24" w:lineRule="auto" w:before="103"/>
        <w:ind w:right="92"/>
        <w:jc w:val="left"/>
      </w:pPr>
      <w:r>
        <w:rPr>
          <w:rFonts w:ascii="Times New Roman" w:hAnsi="Times New Roman" w:cs="Times New Roman" w:eastAsia="Times New Roman" w:hint="default"/>
        </w:rPr>
        <w:t>5)</w:t>
      </w:r>
      <w:r>
        <w:rPr/>
        <w:t>、其他调整合计影响年初未分配利润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w:t>
      </w:r>
      <w:r>
        <w:rPr>
          <w:spacing w:val="-2"/>
        </w:rPr>
        <w:t>未分配利润说明，对于首次公开发行证券的公司，如果发行前的滚存利润经股东大会决议由新老股东共同享有，应明确予以</w:t>
      </w:r>
      <w:r>
        <w:rPr>
          <w:spacing w:val="-65"/>
        </w:rPr>
        <w:t> </w:t>
      </w:r>
      <w:r>
        <w:rPr>
          <w:spacing w:val="-65"/>
        </w:rPr>
      </w: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pStyle w:val="BodyText"/>
        <w:spacing w:line="240" w:lineRule="auto" w:before="53"/>
        <w:ind w:right="92"/>
        <w:jc w:val="left"/>
      </w:pPr>
      <w:r>
        <w:rPr/>
        <w:t>无</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rFonts w:ascii="Times New Roman" w:hAnsi="Times New Roman" w:cs="Times New Roman" w:eastAsia="Times New Roman" w:hint="default"/>
        </w:rPr>
        <w:t>27</w:t>
      </w:r>
      <w:r>
        <w:rPr/>
        <w:t>、营业收入、营业成本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3"/>
        <w:gridCol w:w="3056"/>
        <w:gridCol w:w="3191"/>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371,300,288.05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407,906,215.47</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13,111.00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22,454.53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3"/>
        <w:gridCol w:w="3056"/>
        <w:gridCol w:w="3191"/>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261,132,694.76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288,714,902.04</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陶瓷制品业</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371,300,288.05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261,132,694.76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407,906,215.47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288,714,902.04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371,300,288.05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261,132,694.76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407,906,215.47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288,714,902.04</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371,300,288.05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261,132,694.76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407,906,215.47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288,714,902.04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371,300,288.05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261,132,694.76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407,906,215.47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288,714,902.04</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89,015,078.91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61,883,060.33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50,880,462.82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28,038,369.24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282,285,209.14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199,249,634.43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357,025,752.65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260,676,532.80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371,300,288.05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261,132,694.76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407,906,215.47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288,714,902.04</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94"/>
        <w:gridCol w:w="2848"/>
        <w:gridCol w:w="4128"/>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1026"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5"/>
              <w:jc w:val="left"/>
              <w:rPr>
                <w:rFonts w:ascii="Times New Roman" w:hAnsi="Times New Roman" w:cs="Times New Roman" w:eastAsia="Times New Roman" w:hint="default"/>
                <w:sz w:val="18"/>
                <w:szCs w:val="18"/>
              </w:rPr>
            </w:pPr>
            <w:r>
              <w:rPr>
                <w:rFonts w:ascii="Times New Roman"/>
                <w:sz w:val="18"/>
              </w:rPr>
              <w:t>LG SOURCING (A</w:t>
            </w:r>
            <w:r>
              <w:rPr>
                <w:rFonts w:ascii="Times New Roman"/>
                <w:spacing w:val="-16"/>
                <w:sz w:val="18"/>
              </w:rPr>
              <w:t> </w:t>
            </w:r>
            <w:r>
              <w:rPr>
                <w:rFonts w:ascii="Times New Roman"/>
                <w:spacing w:val="-3"/>
                <w:sz w:val="18"/>
              </w:rPr>
              <w:t>WHOLLY</w:t>
            </w:r>
            <w:r>
              <w:rPr>
                <w:rFonts w:ascii="Times New Roman"/>
                <w:sz w:val="18"/>
              </w:rPr>
              <w:t> OWNED SUBSIDIARY</w:t>
            </w:r>
            <w:r>
              <w:rPr>
                <w:rFonts w:ascii="Times New Roman"/>
                <w:spacing w:val="-14"/>
                <w:sz w:val="18"/>
              </w:rPr>
              <w:t> </w:t>
            </w:r>
            <w:r>
              <w:rPr>
                <w:rFonts w:ascii="Times New Roman"/>
                <w:sz w:val="18"/>
              </w:rPr>
              <w:t>OF</w:t>
            </w:r>
            <w:r>
              <w:rPr>
                <w:rFonts w:ascii="Times New Roman"/>
                <w:sz w:val="18"/>
              </w:rPr>
              <w:t> LOWES</w:t>
            </w:r>
            <w:r>
              <w:rPr>
                <w:rFonts w:ascii="Times New Roman"/>
                <w:spacing w:val="-1"/>
                <w:sz w:val="18"/>
              </w:rPr>
              <w:t> </w:t>
            </w:r>
            <w:r>
              <w:rPr>
                <w:rFonts w:ascii="Times New Roman"/>
                <w:sz w:val="18"/>
              </w:rPr>
              <w:t>INC.)</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30,954,177.42</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8.34%</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30,590,281.13</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IMAX</w:t>
            </w:r>
            <w:r>
              <w:rPr>
                <w:rFonts w:ascii="Times New Roman"/>
                <w:spacing w:val="1"/>
                <w:sz w:val="18"/>
              </w:rPr>
              <w:t> </w:t>
            </w:r>
            <w:r>
              <w:rPr>
                <w:rFonts w:ascii="Times New Roman"/>
                <w:spacing w:val="-3"/>
                <w:sz w:val="18"/>
              </w:rPr>
              <w:t>CORPORATION</w:t>
            </w:r>
            <w:r>
              <w:rPr>
                <w:rFonts w:ascii="Times New Roman"/>
                <w:sz w:val="18"/>
              </w:rPr>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13,821,876.56</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7"/>
              <w:jc w:val="left"/>
              <w:rPr>
                <w:rFonts w:ascii="Times New Roman" w:hAnsi="Times New Roman" w:cs="Times New Roman" w:eastAsia="Times New Roman" w:hint="default"/>
                <w:sz w:val="18"/>
                <w:szCs w:val="18"/>
              </w:rPr>
            </w:pPr>
            <w:r>
              <w:rPr>
                <w:rFonts w:ascii="Times New Roman"/>
                <w:sz w:val="18"/>
              </w:rPr>
              <w:t>HONGKONG FUZHENG</w:t>
            </w:r>
            <w:r>
              <w:rPr>
                <w:rFonts w:ascii="Times New Roman"/>
                <w:spacing w:val="-5"/>
                <w:sz w:val="18"/>
              </w:rPr>
              <w:t> </w:t>
            </w:r>
            <w:r>
              <w:rPr>
                <w:rFonts w:ascii="Times New Roman"/>
                <w:spacing w:val="-4"/>
                <w:sz w:val="18"/>
              </w:rPr>
              <w:t>FUTAI</w:t>
            </w:r>
            <w:r>
              <w:rPr>
                <w:rFonts w:ascii="Times New Roman"/>
                <w:sz w:val="18"/>
              </w:rPr>
              <w:t> </w:t>
            </w:r>
            <w:r>
              <w:rPr>
                <w:rFonts w:ascii="Times New Roman"/>
                <w:spacing w:val="-3"/>
                <w:sz w:val="18"/>
              </w:rPr>
              <w:t>INTERNATIONAL </w:t>
            </w:r>
            <w:r>
              <w:rPr>
                <w:rFonts w:ascii="Times New Roman"/>
                <w:sz w:val="18"/>
              </w:rPr>
              <w:t>CO</w:t>
            </w:r>
            <w:r>
              <w:rPr>
                <w:rFonts w:ascii="Times New Roman"/>
                <w:spacing w:val="-3"/>
                <w:sz w:val="18"/>
              </w:rPr>
              <w:t> </w:t>
            </w:r>
            <w:r>
              <w:rPr>
                <w:rFonts w:ascii="Times New Roman"/>
                <w:sz w:val="18"/>
              </w:rPr>
              <w:t>LIMITED</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13,178,326.39</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594"/>
        <w:gridCol w:w="2848"/>
        <w:gridCol w:w="4128"/>
      </w:tblGrid>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47"/>
              <w:jc w:val="left"/>
              <w:rPr>
                <w:rFonts w:ascii="Times New Roman" w:hAnsi="Times New Roman" w:cs="Times New Roman" w:eastAsia="Times New Roman" w:hint="default"/>
                <w:sz w:val="18"/>
                <w:szCs w:val="18"/>
              </w:rPr>
            </w:pPr>
            <w:r>
              <w:rPr>
                <w:rFonts w:ascii="Times New Roman"/>
                <w:sz w:val="18"/>
              </w:rPr>
              <w:t>TOP SHOP</w:t>
            </w:r>
            <w:r>
              <w:rPr>
                <w:rFonts w:ascii="Times New Roman"/>
                <w:spacing w:val="-13"/>
                <w:sz w:val="18"/>
              </w:rPr>
              <w:t> </w:t>
            </w:r>
            <w:r>
              <w:rPr>
                <w:rFonts w:ascii="Times New Roman"/>
                <w:spacing w:val="-3"/>
                <w:sz w:val="18"/>
              </w:rPr>
              <w:t>INTERNATIONAL</w:t>
            </w:r>
            <w:r>
              <w:rPr>
                <w:rFonts w:ascii="Times New Roman"/>
                <w:spacing w:val="-1"/>
                <w:sz w:val="18"/>
              </w:rPr>
              <w:t> </w:t>
            </w:r>
            <w:r>
              <w:rPr>
                <w:rFonts w:ascii="Times New Roman"/>
                <w:sz w:val="18"/>
              </w:rPr>
              <w:t>SA</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10,868,508.93</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99,413,170.43</w:t>
            </w:r>
          </w:p>
        </w:tc>
        <w:tc>
          <w:tcPr>
            <w:tcW w:w="4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26.78%</w:t>
            </w:r>
          </w:p>
        </w:tc>
      </w:tr>
    </w:tbl>
    <w:p>
      <w:pPr>
        <w:pStyle w:val="BodyText"/>
        <w:spacing w:line="357" w:lineRule="auto" w:before="50"/>
        <w:ind w:right="8470"/>
        <w:jc w:val="left"/>
      </w:pPr>
      <w:r>
        <w:rPr/>
        <w:t>营业收入的说明 无</w:t>
      </w:r>
    </w:p>
    <w:p>
      <w:pPr>
        <w:spacing w:line="240" w:lineRule="auto" w:before="2"/>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28</w:t>
      </w:r>
      <w:r>
        <w:rPr/>
        <w:t>、营业税金及附加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4"/>
        <w:gridCol w:w="1993"/>
        <w:gridCol w:w="1861"/>
        <w:gridCol w:w="292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3,506.35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9,900.00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1,887,687.38</w:t>
            </w:r>
            <w:r>
              <w:rPr>
                <w:rFonts w:ascii="Times New Roman"/>
                <w:sz w:val="18"/>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1,901,261.60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按照应缴纳流转税的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809,012.73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814,826.38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按照应缴纳流转税的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539,334.04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543,217.52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按照应缴纳流转税的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3,239,540.50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3,269,205.50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7930"/>
        <w:jc w:val="left"/>
      </w:pPr>
      <w:r>
        <w:rPr/>
        <w:t>营业税金及附加的说明 无</w:t>
      </w:r>
    </w:p>
    <w:p>
      <w:pPr>
        <w:spacing w:line="240" w:lineRule="auto" w:before="4"/>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29</w:t>
      </w:r>
      <w:r>
        <w:rPr/>
        <w:t>、销售费用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报关邮寄费用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754,925.68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1,022,301.35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1,767,261.89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700,702.51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3,658,154.60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3,350,701.89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广告与业务宣传费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8,265,023.51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10,700,379.00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5,853,824.00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4,961,571.99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10,835,168.64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4,642,110.45</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5,960,367.11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2,962,204.65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6,209,610.28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5,124,853.34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1,303,616.30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927,102.85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231,508.15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181,403.32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179,404.52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250,669.11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1,361,423.14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369,245.95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46,380,287.82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35,193,246.41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30</w:t>
      </w:r>
      <w:r>
        <w:rPr/>
        <w:t>、管理费用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2,920,335.50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2,866,046.13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接待费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963,089.14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1,708,999.17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373,729.59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1,223,035.21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15,611,781.46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11,739,082.12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4,204,271.67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3,985,523.76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1,872,700.00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2,039,950.00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10,471,590.67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8,715,181.86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1,388,323.70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1,441,529.12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1,383,143.25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1,281,697.26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1,541,874.48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1,676,384.83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882,344.60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1,487,976.50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41,613,184.06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38,165,405.96</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31</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12,267,781.35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7,456,908.22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-10,920,811.81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-11,488,614.49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505,627.95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4,836,794.84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152,947.73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271,054.09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2,005,545.22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1,076,142.66</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rFonts w:ascii="Times New Roman" w:hAnsi="Times New Roman" w:cs="Times New Roman" w:eastAsia="Times New Roman" w:hint="default"/>
        </w:rPr>
        <w:t>32</w:t>
      </w:r>
      <w:r>
        <w:rPr/>
        <w:t>、资产减值损失</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4"/>
        <w:gridCol w:w="2526"/>
        <w:gridCol w:w="2789"/>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3,182,451.90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469,684.06</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225,266.93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941,764.84</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3,407,718.83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1,411,448.90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33</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4"/>
        <w:gridCol w:w="1955"/>
        <w:gridCol w:w="2160"/>
        <w:gridCol w:w="2160"/>
      </w:tblGrid>
      <w:tr>
        <w:trPr>
          <w:trHeight w:val="714"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93" w:right="84"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2"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17,593,321.00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7,692,535.00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17,593,321.00</w:t>
            </w:r>
          </w:p>
        </w:tc>
      </w:tr>
      <w:tr>
        <w:trPr>
          <w:trHeight w:val="402"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62,620.33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3,127.51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62,620.33</w:t>
            </w:r>
          </w:p>
        </w:tc>
      </w:tr>
      <w:tr>
        <w:trPr>
          <w:trHeight w:val="402"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17,655,941.33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7,695,662.51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17,655,941.33</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0"/>
        <w:gridCol w:w="1994"/>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广东省重点工程、循环经济和资 源节约重大示范项目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7"/>
              <w:jc w:val="left"/>
              <w:rPr>
                <w:rFonts w:ascii="宋体" w:hAnsi="宋体" w:cs="宋体" w:eastAsia="宋体" w:hint="default"/>
                <w:sz w:val="18"/>
                <w:szCs w:val="18"/>
              </w:rPr>
            </w:pPr>
            <w:r>
              <w:rPr>
                <w:rFonts w:ascii="宋体" w:hAnsi="宋体" w:cs="宋体" w:eastAsia="宋体" w:hint="default"/>
                <w:sz w:val="18"/>
                <w:szCs w:val="18"/>
              </w:rPr>
              <w:t>潮州市陶瓷文化创意产业公共服 务平台项目资金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年广东省陶瓷文化创意产业 基地公共服务平台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7"/>
              <w:jc w:val="left"/>
              <w:rPr>
                <w:rFonts w:ascii="宋体" w:hAnsi="宋体" w:cs="宋体" w:eastAsia="宋体" w:hint="default"/>
                <w:sz w:val="18"/>
                <w:szCs w:val="18"/>
              </w:rPr>
            </w:pPr>
            <w:r>
              <w:rPr>
                <w:rFonts w:ascii="宋体" w:hAnsi="宋体" w:cs="宋体" w:eastAsia="宋体" w:hint="default"/>
                <w:sz w:val="18"/>
                <w:szCs w:val="18"/>
              </w:rPr>
              <w:t>省级现代服务业发展引导专项资 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年省节能专项资金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年广东省外贸公平平台建设 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995,200.00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年深圳市地方特色产业中小 企业发展资金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广东省第二批战略性新兴产业政 银企合作专项资金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年省中小企业发展专项资金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年两新产品专项资金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年广东省两新产品专项资金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年开拓国际市场奖励金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338,921.00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广东省服务贸易发展专项资金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市财政纳税大户技术改造补助金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年外向型民营企业发展专项 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60"/>
        <w:gridCol w:w="1994"/>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年度科技创新专项资金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年度广东省实施技术标准战 略专项经费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潮州市实施技术标准战略资 助项目资金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56,600.00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年省节能专项资金（清洁生 产企业）</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外贸工作先进单位奖励资金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49,200.00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75,200.00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年潮州市知识产权示范实施 计划扶持经费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广东省省国际市场开拓专项资金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（第二批）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29,400.00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129,000.00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年潮州市专项资金项目补助 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年潮州市实施技术标准战略 资助项目资金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年发明专利奖励资金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年两新产品专项资金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年节能技术改造财 政奖励资金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区经济贸易局奖金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3,335.00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年度广东省节能先进地区单 位、个人奖励资金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科技三项费用资金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广东省财政挖潜改造资金（优势 传统产业）技术改造项目资金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17,593,321.00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7,692,535.00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8470"/>
        <w:jc w:val="left"/>
      </w:pPr>
      <w:r>
        <w:rPr/>
        <w:t>营业外收入说明 无</w:t>
      </w:r>
    </w:p>
    <w:p>
      <w:pPr>
        <w:spacing w:line="240" w:lineRule="auto" w:before="4"/>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34</w:t>
      </w:r>
      <w:r>
        <w:rPr/>
        <w:t>、营业外支出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0"/>
        <w:gridCol w:w="2022"/>
        <w:gridCol w:w="1914"/>
        <w:gridCol w:w="1914"/>
      </w:tblGrid>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5"/>
              <w:jc w:val="righ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605.16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680.25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605.16</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5"/>
              <w:jc w:val="righ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605.16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680.25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605.16</w:t>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40"/>
          <w:pgMar w:footer="980" w:header="747" w:top="1060" w:bottom="1160" w:left="1020" w:right="1020"/>
          <w:pgNumType w:start="11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720"/>
        <w:gridCol w:w="2022"/>
        <w:gridCol w:w="1914"/>
        <w:gridCol w:w="1914"/>
      </w:tblGrid>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65,465.65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424,059.54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65,465.65</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8,407.40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8,407.40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2,838.60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2,838.60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3,878.54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10,568.76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3,878.54</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81,195.35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435,308.55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81,195.35</w:t>
            </w:r>
          </w:p>
        </w:tc>
      </w:tr>
    </w:tbl>
    <w:p>
      <w:pPr>
        <w:pStyle w:val="BodyText"/>
        <w:spacing w:line="357" w:lineRule="auto" w:before="50"/>
        <w:ind w:right="8470"/>
        <w:jc w:val="left"/>
      </w:pPr>
      <w:r>
        <w:rPr/>
        <w:t>营业外支出说明 无</w:t>
      </w:r>
    </w:p>
    <w:p>
      <w:pPr>
        <w:spacing w:line="240" w:lineRule="auto" w:before="2"/>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35</w:t>
      </w:r>
      <w:r>
        <w:rPr/>
        <w:t>、所得税费用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56"/>
        <w:gridCol w:w="2522"/>
        <w:gridCol w:w="2390"/>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11,097,682.44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9,956,142.29</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-462,245.29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-338,911.65</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10,635,437.15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9,617,230.64</w:t>
            </w:r>
          </w:p>
        </w:tc>
      </w:tr>
    </w:tbl>
    <w:p>
      <w:pPr>
        <w:spacing w:line="240" w:lineRule="auto" w:before="1"/>
        <w:rPr>
          <w:rFonts w:ascii="宋体" w:hAnsi="宋体" w:cs="宋体" w:eastAsia="宋体" w:hint="default"/>
          <w:sz w:val="19"/>
          <w:szCs w:val="19"/>
        </w:rPr>
      </w:pPr>
    </w:p>
    <w:p>
      <w:pPr>
        <w:pStyle w:val="Heading3"/>
        <w:spacing w:line="240" w:lineRule="auto" w:before="35"/>
        <w:ind w:left="87" w:right="5520"/>
        <w:jc w:val="center"/>
        <w:rPr>
          <w:b w:val="0"/>
          <w:bCs w:val="0"/>
        </w:rPr>
      </w:pPr>
      <w:r>
        <w:rPr>
          <w:rFonts w:ascii="Times New Roman" w:hAnsi="Times New Roman" w:cs="Times New Roman" w:eastAsia="Times New Roman" w:hint="default"/>
        </w:rPr>
        <w:t>36</w:t>
      </w:r>
      <w:r>
        <w:rPr/>
        <w:t>、基本每股收益和稀释每股收益的计算过程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4" w:right="92"/>
        <w:jc w:val="left"/>
      </w:pPr>
      <w:r>
        <w:rPr/>
        <w:t>（</w:t>
      </w:r>
      <w:r>
        <w:rPr>
          <w:rFonts w:ascii="Times New Roman" w:hAnsi="Times New Roman" w:cs="Times New Roman" w:eastAsia="Times New Roman" w:hint="default"/>
        </w:rPr>
        <w:t>1</w:t>
      </w:r>
      <w:r>
        <w:rPr/>
        <w:t>）基本每股收益计算过程</w:t>
      </w:r>
    </w:p>
    <w:p>
      <w:pPr>
        <w:pStyle w:val="Heading4"/>
        <w:spacing w:line="240" w:lineRule="auto" w:before="141"/>
        <w:ind w:left="654" w:right="92"/>
        <w:jc w:val="left"/>
      </w:pPr>
      <w:r>
        <w:rPr/>
        <w:t>①</w:t>
      </w:r>
      <w:r>
        <w:rPr>
          <w:rFonts w:ascii="Times New Roman" w:hAnsi="Times New Roman" w:cs="Times New Roman" w:eastAsia="Times New Roman" w:hint="default"/>
        </w:rPr>
        <w:t>2012</w:t>
      </w:r>
      <w:r>
        <w:rPr/>
        <w:t>年度</w:t>
      </w:r>
    </w:p>
    <w:p>
      <w:pPr>
        <w:pStyle w:val="Heading4"/>
        <w:spacing w:line="240" w:lineRule="auto" w:before="141"/>
        <w:ind w:left="654" w:right="92"/>
        <w:jc w:val="left"/>
        <w:rPr>
          <w:rFonts w:ascii="Times New Roman" w:hAnsi="Times New Roman" w:cs="Times New Roman" w:eastAsia="Times New Roman" w:hint="default"/>
        </w:rPr>
      </w:pPr>
      <w:r>
        <w:rPr>
          <w:rFonts w:ascii="Times New Roman" w:hAnsi="Times New Roman" w:cs="Times New Roman" w:eastAsia="Times New Roman" w:hint="default"/>
        </w:rPr>
        <w:t>S=S0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Heading4"/>
        <w:spacing w:line="240" w:lineRule="auto" w:before="121"/>
        <w:ind w:left="673" w:right="92"/>
        <w:jc w:val="left"/>
        <w:rPr>
          <w:rFonts w:ascii="Times New Roman" w:hAnsi="Times New Roman" w:cs="Times New Roman" w:eastAsia="Times New Roman" w:hint="default"/>
        </w:rPr>
      </w:pPr>
      <w:r>
        <w:rPr>
          <w:rFonts w:ascii="Times New Roman"/>
        </w:rPr>
        <w:t>=100,000,000.00+50,000,000.00=150,000,000.00</w:t>
      </w:r>
    </w:p>
    <w:p>
      <w:pPr>
        <w:pStyle w:val="Heading4"/>
        <w:spacing w:line="240" w:lineRule="auto" w:before="141"/>
        <w:ind w:left="654" w:right="92"/>
        <w:jc w:val="left"/>
        <w:rPr>
          <w:rFonts w:ascii="Times New Roman" w:hAnsi="Times New Roman" w:cs="Times New Roman" w:eastAsia="Times New Roman" w:hint="default"/>
        </w:rPr>
      </w:pPr>
      <w:r>
        <w:rPr/>
        <w:t>归属于公司普通股股东的净利润的基本每股收益</w:t>
      </w:r>
      <w:r>
        <w:rPr>
          <w:rFonts w:ascii="Times New Roman" w:hAnsi="Times New Roman" w:cs="Times New Roman" w:eastAsia="Times New Roman" w:hint="default"/>
        </w:rPr>
        <w:t>=P÷S</w:t>
      </w:r>
    </w:p>
    <w:p>
      <w:pPr>
        <w:spacing w:before="121"/>
        <w:ind w:left="639" w:right="9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0"/>
          <w:szCs w:val="20"/>
        </w:rPr>
        <w:t>20,473,736.69</w:t>
      </w:r>
      <w:r>
        <w:rPr>
          <w:rFonts w:ascii="Times New Roman" w:hAnsi="Times New Roman" w:cs="Times New Roman" w:eastAsia="Times New Roman" w:hint="default"/>
          <w:sz w:val="21"/>
          <w:szCs w:val="21"/>
        </w:rPr>
        <w:t>÷150,000,000.00=0.14</w:t>
      </w:r>
    </w:p>
    <w:p>
      <w:pPr>
        <w:pStyle w:val="Heading4"/>
        <w:spacing w:line="240" w:lineRule="auto" w:before="140"/>
        <w:ind w:left="654" w:right="92"/>
        <w:jc w:val="left"/>
        <w:rPr>
          <w:rFonts w:ascii="Times New Roman" w:hAnsi="Times New Roman" w:cs="Times New Roman" w:eastAsia="Times New Roman" w:hint="default"/>
        </w:rPr>
      </w:pPr>
      <w:r>
        <w:rPr/>
        <w:t>扣除非经常性损益后归属于公司普通股股东的净利润的基本每股收益</w:t>
      </w:r>
      <w:r>
        <w:rPr>
          <w:rFonts w:ascii="Times New Roman" w:hAnsi="Times New Roman" w:cs="Times New Roman" w:eastAsia="Times New Roman" w:hint="default"/>
        </w:rPr>
        <w:t>=P÷S</w:t>
      </w:r>
    </w:p>
    <w:p>
      <w:pPr>
        <w:spacing w:before="122"/>
        <w:ind w:left="639" w:right="9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0"/>
          <w:szCs w:val="20"/>
        </w:rPr>
        <w:t>5,405,573.43</w:t>
      </w:r>
      <w:r>
        <w:rPr>
          <w:rFonts w:ascii="Times New Roman" w:hAnsi="Times New Roman" w:cs="Times New Roman" w:eastAsia="Times New Roman" w:hint="default"/>
          <w:sz w:val="21"/>
          <w:szCs w:val="21"/>
        </w:rPr>
        <w:t>÷150,000,000.00=0.04</w:t>
      </w:r>
    </w:p>
    <w:p>
      <w:pPr>
        <w:pStyle w:val="Heading4"/>
        <w:spacing w:line="240" w:lineRule="auto" w:before="140"/>
        <w:ind w:left="654" w:right="92"/>
        <w:jc w:val="left"/>
      </w:pPr>
      <w:r>
        <w:rPr/>
        <w:t>②</w:t>
      </w:r>
      <w:r>
        <w:rPr>
          <w:rFonts w:ascii="Times New Roman" w:hAnsi="Times New Roman" w:cs="Times New Roman" w:eastAsia="Times New Roman" w:hint="default"/>
        </w:rPr>
        <w:t>2011</w:t>
      </w:r>
      <w:r>
        <w:rPr/>
        <w:t>年度</w:t>
      </w:r>
    </w:p>
    <w:p>
      <w:pPr>
        <w:pStyle w:val="Heading4"/>
        <w:spacing w:line="240" w:lineRule="auto" w:before="141"/>
        <w:ind w:left="654" w:right="92"/>
        <w:jc w:val="left"/>
        <w:rPr>
          <w:rFonts w:ascii="Times New Roman" w:hAnsi="Times New Roman" w:cs="Times New Roman" w:eastAsia="Times New Roman" w:hint="default"/>
        </w:rPr>
      </w:pPr>
      <w:r>
        <w:rPr>
          <w:rFonts w:ascii="Times New Roman" w:hAnsi="Times New Roman" w:cs="Times New Roman" w:eastAsia="Times New Roman" w:hint="default"/>
        </w:rPr>
        <w:t>S=S0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Heading4"/>
        <w:spacing w:line="240" w:lineRule="auto" w:before="121"/>
        <w:ind w:left="673" w:right="92"/>
        <w:jc w:val="left"/>
        <w:rPr>
          <w:rFonts w:ascii="Times New Roman" w:hAnsi="Times New Roman" w:cs="Times New Roman" w:eastAsia="Times New Roman" w:hint="default"/>
        </w:rPr>
      </w:pPr>
      <w:r>
        <w:rPr>
          <w:rFonts w:ascii="Times New Roman"/>
        </w:rPr>
        <w:t>=100,000,000.00+50,000,000.00=150,000,000.00</w:t>
      </w:r>
    </w:p>
    <w:p>
      <w:pPr>
        <w:pStyle w:val="Heading4"/>
        <w:spacing w:line="240" w:lineRule="auto" w:before="141"/>
        <w:ind w:left="654" w:right="92"/>
        <w:jc w:val="left"/>
        <w:rPr>
          <w:rFonts w:ascii="Times New Roman" w:hAnsi="Times New Roman" w:cs="Times New Roman" w:eastAsia="Times New Roman" w:hint="default"/>
        </w:rPr>
      </w:pPr>
      <w:r>
        <w:rPr/>
        <w:t>归属于公司普通股股东的净利润的基本每股收益</w:t>
      </w:r>
      <w:r>
        <w:rPr>
          <w:rFonts w:ascii="Times New Roman" w:hAnsi="Times New Roman" w:cs="Times New Roman" w:eastAsia="Times New Roman" w:hint="default"/>
        </w:rPr>
        <w:t>=P÷S</w:t>
      </w:r>
    </w:p>
    <w:p>
      <w:pPr>
        <w:spacing w:before="121"/>
        <w:ind w:left="639" w:right="9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0"/>
          <w:szCs w:val="20"/>
        </w:rPr>
        <w:t>37,741,441.85</w:t>
      </w:r>
      <w:r>
        <w:rPr>
          <w:rFonts w:ascii="Times New Roman" w:hAnsi="Times New Roman" w:cs="Times New Roman" w:eastAsia="Times New Roman" w:hint="default"/>
          <w:sz w:val="21"/>
          <w:szCs w:val="21"/>
        </w:rPr>
        <w:t>÷150,000,000.00=0.25</w:t>
      </w:r>
    </w:p>
    <w:p>
      <w:pPr>
        <w:pStyle w:val="Heading4"/>
        <w:spacing w:line="240" w:lineRule="auto" w:before="140"/>
        <w:ind w:left="654" w:right="92"/>
        <w:jc w:val="left"/>
        <w:rPr>
          <w:rFonts w:ascii="Times New Roman" w:hAnsi="Times New Roman" w:cs="Times New Roman" w:eastAsia="Times New Roman" w:hint="default"/>
        </w:rPr>
      </w:pPr>
      <w:r>
        <w:rPr/>
        <w:t>扣除非经常性损益后归属于公司普通股股东的净利润的基本每股收益</w:t>
      </w:r>
      <w:r>
        <w:rPr>
          <w:rFonts w:ascii="Times New Roman" w:hAnsi="Times New Roman" w:cs="Times New Roman" w:eastAsia="Times New Roman" w:hint="default"/>
        </w:rPr>
        <w:t>=P÷S</w:t>
      </w:r>
    </w:p>
    <w:p>
      <w:pPr>
        <w:spacing w:before="122"/>
        <w:ind w:left="639" w:right="9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0"/>
          <w:szCs w:val="20"/>
        </w:rPr>
        <w:t>31,571,271.69</w:t>
      </w:r>
      <w:r>
        <w:rPr>
          <w:rFonts w:ascii="Times New Roman" w:hAnsi="Times New Roman" w:cs="Times New Roman" w:eastAsia="Times New Roman" w:hint="default"/>
          <w:sz w:val="21"/>
          <w:szCs w:val="21"/>
        </w:rPr>
        <w:t>÷150,000,000.00=0.21</w:t>
      </w:r>
    </w:p>
    <w:p>
      <w:pPr>
        <w:pStyle w:val="Heading4"/>
        <w:spacing w:line="256" w:lineRule="auto" w:before="140"/>
        <w:ind w:right="108" w:firstLine="420"/>
        <w:jc w:val="both"/>
      </w:pPr>
      <w:r>
        <w:rPr>
          <w:spacing w:val="-2"/>
        </w:rPr>
        <w:t>其中：</w:t>
      </w:r>
      <w:r>
        <w:rPr>
          <w:rFonts w:ascii="Times New Roman" w:hAnsi="Times New Roman" w:cs="Times New Roman" w:eastAsia="Times New Roman" w:hint="default"/>
          <w:spacing w:val="-2"/>
        </w:rPr>
        <w:t>P</w:t>
      </w:r>
      <w:r>
        <w:rPr>
          <w:spacing w:val="-2"/>
        </w:rPr>
        <w:t>为归属于公司普通股股东的净利润或扣除非经常性损益后归属于普通股股东的净利润；</w:t>
      </w:r>
      <w:r>
        <w:rPr>
          <w:rFonts w:ascii="Times New Roman" w:hAnsi="Times New Roman" w:cs="Times New Roman" w:eastAsia="Times New Roman" w:hint="default"/>
          <w:spacing w:val="-2"/>
        </w:rPr>
        <w:t>S</w:t>
      </w:r>
      <w:r>
        <w:rPr>
          <w:spacing w:val="-2"/>
        </w:rPr>
        <w:t>为发</w:t>
      </w:r>
      <w:r>
        <w:rPr/>
        <w:t> </w:t>
      </w:r>
      <w:r>
        <w:rPr>
          <w:spacing w:val="-1"/>
        </w:rPr>
        <w:t>行在外的普通股加权平均数；</w:t>
      </w:r>
      <w:r>
        <w:rPr>
          <w:rFonts w:ascii="Times New Roman" w:hAnsi="Times New Roman" w:cs="Times New Roman" w:eastAsia="Times New Roman" w:hint="default"/>
          <w:spacing w:val="-1"/>
        </w:rPr>
        <w:t>S0</w:t>
      </w:r>
      <w:r>
        <w:rPr>
          <w:spacing w:val="-1"/>
        </w:rPr>
        <w:t>为期初股份总数；</w:t>
      </w:r>
      <w:r>
        <w:rPr>
          <w:rFonts w:ascii="Times New Roman" w:hAnsi="Times New Roman" w:cs="Times New Roman" w:eastAsia="Times New Roman" w:hint="default"/>
          <w:spacing w:val="-1"/>
        </w:rPr>
        <w:t>S1</w:t>
      </w:r>
      <w:r>
        <w:rPr>
          <w:spacing w:val="-1"/>
        </w:rPr>
        <w:t>为报告期因公积金转增股本或股票股利分配等增加股</w:t>
      </w:r>
      <w:r>
        <w:rPr/>
        <w:t> 份数；</w:t>
      </w:r>
      <w:r>
        <w:rPr>
          <w:rFonts w:ascii="Times New Roman" w:hAnsi="Times New Roman" w:cs="Times New Roman" w:eastAsia="Times New Roman" w:hint="default"/>
        </w:rPr>
        <w:t>Si</w:t>
      </w:r>
      <w:r>
        <w:rPr/>
        <w:t>为报告期因发行新股或债转股等增加股份数；</w:t>
      </w:r>
      <w:r>
        <w:rPr>
          <w:rFonts w:ascii="Times New Roman" w:hAnsi="Times New Roman" w:cs="Times New Roman" w:eastAsia="Times New Roman" w:hint="default"/>
        </w:rPr>
        <w:t>Sj</w:t>
      </w:r>
      <w:r>
        <w:rPr/>
        <w:t>为报告期因回购等减少股份数；</w:t>
      </w:r>
      <w:r>
        <w:rPr>
          <w:rFonts w:ascii="Times New Roman" w:hAnsi="Times New Roman" w:cs="Times New Roman" w:eastAsia="Times New Roman" w:hint="default"/>
        </w:rPr>
        <w:t>Sk</w:t>
      </w:r>
      <w:r>
        <w:rPr/>
        <w:t>为报告期缩股</w:t>
      </w:r>
      <w:r>
        <w:rPr>
          <w:spacing w:val="-75"/>
        </w:rPr>
        <w:t> </w:t>
      </w:r>
      <w:r>
        <w:rPr>
          <w:spacing w:val="-75"/>
        </w:rPr>
      </w:r>
      <w:r>
        <w:rPr/>
        <w:t>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为增加股份下一月份起至报告期期末的月份数；</w:t>
      </w:r>
      <w:r>
        <w:rPr>
          <w:spacing w:val="-80"/>
        </w:rPr>
        <w:t> </w:t>
      </w:r>
      <w:r>
        <w:rPr>
          <w:rFonts w:ascii="Times New Roman" w:hAnsi="Times New Roman" w:cs="Times New Roman" w:eastAsia="Times New Roman" w:hint="default"/>
        </w:rPr>
        <w:t>Mj</w:t>
      </w:r>
      <w:r>
        <w:rPr/>
        <w:t>为减少股份下一月份起至报</w:t>
      </w:r>
    </w:p>
    <w:p>
      <w:pPr>
        <w:spacing w:after="0" w:line="256" w:lineRule="auto"/>
        <w:jc w:val="both"/>
        <w:sectPr>
          <w:pgSz w:w="11910" w:h="16840"/>
          <w:pgMar w:header="747" w:footer="980" w:top="1060" w:bottom="1160" w:left="1020" w:right="1020"/>
        </w:sectPr>
      </w:pPr>
    </w:p>
    <w:p>
      <w:pPr>
        <w:spacing w:line="240" w:lineRule="auto" w:before="10"/>
        <w:rPr>
          <w:rFonts w:ascii="宋体" w:hAnsi="宋体" w:cs="宋体" w:eastAsia="宋体" w:hint="default"/>
          <w:sz w:val="24"/>
          <w:szCs w:val="24"/>
        </w:rPr>
      </w:pPr>
    </w:p>
    <w:p>
      <w:pPr>
        <w:pStyle w:val="Heading4"/>
        <w:spacing w:line="240" w:lineRule="auto" w:before="35"/>
        <w:ind w:left="114" w:right="98"/>
        <w:jc w:val="left"/>
      </w:pPr>
      <w:r>
        <w:rPr/>
        <w:t>告期期末的月份数。</w:t>
      </w:r>
    </w:p>
    <w:p>
      <w:pPr>
        <w:pStyle w:val="Heading4"/>
        <w:spacing w:line="256" w:lineRule="auto" w:before="157"/>
        <w:ind w:left="114" w:right="98" w:firstLine="315"/>
        <w:jc w:val="left"/>
      </w:pPr>
      <w:r>
        <w:rPr>
          <w:spacing w:val="-3"/>
        </w:rPr>
        <w:t>（</w:t>
      </w:r>
      <w:r>
        <w:rPr>
          <w:rFonts w:ascii="Times New Roman" w:hAnsi="Times New Roman" w:cs="Times New Roman" w:eastAsia="Times New Roman" w:hint="default"/>
          <w:spacing w:val="-3"/>
        </w:rPr>
        <w:t>2</w:t>
      </w:r>
      <w:r>
        <w:rPr>
          <w:spacing w:val="-3"/>
        </w:rPr>
        <w:t>）本公司各报告期内不存在发行可转换公司债券、股份期权、认股权证等稀释性潜在普通股，因此，</w:t>
      </w:r>
      <w:r>
        <w:rPr/>
        <w:t> 稀释每股收益与基本每股收益相同。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right="98"/>
        <w:jc w:val="left"/>
        <w:rPr>
          <w:b w:val="0"/>
          <w:bCs w:val="0"/>
        </w:rPr>
      </w:pPr>
      <w:r>
        <w:rPr>
          <w:rFonts w:ascii="Times New Roman" w:hAnsi="Times New Roman" w:cs="Times New Roman" w:eastAsia="Times New Roman" w:hint="default"/>
        </w:rPr>
        <w:t>37</w:t>
      </w:r>
      <w:r>
        <w:rPr/>
        <w:t>、现金流量表附注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2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17,593,321.00</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13,276,998.16</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73,439.60</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30,943,758.76</w:t>
            </w:r>
          </w:p>
        </w:tc>
      </w:tr>
    </w:tbl>
    <w:p>
      <w:pPr>
        <w:pStyle w:val="BodyText"/>
        <w:spacing w:line="357" w:lineRule="auto" w:before="50"/>
        <w:ind w:right="6770"/>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98"/>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营销、管理支出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39,379,943.28</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760,244.98</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81,195.35</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4,572.94</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40,225,956.55</w:t>
            </w:r>
          </w:p>
        </w:tc>
      </w:tr>
    </w:tbl>
    <w:p>
      <w:pPr>
        <w:pStyle w:val="BodyText"/>
        <w:spacing w:line="360" w:lineRule="auto" w:before="49"/>
        <w:ind w:right="6770"/>
        <w:jc w:val="left"/>
      </w:pPr>
      <w:r>
        <w:rPr/>
        <w:t>支付的其他与经营活动有关的现金说明 无</w:t>
      </w:r>
    </w:p>
    <w:p>
      <w:pPr>
        <w:spacing w:line="240" w:lineRule="auto" w:before="0"/>
        <w:rPr>
          <w:rFonts w:ascii="宋体" w:hAnsi="宋体" w:cs="宋体" w:eastAsia="宋体" w:hint="default"/>
          <w:sz w:val="20"/>
          <w:szCs w:val="20"/>
        </w:rPr>
      </w:pPr>
    </w:p>
    <w:p>
      <w:pPr>
        <w:pStyle w:val="Heading3"/>
        <w:spacing w:line="240" w:lineRule="auto"/>
        <w:ind w:right="98"/>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陈睿峰</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350,000.00</w:t>
            </w:r>
          </w:p>
        </w:tc>
      </w:tr>
    </w:tbl>
    <w:p>
      <w:pPr>
        <w:pStyle w:val="BodyText"/>
        <w:spacing w:line="357" w:lineRule="auto" w:before="49"/>
        <w:ind w:right="6770"/>
        <w:jc w:val="left"/>
      </w:pPr>
      <w:r>
        <w:rPr/>
        <w:t>收到的其他与筹资活动有关的现金说明 无</w:t>
      </w:r>
    </w:p>
    <w:p>
      <w:pPr>
        <w:spacing w:after="0" w:line="357" w:lineRule="auto"/>
        <w:jc w:val="left"/>
        <w:sectPr>
          <w:pgSz w:w="11910" w:h="16840"/>
          <w:pgMar w:header="747" w:footer="980" w:top="1060" w:bottom="1160" w:left="1020" w:right="92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38</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20,473,736.69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37,741,441.85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3,407,718.83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1,411,448.90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9,340,428.31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7,438,411.39</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552,685.23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236,350.57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6,701,332.25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4,593,080.27</w:t>
            </w:r>
          </w:p>
        </w:tc>
      </w:tr>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680.25</w:t>
            </w:r>
            <w:r>
              <w:rPr>
                <w:rFonts w:ascii="Times New Roman"/>
                <w:sz w:val="18"/>
              </w:rPr>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605.16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12,773,409.30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7,456,908.22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-462,245.29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-338,911.65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-14,886,815.73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-23,742,877.54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-40,271,559.07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-12,993,491.87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14,006,722.63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-1,662,608.05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11,636,018.31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20,140,432.34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609,920,675.63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544,931,094.69</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544,931,094.69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557,500,806.32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64,989,580.94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-12,569,711.63</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609,920,675.63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544,931,094.69</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799,977.90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373,169.01</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609,120,697.73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544,557,925.68</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609,920,675.63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544,931,094.69</w:t>
            </w:r>
          </w:p>
        </w:tc>
      </w:tr>
    </w:tbl>
    <w:p>
      <w:pPr>
        <w:pStyle w:val="BodyText"/>
        <w:spacing w:line="360" w:lineRule="auto" w:before="49"/>
        <w:ind w:right="7570"/>
        <w:jc w:val="left"/>
      </w:pPr>
      <w:r>
        <w:rPr/>
        <w:t>现金流量表补充资料的说明 无</w:t>
      </w:r>
    </w:p>
    <w:p>
      <w:pPr>
        <w:spacing w:after="0" w:line="36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Heading2"/>
        <w:spacing w:line="240" w:lineRule="auto"/>
        <w:ind w:right="92"/>
        <w:jc w:val="left"/>
        <w:rPr>
          <w:b w:val="0"/>
          <w:bCs w:val="0"/>
        </w:rPr>
      </w:pPr>
      <w:r>
        <w:rPr/>
        <w:t>八、关联方及关联交易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、本企业的子公司情况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pict>
          <v:shape style="position:absolute;margin-left:242.160004pt;margin-top:55.492035pt;width:53.7pt;height:66.5pt;mso-position-horizontal-relative:page;mso-position-vertical-relative:paragraph;z-index:-7299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248.399994pt;margin-top:55.492035pt;width:47.5pt;height:66.5pt;mso-position-horizontal-relative:page;mso-position-vertical-relative:paragraph;z-index:-729904" coordorigin="4968,1110" coordsize="950,1330">
            <v:shape style="position:absolute;left:4968;top:1110;width:950;height:1330" coordorigin="4968,1110" coordsize="950,1330" path="m4968,2439l5917,2439,5917,1110,4968,1110,4968,2439xe" filled="true" fillcolor="#ffffff" stroked="false">
              <v:path arrowok="t"/>
              <v:fill type="solid"/>
            </v:shape>
            <w10:wrap type="none"/>
          </v:group>
        </w:pict>
      </w: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9"/>
        <w:gridCol w:w="955"/>
        <w:gridCol w:w="958"/>
        <w:gridCol w:w="959"/>
        <w:gridCol w:w="958"/>
        <w:gridCol w:w="956"/>
        <w:gridCol w:w="958"/>
        <w:gridCol w:w="955"/>
        <w:gridCol w:w="956"/>
        <w:gridCol w:w="956"/>
      </w:tblGrid>
      <w:tr>
        <w:trPr>
          <w:trHeight w:val="714" w:hRule="exact"/>
        </w:trPr>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3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广州长城世 家投资有限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广州市海珠 区新港东路 </w:t>
            </w:r>
            <w:r>
              <w:rPr>
                <w:rFonts w:ascii="Times New Roman" w:hAnsi="Times New Roman" w:cs="Times New Roman" w:eastAsia="Times New Roman" w:hint="default"/>
                <w:sz w:val="18"/>
                <w:szCs w:val="18"/>
              </w:rPr>
              <w:t>245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w:t>
            </w:r>
          </w:p>
          <w:p>
            <w:pPr>
              <w:pStyle w:val="TableParagraph"/>
              <w:spacing w:line="248"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66996252-7</w:t>
            </w:r>
          </w:p>
        </w:tc>
      </w:tr>
      <w:tr>
        <w:trPr>
          <w:trHeight w:val="357" w:hRule="exact"/>
        </w:trPr>
        <w:tc>
          <w:tcPr>
            <w:tcW w:w="959"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广东省潮州</w:t>
            </w: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潮州市万泉 陶瓷花纸有 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市枫溪区蔡 陇大道广东 长城集团股 份有限公司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张伟东</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68060876-4</w:t>
            </w:r>
          </w:p>
        </w:tc>
      </w:tr>
      <w:tr>
        <w:trPr>
          <w:trHeight w:val="358" w:hRule="exact"/>
        </w:trPr>
        <w:tc>
          <w:tcPr>
            <w:tcW w:w="959"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幢厂房</w:t>
            </w: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9"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广东省潮州</w:t>
            </w: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潮州市三江 陶瓷原料有 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市枫溪区蔡 陇大道广东 长城集团股 份有限公司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蔡廷文</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1,770,000.0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68060874-8</w:t>
            </w:r>
          </w:p>
        </w:tc>
      </w:tr>
      <w:tr>
        <w:trPr>
          <w:trHeight w:val="358" w:hRule="exact"/>
        </w:trPr>
        <w:tc>
          <w:tcPr>
            <w:tcW w:w="959"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 </w:t>
            </w:r>
            <w:r>
              <w:rPr>
                <w:rFonts w:ascii="宋体" w:hAnsi="宋体" w:cs="宋体" w:eastAsia="宋体" w:hint="default"/>
                <w:sz w:val="18"/>
                <w:szCs w:val="18"/>
              </w:rPr>
              <w:t>幢</w:t>
            </w: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9"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深圳市福田</w:t>
            </w: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9"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区福强路</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深圳长城世 家商贸有限 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 圳市世纪工 艺品文化市</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69250560-7</w:t>
            </w:r>
          </w:p>
        </w:tc>
      </w:tr>
      <w:tr>
        <w:trPr>
          <w:trHeight w:val="316" w:hRule="exact"/>
        </w:trPr>
        <w:tc>
          <w:tcPr>
            <w:tcW w:w="959"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 </w:t>
            </w:r>
            <w:r>
              <w:rPr>
                <w:rFonts w:ascii="宋体" w:hAnsi="宋体" w:cs="宋体" w:eastAsia="宋体" w:hint="default"/>
                <w:sz w:val="18"/>
                <w:szCs w:val="18"/>
              </w:rPr>
              <w:t>栋一</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959"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楼整层</w:t>
            </w: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北京昶城世 家商贸有限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 区北苑路 </w:t>
            </w:r>
            <w:r>
              <w:rPr>
                <w:rFonts w:ascii="Times New Roman" w:hAnsi="Times New Roman" w:cs="Times New Roman" w:eastAsia="Times New Roman" w:hint="default"/>
                <w:sz w:val="18"/>
                <w:szCs w:val="18"/>
              </w:rPr>
              <w:t>170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58253075-6</w:t>
            </w:r>
          </w:p>
        </w:tc>
      </w:tr>
      <w:tr>
        <w:trPr>
          <w:trHeight w:val="357" w:hRule="exact"/>
        </w:trPr>
        <w:tc>
          <w:tcPr>
            <w:tcW w:w="959"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深圳市福田</w:t>
            </w: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9"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区福强路</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深圳市世家 会艺术品投 资有限公司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 圳市世纪工 艺品文化市</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59189304-9</w:t>
            </w:r>
          </w:p>
        </w:tc>
      </w:tr>
      <w:tr>
        <w:trPr>
          <w:trHeight w:val="321" w:hRule="exact"/>
        </w:trPr>
        <w:tc>
          <w:tcPr>
            <w:tcW w:w="959"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 </w:t>
            </w:r>
            <w:r>
              <w:rPr>
                <w:rFonts w:ascii="宋体" w:hAnsi="宋体" w:cs="宋体" w:eastAsia="宋体" w:hint="default"/>
                <w:sz w:val="18"/>
                <w:szCs w:val="18"/>
              </w:rPr>
              <w:t>栋</w:t>
            </w: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49" w:hRule="exact"/>
        </w:trPr>
        <w:tc>
          <w:tcPr>
            <w:tcW w:w="959"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H2-01</w:t>
            </w: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92"/>
        <w:jc w:val="left"/>
        <w:rPr>
          <w:b w:val="0"/>
          <w:bCs w:val="0"/>
        </w:rPr>
      </w:pPr>
      <w:r>
        <w:rPr>
          <w:rFonts w:ascii="Times New Roman" w:hAnsi="Times New Roman" w:cs="Times New Roman" w:eastAsia="Times New Roman" w:hint="default"/>
        </w:rPr>
        <w:t>2</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2"/>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控股股东，实际控制人，董事长兼总经 理</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控股股东的配偶，实际控制人，董事兼 副总经理</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5.28</w:t>
            </w:r>
            <w:r>
              <w:rPr>
                <w:rFonts w:ascii="Times New Roman" w:hAnsi="Times New Roman" w:cs="Times New Roman" w:eastAsia="Times New Roman" w:hint="default"/>
                <w:spacing w:val="-3"/>
                <w:sz w:val="18"/>
                <w:szCs w:val="18"/>
              </w:rPr>
              <w:t>%</w:t>
            </w:r>
            <w:r>
              <w:rPr>
                <w:rFonts w:ascii="宋体" w:hAnsi="宋体" w:cs="宋体" w:eastAsia="宋体" w:hint="default"/>
                <w:sz w:val="18"/>
                <w:szCs w:val="18"/>
              </w:rPr>
              <w:t>的股东</w:t>
            </w:r>
            <w:r>
              <w:rPr>
                <w:rFonts w:ascii="宋体" w:hAnsi="宋体" w:cs="宋体" w:eastAsia="宋体" w:hint="default"/>
                <w:spacing w:val="-74"/>
                <w:sz w:val="18"/>
                <w:szCs w:val="18"/>
              </w:rPr>
              <w:t>，</w:t>
            </w:r>
            <w:r>
              <w:rPr>
                <w:rFonts w:ascii="宋体" w:hAnsi="宋体" w:cs="宋体" w:eastAsia="宋体" w:hint="default"/>
                <w:sz w:val="18"/>
                <w:szCs w:val="18"/>
              </w:rPr>
              <w:t>实际控制人的外甥女</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的股东，董事兼董事会秘书，副 总经理</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翟振群</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董事兼财务总监，副总经理</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陈睿峰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高洪星、刘浩、王铁军、侯文全、安宁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谢建歆、金永丽、陈伟雄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陈虞深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实际控制人的舅舅</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实际控制人的表弟</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陈钦龙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实际控制人的姐夫</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蔡廷和</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实际控制人的哥哥</w:t>
            </w:r>
          </w:p>
        </w:tc>
        <w:tc>
          <w:tcPr>
            <w:tcW w:w="3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0"/>
        <w:ind w:right="7210"/>
        <w:jc w:val="left"/>
      </w:pPr>
      <w:r>
        <w:rPr/>
        <w:t>本企业的其他关联方情况的说明 无</w:t>
      </w:r>
    </w:p>
    <w:p>
      <w:pPr>
        <w:spacing w:line="240" w:lineRule="auto" w:before="2"/>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3</w:t>
      </w:r>
      <w:r>
        <w:rPr/>
        <w:t>、关联方交易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2"/>
        <w:jc w:val="left"/>
      </w:pPr>
      <w:r>
        <w:rPr/>
        <w:t>公司出租情况表</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1364"/>
        <w:gridCol w:w="1370"/>
        <w:gridCol w:w="1370"/>
        <w:gridCol w:w="1370"/>
        <w:gridCol w:w="1369"/>
        <w:gridCol w:w="1361"/>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9"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5"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49"/>
        <w:ind w:right="92"/>
        <w:jc w:val="left"/>
      </w:pPr>
      <w:r>
        <w:rPr/>
        <w:t>公司承租情况表</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3"/>
        <w:gridCol w:w="1370"/>
        <w:gridCol w:w="1374"/>
        <w:gridCol w:w="1368"/>
        <w:gridCol w:w="1368"/>
        <w:gridCol w:w="1368"/>
        <w:gridCol w:w="1349"/>
      </w:tblGrid>
      <w:tr>
        <w:trPr>
          <w:trHeight w:val="714"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102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18"/>
              <w:jc w:val="both"/>
              <w:rPr>
                <w:rFonts w:ascii="宋体" w:hAnsi="宋体" w:cs="宋体" w:eastAsia="宋体" w:hint="default"/>
                <w:sz w:val="18"/>
                <w:szCs w:val="18"/>
              </w:rPr>
            </w:pPr>
            <w:r>
              <w:rPr>
                <w:rFonts w:ascii="宋体" w:hAnsi="宋体" w:cs="宋体" w:eastAsia="宋体" w:hint="default"/>
                <w:sz w:val="18"/>
                <w:szCs w:val="18"/>
              </w:rPr>
              <w:t>陈虞深、 陈钦龙、 吴淡珠</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广东长城集团股 份有限公司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潮州市枫溪区蔡 陇村蔡尾片厂房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基于市场协议价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1,239,887.51</w:t>
            </w:r>
          </w:p>
        </w:tc>
      </w:tr>
    </w:tbl>
    <w:p>
      <w:pPr>
        <w:pStyle w:val="BodyText"/>
        <w:spacing w:line="240" w:lineRule="auto" w:before="50"/>
        <w:ind w:right="92"/>
        <w:jc w:val="left"/>
      </w:pPr>
      <w:r>
        <w:rPr/>
        <w:pict>
          <v:shape style="position:absolute;margin-left:92.399704pt;margin-top:-51.367981pt;width:101.3pt;height:50.95pt;mso-position-horizontal-relative:page;mso-position-vertical-relative:paragraph;z-index:-729880" type="#_x0000_t202" filled="false" stroked="false">
            <v:textbox inset="0,0,0,0">
              <w:txbxContent>
                <w:p>
                  <w:pPr>
                    <w:pStyle w:val="BodyText"/>
                    <w:spacing w:line="316" w:lineRule="auto" w:before="51"/>
                    <w:ind w:left="0" w:right="1303"/>
                    <w:jc w:val="left"/>
                  </w:pPr>
                  <w:r>
                    <w:rPr/>
                    <w:t>陈得光、 蔡廷和、</w:t>
                  </w:r>
                </w:p>
              </w:txbxContent>
            </v:textbox>
            <w10:wrap type="none"/>
          </v:shape>
        </w:pict>
      </w:r>
      <w:r>
        <w:rPr/>
        <w:pict>
          <v:group style="position:absolute;margin-left:125.519997pt;margin-top:-51.367981pt;width:68.2pt;height:50.95pt;mso-position-horizontal-relative:page;mso-position-vertical-relative:paragraph;z-index:-729856" coordorigin="2510,-1027" coordsize="1364,1019">
            <v:shape style="position:absolute;left:2510;top:-1027;width:1364;height:1019" coordorigin="2510,-1027" coordsize="1364,1019" path="m2510,-9l3874,-9,3874,-1027,2510,-1027,2510,-9xe" filled="true" fillcolor="#ffffff" stroked="false">
              <v:path arrowok="t"/>
              <v:fill type="solid"/>
            </v:shape>
            <w10:wrap type="none"/>
          </v:group>
        </w:pict>
      </w:r>
      <w:r>
        <w:rPr/>
        <w:t>关联租赁情况说明</w:t>
      </w:r>
    </w:p>
    <w:p>
      <w:pPr>
        <w:spacing w:line="240" w:lineRule="auto" w:before="1"/>
        <w:rPr>
          <w:rFonts w:ascii="宋体" w:hAnsi="宋体" w:cs="宋体" w:eastAsia="宋体" w:hint="default"/>
          <w:sz w:val="13"/>
          <w:szCs w:val="13"/>
        </w:rPr>
      </w:pPr>
    </w:p>
    <w:p>
      <w:pPr>
        <w:pStyle w:val="Heading4"/>
        <w:spacing w:line="240" w:lineRule="auto"/>
        <w:ind w:left="649" w:right="92"/>
        <w:jc w:val="left"/>
      </w:pPr>
      <w:r>
        <w:rPr/>
        <w:t>公司向关联方陈虞深、陈得光、陈钦龙、蔡廷和、吴淡珠租赁位于潮州市枫溪区蔡陇村蔡尾片厂房</w:t>
      </w:r>
    </w:p>
    <w:p>
      <w:pPr>
        <w:spacing w:after="0" w:line="240" w:lineRule="auto"/>
        <w:jc w:val="left"/>
        <w:sectPr>
          <w:pgSz w:w="11910" w:h="16840"/>
          <w:pgMar w:header="747" w:footer="980" w:top="1060" w:bottom="1160" w:left="1020" w:right="1020"/>
        </w:sectPr>
      </w:pPr>
    </w:p>
    <w:p>
      <w:pPr>
        <w:spacing w:line="240" w:lineRule="auto" w:before="10"/>
        <w:rPr>
          <w:rFonts w:ascii="宋体" w:hAnsi="宋体" w:cs="宋体" w:eastAsia="宋体" w:hint="default"/>
          <w:sz w:val="24"/>
          <w:szCs w:val="24"/>
        </w:rPr>
      </w:pPr>
    </w:p>
    <w:p>
      <w:pPr>
        <w:pStyle w:val="Heading4"/>
        <w:spacing w:line="256" w:lineRule="auto" w:before="35"/>
        <w:ind w:right="106"/>
        <w:jc w:val="both"/>
      </w:pPr>
      <w:r>
        <w:rPr>
          <w:spacing w:val="-1"/>
        </w:rPr>
        <w:t>的房产用以产品的大型展厅及新产品的研发中心。该租赁房地产的用地面积为</w:t>
      </w:r>
      <w:r>
        <w:rPr>
          <w:rFonts w:ascii="Times New Roman" w:hAnsi="Times New Roman" w:cs="Times New Roman" w:eastAsia="Times New Roman" w:hint="default"/>
          <w:spacing w:val="-1"/>
        </w:rPr>
        <w:t>16,773.37</w:t>
      </w:r>
      <w:r>
        <w:rPr>
          <w:spacing w:val="-1"/>
        </w:rPr>
        <w:t>平方米，建筑面积</w:t>
      </w:r>
      <w:r>
        <w:rPr>
          <w:spacing w:val="-80"/>
        </w:rPr>
        <w:t> </w:t>
      </w:r>
      <w:r>
        <w:rPr>
          <w:spacing w:val="-80"/>
        </w:rPr>
      </w:r>
      <w:r>
        <w:rPr>
          <w:spacing w:val="-4"/>
        </w:rPr>
        <w:t>约为</w:t>
      </w:r>
      <w:r>
        <w:rPr>
          <w:rFonts w:ascii="Times New Roman" w:hAnsi="Times New Roman" w:cs="Times New Roman" w:eastAsia="Times New Roman" w:hint="default"/>
          <w:spacing w:val="-4"/>
        </w:rPr>
        <w:t>26800</w:t>
      </w:r>
      <w:r>
        <w:rPr>
          <w:spacing w:val="-4"/>
        </w:rPr>
        <w:t>平方米，租金计算以用地面积数为依据，租赁期限为</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日至</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w:t>
      </w:r>
      <w:r>
        <w:rPr>
          <w:spacing w:val="-4"/>
        </w:rPr>
        <w:t>租金为</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1,127,170.46</w:t>
      </w:r>
      <w:r>
        <w:rPr>
          <w:spacing w:val="-4"/>
        </w:rPr>
        <w:t>元</w:t>
      </w:r>
      <w:r>
        <w:rPr>
          <w:rFonts w:ascii="Times New Roman" w:hAnsi="Times New Roman" w:cs="Times New Roman" w:eastAsia="Times New Roman" w:hint="default"/>
          <w:spacing w:val="-4"/>
        </w:rPr>
        <w:t>/</w:t>
      </w:r>
      <w:r>
        <w:rPr>
          <w:spacing w:val="-4"/>
        </w:rPr>
        <w:t>年；</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日至</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1,239,887.51</w:t>
      </w:r>
      <w:r>
        <w:rPr>
          <w:spacing w:val="-4"/>
        </w:rPr>
        <w:t>元</w:t>
      </w:r>
      <w:r>
        <w:rPr>
          <w:rFonts w:ascii="Times New Roman" w:hAnsi="Times New Roman" w:cs="Times New Roman" w:eastAsia="Times New Roman" w:hint="default"/>
          <w:spacing w:val="-4"/>
        </w:rPr>
        <w:t>/</w:t>
      </w:r>
      <w:r>
        <w:rPr>
          <w:spacing w:val="-4"/>
        </w:rPr>
        <w:t>年；</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1,363,876.26</w:t>
      </w:r>
      <w:r>
        <w:rPr/>
        <w:t>元</w:t>
      </w:r>
      <w:r>
        <w:rPr>
          <w:rFonts w:ascii="Times New Roman" w:hAnsi="Times New Roman" w:cs="Times New Roman" w:eastAsia="Times New Roman" w:hint="default"/>
        </w:rPr>
        <w:t>/</w:t>
      </w:r>
      <w:r>
        <w:rPr/>
        <w:t>年。</w:t>
      </w:r>
    </w:p>
    <w:p>
      <w:pPr>
        <w:pStyle w:val="Heading4"/>
        <w:spacing w:line="240" w:lineRule="auto" w:before="125"/>
        <w:ind w:left="649" w:right="92"/>
        <w:jc w:val="left"/>
      </w:pPr>
      <w:r>
        <w:rPr/>
        <w:t>关联方交易的定价方式：执行双方在参考市场价格的情况下确定的协议价。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left="113" w:right="0"/>
        <w:jc w:val="both"/>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10"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广东长城集团股份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广东长城集团股份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广东长城集团股份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广东长城集团股份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57" w:lineRule="auto" w:before="49"/>
        <w:ind w:right="8290"/>
        <w:jc w:val="left"/>
      </w:pPr>
      <w:r>
        <w:rPr/>
        <w:t>关联担保情况说明 无</w:t>
      </w:r>
    </w:p>
    <w:p>
      <w:pPr>
        <w:spacing w:line="240" w:lineRule="auto" w:before="4"/>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4</w:t>
      </w:r>
      <w:r>
        <w:rPr/>
        <w:t>、关联方应收应付款项</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right="92"/>
        <w:jc w:val="left"/>
      </w:pPr>
      <w:r>
        <w:rPr/>
        <w:t>上市公司应收关联方款项</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58"/>
        <w:gridCol w:w="1668"/>
        <w:gridCol w:w="1460"/>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8"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pStyle w:val="BodyText"/>
        <w:spacing w:line="240" w:lineRule="auto" w:before="50"/>
        <w:ind w:right="92"/>
        <w:jc w:val="left"/>
      </w:pPr>
      <w:r>
        <w:rPr/>
        <w:t>上市公司应付关联方款项</w:t>
      </w:r>
    </w:p>
    <w:p>
      <w:pPr>
        <w:pStyle w:val="BodyText"/>
        <w:spacing w:line="240" w:lineRule="auto" w:before="116"/>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5"/>
        <w:gridCol w:w="2257"/>
        <w:gridCol w:w="2258"/>
        <w:gridCol w:w="2258"/>
      </w:tblGrid>
      <w:tr>
        <w:trPr>
          <w:trHeight w:val="402" w:hRule="exact"/>
        </w:trPr>
        <w:tc>
          <w:tcPr>
            <w:tcW w:w="2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71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2"/>
              <w:jc w:val="left"/>
              <w:rPr>
                <w:rFonts w:ascii="宋体" w:hAnsi="宋体" w:cs="宋体" w:eastAsia="宋体" w:hint="default"/>
                <w:sz w:val="18"/>
                <w:szCs w:val="18"/>
              </w:rPr>
            </w:pPr>
            <w:r>
              <w:rPr>
                <w:rFonts w:ascii="宋体" w:hAnsi="宋体" w:cs="宋体" w:eastAsia="宋体" w:hint="default"/>
                <w:sz w:val="18"/>
                <w:szCs w:val="18"/>
              </w:rPr>
              <w:t>陈虞深、陈得光、陈钦龙、 蔡廷和、吴淡珠</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9" w:right="0"/>
              <w:jc w:val="left"/>
              <w:rPr>
                <w:rFonts w:ascii="Times New Roman" w:hAnsi="Times New Roman" w:cs="Times New Roman" w:eastAsia="Times New Roman" w:hint="default"/>
                <w:sz w:val="18"/>
                <w:szCs w:val="18"/>
              </w:rPr>
            </w:pPr>
            <w:r>
              <w:rPr>
                <w:rFonts w:ascii="Times New Roman"/>
                <w:sz w:val="18"/>
              </w:rPr>
              <w:t>1,127,170.46</w:t>
            </w:r>
          </w:p>
        </w:tc>
      </w:tr>
      <w:tr>
        <w:trPr>
          <w:trHeight w:val="40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陈睿峰</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350,000.00</w:t>
            </w:r>
          </w:p>
        </w:tc>
        <w:tc>
          <w:tcPr>
            <w:tcW w:w="22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9"/>
        <w:rPr>
          <w:rFonts w:ascii="宋体" w:hAnsi="宋体" w:cs="宋体" w:eastAsia="宋体" w:hint="default"/>
          <w:sz w:val="23"/>
          <w:szCs w:val="23"/>
        </w:rPr>
      </w:pPr>
    </w:p>
    <w:p>
      <w:pPr>
        <w:pStyle w:val="Heading2"/>
        <w:spacing w:line="240" w:lineRule="auto"/>
        <w:ind w:right="91"/>
        <w:jc w:val="left"/>
        <w:rPr>
          <w:b w:val="0"/>
          <w:bCs w:val="0"/>
        </w:rPr>
      </w:pPr>
      <w:r>
        <w:rPr/>
        <w:t>九、承诺事项</w:t>
      </w:r>
      <w:r>
        <w:rPr>
          <w:b w:val="0"/>
          <w:bCs w:val="0"/>
        </w:rPr>
      </w:r>
    </w:p>
    <w:p>
      <w:pPr>
        <w:spacing w:line="240" w:lineRule="auto" w:before="8"/>
        <w:rPr>
          <w:rFonts w:ascii="宋体" w:hAnsi="宋体" w:cs="宋体" w:eastAsia="宋体" w:hint="default"/>
          <w:b/>
          <w:bCs/>
          <w:sz w:val="24"/>
          <w:szCs w:val="24"/>
        </w:rPr>
      </w:pPr>
    </w:p>
    <w:p>
      <w:pPr>
        <w:pStyle w:val="Heading4"/>
        <w:spacing w:line="506" w:lineRule="auto"/>
        <w:ind w:right="2401"/>
        <w:jc w:val="left"/>
      </w:pPr>
      <w:r>
        <w:rPr>
          <w:rFonts w:ascii="Times New Roman" w:hAnsi="Times New Roman" w:cs="Times New Roman" w:eastAsia="Times New Roman" w:hint="default"/>
          <w:b/>
          <w:bCs/>
        </w:rPr>
        <w:t>1</w:t>
      </w:r>
      <w:r>
        <w:rPr>
          <w:rFonts w:ascii="宋体" w:hAnsi="宋体" w:cs="宋体" w:eastAsia="宋体" w:hint="default"/>
          <w:b/>
          <w:bCs/>
        </w:rPr>
        <w:t>、重大承诺事项</w:t>
      </w:r>
      <w:r>
        <w:rPr>
          <w:rFonts w:ascii="宋体" w:hAnsi="宋体" w:cs="宋体" w:eastAsia="宋体" w:hint="default"/>
          <w:b/>
          <w:bCs/>
          <w:w w:val="99"/>
        </w:rPr>
        <w:t> </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日止，公司无影响正常生产、经营活动需作披露的承诺事项。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9"/>
          <w:szCs w:val="19"/>
        </w:rPr>
      </w:pPr>
    </w:p>
    <w:p>
      <w:pPr>
        <w:pStyle w:val="Heading3"/>
        <w:spacing w:line="240" w:lineRule="auto"/>
        <w:ind w:left="113" w:right="91"/>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1"/>
        <w:jc w:val="left"/>
      </w:pPr>
      <w:r>
        <w:rPr/>
        <w:t>关于前期承诺履行情况，请参见本报告</w:t>
      </w:r>
      <w:r>
        <w:rPr>
          <w:rFonts w:ascii="Times New Roman" w:hAnsi="Times New Roman" w:cs="Times New Roman" w:eastAsia="Times New Roman" w:hint="default"/>
        </w:rPr>
        <w:t>“</w:t>
      </w:r>
      <w:r>
        <w:rPr/>
        <w:t>第五节</w:t>
      </w:r>
      <w:r>
        <w:rPr>
          <w:spacing w:val="-3"/>
        </w:rPr>
        <w:t> </w:t>
      </w:r>
      <w:r>
        <w:rPr/>
        <w:t>重要事项</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八、承诺事项履行情况</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2"/>
          <w:szCs w:val="22"/>
        </w:rPr>
      </w:pPr>
    </w:p>
    <w:p>
      <w:pPr>
        <w:pStyle w:val="Heading2"/>
        <w:spacing w:line="240" w:lineRule="auto" w:before="0"/>
        <w:ind w:right="91"/>
        <w:jc w:val="left"/>
        <w:rPr>
          <w:b w:val="0"/>
          <w:bCs w:val="0"/>
        </w:rPr>
      </w:pPr>
      <w:r>
        <w:rPr/>
        <w:t>十、其他重要事项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1"/>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right="91"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日公司</w:t>
      </w:r>
      <w:r>
        <w:rPr>
          <w:rFonts w:ascii="Times New Roman" w:hAnsi="Times New Roman" w:cs="Times New Roman" w:eastAsia="Times New Roman" w:hint="default"/>
        </w:rPr>
        <w:t>2012</w:t>
      </w:r>
      <w:r>
        <w:rPr/>
        <w:t>年第三次临时股东大会审议通过了《关于河南首期年产</w:t>
      </w:r>
      <w:r>
        <w:rPr>
          <w:rFonts w:ascii="Times New Roman" w:hAnsi="Times New Roman" w:cs="Times New Roman" w:eastAsia="Times New Roman" w:hint="default"/>
        </w:rPr>
        <w:t>2000</w:t>
      </w:r>
      <w:r>
        <w:rPr/>
        <w:t>万只陶 </w:t>
      </w:r>
      <w:r>
        <w:rPr>
          <w:spacing w:val="-1"/>
        </w:rPr>
        <w:t>瓷酒瓶建设项目的议案》，同意使用超募资金</w:t>
      </w:r>
      <w:r>
        <w:rPr>
          <w:rFonts w:ascii="Times New Roman" w:hAnsi="Times New Roman" w:cs="Times New Roman" w:eastAsia="Times New Roman" w:hint="default"/>
          <w:spacing w:val="-1"/>
        </w:rPr>
        <w:t>22,304.95</w:t>
      </w:r>
      <w:r>
        <w:rPr>
          <w:spacing w:val="-1"/>
        </w:rPr>
        <w:t>万元及自筹资金</w:t>
      </w:r>
      <w:r>
        <w:rPr>
          <w:rFonts w:ascii="Times New Roman" w:hAnsi="Times New Roman" w:cs="Times New Roman" w:eastAsia="Times New Roman" w:hint="default"/>
          <w:spacing w:val="-1"/>
        </w:rPr>
        <w:t>10,069.05</w:t>
      </w:r>
      <w:r>
        <w:rPr>
          <w:spacing w:val="-1"/>
        </w:rPr>
        <w:t>万元设立全资子公司并实</w:t>
      </w:r>
      <w:r>
        <w:rPr>
          <w:spacing w:val="-80"/>
        </w:rPr>
        <w:t> </w:t>
      </w:r>
      <w:r>
        <w:rPr/>
        <w:t>施河南首期年产</w:t>
      </w:r>
      <w:r>
        <w:rPr>
          <w:rFonts w:ascii="Times New Roman" w:hAnsi="Times New Roman" w:cs="Times New Roman" w:eastAsia="Times New Roman" w:hint="default"/>
        </w:rPr>
        <w:t>2000</w:t>
      </w:r>
      <w:r>
        <w:rPr/>
        <w:t>万只陶瓷酒瓶建设项目。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日，该全资子公司（名称为：河南长城绿色瓷 艺科技有限公司）完成了工商登记手续，并取得了内黄县工商行政管理局核发的《企业法人营业执照》。</w:t>
      </w:r>
    </w:p>
    <w:p>
      <w:pPr>
        <w:pStyle w:val="Heading4"/>
        <w:spacing w:line="450" w:lineRule="atLeast" w:before="7"/>
        <w:ind w:left="533" w:right="178"/>
        <w:jc w:val="left"/>
      </w:pPr>
      <w:r>
        <w:rPr/>
        <w:t>（</w:t>
      </w:r>
      <w:r>
        <w:rPr>
          <w:rFonts w:ascii="Times New Roman" w:hAnsi="Times New Roman" w:cs="Times New Roman" w:eastAsia="Times New Roman" w:hint="default"/>
        </w:rPr>
        <w:t>2</w:t>
      </w:r>
      <w:r>
        <w:rPr/>
        <w:t>）股东股权质押事项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日，控股股东蔡廷祥先生持有公司</w:t>
      </w:r>
      <w:r>
        <w:rPr>
          <w:rFonts w:ascii="Times New Roman" w:hAnsi="Times New Roman" w:cs="Times New Roman" w:eastAsia="Times New Roman" w:hint="default"/>
        </w:rPr>
        <w:t>57,375,000</w:t>
      </w:r>
      <w:r>
        <w:rPr/>
        <w:t>股股份，占公司总股本的</w:t>
      </w:r>
      <w:r>
        <w:rPr>
          <w:rFonts w:ascii="Times New Roman" w:hAnsi="Times New Roman" w:cs="Times New Roman" w:eastAsia="Times New Roman" w:hint="default"/>
        </w:rPr>
        <w:t>38.25%</w:t>
      </w:r>
      <w:r>
        <w:rPr/>
        <w:t>，其</w:t>
      </w:r>
    </w:p>
    <w:p>
      <w:pPr>
        <w:pStyle w:val="Heading4"/>
        <w:spacing w:line="240" w:lineRule="auto" w:before="21"/>
        <w:ind w:right="91"/>
        <w:jc w:val="left"/>
      </w:pPr>
      <w:r>
        <w:rPr/>
        <w:t>累计质押股份</w:t>
      </w:r>
      <w:r>
        <w:rPr>
          <w:rFonts w:ascii="Times New Roman" w:hAnsi="Times New Roman" w:cs="Times New Roman" w:eastAsia="Times New Roman" w:hint="default"/>
        </w:rPr>
        <w:t>56,790,000</w:t>
      </w:r>
      <w:r>
        <w:rPr/>
        <w:t>股，占蔡廷祥先生持有公司股份总数的</w:t>
      </w:r>
      <w:r>
        <w:rPr>
          <w:rFonts w:ascii="Times New Roman" w:hAnsi="Times New Roman" w:cs="Times New Roman" w:eastAsia="Times New Roman" w:hint="default"/>
        </w:rPr>
        <w:t>98.98%</w:t>
      </w:r>
      <w:r>
        <w:rPr/>
        <w:t>，占公司总股本的</w:t>
      </w:r>
      <w:r>
        <w:rPr>
          <w:rFonts w:ascii="Times New Roman" w:hAnsi="Times New Roman" w:cs="Times New Roman" w:eastAsia="Times New Roman" w:hint="default"/>
        </w:rPr>
        <w:t>37.86%</w:t>
      </w:r>
      <w:r>
        <w:rPr/>
        <w:t>。</w:t>
      </w:r>
    </w:p>
    <w:p>
      <w:pPr>
        <w:pStyle w:val="Heading4"/>
        <w:spacing w:line="256" w:lineRule="auto" w:before="165"/>
        <w:ind w:right="178" w:firstLine="42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日，股东陈素芳女士持有公司</w:t>
      </w:r>
      <w:r>
        <w:rPr>
          <w:rFonts w:ascii="Times New Roman" w:hAnsi="Times New Roman" w:cs="Times New Roman" w:eastAsia="Times New Roman" w:hint="default"/>
        </w:rPr>
        <w:t>7,920,000</w:t>
      </w:r>
      <w:r>
        <w:rPr/>
        <w:t>股股份，占公司总股本的</w:t>
      </w:r>
      <w:r>
        <w:rPr>
          <w:rFonts w:ascii="Times New Roman" w:hAnsi="Times New Roman" w:cs="Times New Roman" w:eastAsia="Times New Roman" w:hint="default"/>
        </w:rPr>
        <w:t>5.28%</w:t>
      </w:r>
      <w:r>
        <w:rPr/>
        <w:t>，其累计质 押股份</w:t>
      </w:r>
      <w:r>
        <w:rPr>
          <w:rFonts w:ascii="Times New Roman" w:hAnsi="Times New Roman" w:cs="Times New Roman" w:eastAsia="Times New Roman" w:hint="default"/>
        </w:rPr>
        <w:t>7,920,000</w:t>
      </w:r>
      <w:r>
        <w:rPr/>
        <w:t>股，占陈素芳女士持有公司股份总数的</w:t>
      </w:r>
      <w:r>
        <w:rPr>
          <w:rFonts w:ascii="Times New Roman" w:hAnsi="Times New Roman" w:cs="Times New Roman" w:eastAsia="Times New Roman" w:hint="default"/>
        </w:rPr>
        <w:t>100.00%</w:t>
      </w:r>
      <w:r>
        <w:rPr/>
        <w:t>，占公司总股本的</w:t>
      </w:r>
      <w:r>
        <w:rPr>
          <w:rFonts w:ascii="Times New Roman" w:hAnsi="Times New Roman" w:cs="Times New Roman" w:eastAsia="Times New Roman" w:hint="default"/>
        </w:rPr>
        <w:t>5.28%</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3"/>
          <w:szCs w:val="23"/>
        </w:rPr>
      </w:pPr>
    </w:p>
    <w:p>
      <w:pPr>
        <w:pStyle w:val="Heading2"/>
        <w:spacing w:line="240" w:lineRule="auto" w:before="0"/>
        <w:ind w:right="91"/>
        <w:jc w:val="left"/>
        <w:rPr>
          <w:b w:val="0"/>
          <w:bCs w:val="0"/>
        </w:rPr>
      </w:pPr>
      <w:r>
        <w:rPr/>
        <w:t>十一、母公司财务报表主要项目注释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1"/>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3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9"/>
        <w:gridCol w:w="1194"/>
        <w:gridCol w:w="532"/>
        <w:gridCol w:w="1327"/>
        <w:gridCol w:w="666"/>
        <w:gridCol w:w="1194"/>
        <w:gridCol w:w="665"/>
        <w:gridCol w:w="1327"/>
        <w:gridCol w:w="666"/>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7"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132,887,926.38</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6,732,466.36</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86,624,960.74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4,365,127.10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132,887,926.38</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6,732,466.36</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86,624,960.74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4,365,127.10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0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99"/>
        <w:gridCol w:w="1194"/>
        <w:gridCol w:w="532"/>
        <w:gridCol w:w="1327"/>
        <w:gridCol w:w="666"/>
        <w:gridCol w:w="1194"/>
        <w:gridCol w:w="665"/>
        <w:gridCol w:w="1327"/>
        <w:gridCol w:w="666"/>
      </w:tblGrid>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132,887,926.38</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6,732,466.36</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86,624,960.74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4,365,127.10</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5545"/>
        <w:jc w:val="left"/>
      </w:pPr>
      <w:r>
        <w:rPr/>
        <w:t>应收账款种类的说明 账龄组合</w:t>
      </w:r>
      <w:r>
        <w:rPr>
          <w:rFonts w:ascii="Times New Roman" w:hAnsi="Times New Roman" w:cs="Times New Roman" w:eastAsia="Times New Roman" w:hint="default"/>
        </w:rPr>
        <w:t>,</w:t>
      </w:r>
      <w:r>
        <w:rPr/>
        <w:t>相同账龄的应收账款具有类似信用风险特征</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80" w:top="1060" w:bottom="1160" w:left="1020" w:right="1020"/>
        </w:sectPr>
      </w:pPr>
    </w:p>
    <w:p>
      <w:pPr>
        <w:pStyle w:val="BodyText"/>
        <w:spacing w:line="240" w:lineRule="auto" w:before="44"/>
        <w:ind w:right="-20"/>
        <w:jc w:val="left"/>
      </w:pPr>
      <w:r>
        <w:rPr/>
        <w:t>期末单项金额重大并单项计提坏账准备的应收账款</w:t>
      </w:r>
    </w:p>
    <w:p>
      <w:pPr>
        <w:pStyle w:val="BodyText"/>
        <w:spacing w:line="357" w:lineRule="auto" w:before="116"/>
        <w:ind w:right="-20"/>
        <w:jc w:val="left"/>
      </w:pPr>
      <w:r>
        <w:rPr/>
        <w:t>□ 适用 √ 不适用 组合中，采用账龄分析法计提坏账准备的应收账款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3" w:right="0"/>
        <w:jc w:val="left"/>
      </w:pPr>
      <w:r>
        <w:rPr/>
        <w:t>单位： 元</w:t>
      </w:r>
    </w:p>
    <w:p>
      <w:pPr>
        <w:spacing w:after="0" w:line="240" w:lineRule="auto"/>
        <w:jc w:val="left"/>
        <w:sectPr>
          <w:type w:val="continuous"/>
          <w:pgSz w:w="11910" w:h="16840"/>
          <w:pgMar w:top="1060" w:bottom="1160" w:left="1020" w:right="1020"/>
          <w:cols w:num="2" w:equalWidth="0">
            <w:col w:w="4075" w:space="475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994"/>
        <w:gridCol w:w="664"/>
        <w:gridCol w:w="1462"/>
        <w:gridCol w:w="2126"/>
        <w:gridCol w:w="664"/>
        <w:gridCol w:w="1595"/>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 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131,126,525.58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98.67%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6,556,326.28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85,947,379.44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4,297,368.97</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1,761,400.80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176,140.08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677,581.30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67,758.13</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132,887,926.38</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6,732,466.36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86,624,960.74</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4,365,127.10</w:t>
            </w:r>
          </w:p>
        </w:tc>
      </w:tr>
    </w:tbl>
    <w:p>
      <w:pPr>
        <w:pStyle w:val="BodyText"/>
        <w:spacing w:line="240" w:lineRule="auto" w:before="50"/>
        <w:ind w:right="92"/>
        <w:jc w:val="left"/>
      </w:pPr>
      <w:r>
        <w:rPr/>
        <w:t>组合中，采用余额百分比法计提坏账准备的应收账款</w:t>
      </w:r>
    </w:p>
    <w:p>
      <w:pPr>
        <w:pStyle w:val="BodyText"/>
        <w:spacing w:line="360" w:lineRule="auto" w:before="116"/>
        <w:ind w:right="5950"/>
        <w:jc w:val="left"/>
      </w:pPr>
      <w:r>
        <w:rPr/>
        <w:t>□ 适用 √ 不适用 组合中，采用其他方法计提坏账准备的应收账款</w:t>
      </w:r>
    </w:p>
    <w:p>
      <w:pPr>
        <w:pStyle w:val="BodyText"/>
        <w:spacing w:line="357" w:lineRule="auto" w:before="26"/>
        <w:ind w:right="5410"/>
        <w:jc w:val="left"/>
      </w:pPr>
      <w:r>
        <w:rPr/>
        <w:t>□ 适用 √ 不适用 期末单项金额虽不重大但单项计提坏账准备的应收账款</w:t>
      </w:r>
    </w:p>
    <w:p>
      <w:pPr>
        <w:pStyle w:val="BodyText"/>
        <w:spacing w:line="240" w:lineRule="auto" w:before="29"/>
        <w:ind w:right="92"/>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8"/>
              <w:jc w:val="left"/>
              <w:rPr>
                <w:rFonts w:ascii="Times New Roman" w:hAnsi="Times New Roman" w:cs="Times New Roman" w:eastAsia="Times New Roman" w:hint="default"/>
                <w:sz w:val="18"/>
                <w:szCs w:val="18"/>
              </w:rPr>
            </w:pPr>
            <w:r>
              <w:rPr>
                <w:rFonts w:ascii="Times New Roman"/>
                <w:sz w:val="18"/>
              </w:rPr>
              <w:t>LG SOURCING</w:t>
            </w:r>
            <w:r>
              <w:rPr>
                <w:rFonts w:ascii="Times New Roman"/>
                <w:spacing w:val="-6"/>
                <w:sz w:val="18"/>
              </w:rPr>
              <w:t> </w:t>
            </w:r>
            <w:r>
              <w:rPr>
                <w:rFonts w:ascii="Times New Roman"/>
                <w:sz w:val="18"/>
              </w:rPr>
              <w:t>(A</w:t>
            </w:r>
            <w:r>
              <w:rPr>
                <w:rFonts w:ascii="Times New Roman"/>
                <w:sz w:val="18"/>
              </w:rPr>
              <w:t> </w:t>
            </w:r>
            <w:r>
              <w:rPr>
                <w:rFonts w:ascii="Times New Roman"/>
                <w:spacing w:val="-4"/>
                <w:sz w:val="18"/>
              </w:rPr>
              <w:t>WHOLLY</w:t>
            </w:r>
            <w:r>
              <w:rPr>
                <w:rFonts w:ascii="Times New Roman"/>
                <w:spacing w:val="-7"/>
                <w:sz w:val="18"/>
              </w:rPr>
              <w:t> </w:t>
            </w:r>
            <w:r>
              <w:rPr>
                <w:rFonts w:ascii="Times New Roman"/>
                <w:sz w:val="18"/>
              </w:rPr>
              <w:t>OWNED</w:t>
            </w:r>
            <w:r>
              <w:rPr>
                <w:rFonts w:ascii="Times New Roman"/>
                <w:sz w:val="18"/>
              </w:rPr>
              <w:t> SUBSIDIARY</w:t>
            </w:r>
            <w:r>
              <w:rPr>
                <w:rFonts w:ascii="Times New Roman"/>
                <w:spacing w:val="-13"/>
                <w:sz w:val="18"/>
              </w:rPr>
              <w:t> </w:t>
            </w:r>
            <w:r>
              <w:rPr>
                <w:rFonts w:ascii="Times New Roman"/>
                <w:sz w:val="18"/>
              </w:rPr>
              <w:t>OF</w:t>
            </w:r>
            <w:r>
              <w:rPr>
                <w:rFonts w:ascii="Times New Roman"/>
                <w:spacing w:val="-1"/>
                <w:sz w:val="18"/>
              </w:rPr>
              <w:t> </w:t>
            </w:r>
            <w:r>
              <w:rPr>
                <w:rFonts w:ascii="Times New Roman"/>
                <w:sz w:val="18"/>
              </w:rPr>
              <w:t>LOWES</w:t>
            </w:r>
            <w:r>
              <w:rPr>
                <w:rFonts w:ascii="Times New Roman"/>
                <w:spacing w:val="-1"/>
                <w:sz w:val="18"/>
              </w:rPr>
              <w:t> </w:t>
            </w:r>
            <w:r>
              <w:rPr>
                <w:rFonts w:ascii="Times New Roman"/>
                <w:sz w:val="18"/>
              </w:rPr>
              <w:t>INC.)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11,443,785.52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6"/>
              <w:jc w:val="center"/>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8,499,651.63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北京平大境界酒业有限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6,824,077.00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广东雄集进出口集团有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6,093,663.96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72"/>
              <w:jc w:val="left"/>
              <w:rPr>
                <w:rFonts w:ascii="Times New Roman" w:hAnsi="Times New Roman" w:cs="Times New Roman" w:eastAsia="Times New Roman" w:hint="default"/>
                <w:sz w:val="18"/>
                <w:szCs w:val="18"/>
              </w:rPr>
            </w:pPr>
            <w:r>
              <w:rPr>
                <w:rFonts w:ascii="Times New Roman"/>
                <w:sz w:val="18"/>
              </w:rPr>
              <w:t>TOP</w:t>
            </w:r>
            <w:r>
              <w:rPr>
                <w:rFonts w:ascii="Times New Roman"/>
                <w:spacing w:val="-9"/>
                <w:sz w:val="18"/>
              </w:rPr>
              <w:t> </w:t>
            </w:r>
            <w:r>
              <w:rPr>
                <w:rFonts w:ascii="Times New Roman"/>
                <w:sz w:val="18"/>
              </w:rPr>
              <w:t>SHOP</w:t>
            </w:r>
            <w:r>
              <w:rPr>
                <w:rFonts w:ascii="Times New Roman"/>
                <w:spacing w:val="-1"/>
                <w:sz w:val="18"/>
              </w:rPr>
              <w:t> </w:t>
            </w:r>
            <w:r>
              <w:rPr>
                <w:rFonts w:ascii="Times New Roman"/>
                <w:spacing w:val="-3"/>
                <w:sz w:val="18"/>
              </w:rPr>
              <w:t>INTERNATIONAL</w:t>
            </w:r>
            <w:r>
              <w:rPr>
                <w:rFonts w:ascii="Times New Roman"/>
                <w:sz w:val="18"/>
              </w:rPr>
              <w:t> SA</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4,902,808.17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37,763,986.28</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28.43%</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3</w:t>
      </w:r>
      <w:r>
        <w:rPr/>
        <w:t>）</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2"/>
        <w:jc w:val="left"/>
      </w:pPr>
      <w:r>
        <w:rPr/>
        <w:t>不符合终止确认条件的应收账款的转移金额为</w:t>
      </w:r>
      <w:r>
        <w:rPr>
          <w:spacing w:val="-46"/>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1"/>
        <w:gridCol w:w="1453"/>
        <w:gridCol w:w="528"/>
        <w:gridCol w:w="1321"/>
        <w:gridCol w:w="528"/>
        <w:gridCol w:w="1322"/>
        <w:gridCol w:w="528"/>
        <w:gridCol w:w="1189"/>
        <w:gridCol w:w="527"/>
      </w:tblGrid>
      <w:tr>
        <w:trPr>
          <w:trHeight w:val="402" w:hRule="exact"/>
        </w:trPr>
        <w:tc>
          <w:tcPr>
            <w:tcW w:w="21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3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1" w:type="dxa"/>
            <w:vMerge/>
            <w:tcBorders>
              <w:left w:val="single" w:sz="4" w:space="0" w:color="000000"/>
              <w:right w:val="single" w:sz="4" w:space="0" w:color="000000"/>
            </w:tcBorders>
            <w:shd w:val="clear" w:color="auto" w:fill="D3D3D3"/>
          </w:tcPr>
          <w:p>
            <w:pP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1" w:type="dxa"/>
            <w:vMerge/>
            <w:tcBorders>
              <w:left w:val="single" w:sz="4" w:space="0" w:color="000000"/>
              <w:bottom w:val="single" w:sz="4" w:space="0" w:color="000000"/>
              <w:right w:val="single" w:sz="4" w:space="0" w:color="000000"/>
            </w:tcBorders>
            <w:shd w:val="clear" w:color="auto" w:fill="D3D3D3"/>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87,208,480.90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96.84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4,360,424.05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52,621,186.20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0" w:right="0"/>
              <w:jc w:val="left"/>
              <w:rPr>
                <w:rFonts w:ascii="Times New Roman" w:hAnsi="Times New Roman" w:cs="Times New Roman" w:eastAsia="Times New Roman" w:hint="default"/>
                <w:sz w:val="18"/>
                <w:szCs w:val="18"/>
              </w:rPr>
            </w:pPr>
            <w:r>
              <w:rPr>
                <w:rFonts w:ascii="Times New Roman"/>
                <w:sz w:val="18"/>
              </w:rPr>
              <w:t>95.67</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2,631,059.31</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2,843,629.54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 w:right="0"/>
              <w:jc w:val="left"/>
              <w:rPr>
                <w:rFonts w:ascii="Times New Roman" w:hAnsi="Times New Roman" w:cs="Times New Roman" w:eastAsia="Times New Roman" w:hint="default"/>
                <w:sz w:val="18"/>
                <w:szCs w:val="18"/>
              </w:rPr>
            </w:pPr>
            <w:r>
              <w:rPr>
                <w:rFonts w:ascii="Times New Roman"/>
                <w:sz w:val="18"/>
              </w:rPr>
              <w:t>3.16%</w:t>
            </w:r>
          </w:p>
        </w:tc>
        <w:tc>
          <w:tcPr>
            <w:tcW w:w="132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2,382,224.52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0" w:right="0"/>
              <w:jc w:val="left"/>
              <w:rPr>
                <w:rFonts w:ascii="Times New Roman" w:hAnsi="Times New Roman" w:cs="Times New Roman" w:eastAsia="Times New Roman" w:hint="default"/>
                <w:sz w:val="18"/>
                <w:szCs w:val="18"/>
              </w:rPr>
            </w:pPr>
            <w:r>
              <w:rPr>
                <w:rFonts w:ascii="Times New Roman"/>
                <w:sz w:val="18"/>
              </w:rPr>
              <w:t>4.33%</w:t>
            </w:r>
          </w:p>
        </w:tc>
        <w:tc>
          <w:tcPr>
            <w:tcW w:w="1189"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90,052,110.44</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4,360,424.05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 w:right="0"/>
              <w:jc w:val="left"/>
              <w:rPr>
                <w:rFonts w:ascii="Times New Roman" w:hAnsi="Times New Roman" w:cs="Times New Roman" w:eastAsia="Times New Roman" w:hint="default"/>
                <w:sz w:val="18"/>
                <w:szCs w:val="18"/>
              </w:rPr>
            </w:pPr>
            <w:r>
              <w:rPr>
                <w:rFonts w:ascii="Times New Roman"/>
                <w:sz w:val="18"/>
              </w:rPr>
              <w:t>4.84%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55,003,410.72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 w:right="0"/>
              <w:jc w:val="lef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2,631,059.31</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 w:right="0"/>
              <w:jc w:val="lef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2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90,052,110.44</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4,360,424.05</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55,003,410.72</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2,631,059.31</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240" w:lineRule="auto" w:before="49"/>
        <w:ind w:right="0"/>
        <w:jc w:val="left"/>
      </w:pPr>
      <w:r>
        <w:rPr/>
        <w:t>其他应收款种类的说明</w:t>
      </w:r>
    </w:p>
    <w:p>
      <w:pPr>
        <w:pStyle w:val="BodyText"/>
        <w:spacing w:line="300" w:lineRule="auto" w:before="117"/>
        <w:ind w:right="0"/>
        <w:jc w:val="left"/>
      </w:pPr>
      <w:r>
        <w:rPr>
          <w:spacing w:val="-1"/>
        </w:rPr>
        <w:t>账龄组合</w:t>
      </w:r>
      <w:r>
        <w:rPr>
          <w:rFonts w:ascii="Times New Roman" w:hAnsi="Times New Roman" w:cs="Times New Roman" w:eastAsia="Times New Roman" w:hint="default"/>
          <w:spacing w:val="-1"/>
        </w:rPr>
        <w:t>,</w:t>
      </w:r>
      <w:r>
        <w:rPr>
          <w:spacing w:val="-1"/>
        </w:rPr>
        <w:t>相同账龄的应收账款具有类似信用风险特征；</w:t>
      </w:r>
      <w:r>
        <w:rPr>
          <w:spacing w:val="-66"/>
        </w:rPr>
        <w:t> </w:t>
      </w:r>
      <w:r>
        <w:rPr/>
        <w:t>应收出口退税款组合不计提坏账准备。</w:t>
      </w:r>
    </w:p>
    <w:p>
      <w:pPr>
        <w:pStyle w:val="BodyText"/>
        <w:spacing w:line="240" w:lineRule="auto" w:before="71"/>
        <w:ind w:right="0"/>
        <w:jc w:val="left"/>
      </w:pPr>
      <w:r>
        <w:rPr/>
        <w:t>期末单项金额重大并单项计提坏账准备的其他应收款</w:t>
      </w:r>
    </w:p>
    <w:p>
      <w:pPr>
        <w:pStyle w:val="BodyText"/>
        <w:spacing w:line="340" w:lineRule="auto" w:before="116"/>
        <w:ind w:right="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组合中，采用账龄分析法计提坏账准备的其他应收款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BodyText"/>
        <w:spacing w:line="240" w:lineRule="auto"/>
        <w:ind w:left="113" w:right="0"/>
        <w:jc w:val="left"/>
      </w:pPr>
      <w:r>
        <w:rPr/>
        <w:t>单位： 元</w:t>
      </w:r>
    </w:p>
    <w:p>
      <w:pPr>
        <w:spacing w:after="0" w:line="240" w:lineRule="auto"/>
        <w:jc w:val="left"/>
        <w:sectPr>
          <w:type w:val="continuous"/>
          <w:pgSz w:w="11910" w:h="16840"/>
          <w:pgMar w:top="1060" w:bottom="1160" w:left="1020" w:right="1020"/>
          <w:cols w:num="2" w:equalWidth="0">
            <w:col w:w="4479" w:space="4349"/>
            <w:col w:w="104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6"/>
        <w:gridCol w:w="1794"/>
        <w:gridCol w:w="664"/>
        <w:gridCol w:w="1594"/>
        <w:gridCol w:w="1861"/>
        <w:gridCol w:w="665"/>
        <w:gridCol w:w="1727"/>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66"/>
        <w:gridCol w:w="1794"/>
        <w:gridCol w:w="664"/>
        <w:gridCol w:w="1594"/>
        <w:gridCol w:w="1861"/>
        <w:gridCol w:w="665"/>
        <w:gridCol w:w="1727"/>
      </w:tblGrid>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87,208,480.90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4,360,424.05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52,621,186.20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2" w:right="0"/>
              <w:jc w:val="left"/>
              <w:rPr>
                <w:rFonts w:ascii="Times New Roman" w:hAnsi="Times New Roman" w:cs="Times New Roman" w:eastAsia="Times New Roman" w:hint="default"/>
                <w:sz w:val="18"/>
                <w:szCs w:val="18"/>
              </w:rPr>
            </w:pPr>
            <w:r>
              <w:rPr>
                <w:rFonts w:ascii="Times New Roman"/>
                <w:sz w:val="18"/>
              </w:rPr>
              <w:t>100%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2,631,059.31</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87,208,480.90</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4,360,424.05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52,621,186.20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2,631,059.31</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980" w:header="747" w:top="1060" w:bottom="1160" w:left="1020" w:right="1020"/>
          <w:pgNumType w:start="120"/>
        </w:sectPr>
      </w:pPr>
    </w:p>
    <w:p>
      <w:pPr>
        <w:pStyle w:val="BodyText"/>
        <w:spacing w:line="240" w:lineRule="auto" w:before="50"/>
        <w:ind w:right="-20"/>
        <w:jc w:val="left"/>
      </w:pPr>
      <w:r>
        <w:rPr/>
        <w:t>组合中，采用余额百分比法计提坏账准备的其他应收款</w:t>
      </w:r>
    </w:p>
    <w:p>
      <w:pPr>
        <w:pStyle w:val="BodyText"/>
        <w:spacing w:line="340" w:lineRule="auto" w:before="116"/>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0"/>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060" w:bottom="1160" w:left="1020" w:right="1020"/>
          <w:cols w:num="2" w:equalWidth="0">
            <w:col w:w="4435" w:space="439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60"/>
        <w:gridCol w:w="2856"/>
        <w:gridCol w:w="2753"/>
      </w:tblGrid>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2,843,629.54</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2,843,629.54</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4"/>
        <w:rPr>
          <w:rFonts w:ascii="宋体" w:hAnsi="宋体" w:cs="宋体" w:eastAsia="宋体" w:hint="default"/>
          <w:sz w:val="27"/>
          <w:szCs w:val="27"/>
        </w:rPr>
      </w:pPr>
    </w:p>
    <w:p>
      <w:pPr>
        <w:pStyle w:val="BodyText"/>
        <w:spacing w:line="240" w:lineRule="auto" w:before="44"/>
        <w:ind w:right="92"/>
        <w:jc w:val="left"/>
      </w:pPr>
      <w:r>
        <w:rPr/>
        <w:t>期末单项金额虽不重大但单项计提坏账准备的其他应收款</w:t>
      </w:r>
    </w:p>
    <w:p>
      <w:pPr>
        <w:pStyle w:val="BodyText"/>
        <w:spacing w:line="240" w:lineRule="auto" w:before="116"/>
        <w:ind w:right="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92"/>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89"/>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深圳长城世家商贸有限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66,125,544.95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73.43%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广州长城世家投资有限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18,790,182.94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19"/>
              <w:jc w:val="right"/>
              <w:rPr>
                <w:rFonts w:ascii="宋体" w:hAnsi="宋体" w:cs="宋体" w:eastAsia="宋体" w:hint="default"/>
                <w:sz w:val="18"/>
                <w:szCs w:val="18"/>
              </w:rPr>
            </w:pPr>
            <w:r>
              <w:rPr>
                <w:rFonts w:ascii="宋体" w:hAnsi="宋体" w:cs="宋体" w:eastAsia="宋体" w:hint="default"/>
                <w:sz w:val="18"/>
                <w:szCs w:val="18"/>
              </w:rPr>
              <w:t>应收出口退税款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2,843,629.54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北京昶城世家商贸有限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2,031,200.00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潮州市三江陶瓷原料有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89,937,557.43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99.88%</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3</w:t>
      </w:r>
      <w:r>
        <w:rPr/>
        <w:t>）</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2"/>
        <w:jc w:val="left"/>
      </w:pPr>
      <w:r>
        <w:rPr/>
        <w:t>不符合终止确认条件的其他应收款项的转移金额为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3"/>
        <w:spacing w:line="240" w:lineRule="auto"/>
        <w:ind w:right="9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02" w:right="30"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69"/>
              <w:ind w:left="33" w:right="32"/>
              <w:jc w:val="left"/>
              <w:rPr>
                <w:rFonts w:ascii="宋体" w:hAnsi="宋体" w:cs="宋体" w:eastAsia="宋体" w:hint="default"/>
                <w:sz w:val="18"/>
                <w:szCs w:val="18"/>
              </w:rPr>
            </w:pPr>
            <w:r>
              <w:rPr>
                <w:rFonts w:ascii="宋体" w:hAnsi="宋体" w:cs="宋体" w:eastAsia="宋体" w:hint="default"/>
                <w:sz w:val="18"/>
                <w:szCs w:val="18"/>
              </w:rPr>
              <w:t>在被投资 单位持股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69"/>
              <w:ind w:left="33" w:right="32"/>
              <w:jc w:val="left"/>
              <w:rPr>
                <w:rFonts w:ascii="宋体" w:hAnsi="宋体" w:cs="宋体" w:eastAsia="宋体" w:hint="default"/>
                <w:sz w:val="18"/>
                <w:szCs w:val="18"/>
              </w:rPr>
            </w:pPr>
            <w:r>
              <w:rPr>
                <w:rFonts w:ascii="宋体" w:hAnsi="宋体" w:cs="宋体" w:eastAsia="宋体" w:hint="default"/>
                <w:sz w:val="18"/>
                <w:szCs w:val="18"/>
              </w:rPr>
              <w:t>在被投资 单位表决</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69"/>
              <w:ind w:left="33" w:right="32"/>
              <w:jc w:val="left"/>
              <w:rPr>
                <w:rFonts w:ascii="宋体" w:hAnsi="宋体" w:cs="宋体" w:eastAsia="宋体" w:hint="default"/>
                <w:sz w:val="18"/>
                <w:szCs w:val="18"/>
              </w:rPr>
            </w:pPr>
            <w:r>
              <w:rPr>
                <w:rFonts w:ascii="宋体" w:hAnsi="宋体" w:cs="宋体" w:eastAsia="宋体" w:hint="default"/>
                <w:sz w:val="18"/>
                <w:szCs w:val="18"/>
              </w:rPr>
              <w:t>在被投资 单位持股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41" w:hRule="exact"/>
        </w:trPr>
        <w:tc>
          <w:tcPr>
            <w:tcW w:w="794"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9"/>
              <w:ind w:left="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9"/>
              <w:ind w:left="123" w:right="0"/>
              <w:jc w:val="left"/>
              <w:rPr>
                <w:rFonts w:ascii="宋体" w:hAnsi="宋体" w:cs="宋体" w:eastAsia="宋体" w:hint="default"/>
                <w:sz w:val="18"/>
                <w:szCs w:val="18"/>
              </w:rPr>
            </w:pPr>
            <w:r>
              <w:rPr>
                <w:rFonts w:ascii="宋体" w:hAnsi="宋体" w:cs="宋体" w:eastAsia="宋体" w:hint="default"/>
                <w:sz w:val="18"/>
                <w:szCs w:val="18"/>
              </w:rPr>
              <w:t>权比例</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比例与表</w:t>
            </w: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r>
      <w:tr>
        <w:trPr>
          <w:trHeight w:val="311" w:hRule="exact"/>
        </w:trPr>
        <w:tc>
          <w:tcPr>
            <w:tcW w:w="794"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left="260"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决权比例</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r>
      <w:tr>
        <w:trPr>
          <w:trHeight w:val="308" w:hRule="exact"/>
        </w:trPr>
        <w:tc>
          <w:tcPr>
            <w:tcW w:w="794"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不一致的</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r>
      <w:tr>
        <w:trPr>
          <w:trHeight w:val="338" w:hRule="exact"/>
        </w:trPr>
        <w:tc>
          <w:tcPr>
            <w:tcW w:w="794"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广州长城 世家投资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9,998,014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9,998,014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9,998,014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潮州市万</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泉陶瓷花 纸有限公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深圳长城 商贸有限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潮州市三</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江陶瓷原 料有限公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1,770,000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1,770,000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1,770,000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北京昶城 世家商贸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深圳市世</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家会艺术 品投资有</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27,768,01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25,768,01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27,768,01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4.40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39" w:lineRule="auto" w:before="50"/>
        <w:ind w:right="5410"/>
        <w:jc w:val="left"/>
      </w:pPr>
      <w:r>
        <w:rPr/>
        <w:t>长期股权投资的说明 公司不存在投资变现及投资收益汇回重大限制的情况。</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3"/>
        <w:spacing w:line="240" w:lineRule="auto"/>
        <w:ind w:right="9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2"/>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6"/>
        <w:gridCol w:w="3455"/>
        <w:gridCol w:w="3588"/>
      </w:tblGrid>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345,345,862.86</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387,121,600.17</w:t>
            </w: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179,420.17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198,000.00</w:t>
            </w: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345,525,283.03</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387,319,600.17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526"/>
        <w:gridCol w:w="3455"/>
        <w:gridCol w:w="3588"/>
      </w:tblGrid>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249,530,944.05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284,630,958.98</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00000"/>
              <w:bottom w:val="single" w:sz="4" w:space="0" w:color="000000"/>
              <w:right w:val="single" w:sz="4" w:space="0" w:color="000000"/>
            </w:tcBorders>
            <w:shd w:val="clear" w:color="auto" w:fill="D3D3D3"/>
          </w:tcPr>
          <w:p>
            <w:pP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陶瓷制造业</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345,345,862.86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249,501,738.41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387,121,600.17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284,601,419.42</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345,345,862.86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249,501,738.41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387,121,600.17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284,601,419.42</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00000"/>
              <w:bottom w:val="single" w:sz="4" w:space="0" w:color="000000"/>
              <w:right w:val="single" w:sz="4" w:space="0" w:color="000000"/>
            </w:tcBorders>
            <w:shd w:val="clear" w:color="auto" w:fill="D3D3D3"/>
          </w:tcPr>
          <w:p>
            <w:pP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345,345,862.86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249,501,738.41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387,121,600.17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284,601,419.42</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345,345,862.86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249,501,738.41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387,121,600.17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284,601,419.42</w:t>
            </w:r>
          </w:p>
        </w:tc>
      </w:tr>
    </w:tbl>
    <w:p>
      <w:pPr>
        <w:spacing w:line="240" w:lineRule="auto" w:before="2"/>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00000"/>
              <w:bottom w:val="single" w:sz="4" w:space="0" w:color="000000"/>
              <w:right w:val="single" w:sz="4" w:space="0" w:color="000000"/>
            </w:tcBorders>
            <w:shd w:val="clear" w:color="auto" w:fill="D3D3D3"/>
          </w:tcPr>
          <w:p>
            <w:pP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64,452,943.70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42,875,665.40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56,030,551.52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38,087,906.09</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280,892,919.16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206,626,073.01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331,091,048.65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246,513,513.33</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345,345,862.86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249,501,738.41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387,121,600.17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284,601,419.42</w:t>
            </w:r>
          </w:p>
        </w:tc>
      </w:tr>
    </w:tbl>
    <w:p>
      <w:pPr>
        <w:spacing w:line="240" w:lineRule="auto" w:before="1"/>
        <w:rPr>
          <w:rFonts w:ascii="宋体" w:hAnsi="宋体" w:cs="宋体" w:eastAsia="宋体" w:hint="default"/>
          <w:sz w:val="19"/>
          <w:szCs w:val="19"/>
        </w:rPr>
      </w:pPr>
    </w:p>
    <w:p>
      <w:pPr>
        <w:pStyle w:val="Heading3"/>
        <w:spacing w:line="240" w:lineRule="auto" w:before="35"/>
        <w:ind w:right="92"/>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2921"/>
        <w:gridCol w:w="186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13" w:right="25"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24"/>
              <w:jc w:val="left"/>
              <w:rPr>
                <w:rFonts w:ascii="Times New Roman" w:hAnsi="Times New Roman" w:cs="Times New Roman" w:eastAsia="Times New Roman" w:hint="default"/>
                <w:sz w:val="18"/>
                <w:szCs w:val="18"/>
              </w:rPr>
            </w:pPr>
            <w:r>
              <w:rPr>
                <w:rFonts w:ascii="Times New Roman"/>
                <w:sz w:val="18"/>
              </w:rPr>
              <w:t>LG</w:t>
            </w:r>
            <w:r>
              <w:rPr>
                <w:rFonts w:ascii="Times New Roman"/>
                <w:spacing w:val="-6"/>
                <w:sz w:val="18"/>
              </w:rPr>
              <w:t> </w:t>
            </w:r>
            <w:r>
              <w:rPr>
                <w:rFonts w:ascii="Times New Roman"/>
                <w:sz w:val="18"/>
              </w:rPr>
              <w:t>SOURCING</w:t>
            </w:r>
            <w:r>
              <w:rPr>
                <w:rFonts w:ascii="Times New Roman"/>
                <w:spacing w:val="-3"/>
                <w:sz w:val="18"/>
              </w:rPr>
              <w:t> </w:t>
            </w:r>
            <w:r>
              <w:rPr>
                <w:rFonts w:ascii="Times New Roman"/>
                <w:sz w:val="18"/>
              </w:rPr>
              <w:t>(A</w:t>
            </w:r>
            <w:r>
              <w:rPr>
                <w:rFonts w:ascii="Times New Roman"/>
                <w:spacing w:val="-18"/>
                <w:sz w:val="18"/>
              </w:rPr>
              <w:t> </w:t>
            </w:r>
            <w:r>
              <w:rPr>
                <w:rFonts w:ascii="Times New Roman"/>
                <w:spacing w:val="-4"/>
                <w:sz w:val="18"/>
              </w:rPr>
              <w:t>WHOLLY</w:t>
            </w:r>
            <w:r>
              <w:rPr>
                <w:rFonts w:ascii="Times New Roman"/>
                <w:spacing w:val="-12"/>
                <w:sz w:val="18"/>
              </w:rPr>
              <w:t> </w:t>
            </w:r>
            <w:r>
              <w:rPr>
                <w:rFonts w:ascii="Times New Roman"/>
                <w:sz w:val="18"/>
              </w:rPr>
              <w:t>OWNED</w:t>
            </w:r>
            <w:r>
              <w:rPr>
                <w:rFonts w:ascii="Times New Roman"/>
                <w:spacing w:val="-4"/>
                <w:sz w:val="18"/>
              </w:rPr>
              <w:t> </w:t>
            </w:r>
            <w:r>
              <w:rPr>
                <w:rFonts w:ascii="Times New Roman"/>
                <w:sz w:val="18"/>
              </w:rPr>
              <w:t>SUBSIDIARY</w:t>
            </w:r>
            <w:r>
              <w:rPr>
                <w:rFonts w:ascii="Times New Roman"/>
                <w:spacing w:val="-12"/>
                <w:sz w:val="18"/>
              </w:rPr>
              <w:t> </w:t>
            </w:r>
            <w:r>
              <w:rPr>
                <w:rFonts w:ascii="Times New Roman"/>
                <w:sz w:val="18"/>
              </w:rPr>
              <w:t>OF</w:t>
            </w:r>
            <w:r>
              <w:rPr>
                <w:rFonts w:ascii="Times New Roman"/>
                <w:sz w:val="18"/>
              </w:rPr>
              <w:t> LOWES</w:t>
            </w:r>
            <w:r>
              <w:rPr>
                <w:rFonts w:ascii="Times New Roman"/>
                <w:spacing w:val="-1"/>
                <w:sz w:val="18"/>
              </w:rPr>
              <w:t> </w:t>
            </w:r>
            <w:r>
              <w:rPr>
                <w:rFonts w:ascii="Times New Roman"/>
                <w:sz w:val="18"/>
              </w:rPr>
              <w:t>INC.)</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30,954,177.42</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30,590,281.13</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IMAX</w:t>
            </w:r>
            <w:r>
              <w:rPr>
                <w:rFonts w:ascii="Times New Roman"/>
                <w:spacing w:val="1"/>
                <w:sz w:val="18"/>
              </w:rPr>
              <w:t> </w:t>
            </w:r>
            <w:r>
              <w:rPr>
                <w:rFonts w:ascii="Times New Roman"/>
                <w:spacing w:val="-3"/>
                <w:sz w:val="18"/>
              </w:rPr>
              <w:t>CORPORATION</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13,821,876.56</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TOP SHOP </w:t>
            </w:r>
            <w:r>
              <w:rPr>
                <w:rFonts w:ascii="Times New Roman"/>
                <w:spacing w:val="-3"/>
                <w:sz w:val="18"/>
              </w:rPr>
              <w:t>INTERNATIONAL</w:t>
            </w:r>
            <w:r>
              <w:rPr>
                <w:rFonts w:ascii="Times New Roman"/>
                <w:spacing w:val="-20"/>
                <w:sz w:val="18"/>
              </w:rPr>
              <w:t> </w:t>
            </w:r>
            <w:r>
              <w:rPr>
                <w:rFonts w:ascii="Times New Roman"/>
                <w:sz w:val="18"/>
              </w:rPr>
              <w:t>SA</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10,868,508.93</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YAMAZAKICO.LTD.</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9,644,764.76</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4"/>
        <w:gridCol w:w="2921"/>
        <w:gridCol w:w="186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2" w:right="0"/>
              <w:jc w:val="left"/>
              <w:rPr>
                <w:rFonts w:ascii="Times New Roman" w:hAnsi="Times New Roman" w:cs="Times New Roman" w:eastAsia="Times New Roman" w:hint="default"/>
                <w:sz w:val="18"/>
                <w:szCs w:val="18"/>
              </w:rPr>
            </w:pPr>
            <w:r>
              <w:rPr>
                <w:rFonts w:ascii="Times New Roman"/>
                <w:sz w:val="18"/>
              </w:rPr>
              <w:t>95,879,608.80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w:t>
            </w:r>
          </w:p>
        </w:tc>
      </w:tr>
    </w:tbl>
    <w:p>
      <w:pPr>
        <w:pStyle w:val="BodyText"/>
        <w:spacing w:line="357" w:lineRule="auto" w:before="50"/>
        <w:ind w:right="8470"/>
        <w:jc w:val="left"/>
      </w:pPr>
      <w:r>
        <w:rPr/>
        <w:t>营业收入的说明 无</w:t>
      </w:r>
    </w:p>
    <w:p>
      <w:pPr>
        <w:spacing w:line="240" w:lineRule="auto" w:before="4"/>
        <w:rPr>
          <w:rFonts w:ascii="宋体" w:hAnsi="宋体" w:cs="宋体" w:eastAsia="宋体" w:hint="default"/>
          <w:sz w:val="20"/>
          <w:szCs w:val="20"/>
        </w:rPr>
      </w:pPr>
    </w:p>
    <w:p>
      <w:pPr>
        <w:pStyle w:val="Heading3"/>
        <w:spacing w:line="240" w:lineRule="auto"/>
        <w:ind w:right="92"/>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49,686,139.87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55,187,686.95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4,321,970.93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3,457,674.89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7,792,627.00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6,490,506.11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461,019.47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226,273.65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1,413,421.42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1,583,990.84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12,903,314.89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7,239,493.22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-518,651.24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-648,295.64</w:t>
            </w: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-7,474,114.14</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-12,479,720.63</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-36,281,680.04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-652,714.08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10,277,694.97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-10,354,522.00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42,452,098.73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50,180,017.71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601,793,654.22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537,592,832.11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537,592,832.11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545,669,333.74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64,200,822.11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-8,076,501.63</w:t>
            </w:r>
          </w:p>
        </w:tc>
      </w:tr>
    </w:tbl>
    <w:p>
      <w:pPr>
        <w:spacing w:line="240" w:lineRule="auto" w:before="12"/>
        <w:rPr>
          <w:rFonts w:ascii="宋体" w:hAnsi="宋体" w:cs="宋体" w:eastAsia="宋体" w:hint="default"/>
          <w:sz w:val="17"/>
          <w:szCs w:val="17"/>
        </w:rPr>
      </w:pPr>
    </w:p>
    <w:p>
      <w:pPr>
        <w:pStyle w:val="Heading2"/>
        <w:spacing w:line="240" w:lineRule="auto"/>
        <w:ind w:right="92"/>
        <w:jc w:val="left"/>
        <w:rPr>
          <w:b w:val="0"/>
          <w:bCs w:val="0"/>
        </w:rPr>
      </w:pPr>
      <w:r>
        <w:rPr/>
        <w:t>十二、补充资料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2"/>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40"/>
        <w:gridCol w:w="2178"/>
        <w:gridCol w:w="1914"/>
        <w:gridCol w:w="1938"/>
      </w:tblGrid>
      <w:tr>
        <w:trPr>
          <w:trHeight w:val="402" w:hRule="exact"/>
        </w:trPr>
        <w:tc>
          <w:tcPr>
            <w:tcW w:w="35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540" w:type="dxa"/>
            <w:vMerge/>
            <w:tcBorders>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0.14</w:t>
            </w:r>
          </w:p>
        </w:tc>
      </w:tr>
      <w:tr>
        <w:trPr>
          <w:trHeight w:val="714"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83"/>
        <w:jc w:val="center"/>
        <w:rPr>
          <w:b w:val="0"/>
          <w:bCs w:val="0"/>
        </w:rPr>
      </w:pPr>
      <w:bookmarkStart w:name="_TOC_250000" w:id="3"/>
      <w:r>
        <w:rPr/>
        <w:t>第十节</w:t>
      </w:r>
      <w:r>
        <w:rPr>
          <w:spacing w:val="-2"/>
        </w:rPr>
        <w:t> </w:t>
      </w:r>
      <w:r>
        <w:rPr/>
        <w:t>备查文件目录</w:t>
      </w:r>
      <w:bookmarkEnd w:id="3"/>
      <w:r>
        <w:rPr>
          <w:b w:val="0"/>
          <w:bCs w:val="0"/>
        </w:rPr>
      </w:r>
    </w:p>
    <w:p>
      <w:pPr>
        <w:spacing w:line="240" w:lineRule="auto" w:before="8"/>
        <w:rPr>
          <w:rFonts w:ascii="宋体" w:hAnsi="宋体" w:cs="宋体" w:eastAsia="宋体" w:hint="default"/>
          <w:b/>
          <w:bCs/>
          <w:sz w:val="40"/>
          <w:szCs w:val="40"/>
        </w:rPr>
      </w:pPr>
    </w:p>
    <w:p>
      <w:pPr>
        <w:pStyle w:val="Heading4"/>
        <w:spacing w:line="273" w:lineRule="auto"/>
        <w:ind w:left="114" w:right="92"/>
        <w:jc w:val="left"/>
      </w:pPr>
      <w:r>
        <w:rPr>
          <w:spacing w:val="-1"/>
        </w:rPr>
        <w:t>一、载有公司法定代表人、主管会计工作负责人、公司会计机构负责人（会计主管人员）签名并盖章的财</w:t>
      </w:r>
      <w:r>
        <w:rPr>
          <w:spacing w:val="-82"/>
        </w:rPr>
        <w:t> </w:t>
      </w:r>
      <w:r>
        <w:rPr>
          <w:spacing w:val="-82"/>
        </w:rPr>
      </w:r>
      <w:r>
        <w:rPr/>
        <w:t>务报表。</w:t>
      </w:r>
    </w:p>
    <w:p>
      <w:pPr>
        <w:pStyle w:val="Heading4"/>
        <w:spacing w:line="266" w:lineRule="auto" w:before="7"/>
        <w:ind w:right="1541"/>
        <w:jc w:val="left"/>
      </w:pPr>
      <w:r>
        <w:rPr/>
        <w:t>二、载有会计师事务所盖章、注册会计师签名并盖章的审计报告原件。 三、报告期内在中国证监会指定网站上公开披露过的所有公司文件的正本及公告的原稿。 四、载有董事长签名的</w:t>
      </w:r>
      <w:r>
        <w:rPr>
          <w:rFonts w:ascii="Times New Roman" w:hAnsi="Times New Roman" w:cs="Times New Roman" w:eastAsia="Times New Roman" w:hint="default"/>
        </w:rPr>
        <w:t>2012</w:t>
      </w:r>
      <w:r>
        <w:rPr/>
        <w:t>年年度报告文本原件。 以上备查文件的备置地点：长城集团证券事务部</w:t>
      </w:r>
    </w:p>
    <w:sectPr>
      <w:pgSz w:w="11910" w:h="16840"/>
      <w:pgMar w:header="747" w:footer="980"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577637pt;width:6.5pt;height:11pt;mso-position-horizontal-relative:page;mso-position-vertical-relative:page;z-index:-7306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730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7304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730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7303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730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7303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730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730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7302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730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873pt;margin-top:782.017639pt;width:8.5pt;height:11pt;mso-position-horizontal-relative:page;mso-position-vertical-relative:page;z-index:-730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7302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730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7301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730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17639pt;width:17.2pt;height:11pt;mso-position-horizontal-relative:page;mso-position-vertical-relative:page;z-index:-730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730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730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730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7305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730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7305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730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730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19995pt;margin-top:36.325325pt;width:186.5pt;height:11.45pt;mso-position-horizontal-relative:page;mso-position-vertical-relative:page;z-index:-730696" type="#_x0000_t202" filled="false" stroked="false">
          <v:textbox inset="0,0,0,0">
            <w:txbxContent>
              <w:p>
                <w:pPr>
                  <w:pStyle w:val="BodyText"/>
                  <w:spacing w:line="214" w:lineRule="exact"/>
                  <w:ind w:left="20" w:right="0"/>
                  <w:jc w:val="left"/>
                </w:pPr>
                <w:r>
                  <w:rPr/>
                  <w:t>广东长城集团股份有限公司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14"/>
    </w:pPr>
    <w:rPr>
      <w:rFonts w:ascii="宋体" w:hAnsi="宋体" w:eastAsia="宋体"/>
      <w:sz w:val="18"/>
      <w:szCs w:val="18"/>
    </w:rPr>
  </w:style>
  <w:style w:styleId="Heading1" w:type="paragraph">
    <w:name w:val="Heading 1"/>
    <w:basedOn w:val="Normal"/>
    <w:uiPriority w:val="1"/>
    <w:qFormat/>
    <w:pPr>
      <w:spacing w:before="1"/>
      <w:ind w:left="87"/>
      <w:outlineLvl w:val="1"/>
    </w:pPr>
    <w:rPr>
      <w:rFonts w:ascii="宋体" w:hAnsi="宋体" w:eastAsia="宋体"/>
      <w:b/>
      <w:bCs/>
      <w:sz w:val="32"/>
      <w:szCs w:val="32"/>
    </w:rPr>
  </w:style>
  <w:style w:styleId="Heading2" w:type="paragraph">
    <w:name w:val="Heading 2"/>
    <w:basedOn w:val="Normal"/>
    <w:uiPriority w:val="1"/>
    <w:qFormat/>
    <w:pPr>
      <w:spacing w:before="26"/>
      <w:ind w:left="114"/>
      <w:outlineLvl w:val="2"/>
    </w:pPr>
    <w:rPr>
      <w:rFonts w:ascii="宋体" w:hAnsi="宋体" w:eastAsia="宋体"/>
      <w:b/>
      <w:bCs/>
      <w:sz w:val="24"/>
      <w:szCs w:val="24"/>
    </w:rPr>
  </w:style>
  <w:style w:styleId="Heading3" w:type="paragraph">
    <w:name w:val="Heading 3"/>
    <w:basedOn w:val="Normal"/>
    <w:uiPriority w:val="1"/>
    <w:qFormat/>
    <w:pPr>
      <w:ind w:left="114"/>
      <w:outlineLvl w:val="3"/>
    </w:pPr>
    <w:rPr>
      <w:rFonts w:ascii="宋体" w:hAnsi="宋体" w:eastAsia="宋体"/>
      <w:b/>
      <w:bCs/>
      <w:sz w:val="21"/>
      <w:szCs w:val="21"/>
    </w:rPr>
  </w:style>
  <w:style w:styleId="Heading4" w:type="paragraph">
    <w:name w:val="Heading 4"/>
    <w:basedOn w:val="Normal"/>
    <w:uiPriority w:val="1"/>
    <w:qFormat/>
    <w:pPr>
      <w:ind w:left="113"/>
      <w:outlineLvl w:val="4"/>
    </w:pPr>
    <w:rPr>
      <w:rFonts w:ascii="宋体" w:hAnsi="宋体" w:eastAsia="宋体"/>
      <w:sz w:val="21"/>
      <w:szCs w:val="21"/>
    </w:rPr>
  </w:style>
  <w:style w:styleId="Heading5" w:type="paragraph">
    <w:name w:val="Heading 5"/>
    <w:basedOn w:val="Normal"/>
    <w:uiPriority w:val="1"/>
    <w:qFormat/>
    <w:pPr>
      <w:spacing w:before="116"/>
      <w:ind w:left="1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hyperlink" Target="http://www.thegreatwall-china.com/" TargetMode="External"/><Relationship Id="rId11" Type="http://schemas.openxmlformats.org/officeDocument/2006/relationships/hyperlink" Target="mailto:zqb@thegreatwall-china.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image" Target="media/image3.jpeg"/><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dc:title>C:\Users\2\AppData\Local\Microsoft\Windows\Temporary Internet Files\Content.IE5\80TRAU00\AR2012300089b定期报告全文(Word中文版)[</dc:title>
  <dcterms:created xsi:type="dcterms:W3CDTF">2020-05-04T01:45:01Z</dcterms:created>
  <dcterms:modified xsi:type="dcterms:W3CDTF">2020-05-04T01:45:01Z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2013-04-01T00:00:00Z</vt:filetime>
  </property>
  <property fmtid="{D5CDD505-2E9C-101B-9397-08002B2CF9AE}" pid="3" name="Creator">
    <vt:lpwstr>PScript5.dll Version 5.2.2</vt:lpwstr>
  </property>
  <property fmtid="{D5CDD505-2E9C-101B-9397-08002B2CF9AE}" pid="4" name="LastSaved">
    <vt:filetime>2020-05-03T00:00:00Z</vt:filetime>
  </property>
</Properties>
</file>